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EF83" w14:textId="77777777" w:rsidR="006171F5" w:rsidRPr="00FB7590" w:rsidRDefault="006171F5" w:rsidP="008C2823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 w:line="360" w:lineRule="auto"/>
        <w:rPr>
          <w:rStyle w:val="31"/>
          <w:b/>
          <w:bCs/>
          <w:color w:val="auto"/>
          <w:sz w:val="22"/>
          <w:szCs w:val="22"/>
          <w:u w:val="none"/>
          <w:shd w:val="clear" w:color="auto" w:fill="D9E2F3" w:themeFill="accent5" w:themeFillTint="33"/>
        </w:rPr>
      </w:pPr>
      <w:bookmarkStart w:id="0" w:name="_GoBack"/>
      <w:bookmarkEnd w:id="0"/>
      <w:r w:rsidRPr="00FB7590">
        <w:rPr>
          <w:color w:val="auto"/>
          <w:sz w:val="22"/>
          <w:szCs w:val="22"/>
          <w:shd w:val="clear" w:color="auto" w:fill="D9E2F3" w:themeFill="accent5" w:themeFillTint="33"/>
        </w:rPr>
        <w:t>СЪОБЩЕ</w:t>
      </w:r>
      <w:r w:rsidRPr="00FB7590">
        <w:rPr>
          <w:rStyle w:val="31"/>
          <w:b/>
          <w:bCs/>
          <w:color w:val="auto"/>
          <w:sz w:val="22"/>
          <w:szCs w:val="22"/>
          <w:u w:val="none"/>
          <w:shd w:val="clear" w:color="auto" w:fill="D9E2F3" w:themeFill="accent5" w:themeFillTint="33"/>
        </w:rPr>
        <w:t xml:space="preserve">НИЕ ЗА </w:t>
      </w:r>
    </w:p>
    <w:p w14:paraId="06BB316F" w14:textId="77777777" w:rsidR="00337C4F" w:rsidRPr="00FB7590" w:rsidRDefault="006171F5" w:rsidP="008C2823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after="0" w:line="360" w:lineRule="auto"/>
        <w:rPr>
          <w:color w:val="auto"/>
          <w:sz w:val="22"/>
          <w:szCs w:val="22"/>
        </w:rPr>
      </w:pPr>
      <w:r w:rsidRPr="00FB7590">
        <w:rPr>
          <w:rStyle w:val="31"/>
          <w:b/>
          <w:bCs/>
          <w:color w:val="auto"/>
          <w:sz w:val="22"/>
          <w:szCs w:val="22"/>
          <w:u w:val="none"/>
          <w:shd w:val="clear" w:color="auto" w:fill="D9E2F3" w:themeFill="accent5" w:themeFillTint="33"/>
        </w:rPr>
        <w:t xml:space="preserve">ПРОВЕЖДАНЕ НА </w:t>
      </w:r>
      <w:r w:rsidRPr="00FB7590">
        <w:rPr>
          <w:rStyle w:val="311pt"/>
          <w:b/>
          <w:bCs/>
          <w:color w:val="auto"/>
          <w:sz w:val="20"/>
          <w:szCs w:val="20"/>
          <w:u w:val="none"/>
          <w:shd w:val="clear" w:color="auto" w:fill="D9E2F3" w:themeFill="accent5" w:themeFillTint="33"/>
        </w:rPr>
        <w:t>КОНСУЛТАЦИИ</w:t>
      </w:r>
    </w:p>
    <w:p w14:paraId="79D2AE0A" w14:textId="075B4A89" w:rsidR="004C34F7" w:rsidRDefault="006171F5" w:rsidP="004C34F7">
      <w:pPr>
        <w:pStyle w:val="20"/>
        <w:shd w:val="clear" w:color="auto" w:fill="auto"/>
        <w:tabs>
          <w:tab w:val="left" w:pos="9043"/>
        </w:tabs>
        <w:spacing w:before="0" w:after="0" w:line="276" w:lineRule="auto"/>
        <w:jc w:val="center"/>
        <w:rPr>
          <w:b/>
          <w:bCs/>
          <w:color w:val="auto"/>
          <w:sz w:val="22"/>
          <w:szCs w:val="22"/>
        </w:rPr>
      </w:pPr>
      <w:r w:rsidRPr="00FB7590">
        <w:rPr>
          <w:b/>
          <w:bCs/>
          <w:color w:val="auto"/>
          <w:sz w:val="22"/>
          <w:szCs w:val="22"/>
        </w:rPr>
        <w:t>по</w:t>
      </w:r>
      <w:r w:rsidR="00595E3B" w:rsidRPr="00FB7590">
        <w:rPr>
          <w:b/>
          <w:bCs/>
          <w:color w:val="auto"/>
          <w:sz w:val="22"/>
          <w:szCs w:val="22"/>
        </w:rPr>
        <w:t xml:space="preserve"> </w:t>
      </w:r>
      <w:r w:rsidR="008C2823" w:rsidRPr="00FB7590">
        <w:rPr>
          <w:b/>
          <w:bCs/>
          <w:color w:val="auto"/>
          <w:sz w:val="22"/>
          <w:szCs w:val="22"/>
        </w:rPr>
        <w:t xml:space="preserve">проект на План за управление на риска от наводнения </w:t>
      </w:r>
      <w:r w:rsidR="00C34C20" w:rsidRPr="00FB7590">
        <w:rPr>
          <w:b/>
          <w:bCs/>
          <w:color w:val="auto"/>
          <w:sz w:val="22"/>
          <w:szCs w:val="22"/>
        </w:rPr>
        <w:t>в</w:t>
      </w:r>
      <w:r w:rsidR="008C2823" w:rsidRPr="00FB7590">
        <w:rPr>
          <w:b/>
          <w:bCs/>
          <w:color w:val="auto"/>
          <w:sz w:val="22"/>
          <w:szCs w:val="22"/>
        </w:rPr>
        <w:t xml:space="preserve"> Западнобеломорски район 2022-2027 г</w:t>
      </w:r>
      <w:r w:rsidR="00C34C20" w:rsidRPr="00FB7590">
        <w:rPr>
          <w:b/>
          <w:bCs/>
          <w:color w:val="auto"/>
          <w:sz w:val="22"/>
          <w:szCs w:val="22"/>
        </w:rPr>
        <w:t>. (ПУРН за ЗБР)</w:t>
      </w:r>
      <w:r w:rsidR="008C2823" w:rsidRPr="00FB7590">
        <w:rPr>
          <w:b/>
          <w:bCs/>
          <w:color w:val="auto"/>
          <w:sz w:val="22"/>
          <w:szCs w:val="22"/>
        </w:rPr>
        <w:t>,</w:t>
      </w:r>
      <w:r w:rsidR="00C34C20" w:rsidRPr="00FB7590">
        <w:rPr>
          <w:b/>
          <w:bCs/>
          <w:color w:val="auto"/>
          <w:sz w:val="22"/>
          <w:szCs w:val="22"/>
        </w:rPr>
        <w:t xml:space="preserve"> Доклад за екологична оценка на ПУРН за ЗБР</w:t>
      </w:r>
      <w:r w:rsidR="003F2013" w:rsidRPr="00FB7590">
        <w:rPr>
          <w:b/>
          <w:bCs/>
          <w:color w:val="auto"/>
          <w:sz w:val="22"/>
          <w:szCs w:val="22"/>
        </w:rPr>
        <w:t xml:space="preserve">, 2022-2027 г., </w:t>
      </w:r>
      <w:r w:rsidR="004C34F7" w:rsidRPr="00FB7590">
        <w:rPr>
          <w:b/>
          <w:bCs/>
          <w:color w:val="auto"/>
          <w:sz w:val="22"/>
          <w:szCs w:val="22"/>
        </w:rPr>
        <w:t>с всички приложения към него, вкл. и Доклад за оценка на степента на въздействие</w:t>
      </w:r>
    </w:p>
    <w:p w14:paraId="7E59BACF" w14:textId="1B12EFA9" w:rsidR="001464AF" w:rsidRPr="001464AF" w:rsidRDefault="001464AF" w:rsidP="004C34F7">
      <w:pPr>
        <w:pStyle w:val="20"/>
        <w:shd w:val="clear" w:color="auto" w:fill="auto"/>
        <w:tabs>
          <w:tab w:val="left" w:pos="9043"/>
        </w:tabs>
        <w:spacing w:before="0" w:after="0" w:line="276" w:lineRule="auto"/>
        <w:jc w:val="center"/>
        <w:rPr>
          <w:color w:val="auto"/>
          <w:sz w:val="22"/>
          <w:szCs w:val="22"/>
        </w:rPr>
      </w:pPr>
      <w:bookmarkStart w:id="1" w:name="_Hlk145946888"/>
      <w:r w:rsidRPr="001464AF">
        <w:rPr>
          <w:color w:val="auto"/>
          <w:sz w:val="22"/>
          <w:szCs w:val="22"/>
        </w:rPr>
        <w:t>на основание чл. 20</w:t>
      </w:r>
      <w:r>
        <w:rPr>
          <w:color w:val="auto"/>
          <w:sz w:val="22"/>
          <w:szCs w:val="22"/>
        </w:rPr>
        <w:t xml:space="preserve"> </w:t>
      </w:r>
      <w:r w:rsidRPr="001464AF">
        <w:rPr>
          <w:color w:val="auto"/>
          <w:sz w:val="22"/>
          <w:szCs w:val="22"/>
        </w:rPr>
        <w:t>от Наредбата за условията и реда за извършване на екологична оценка на планове и програми (обн. ДВ, бр. 57/ 2004 г., посл. изм. ДВ, бр. 70/2020 г.)</w:t>
      </w:r>
    </w:p>
    <w:p w14:paraId="5D6C438E" w14:textId="4A5AC36A" w:rsidR="00337C4F" w:rsidRPr="00FB7590" w:rsidRDefault="00595E3B" w:rsidP="00993CC7">
      <w:pPr>
        <w:pStyle w:val="10"/>
        <w:keepNext/>
        <w:keepLines/>
        <w:numPr>
          <w:ilvl w:val="0"/>
          <w:numId w:val="1"/>
        </w:numPr>
        <w:shd w:val="clear" w:color="auto" w:fill="D9E2F3" w:themeFill="accent5" w:themeFillTint="33"/>
        <w:tabs>
          <w:tab w:val="left" w:pos="354"/>
        </w:tabs>
        <w:spacing w:before="0" w:line="23" w:lineRule="atLeast"/>
        <w:ind w:firstLine="709"/>
        <w:rPr>
          <w:color w:val="auto"/>
          <w:sz w:val="22"/>
          <w:szCs w:val="22"/>
        </w:rPr>
      </w:pPr>
      <w:bookmarkStart w:id="2" w:name="bookmark0"/>
      <w:bookmarkEnd w:id="1"/>
      <w:r w:rsidRPr="00FB7590">
        <w:rPr>
          <w:color w:val="auto"/>
          <w:sz w:val="22"/>
          <w:szCs w:val="22"/>
        </w:rPr>
        <w:t>Информация за възложителя на плана:</w:t>
      </w:r>
      <w:bookmarkEnd w:id="2"/>
    </w:p>
    <w:p w14:paraId="496EBA8C" w14:textId="77777777" w:rsidR="00F84DB8" w:rsidRPr="00FB7590" w:rsidRDefault="00A2084D" w:rsidP="00993CC7">
      <w:pPr>
        <w:pStyle w:val="20"/>
        <w:spacing w:before="0" w:after="0" w:line="23" w:lineRule="atLeast"/>
        <w:ind w:firstLine="709"/>
        <w:jc w:val="both"/>
        <w:rPr>
          <w:color w:val="auto"/>
          <w:sz w:val="22"/>
          <w:szCs w:val="22"/>
        </w:rPr>
      </w:pPr>
      <w:bookmarkStart w:id="3" w:name="bookmark1"/>
      <w:r w:rsidRPr="00FB7590">
        <w:rPr>
          <w:color w:val="auto"/>
          <w:sz w:val="22"/>
          <w:szCs w:val="22"/>
        </w:rPr>
        <w:t xml:space="preserve">Възложител: </w:t>
      </w:r>
      <w:r w:rsidR="00F84DB8" w:rsidRPr="00FB7590">
        <w:rPr>
          <w:color w:val="auto"/>
          <w:sz w:val="22"/>
          <w:szCs w:val="22"/>
        </w:rPr>
        <w:t>Министерство на околната среда и водите,</w:t>
      </w:r>
    </w:p>
    <w:p w14:paraId="1D687548" w14:textId="6A9096AC" w:rsidR="00230611" w:rsidRPr="00FB7590" w:rsidRDefault="00230611" w:rsidP="00993CC7">
      <w:pPr>
        <w:pStyle w:val="20"/>
        <w:spacing w:before="0" w:after="0" w:line="23" w:lineRule="atLeast"/>
        <w:ind w:firstLine="709"/>
        <w:jc w:val="both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Басейнова дирекция „Западнобеломорски район" (БД</w:t>
      </w:r>
      <w:r w:rsidR="00A2084D" w:rsidRPr="00FB7590">
        <w:rPr>
          <w:color w:val="auto"/>
          <w:sz w:val="22"/>
          <w:szCs w:val="22"/>
        </w:rPr>
        <w:t xml:space="preserve"> „</w:t>
      </w:r>
      <w:r w:rsidRPr="00FB7590">
        <w:rPr>
          <w:color w:val="auto"/>
          <w:sz w:val="22"/>
          <w:szCs w:val="22"/>
        </w:rPr>
        <w:t xml:space="preserve">ЗБР“), </w:t>
      </w:r>
      <w:r w:rsidR="00F84DB8" w:rsidRPr="00FB7590">
        <w:rPr>
          <w:color w:val="auto"/>
          <w:sz w:val="22"/>
          <w:szCs w:val="22"/>
        </w:rPr>
        <w:t>с ценър гр. Благоевград</w:t>
      </w:r>
    </w:p>
    <w:p w14:paraId="4B6804B3" w14:textId="77777777" w:rsidR="00230611" w:rsidRPr="00FB7590" w:rsidRDefault="00230611" w:rsidP="00993CC7">
      <w:pPr>
        <w:pStyle w:val="20"/>
        <w:spacing w:before="0" w:after="0" w:line="23" w:lineRule="atLeast"/>
        <w:ind w:firstLine="709"/>
        <w:jc w:val="both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Седалище и адрес на управление: гр. Благоевград, бул. „Св. Димитър Солунски” № 66</w:t>
      </w:r>
    </w:p>
    <w:p w14:paraId="7089340C" w14:textId="3C570227" w:rsidR="00230611" w:rsidRPr="00514566" w:rsidRDefault="00230611" w:rsidP="00993CC7">
      <w:pPr>
        <w:pStyle w:val="20"/>
        <w:spacing w:before="0" w:after="0" w:line="23" w:lineRule="atLeast"/>
        <w:ind w:firstLine="709"/>
        <w:jc w:val="both"/>
        <w:rPr>
          <w:color w:val="auto"/>
          <w:sz w:val="22"/>
          <w:szCs w:val="22"/>
          <w:lang w:val="en-US"/>
        </w:rPr>
      </w:pPr>
      <w:r w:rsidRPr="00FB7590">
        <w:rPr>
          <w:color w:val="auto"/>
          <w:sz w:val="22"/>
          <w:szCs w:val="22"/>
        </w:rPr>
        <w:t>Телефон:</w:t>
      </w:r>
      <w:r w:rsidR="00514566">
        <w:rPr>
          <w:color w:val="auto"/>
          <w:sz w:val="22"/>
          <w:szCs w:val="22"/>
        </w:rPr>
        <w:t xml:space="preserve"> 073/894 103</w:t>
      </w:r>
      <w:r w:rsidRPr="00FB7590">
        <w:rPr>
          <w:color w:val="auto"/>
          <w:sz w:val="22"/>
          <w:szCs w:val="22"/>
        </w:rPr>
        <w:t xml:space="preserve">; </w:t>
      </w:r>
      <w:r w:rsidR="00514566">
        <w:rPr>
          <w:color w:val="auto"/>
          <w:sz w:val="22"/>
          <w:szCs w:val="22"/>
        </w:rPr>
        <w:t xml:space="preserve">e-mail: </w:t>
      </w:r>
      <w:r w:rsidR="00514566">
        <w:rPr>
          <w:color w:val="auto"/>
          <w:sz w:val="22"/>
          <w:szCs w:val="22"/>
          <w:lang w:val="en-US"/>
        </w:rPr>
        <w:t>bdblg@wabd.bg</w:t>
      </w:r>
    </w:p>
    <w:p w14:paraId="5A9E9536" w14:textId="376EC7B8" w:rsidR="00230611" w:rsidRPr="00514566" w:rsidRDefault="00230611" w:rsidP="00993CC7">
      <w:pPr>
        <w:pStyle w:val="20"/>
        <w:spacing w:before="0" w:after="0" w:line="23" w:lineRule="atLeast"/>
        <w:ind w:firstLine="709"/>
        <w:jc w:val="both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 xml:space="preserve">Лице за контакти: </w:t>
      </w:r>
      <w:r w:rsidR="00514566">
        <w:rPr>
          <w:color w:val="auto"/>
          <w:sz w:val="22"/>
          <w:szCs w:val="22"/>
        </w:rPr>
        <w:t>Нели Гоцева – началник отдел „Планове“</w:t>
      </w:r>
    </w:p>
    <w:p w14:paraId="10CF2557" w14:textId="69314045" w:rsidR="00230611" w:rsidRPr="00514566" w:rsidRDefault="00230611" w:rsidP="00993CC7">
      <w:pPr>
        <w:pStyle w:val="20"/>
        <w:shd w:val="clear" w:color="auto" w:fill="auto"/>
        <w:spacing w:before="0" w:after="0" w:line="23" w:lineRule="atLeast"/>
        <w:ind w:firstLine="709"/>
        <w:jc w:val="both"/>
        <w:rPr>
          <w:color w:val="auto"/>
          <w:sz w:val="22"/>
          <w:szCs w:val="22"/>
          <w:lang w:val="en-US"/>
        </w:rPr>
      </w:pPr>
      <w:r w:rsidRPr="00FB7590">
        <w:rPr>
          <w:color w:val="auto"/>
          <w:sz w:val="22"/>
          <w:szCs w:val="22"/>
        </w:rPr>
        <w:t>Тел</w:t>
      </w:r>
      <w:r w:rsidR="00514566">
        <w:rPr>
          <w:color w:val="auto"/>
          <w:sz w:val="22"/>
          <w:szCs w:val="22"/>
        </w:rPr>
        <w:t>.: 073/894 111</w:t>
      </w:r>
      <w:r w:rsidR="00F84DB8" w:rsidRPr="00FB7590">
        <w:rPr>
          <w:color w:val="auto"/>
          <w:sz w:val="22"/>
          <w:szCs w:val="22"/>
        </w:rPr>
        <w:t xml:space="preserve"> </w:t>
      </w:r>
      <w:r w:rsidRPr="00FB7590">
        <w:rPr>
          <w:color w:val="auto"/>
          <w:sz w:val="22"/>
          <w:szCs w:val="22"/>
        </w:rPr>
        <w:t xml:space="preserve">; e-mail: </w:t>
      </w:r>
      <w:r w:rsidR="00514566">
        <w:rPr>
          <w:color w:val="auto"/>
          <w:sz w:val="22"/>
          <w:szCs w:val="22"/>
          <w:lang w:val="en-US"/>
        </w:rPr>
        <w:t>nelygotseva@wabd.bg</w:t>
      </w:r>
    </w:p>
    <w:p w14:paraId="75D84395" w14:textId="77777777" w:rsidR="00337C4F" w:rsidRPr="00FB7590" w:rsidRDefault="00595E3B" w:rsidP="00993CC7">
      <w:pPr>
        <w:pStyle w:val="40"/>
        <w:numPr>
          <w:ilvl w:val="0"/>
          <w:numId w:val="1"/>
        </w:numPr>
        <w:shd w:val="clear" w:color="auto" w:fill="D9E2F3" w:themeFill="accent5" w:themeFillTint="33"/>
        <w:tabs>
          <w:tab w:val="left" w:pos="368"/>
        </w:tabs>
        <w:spacing w:line="23" w:lineRule="atLeast"/>
        <w:ind w:firstLine="709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Обща информация за предложения план</w:t>
      </w:r>
      <w:bookmarkEnd w:id="3"/>
    </w:p>
    <w:p w14:paraId="04A5A830" w14:textId="77777777" w:rsidR="00337C4F" w:rsidRPr="00FB7590" w:rsidRDefault="00595E3B" w:rsidP="00993CC7">
      <w:pPr>
        <w:pStyle w:val="10"/>
        <w:keepNext/>
        <w:keepLines/>
        <w:shd w:val="clear" w:color="auto" w:fill="FFF2CC" w:themeFill="accent4" w:themeFillTint="33"/>
        <w:tabs>
          <w:tab w:val="left" w:pos="867"/>
        </w:tabs>
        <w:spacing w:before="0" w:line="23" w:lineRule="atLeast"/>
        <w:ind w:firstLine="709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а)</w:t>
      </w:r>
      <w:r w:rsidRPr="00FB7590">
        <w:rPr>
          <w:color w:val="auto"/>
          <w:sz w:val="22"/>
          <w:szCs w:val="22"/>
        </w:rPr>
        <w:tab/>
        <w:t>Основание за изготвяне на плана</w:t>
      </w:r>
    </w:p>
    <w:p w14:paraId="6C5CAE0E" w14:textId="77777777" w:rsidR="00746F6D" w:rsidRPr="00FB7590" w:rsidRDefault="00C539F9" w:rsidP="00993CC7">
      <w:pPr>
        <w:pStyle w:val="20"/>
        <w:shd w:val="clear" w:color="auto" w:fill="auto"/>
        <w:spacing w:before="0" w:after="0" w:line="23" w:lineRule="atLeast"/>
        <w:ind w:firstLine="709"/>
        <w:jc w:val="both"/>
        <w:rPr>
          <w:iCs/>
          <w:color w:val="auto"/>
          <w:sz w:val="22"/>
          <w:szCs w:val="22"/>
          <w:lang w:val="ru-RU"/>
        </w:rPr>
      </w:pPr>
      <w:bookmarkStart w:id="4" w:name="bookmark2"/>
      <w:r w:rsidRPr="00FB7590">
        <w:rPr>
          <w:iCs/>
          <w:color w:val="auto"/>
          <w:sz w:val="22"/>
          <w:szCs w:val="22"/>
          <w:lang w:val="ru-RU"/>
        </w:rPr>
        <w:t>Проектът на ПУРН за ЗБР</w:t>
      </w:r>
      <w:r w:rsidR="00F84DB8" w:rsidRPr="00FB7590">
        <w:rPr>
          <w:iCs/>
          <w:color w:val="auto"/>
          <w:sz w:val="22"/>
          <w:szCs w:val="22"/>
          <w:lang w:val="ru-RU"/>
        </w:rPr>
        <w:t xml:space="preserve"> </w:t>
      </w:r>
      <w:r w:rsidRPr="00FB7590">
        <w:rPr>
          <w:iCs/>
          <w:color w:val="auto"/>
          <w:sz w:val="22"/>
          <w:szCs w:val="22"/>
          <w:lang w:val="ru-RU"/>
        </w:rPr>
        <w:t>(</w:t>
      </w:r>
      <w:r w:rsidR="00F84DB8" w:rsidRPr="00FB7590">
        <w:rPr>
          <w:iCs/>
          <w:color w:val="auto"/>
          <w:sz w:val="22"/>
          <w:szCs w:val="22"/>
          <w:lang w:val="ru-RU"/>
        </w:rPr>
        <w:t>2022-2027</w:t>
      </w:r>
      <w:r w:rsidR="00F738CA" w:rsidRPr="00FB7590">
        <w:rPr>
          <w:iCs/>
          <w:color w:val="auto"/>
          <w:sz w:val="22"/>
          <w:szCs w:val="22"/>
          <w:lang w:val="ru-RU"/>
        </w:rPr>
        <w:t xml:space="preserve"> г.</w:t>
      </w:r>
      <w:r w:rsidRPr="00FB7590">
        <w:rPr>
          <w:iCs/>
          <w:color w:val="auto"/>
          <w:sz w:val="22"/>
          <w:szCs w:val="22"/>
          <w:lang w:val="ru-RU"/>
        </w:rPr>
        <w:t xml:space="preserve">) се изготвя в изпълнение на изискванията на </w:t>
      </w:r>
      <w:r w:rsidR="00C16847" w:rsidRPr="00FB7590">
        <w:rPr>
          <w:iCs/>
          <w:color w:val="auto"/>
          <w:sz w:val="22"/>
          <w:szCs w:val="22"/>
          <w:lang w:val="ru-RU"/>
        </w:rPr>
        <w:t xml:space="preserve">чл.7 на </w:t>
      </w:r>
      <w:r w:rsidRPr="00FB7590">
        <w:rPr>
          <w:iCs/>
          <w:color w:val="auto"/>
          <w:sz w:val="22"/>
          <w:szCs w:val="22"/>
          <w:lang w:val="ru-RU"/>
        </w:rPr>
        <w:t xml:space="preserve">Директива 2007/60/ЕО относно оценката и управлението на риска от наводнения (ДН), транспонирани в Глава Девета „Защита от вредното въздействие на водите” </w:t>
      </w:r>
      <w:r w:rsidR="00C16847" w:rsidRPr="00FB7590">
        <w:rPr>
          <w:iCs/>
          <w:color w:val="auto"/>
          <w:sz w:val="22"/>
          <w:szCs w:val="22"/>
          <w:lang w:val="ru-RU"/>
        </w:rPr>
        <w:t xml:space="preserve">- чл. 146и </w:t>
      </w:r>
      <w:r w:rsidRPr="00FB7590">
        <w:rPr>
          <w:iCs/>
          <w:color w:val="auto"/>
          <w:sz w:val="22"/>
          <w:szCs w:val="22"/>
          <w:lang w:val="ru-RU"/>
        </w:rPr>
        <w:t>на Закона за водите</w:t>
      </w:r>
      <w:r w:rsidR="00C16847" w:rsidRPr="00FB7590">
        <w:rPr>
          <w:iCs/>
          <w:color w:val="auto"/>
          <w:sz w:val="22"/>
          <w:szCs w:val="22"/>
          <w:lang w:val="ru-RU"/>
        </w:rPr>
        <w:t>.</w:t>
      </w:r>
      <w:r w:rsidRPr="00FB7590">
        <w:rPr>
          <w:iCs/>
          <w:color w:val="auto"/>
          <w:sz w:val="22"/>
          <w:szCs w:val="22"/>
          <w:lang w:val="ru-RU"/>
        </w:rPr>
        <w:t xml:space="preserve"> </w:t>
      </w:r>
    </w:p>
    <w:p w14:paraId="6231F30E" w14:textId="3DB139BA" w:rsidR="00C539F9" w:rsidRPr="00FB7590" w:rsidRDefault="00C539F9" w:rsidP="00993CC7">
      <w:pPr>
        <w:pStyle w:val="20"/>
        <w:shd w:val="clear" w:color="auto" w:fill="auto"/>
        <w:spacing w:before="0" w:after="0" w:line="23" w:lineRule="atLeast"/>
        <w:ind w:firstLine="709"/>
        <w:jc w:val="both"/>
        <w:rPr>
          <w:iCs/>
          <w:color w:val="auto"/>
          <w:sz w:val="22"/>
          <w:szCs w:val="22"/>
          <w:lang w:val="ru-RU"/>
        </w:rPr>
      </w:pPr>
      <w:r w:rsidRPr="00FB7590">
        <w:rPr>
          <w:iCs/>
          <w:color w:val="auto"/>
          <w:sz w:val="22"/>
          <w:szCs w:val="22"/>
          <w:lang w:val="ru-RU"/>
        </w:rPr>
        <w:t>Съгласно разпоредбите на чл. 155, ал.</w:t>
      </w:r>
      <w:r w:rsidR="00F738CA" w:rsidRPr="00FB7590">
        <w:rPr>
          <w:iCs/>
          <w:color w:val="auto"/>
          <w:sz w:val="22"/>
          <w:szCs w:val="22"/>
          <w:lang w:val="ru-RU"/>
        </w:rPr>
        <w:t xml:space="preserve"> </w:t>
      </w:r>
      <w:r w:rsidRPr="00FB7590">
        <w:rPr>
          <w:iCs/>
          <w:color w:val="auto"/>
          <w:sz w:val="22"/>
          <w:szCs w:val="22"/>
          <w:lang w:val="ru-RU"/>
        </w:rPr>
        <w:t>1 т.</w:t>
      </w:r>
      <w:r w:rsidR="002203DF" w:rsidRPr="00FB7590">
        <w:rPr>
          <w:iCs/>
          <w:color w:val="auto"/>
          <w:sz w:val="22"/>
          <w:szCs w:val="22"/>
          <w:lang w:val="ru-RU"/>
        </w:rPr>
        <w:t xml:space="preserve"> 2б от З</w:t>
      </w:r>
      <w:r w:rsidR="00746F6D" w:rsidRPr="00FB7590">
        <w:rPr>
          <w:iCs/>
          <w:color w:val="auto"/>
          <w:sz w:val="22"/>
          <w:szCs w:val="22"/>
          <w:lang w:val="ru-RU"/>
        </w:rPr>
        <w:t>акона за водите (ЗВ)</w:t>
      </w:r>
      <w:r w:rsidR="00F738CA" w:rsidRPr="00FB7590">
        <w:rPr>
          <w:iCs/>
          <w:color w:val="auto"/>
          <w:sz w:val="22"/>
          <w:szCs w:val="22"/>
          <w:lang w:val="ru-RU"/>
        </w:rPr>
        <w:t xml:space="preserve"> Директорът на Б</w:t>
      </w:r>
      <w:r w:rsidRPr="00FB7590">
        <w:rPr>
          <w:iCs/>
          <w:color w:val="auto"/>
          <w:sz w:val="22"/>
          <w:szCs w:val="22"/>
          <w:lang w:val="ru-RU"/>
        </w:rPr>
        <w:t xml:space="preserve">асейнова дирекция е компетентен орган за басейново управление, отговорен за разработването на Плана за управление на риска от наводнения. </w:t>
      </w:r>
    </w:p>
    <w:p w14:paraId="04649A87" w14:textId="2229BA97" w:rsidR="00D20432" w:rsidRPr="00FB7590" w:rsidRDefault="00595E3B" w:rsidP="000B2382">
      <w:pPr>
        <w:pStyle w:val="10"/>
        <w:keepNext/>
        <w:keepLines/>
        <w:shd w:val="clear" w:color="auto" w:fill="FFF2CC" w:themeFill="accent4" w:themeFillTint="33"/>
        <w:tabs>
          <w:tab w:val="left" w:pos="867"/>
        </w:tabs>
        <w:spacing w:before="0" w:line="23" w:lineRule="atLeast"/>
        <w:ind w:firstLine="709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б)</w:t>
      </w:r>
      <w:r w:rsidRPr="00FB7590">
        <w:rPr>
          <w:color w:val="auto"/>
          <w:sz w:val="22"/>
          <w:szCs w:val="22"/>
        </w:rPr>
        <w:tab/>
        <w:t>Период на действие и етапи на изпълнение на плана</w:t>
      </w:r>
      <w:bookmarkStart w:id="5" w:name="bookmark3"/>
      <w:bookmarkEnd w:id="4"/>
    </w:p>
    <w:p w14:paraId="62137326" w14:textId="70276EEA" w:rsidR="00590E1A" w:rsidRPr="00FB7590" w:rsidRDefault="00590E1A" w:rsidP="00246B2C">
      <w:pPr>
        <w:spacing w:line="23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B759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ПУРН на ЗБР </w:t>
      </w:r>
      <w:r w:rsidRPr="00FB759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от втория цикъл на прилагане на Директива 2007/60/ЕО </w:t>
      </w:r>
      <w:r w:rsidRPr="00FB7590">
        <w:rPr>
          <w:rFonts w:ascii="Times New Roman" w:eastAsia="Calibri" w:hAnsi="Times New Roman" w:cs="Times New Roman"/>
          <w:color w:val="auto"/>
          <w:sz w:val="22"/>
          <w:szCs w:val="22"/>
        </w:rPr>
        <w:t>е с период на действие 2022-2027 г. и влиза в сила след утвърждаването му от Министерски съвет.</w:t>
      </w:r>
    </w:p>
    <w:p w14:paraId="208F8D9C" w14:textId="74323438" w:rsidR="000B2382" w:rsidRPr="00FB7590" w:rsidRDefault="000B2382" w:rsidP="00246B2C">
      <w:pPr>
        <w:spacing w:line="23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B7590">
        <w:rPr>
          <w:rFonts w:ascii="Times New Roman" w:eastAsia="Calibri" w:hAnsi="Times New Roman" w:cs="Times New Roman"/>
          <w:color w:val="auto"/>
          <w:sz w:val="22"/>
          <w:szCs w:val="22"/>
        </w:rPr>
        <w:t>Етапите на изпълнение включват:</w:t>
      </w:r>
    </w:p>
    <w:p w14:paraId="336ED88F" w14:textId="45D6D4DF" w:rsidR="000B2382" w:rsidRPr="00FB7590" w:rsidRDefault="00CB2B6A" w:rsidP="00246B2C">
      <w:pPr>
        <w:pStyle w:val="ListParagraph"/>
        <w:numPr>
          <w:ilvl w:val="0"/>
          <w:numId w:val="16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B7590">
        <w:rPr>
          <w:rFonts w:ascii="Times New Roman" w:eastAsia="Calibri" w:hAnsi="Times New Roman" w:cs="Times New Roman"/>
          <w:color w:val="auto"/>
          <w:sz w:val="22"/>
          <w:szCs w:val="22"/>
        </w:rPr>
        <w:t>Планиране – План за управление на риска от наводнения</w:t>
      </w:r>
    </w:p>
    <w:p w14:paraId="55B1AD74" w14:textId="515C4431" w:rsidR="003406CF" w:rsidRPr="00FB7590" w:rsidRDefault="00CB2B6A" w:rsidP="00246B2C">
      <w:pPr>
        <w:pStyle w:val="ListParagraph"/>
        <w:numPr>
          <w:ilvl w:val="0"/>
          <w:numId w:val="16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B759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Изпълнение </w:t>
      </w:r>
    </w:p>
    <w:p w14:paraId="3473DCDD" w14:textId="1BC9017E" w:rsidR="00CB2B6A" w:rsidRPr="00FB7590" w:rsidRDefault="00CB2B6A" w:rsidP="00246B2C">
      <w:pPr>
        <w:pStyle w:val="ListParagraph"/>
        <w:numPr>
          <w:ilvl w:val="1"/>
          <w:numId w:val="16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B7590">
        <w:rPr>
          <w:rFonts w:ascii="Times New Roman" w:eastAsia="Calibri" w:hAnsi="Times New Roman" w:cs="Times New Roman"/>
          <w:color w:val="auto"/>
          <w:sz w:val="22"/>
          <w:szCs w:val="22"/>
        </w:rPr>
        <w:t>Подготвителен етап</w:t>
      </w:r>
      <w:r w:rsidR="003406CF" w:rsidRPr="00FB759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– вкл. прецизиране на мерките, предварителни проучвания, разрешителни, проектиране, </w:t>
      </w:r>
      <w:r w:rsidR="00246B2C" w:rsidRPr="00FB7590">
        <w:rPr>
          <w:rFonts w:ascii="Times New Roman" w:eastAsia="Calibri" w:hAnsi="Times New Roman" w:cs="Times New Roman"/>
          <w:color w:val="auto"/>
          <w:sz w:val="22"/>
          <w:szCs w:val="22"/>
        </w:rPr>
        <w:t>тръжни процедури и др.</w:t>
      </w:r>
    </w:p>
    <w:p w14:paraId="64C95B86" w14:textId="47CA9C6A" w:rsidR="00246B2C" w:rsidRPr="00FB7590" w:rsidRDefault="00246B2C" w:rsidP="00246B2C">
      <w:pPr>
        <w:pStyle w:val="ListParagraph"/>
        <w:numPr>
          <w:ilvl w:val="1"/>
          <w:numId w:val="16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B7590">
        <w:rPr>
          <w:rFonts w:ascii="Times New Roman" w:eastAsia="Calibri" w:hAnsi="Times New Roman" w:cs="Times New Roman"/>
          <w:color w:val="auto"/>
          <w:sz w:val="22"/>
          <w:szCs w:val="22"/>
        </w:rPr>
        <w:t>Същинско изпълнение – вкл. изграждане, внедряване и т.н.</w:t>
      </w:r>
    </w:p>
    <w:p w14:paraId="0DD8A559" w14:textId="251C6E45" w:rsidR="00246B2C" w:rsidRPr="00FB7590" w:rsidRDefault="00246B2C" w:rsidP="00246B2C">
      <w:pPr>
        <w:pStyle w:val="ListParagraph"/>
        <w:numPr>
          <w:ilvl w:val="0"/>
          <w:numId w:val="16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B7590">
        <w:rPr>
          <w:rFonts w:ascii="Times New Roman" w:eastAsia="Calibri" w:hAnsi="Times New Roman" w:cs="Times New Roman"/>
          <w:color w:val="auto"/>
          <w:sz w:val="22"/>
          <w:szCs w:val="22"/>
        </w:rPr>
        <w:t>Мониторинг</w:t>
      </w:r>
    </w:p>
    <w:p w14:paraId="3E1E2273" w14:textId="60D85650" w:rsidR="00246B2C" w:rsidRPr="00FB7590" w:rsidRDefault="00246B2C" w:rsidP="00246B2C">
      <w:pPr>
        <w:pStyle w:val="ListParagraph"/>
        <w:numPr>
          <w:ilvl w:val="1"/>
          <w:numId w:val="16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B7590">
        <w:rPr>
          <w:rFonts w:ascii="Times New Roman" w:eastAsia="Calibri" w:hAnsi="Times New Roman" w:cs="Times New Roman"/>
          <w:color w:val="auto"/>
          <w:sz w:val="22"/>
          <w:szCs w:val="22"/>
        </w:rPr>
        <w:t>Мониторинг на изпълнението</w:t>
      </w:r>
    </w:p>
    <w:p w14:paraId="299F56F9" w14:textId="598F9290" w:rsidR="00246B2C" w:rsidRPr="00FB7590" w:rsidRDefault="00246B2C" w:rsidP="00246B2C">
      <w:pPr>
        <w:pStyle w:val="ListParagraph"/>
        <w:numPr>
          <w:ilvl w:val="1"/>
          <w:numId w:val="16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B7590">
        <w:rPr>
          <w:rFonts w:ascii="Times New Roman" w:eastAsia="Calibri" w:hAnsi="Times New Roman" w:cs="Times New Roman"/>
          <w:color w:val="auto"/>
          <w:sz w:val="22"/>
          <w:szCs w:val="22"/>
        </w:rPr>
        <w:t>Мониторинг на резултатите</w:t>
      </w:r>
    </w:p>
    <w:p w14:paraId="52F6101F" w14:textId="02AF00BB" w:rsidR="00246B2C" w:rsidRPr="00FB7590" w:rsidRDefault="00246B2C" w:rsidP="00246B2C">
      <w:pPr>
        <w:pStyle w:val="ListParagraph"/>
        <w:numPr>
          <w:ilvl w:val="1"/>
          <w:numId w:val="16"/>
        </w:numPr>
        <w:spacing w:line="23" w:lineRule="atLeast"/>
        <w:ind w:left="0"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B7590">
        <w:rPr>
          <w:rFonts w:ascii="Times New Roman" w:eastAsia="Calibri" w:hAnsi="Times New Roman" w:cs="Times New Roman"/>
          <w:color w:val="auto"/>
          <w:sz w:val="22"/>
          <w:szCs w:val="22"/>
        </w:rPr>
        <w:t>Мониторинг на целите.</w:t>
      </w:r>
    </w:p>
    <w:p w14:paraId="11634FB6" w14:textId="77777777" w:rsidR="00337C4F" w:rsidRPr="00FB7590" w:rsidRDefault="00595E3B" w:rsidP="00993CC7">
      <w:pPr>
        <w:pStyle w:val="10"/>
        <w:keepNext/>
        <w:keepLines/>
        <w:shd w:val="clear" w:color="auto" w:fill="FFF2CC" w:themeFill="accent4" w:themeFillTint="33"/>
        <w:tabs>
          <w:tab w:val="left" w:pos="877"/>
        </w:tabs>
        <w:spacing w:before="0" w:line="23" w:lineRule="atLeast"/>
        <w:ind w:firstLine="709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в)</w:t>
      </w:r>
      <w:r w:rsidRPr="00FB7590">
        <w:rPr>
          <w:color w:val="auto"/>
          <w:sz w:val="22"/>
          <w:szCs w:val="22"/>
        </w:rPr>
        <w:tab/>
        <w:t>Териториален обхват</w:t>
      </w:r>
      <w:bookmarkEnd w:id="5"/>
    </w:p>
    <w:p w14:paraId="7D8A1DA3" w14:textId="5E5A8C13" w:rsidR="0005050E" w:rsidRPr="00FB7590" w:rsidRDefault="0005050E" w:rsidP="00993CC7">
      <w:pPr>
        <w:spacing w:line="23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6" w:name="bookmark4"/>
      <w:r w:rsidRPr="00FB7590">
        <w:rPr>
          <w:rFonts w:ascii="Times New Roman" w:eastAsia="Calibri" w:hAnsi="Times New Roman" w:cs="Times New Roman"/>
          <w:color w:val="auto"/>
          <w:sz w:val="22"/>
          <w:szCs w:val="22"/>
        </w:rPr>
        <w:t>ПУРН се изготвя за територията на Западнобеломорски район за басейново управление, определен съгласно чл. 152, ал. 1, т. 4 от Закона за водите.</w:t>
      </w:r>
    </w:p>
    <w:p w14:paraId="5F3FE888" w14:textId="57B3F903" w:rsidR="008B281F" w:rsidRPr="00FB7590" w:rsidRDefault="008B281F" w:rsidP="00993CC7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firstLine="709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</w:pPr>
      <w:r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>Западнобеломорският район за басейново управление обхваща югозападните части на Република България. Площта на района е 11</w:t>
      </w:r>
      <w:r w:rsidR="000A4B3A"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>.</w:t>
      </w:r>
      <w:r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>96 km</w:t>
      </w:r>
      <w:r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  <w:vertAlign w:val="superscript"/>
        </w:rPr>
        <w:t>2</w:t>
      </w:r>
      <w:r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 xml:space="preserve"> или 10.8% от територията на страната. Административен център на района е град Благоевград. Районът обхваща всички поречия с отток към Егейско море - р. Струма, р. Места и р. Доспат.</w:t>
      </w:r>
    </w:p>
    <w:p w14:paraId="31C88233" w14:textId="77777777" w:rsidR="008B281F" w:rsidRPr="00FB7590" w:rsidRDefault="008B281F" w:rsidP="00993CC7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firstLine="709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</w:pPr>
      <w:r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>На изток ЗБР граничи с Източнобеломорски район за басейново управление, на север – с Дунавски район за басейново управление, на юг и запад границите съвпадат съответно с държавните граници на Република България с Република Гърция, Република Сърбия и Република Македония.</w:t>
      </w:r>
    </w:p>
    <w:p w14:paraId="53F08C0F" w14:textId="420A2474" w:rsidR="00F13CDC" w:rsidRPr="00FB7590" w:rsidRDefault="000A4B3A" w:rsidP="00993CC7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firstLine="709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ЗБР </w:t>
      </w:r>
      <w:r w:rsidR="00F13CDC" w:rsidRPr="00FB7590">
        <w:rPr>
          <w:rFonts w:ascii="Times New Roman" w:hAnsi="Times New Roman" w:cs="Times New Roman"/>
          <w:color w:val="auto"/>
          <w:sz w:val="22"/>
          <w:szCs w:val="22"/>
        </w:rPr>
        <w:t>включва населените места в шест области, в това число цялата територия на областите Благоевград, Перник и Кюстендил и част от областите Смолян, Пазарджик и София.</w:t>
      </w:r>
    </w:p>
    <w:p w14:paraId="6010BF5C" w14:textId="145051DF" w:rsidR="0005050E" w:rsidRPr="00FB7590" w:rsidRDefault="008B281F" w:rsidP="00993CC7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>Западнобеломорски район обхваща водосборните области на реките Струма, Места и Доспат, които са трансгранични.</w:t>
      </w:r>
    </w:p>
    <w:p w14:paraId="710FC5DF" w14:textId="77777777" w:rsidR="006C09B9" w:rsidRPr="00FB7590" w:rsidRDefault="00595E3B" w:rsidP="00993CC7">
      <w:pPr>
        <w:pStyle w:val="10"/>
        <w:keepNext/>
        <w:keepLines/>
        <w:shd w:val="clear" w:color="auto" w:fill="FFF2CC" w:themeFill="accent4" w:themeFillTint="33"/>
        <w:tabs>
          <w:tab w:val="left" w:pos="877"/>
        </w:tabs>
        <w:spacing w:before="0" w:line="23" w:lineRule="atLeast"/>
        <w:ind w:firstLine="709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г)</w:t>
      </w:r>
      <w:r w:rsidRPr="00FB7590">
        <w:rPr>
          <w:color w:val="auto"/>
          <w:sz w:val="22"/>
          <w:szCs w:val="22"/>
        </w:rPr>
        <w:tab/>
        <w:t>Засегнати елементи от Националната екологична мрежа /НЕМ/</w:t>
      </w:r>
      <w:bookmarkEnd w:id="6"/>
    </w:p>
    <w:p w14:paraId="0526FB52" w14:textId="450565AB" w:rsidR="006C09B9" w:rsidRPr="00FB7590" w:rsidRDefault="006C09B9" w:rsidP="00993CC7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firstLine="709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</w:pPr>
      <w:r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 xml:space="preserve">В териториалния обхват на </w:t>
      </w:r>
      <w:r w:rsidR="0009733A"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 xml:space="preserve">ЗБР </w:t>
      </w:r>
      <w:r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 xml:space="preserve">попадат 2 национални парка, </w:t>
      </w:r>
      <w:r w:rsidR="00A43428"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>3</w:t>
      </w:r>
      <w:r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 xml:space="preserve"> природни парка, 1</w:t>
      </w:r>
      <w:r w:rsidR="00A43428"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>5</w:t>
      </w:r>
      <w:r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 xml:space="preserve"> </w:t>
      </w:r>
      <w:r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lastRenderedPageBreak/>
        <w:t>резервата, 4 поддържани резервата, 3</w:t>
      </w:r>
      <w:r w:rsidR="00A43428"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>0</w:t>
      </w:r>
      <w:r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 xml:space="preserve"> природни забележителности и </w:t>
      </w:r>
      <w:r w:rsidR="00A43428"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>47</w:t>
      </w:r>
      <w:r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 xml:space="preserve"> защитени местности.</w:t>
      </w:r>
    </w:p>
    <w:p w14:paraId="75EC46D9" w14:textId="04CB6151" w:rsidR="00A43428" w:rsidRPr="00FB7590" w:rsidRDefault="00CD78F4" w:rsidP="00993CC7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firstLine="709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</w:pPr>
      <w:r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>Предвиден</w:t>
      </w:r>
      <w:r w:rsidR="00701619"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>а</w:t>
      </w:r>
      <w:r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 xml:space="preserve"> м</w:t>
      </w:r>
      <w:r w:rsidR="00701619"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>ярка</w:t>
      </w:r>
      <w:r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 xml:space="preserve"> към ПУРН засяга</w:t>
      </w:r>
      <w:r w:rsidR="00701619"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 xml:space="preserve"> </w:t>
      </w:r>
      <w:r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 xml:space="preserve">единствено територията на </w:t>
      </w:r>
      <w:r w:rsidR="00A43428"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>защитени местности</w:t>
      </w:r>
      <w:r w:rsidR="00701619"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 xml:space="preserve">: </w:t>
      </w:r>
      <w:r w:rsidR="0009733A"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>„</w:t>
      </w:r>
      <w:r w:rsidR="00701619" w:rsidRPr="00FB7590">
        <w:rPr>
          <w:rFonts w:ascii="Times New Roman" w:eastAsia="Times New Roman" w:hAnsi="Times New Roman" w:cs="Times New Roman"/>
          <w:color w:val="auto"/>
          <w:sz w:val="22"/>
          <w:szCs w:val="22"/>
        </w:rPr>
        <w:t>Широка поляна“, „Студената чучурка“ и „Кавал тепе“.</w:t>
      </w:r>
    </w:p>
    <w:p w14:paraId="40BB6C0D" w14:textId="77777777" w:rsidR="00701619" w:rsidRPr="00FB7590" w:rsidRDefault="00701619" w:rsidP="00993CC7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firstLine="709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</w:pPr>
    </w:p>
    <w:p w14:paraId="1398C99E" w14:textId="77777777" w:rsidR="00D20F53" w:rsidRPr="00FB7590" w:rsidRDefault="00D20F53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>В обхвата на ЗБР попадат изцяло или частично 26 защитени зони за опазване на природните местообитания и на дивата флора и фауна (съгласно Директива 92/43/ЕИО) и 20 защитени зони за опазване на дивите птици (съгласно Директива 2009/147/ЕИО) от мрежата Натура 2000.</w:t>
      </w:r>
    </w:p>
    <w:p w14:paraId="6CB24004" w14:textId="415EA27F" w:rsidR="00731D0C" w:rsidRPr="00FB7590" w:rsidRDefault="00B868D0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eastAsia="Arial Unicode MS" w:hAnsi="Times New Roman" w:cs="Times New Roman"/>
          <w:color w:val="auto"/>
          <w:sz w:val="22"/>
          <w:szCs w:val="22"/>
          <w:u w:color="000000"/>
          <w:bdr w:val="nil"/>
        </w:rPr>
        <w:t xml:space="preserve">Защитените зони, в чиито териториален обхват попадат мерки от Програмата от Мерки към ПУРН са: </w:t>
      </w:r>
      <w:r w:rsidR="00731D0C" w:rsidRPr="00FB759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ЗЗ BG0001012 „Земен”, </w:t>
      </w:r>
      <w:r w:rsidR="00731D0C" w:rsidRPr="00FB7590">
        <w:rPr>
          <w:rFonts w:ascii="Times New Roman" w:eastAsia="Times New Roman" w:hAnsi="Times New Roman" w:cs="Times New Roman"/>
          <w:color w:val="auto"/>
          <w:sz w:val="22"/>
          <w:szCs w:val="22"/>
          <w:lang w:val="en-GB"/>
        </w:rPr>
        <w:t>BG</w:t>
      </w:r>
      <w:r w:rsidR="00731D0C" w:rsidRPr="00FB759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0001013 „Скрино“, </w:t>
      </w:r>
      <w:r w:rsidR="00731D0C" w:rsidRPr="00FB7590">
        <w:rPr>
          <w:rFonts w:ascii="Times New Roman" w:eastAsia="Times New Roman" w:hAnsi="Times New Roman" w:cs="Times New Roman"/>
          <w:color w:val="auto"/>
          <w:sz w:val="22"/>
          <w:szCs w:val="22"/>
          <w:lang w:val="en-GB"/>
        </w:rPr>
        <w:t>BG</w:t>
      </w:r>
      <w:r w:rsidR="00731D0C" w:rsidRPr="00FB759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0000366 „Кресна-Илинденци“, </w:t>
      </w:r>
      <w:r w:rsidR="00731D0C" w:rsidRPr="00FB7590">
        <w:rPr>
          <w:rFonts w:ascii="Times New Roman" w:eastAsia="Times New Roman" w:hAnsi="Times New Roman" w:cs="Times New Roman"/>
          <w:color w:val="auto"/>
          <w:sz w:val="22"/>
          <w:szCs w:val="22"/>
          <w:lang w:val="en-GB"/>
        </w:rPr>
        <w:t>BG</w:t>
      </w:r>
      <w:r w:rsidR="00731D0C" w:rsidRPr="00FB759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0001028 „Среден Пирин – Али ботуш“, </w:t>
      </w:r>
      <w:r w:rsidR="00731D0C" w:rsidRPr="00FB7590">
        <w:rPr>
          <w:rFonts w:ascii="Times New Roman" w:eastAsia="Times New Roman" w:hAnsi="Times New Roman" w:cs="Times New Roman"/>
          <w:color w:val="auto"/>
          <w:sz w:val="22"/>
          <w:szCs w:val="22"/>
          <w:lang w:val="en-GB"/>
        </w:rPr>
        <w:t>BG</w:t>
      </w:r>
      <w:r w:rsidR="00731D0C" w:rsidRPr="00FB759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0002003 „Кресна“, </w:t>
      </w:r>
      <w:r w:rsidR="00731D0C" w:rsidRPr="00FB7590">
        <w:rPr>
          <w:rFonts w:ascii="Times New Roman" w:eastAsia="Times New Roman" w:hAnsi="Times New Roman" w:cs="Times New Roman"/>
          <w:color w:val="auto"/>
          <w:sz w:val="22"/>
          <w:szCs w:val="22"/>
          <w:lang w:val="en-GB"/>
        </w:rPr>
        <w:t>BG</w:t>
      </w:r>
      <w:r w:rsidR="00731D0C" w:rsidRPr="00FB759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0002098 „Рупите“ и ЗЗ </w:t>
      </w:r>
      <w:r w:rsidR="00731D0C" w:rsidRPr="00FB7590">
        <w:rPr>
          <w:rFonts w:ascii="Times New Roman" w:eastAsia="Times New Roman" w:hAnsi="Times New Roman" w:cs="Times New Roman"/>
          <w:color w:val="auto"/>
          <w:sz w:val="22"/>
          <w:szCs w:val="22"/>
          <w:lang w:val="en-GB"/>
        </w:rPr>
        <w:t>BG</w:t>
      </w:r>
      <w:r w:rsidR="00731D0C" w:rsidRPr="00FB7590">
        <w:rPr>
          <w:rFonts w:ascii="Times New Roman" w:eastAsia="Times New Roman" w:hAnsi="Times New Roman" w:cs="Times New Roman"/>
          <w:color w:val="auto"/>
          <w:sz w:val="22"/>
          <w:szCs w:val="22"/>
        </w:rPr>
        <w:t>0000209 „Пирин“</w:t>
      </w:r>
    </w:p>
    <w:p w14:paraId="398E9AAC" w14:textId="36481379" w:rsidR="006C09B9" w:rsidRPr="00FB7590" w:rsidRDefault="00B868D0" w:rsidP="00993CC7">
      <w:pPr>
        <w:pBdr>
          <w:top w:val="nil"/>
          <w:left w:val="nil"/>
          <w:bottom w:val="nil"/>
          <w:right w:val="nil"/>
          <w:between w:val="nil"/>
          <w:bar w:val="nil"/>
        </w:pBd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>К</w:t>
      </w:r>
      <w:r w:rsidR="00427EC3"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ато </w:t>
      </w: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самостоятелно </w:t>
      </w:r>
      <w:r w:rsidR="00427EC3"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приложение към </w:t>
      </w:r>
      <w:r w:rsidRPr="00FB7590">
        <w:rPr>
          <w:rFonts w:ascii="Times New Roman" w:hAnsi="Times New Roman" w:cs="Times New Roman"/>
          <w:color w:val="auto"/>
          <w:sz w:val="22"/>
          <w:szCs w:val="22"/>
        </w:rPr>
        <w:t>Д</w:t>
      </w:r>
      <w:r w:rsidR="00427EC3"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оклада за екологична оценка е изготвен Доклад за оценка на степента </w:t>
      </w:r>
      <w:r w:rsidR="00534DB9" w:rsidRPr="00FB7590">
        <w:rPr>
          <w:rFonts w:ascii="Times New Roman" w:hAnsi="Times New Roman" w:cs="Times New Roman"/>
          <w:color w:val="auto"/>
          <w:sz w:val="22"/>
          <w:szCs w:val="22"/>
        </w:rPr>
        <w:t>на въздействие на проекта на ПУРН</w:t>
      </w:r>
      <w:r w:rsidR="00427EC3"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 върху пре</w:t>
      </w:r>
      <w:r w:rsidR="00534DB9" w:rsidRPr="00FB7590">
        <w:rPr>
          <w:rFonts w:ascii="Times New Roman" w:hAnsi="Times New Roman" w:cs="Times New Roman"/>
          <w:color w:val="auto"/>
          <w:sz w:val="22"/>
          <w:szCs w:val="22"/>
        </w:rPr>
        <w:t>дмета и целите на защитените зони</w:t>
      </w:r>
      <w:r w:rsidR="00427EC3"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ED09300" w14:textId="77777777" w:rsidR="00E524B6" w:rsidRPr="00FB7590" w:rsidRDefault="00E524B6" w:rsidP="00993CC7">
      <w:pPr>
        <w:pStyle w:val="10"/>
        <w:keepNext/>
        <w:keepLines/>
        <w:shd w:val="clear" w:color="auto" w:fill="FFF2CC" w:themeFill="accent4" w:themeFillTint="33"/>
        <w:tabs>
          <w:tab w:val="left" w:pos="877"/>
        </w:tabs>
        <w:spacing w:before="0" w:line="23" w:lineRule="atLeast"/>
        <w:ind w:firstLine="709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д)</w:t>
      </w:r>
      <w:r w:rsidRPr="00FB7590">
        <w:rPr>
          <w:color w:val="auto"/>
          <w:sz w:val="22"/>
          <w:szCs w:val="22"/>
        </w:rPr>
        <w:tab/>
        <w:t>Основни цели на плана</w:t>
      </w:r>
    </w:p>
    <w:p w14:paraId="2441E934" w14:textId="1626AE49" w:rsidR="00A32F7F" w:rsidRPr="00FB7590" w:rsidRDefault="00A32F7F" w:rsidP="00993CC7">
      <w:pPr>
        <w:spacing w:line="23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B7590">
        <w:rPr>
          <w:rFonts w:ascii="Times New Roman" w:eastAsia="Calibri" w:hAnsi="Times New Roman" w:cs="Times New Roman"/>
          <w:color w:val="auto"/>
          <w:sz w:val="22"/>
          <w:szCs w:val="22"/>
        </w:rPr>
        <w:t>ПУРН определя рамката за управление на риска от наводнения и намаляване на потенциалните последствия и негативните въздействия от наводненията на територията на Западнобеломорски район, като взема предвид и ползите и въздействията върху широк спектър от сектори, включително човешкото здраве, околната среда, културното наследство и стопанска дейност.</w:t>
      </w:r>
    </w:p>
    <w:p w14:paraId="7FBA2C49" w14:textId="63F63734" w:rsidR="00A32F7F" w:rsidRPr="00FB7590" w:rsidRDefault="00A32F7F" w:rsidP="00993CC7">
      <w:pPr>
        <w:spacing w:line="23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FB759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Планът съдържа 24 цели, отнесени към 5 приоритета, както следва:</w:t>
      </w:r>
    </w:p>
    <w:p w14:paraId="532DDE15" w14:textId="33C326D1" w:rsidR="00A32F7F" w:rsidRPr="00FB7590" w:rsidRDefault="00BB2943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B759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Приоритет 1: </w:t>
      </w:r>
      <w:r w:rsidR="00130C55" w:rsidRPr="00FB7590">
        <w:rPr>
          <w:rFonts w:ascii="Times New Roman" w:hAnsi="Times New Roman" w:cs="Times New Roman"/>
          <w:b/>
          <w:bCs/>
          <w:color w:val="auto"/>
          <w:sz w:val="22"/>
          <w:szCs w:val="22"/>
        </w:rPr>
        <w:t>Опазване на човешкото здраве (минимизиране на броя на засегнатите хора)</w:t>
      </w:r>
    </w:p>
    <w:p w14:paraId="3AB2D7B1" w14:textId="4C8A2DC0" w:rsidR="00130C55" w:rsidRPr="00FB7590" w:rsidRDefault="0095680E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Цел 1.1: </w:t>
      </w:r>
      <w:r w:rsidRPr="00FB7590">
        <w:rPr>
          <w:rFonts w:ascii="Times New Roman" w:hAnsi="Times New Roman" w:cs="Times New Roman"/>
          <w:color w:val="auto"/>
          <w:sz w:val="22"/>
          <w:szCs w:val="22"/>
        </w:rPr>
        <w:t>Минимизиране на броя на засегнатите и пострадали хора при наводнения</w:t>
      </w:r>
    </w:p>
    <w:p w14:paraId="1A34933D" w14:textId="7877FBD9" w:rsidR="0095680E" w:rsidRPr="00FB7590" w:rsidRDefault="0095680E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Цел 1.2: </w:t>
      </w:r>
      <w:r w:rsidR="006826E2" w:rsidRPr="00FB7590">
        <w:rPr>
          <w:rFonts w:ascii="Times New Roman" w:hAnsi="Times New Roman" w:cs="Times New Roman"/>
          <w:color w:val="auto"/>
          <w:sz w:val="22"/>
          <w:szCs w:val="22"/>
        </w:rPr>
        <w:t>Осигуряване на бързото отвеждане на водите при интензивни валежи и наводнения от урбанизираните територии</w:t>
      </w:r>
    </w:p>
    <w:p w14:paraId="2CCC7DE0" w14:textId="2037FA40" w:rsidR="002A09B8" w:rsidRPr="00FB7590" w:rsidRDefault="006826E2" w:rsidP="00993CC7">
      <w:pPr>
        <w:spacing w:line="23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Цел 1.3: </w:t>
      </w:r>
      <w:r w:rsidR="002A09B8" w:rsidRPr="00FB7590">
        <w:rPr>
          <w:rFonts w:ascii="Times New Roman" w:hAnsi="Times New Roman" w:cs="Times New Roman"/>
          <w:color w:val="auto"/>
          <w:sz w:val="22"/>
          <w:szCs w:val="22"/>
        </w:rPr>
        <w:t>Възстановяване на нормалните условия за живот</w:t>
      </w:r>
    </w:p>
    <w:p w14:paraId="259745BA" w14:textId="36800D86" w:rsidR="006826E2" w:rsidRPr="00FB7590" w:rsidRDefault="002A09B8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B759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Приоритет 2: </w:t>
      </w:r>
      <w:r w:rsidR="00A047BC" w:rsidRPr="00FB7590">
        <w:rPr>
          <w:rFonts w:ascii="Times New Roman" w:hAnsi="Times New Roman" w:cs="Times New Roman"/>
          <w:b/>
          <w:bCs/>
          <w:color w:val="auto"/>
          <w:sz w:val="22"/>
          <w:szCs w:val="22"/>
        </w:rPr>
        <w:t>Защита на средата на обитаване и културното наследство</w:t>
      </w:r>
    </w:p>
    <w:p w14:paraId="1C2B154C" w14:textId="78A7BA86" w:rsidR="00A7792D" w:rsidRPr="00FB7590" w:rsidRDefault="00A047BC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Цел 2.1: </w:t>
      </w:r>
      <w:r w:rsidR="00A7792D" w:rsidRPr="00FB7590">
        <w:rPr>
          <w:rFonts w:ascii="Times New Roman" w:hAnsi="Times New Roman" w:cs="Times New Roman"/>
          <w:color w:val="auto"/>
          <w:sz w:val="22"/>
          <w:szCs w:val="22"/>
        </w:rPr>
        <w:t>Минимизиране на броя на жилищните имоти, засегнати от наводнения</w:t>
      </w:r>
    </w:p>
    <w:p w14:paraId="32A17B22" w14:textId="350B71EA" w:rsidR="00A7792D" w:rsidRPr="00FB7590" w:rsidRDefault="00A7792D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Цел 2.2: </w:t>
      </w:r>
      <w:r w:rsidR="00094B6F" w:rsidRPr="00FB7590">
        <w:rPr>
          <w:rFonts w:ascii="Times New Roman" w:hAnsi="Times New Roman" w:cs="Times New Roman"/>
          <w:color w:val="auto"/>
          <w:sz w:val="22"/>
          <w:szCs w:val="22"/>
        </w:rPr>
        <w:t>Минимизиране на броя на обектите от социалната инфраструктура, засегнати от наводнения</w:t>
      </w:r>
    </w:p>
    <w:p w14:paraId="60721E5A" w14:textId="65A38508" w:rsidR="00094B6F" w:rsidRPr="00FB7590" w:rsidRDefault="00094B6F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Цел 2.3: </w:t>
      </w:r>
      <w:r w:rsidR="0060645B" w:rsidRPr="00FB7590">
        <w:rPr>
          <w:rFonts w:ascii="Times New Roman" w:hAnsi="Times New Roman" w:cs="Times New Roman"/>
          <w:color w:val="auto"/>
          <w:sz w:val="22"/>
          <w:szCs w:val="22"/>
        </w:rPr>
        <w:t>Подобряване на защитата на обекти от стопанската, техническата и критичната инфраструктура, включително транспорт и комунални услуги, срещу наводнения</w:t>
      </w:r>
    </w:p>
    <w:p w14:paraId="517A64EF" w14:textId="222C54F0" w:rsidR="00605AF2" w:rsidRPr="00FB7590" w:rsidRDefault="0060645B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Цел 2.4: </w:t>
      </w:r>
      <w:r w:rsidR="00605AF2" w:rsidRPr="00FB7590">
        <w:rPr>
          <w:rFonts w:ascii="Times New Roman" w:hAnsi="Times New Roman" w:cs="Times New Roman"/>
          <w:color w:val="auto"/>
          <w:sz w:val="22"/>
          <w:szCs w:val="22"/>
        </w:rPr>
        <w:t>Подобряване на защитата на значими културно-исторически обекти</w:t>
      </w:r>
    </w:p>
    <w:p w14:paraId="378BCCEA" w14:textId="2142B29B" w:rsidR="0060645B" w:rsidRPr="00FB7590" w:rsidRDefault="00605AF2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B759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Приоритет 3: </w:t>
      </w:r>
      <w:r w:rsidR="00487CE4" w:rsidRPr="00FB7590">
        <w:rPr>
          <w:rFonts w:ascii="Times New Roman" w:hAnsi="Times New Roman" w:cs="Times New Roman"/>
          <w:b/>
          <w:bCs/>
          <w:color w:val="auto"/>
          <w:sz w:val="22"/>
          <w:szCs w:val="22"/>
        </w:rPr>
        <w:t>Подобряване на защитата на околната среда</w:t>
      </w:r>
    </w:p>
    <w:p w14:paraId="786CCA94" w14:textId="376429BF" w:rsidR="00F81E95" w:rsidRPr="00FB7590" w:rsidRDefault="00487CE4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Цел 3.1: </w:t>
      </w:r>
      <w:r w:rsidR="00F81E95" w:rsidRPr="00FB7590">
        <w:rPr>
          <w:rFonts w:ascii="Times New Roman" w:hAnsi="Times New Roman" w:cs="Times New Roman"/>
          <w:color w:val="auto"/>
          <w:sz w:val="22"/>
          <w:szCs w:val="22"/>
        </w:rPr>
        <w:t>Подобряване на защитата на канализационните системи</w:t>
      </w:r>
    </w:p>
    <w:p w14:paraId="04291EBA" w14:textId="0FBF3100" w:rsidR="00487CE4" w:rsidRPr="00FB7590" w:rsidRDefault="00F81E95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Цел 3.2: </w:t>
      </w:r>
      <w:r w:rsidR="004F0F91" w:rsidRPr="00FB7590">
        <w:rPr>
          <w:rFonts w:ascii="Times New Roman" w:hAnsi="Times New Roman" w:cs="Times New Roman"/>
          <w:color w:val="auto"/>
          <w:sz w:val="22"/>
          <w:szCs w:val="22"/>
        </w:rPr>
        <w:t>Подобряване на защитата на промишлените обекти (основно IPPC и SEVESO обекти)</w:t>
      </w:r>
    </w:p>
    <w:p w14:paraId="19C01C01" w14:textId="45B3183C" w:rsidR="004F0F91" w:rsidRPr="00FB7590" w:rsidRDefault="004F0F91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Цел 3.3: </w:t>
      </w:r>
      <w:r w:rsidR="001C1C9E" w:rsidRPr="00FB7590">
        <w:rPr>
          <w:rFonts w:ascii="Times New Roman" w:hAnsi="Times New Roman" w:cs="Times New Roman"/>
          <w:color w:val="auto"/>
          <w:sz w:val="22"/>
          <w:szCs w:val="22"/>
        </w:rPr>
        <w:t>Минимизиране на засегнатите зони за защита на водите, защитени територии и защитени зони</w:t>
      </w:r>
    </w:p>
    <w:p w14:paraId="71BC839B" w14:textId="271E94A2" w:rsidR="001C1C9E" w:rsidRPr="00FB7590" w:rsidRDefault="001C1C9E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Цел 3.4: </w:t>
      </w:r>
      <w:r w:rsidR="00FC74C7" w:rsidRPr="00FB7590">
        <w:rPr>
          <w:rFonts w:ascii="Times New Roman" w:hAnsi="Times New Roman" w:cs="Times New Roman"/>
          <w:color w:val="auto"/>
          <w:sz w:val="22"/>
          <w:szCs w:val="22"/>
        </w:rPr>
        <w:t>Подобряване на водозадържащата способност на земеделски, горски и крайречни територии</w:t>
      </w:r>
    </w:p>
    <w:p w14:paraId="76421B99" w14:textId="5581E8D2" w:rsidR="00FC74C7" w:rsidRPr="00FB7590" w:rsidRDefault="00FC74C7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Цел 3.5: </w:t>
      </w:r>
      <w:r w:rsidR="007F3C5F" w:rsidRPr="00FB7590">
        <w:rPr>
          <w:rFonts w:ascii="Times New Roman" w:hAnsi="Times New Roman" w:cs="Times New Roman"/>
          <w:color w:val="auto"/>
          <w:sz w:val="22"/>
          <w:szCs w:val="22"/>
        </w:rPr>
        <w:t>Намаляване на загубата на почва във водосборите</w:t>
      </w:r>
    </w:p>
    <w:p w14:paraId="7ECC23AB" w14:textId="76534661" w:rsidR="007E7A4B" w:rsidRPr="00FB7590" w:rsidRDefault="007F3C5F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Цел 3.6: </w:t>
      </w:r>
      <w:r w:rsidR="007E7A4B" w:rsidRPr="00FB7590">
        <w:rPr>
          <w:rFonts w:ascii="Times New Roman" w:hAnsi="Times New Roman" w:cs="Times New Roman"/>
          <w:color w:val="auto"/>
          <w:sz w:val="22"/>
          <w:szCs w:val="22"/>
        </w:rPr>
        <w:t>Подобряване на синергията между мерките за управление на наводненията и Рамковата директива за водите (РДВ)</w:t>
      </w:r>
    </w:p>
    <w:p w14:paraId="4F3BF366" w14:textId="0C5521CC" w:rsidR="007F3C5F" w:rsidRPr="00FB7590" w:rsidRDefault="007E7A4B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B759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Приоритет 4: </w:t>
      </w:r>
      <w:r w:rsidR="0040171E" w:rsidRPr="00FB7590">
        <w:rPr>
          <w:rFonts w:ascii="Times New Roman" w:hAnsi="Times New Roman" w:cs="Times New Roman"/>
          <w:b/>
          <w:bCs/>
          <w:color w:val="auto"/>
          <w:sz w:val="22"/>
          <w:szCs w:val="22"/>
        </w:rPr>
        <w:t>Подобряване на осведомеността, подготвеността и реакцията на населението</w:t>
      </w:r>
    </w:p>
    <w:p w14:paraId="0B287FE8" w14:textId="792AD029" w:rsidR="0040171E" w:rsidRPr="00FB7590" w:rsidRDefault="0040171E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Цел 4.1: </w:t>
      </w:r>
      <w:r w:rsidR="005867AB" w:rsidRPr="00FB7590">
        <w:rPr>
          <w:rFonts w:ascii="Times New Roman" w:hAnsi="Times New Roman" w:cs="Times New Roman"/>
          <w:color w:val="auto"/>
          <w:sz w:val="22"/>
          <w:szCs w:val="22"/>
        </w:rPr>
        <w:t>Повишаване на осведомеността и подготвеността на населението за наводнения</w:t>
      </w:r>
    </w:p>
    <w:p w14:paraId="3D0C05BD" w14:textId="375C4E31" w:rsidR="00D640A1" w:rsidRPr="00FB7590" w:rsidRDefault="005867AB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Цел 4.2: </w:t>
      </w:r>
      <w:r w:rsidR="00D640A1" w:rsidRPr="00FB7590">
        <w:rPr>
          <w:rFonts w:ascii="Times New Roman" w:hAnsi="Times New Roman" w:cs="Times New Roman"/>
          <w:color w:val="auto"/>
          <w:sz w:val="22"/>
          <w:szCs w:val="22"/>
        </w:rPr>
        <w:t>Подобряване на реакцията на населението при наводнения</w:t>
      </w:r>
    </w:p>
    <w:p w14:paraId="40A246CF" w14:textId="74F2F154" w:rsidR="00D640A1" w:rsidRPr="00FB7590" w:rsidRDefault="00D640A1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Цел 4.3: </w:t>
      </w:r>
      <w:r w:rsidR="00631C3F" w:rsidRPr="00FB7590">
        <w:rPr>
          <w:rFonts w:ascii="Times New Roman" w:hAnsi="Times New Roman" w:cs="Times New Roman"/>
          <w:color w:val="auto"/>
          <w:sz w:val="22"/>
          <w:szCs w:val="22"/>
        </w:rPr>
        <w:t>Издаване на предупреждения за наводнения за районите, засегнати от речни, дъждовни и крайбрежни наводнения</w:t>
      </w:r>
    </w:p>
    <w:p w14:paraId="1F5F7F9E" w14:textId="6BFE9123" w:rsidR="00631C3F" w:rsidRPr="00FB7590" w:rsidRDefault="00631C3F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Приоритет 5: </w:t>
      </w:r>
      <w:r w:rsidR="00F176C1" w:rsidRPr="00FB7590">
        <w:rPr>
          <w:rFonts w:ascii="Times New Roman" w:hAnsi="Times New Roman" w:cs="Times New Roman"/>
          <w:b/>
          <w:bCs/>
          <w:color w:val="auto"/>
          <w:sz w:val="22"/>
          <w:szCs w:val="22"/>
        </w:rPr>
        <w:t>Административен капацитет, солидарност, данни и информация, бъдещи рискове, финансиране и ресурси</w:t>
      </w:r>
    </w:p>
    <w:p w14:paraId="2A877F52" w14:textId="3CE5E8EB" w:rsidR="00F176C1" w:rsidRPr="00FB7590" w:rsidRDefault="00F176C1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Цел 5.1: </w:t>
      </w:r>
      <w:r w:rsidR="006467C2"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Създаване на съвременна нормативна уредба за устройственото планиране на </w:t>
      </w:r>
      <w:r w:rsidR="006467C2" w:rsidRPr="00FB7590">
        <w:rPr>
          <w:rFonts w:ascii="Times New Roman" w:hAnsi="Times New Roman" w:cs="Times New Roman"/>
          <w:color w:val="auto"/>
          <w:sz w:val="22"/>
          <w:szCs w:val="22"/>
        </w:rPr>
        <w:lastRenderedPageBreak/>
        <w:t>териториите и управление на наводнения</w:t>
      </w:r>
    </w:p>
    <w:p w14:paraId="2A1047D3" w14:textId="50BFFACD" w:rsidR="001C051B" w:rsidRPr="00FB7590" w:rsidRDefault="006467C2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Цел 5.2: </w:t>
      </w:r>
      <w:r w:rsidR="001C051B" w:rsidRPr="00FB7590">
        <w:rPr>
          <w:rFonts w:ascii="Times New Roman" w:hAnsi="Times New Roman" w:cs="Times New Roman"/>
          <w:color w:val="auto"/>
          <w:sz w:val="22"/>
          <w:szCs w:val="22"/>
        </w:rPr>
        <w:t>Прилагане на принципа на солидарност</w:t>
      </w:r>
    </w:p>
    <w:p w14:paraId="1C41C794" w14:textId="0F6BA18B" w:rsidR="001C051B" w:rsidRPr="00FB7590" w:rsidRDefault="001C051B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Цел 5.3: </w:t>
      </w:r>
      <w:r w:rsidR="006C34F1" w:rsidRPr="00FB7590">
        <w:rPr>
          <w:rFonts w:ascii="Times New Roman" w:hAnsi="Times New Roman" w:cs="Times New Roman"/>
          <w:color w:val="auto"/>
          <w:sz w:val="22"/>
          <w:szCs w:val="22"/>
        </w:rPr>
        <w:t>Избягване на нови рискове</w:t>
      </w:r>
    </w:p>
    <w:p w14:paraId="5E00A12F" w14:textId="5EA16254" w:rsidR="009F6005" w:rsidRPr="00FB7590" w:rsidRDefault="006C34F1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Цел 5.4: </w:t>
      </w:r>
      <w:r w:rsidR="009F6005" w:rsidRPr="00FB7590">
        <w:rPr>
          <w:rFonts w:ascii="Times New Roman" w:hAnsi="Times New Roman" w:cs="Times New Roman"/>
          <w:color w:val="auto"/>
          <w:sz w:val="22"/>
          <w:szCs w:val="22"/>
        </w:rPr>
        <w:t>Повишаване на квалификацията на персонала, ангажиран с управление на наводненията</w:t>
      </w:r>
    </w:p>
    <w:p w14:paraId="4AE28CE7" w14:textId="7AEAA475" w:rsidR="009F6005" w:rsidRPr="00FB7590" w:rsidRDefault="009F6005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Цел 5.5: </w:t>
      </w:r>
      <w:r w:rsidR="00F644A4" w:rsidRPr="00FB7590">
        <w:rPr>
          <w:rFonts w:ascii="Times New Roman" w:hAnsi="Times New Roman" w:cs="Times New Roman"/>
          <w:color w:val="auto"/>
          <w:sz w:val="22"/>
          <w:szCs w:val="22"/>
        </w:rPr>
        <w:t>Осигуряване на оперативна информация за управление на наводненията, включително инфраструктура</w:t>
      </w:r>
    </w:p>
    <w:p w14:paraId="039B6FEA" w14:textId="703FABB3" w:rsidR="00F644A4" w:rsidRPr="00FB7590" w:rsidRDefault="00F644A4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Цел 5.6: </w:t>
      </w:r>
      <w:r w:rsidR="00881DD4" w:rsidRPr="00FB7590">
        <w:rPr>
          <w:rFonts w:ascii="Times New Roman" w:hAnsi="Times New Roman" w:cs="Times New Roman"/>
          <w:color w:val="auto"/>
          <w:sz w:val="22"/>
          <w:szCs w:val="22"/>
        </w:rPr>
        <w:t>Осигуряване адекватно реагиране на публичните институции и другите заинтересовани страни при наводнения</w:t>
      </w:r>
    </w:p>
    <w:p w14:paraId="195C211B" w14:textId="4BBD5A45" w:rsidR="00881DD4" w:rsidRPr="00FB7590" w:rsidRDefault="00881DD4" w:rsidP="00993CC7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Цел 5.7: </w:t>
      </w:r>
      <w:r w:rsidR="00514D04" w:rsidRPr="00FB7590">
        <w:rPr>
          <w:rFonts w:ascii="Times New Roman" w:hAnsi="Times New Roman" w:cs="Times New Roman"/>
          <w:color w:val="auto"/>
          <w:sz w:val="22"/>
          <w:szCs w:val="22"/>
        </w:rPr>
        <w:t>Осигуряване на адекватно финансиране за Програмата от мерки</w:t>
      </w:r>
    </w:p>
    <w:p w14:paraId="1D367D37" w14:textId="2C145518" w:rsidR="00514D04" w:rsidRPr="00FB7590" w:rsidRDefault="00514D04" w:rsidP="00993CC7">
      <w:pPr>
        <w:spacing w:line="23" w:lineRule="atLeast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Цел 5.8: </w:t>
      </w:r>
      <w:r w:rsidR="00592F9F" w:rsidRPr="00FB7590">
        <w:rPr>
          <w:rFonts w:ascii="Times New Roman" w:hAnsi="Times New Roman" w:cs="Times New Roman"/>
          <w:color w:val="auto"/>
          <w:sz w:val="22"/>
          <w:szCs w:val="22"/>
        </w:rPr>
        <w:t>Разработка на адекватни ресурси, включително публични и частни организации.</w:t>
      </w:r>
    </w:p>
    <w:p w14:paraId="1511E706" w14:textId="77777777" w:rsidR="00337C4F" w:rsidRPr="00FB7590" w:rsidRDefault="00E524B6" w:rsidP="00993CC7">
      <w:pPr>
        <w:pStyle w:val="10"/>
        <w:keepNext/>
        <w:keepLines/>
        <w:shd w:val="clear" w:color="auto" w:fill="FFF2CC" w:themeFill="accent4" w:themeFillTint="33"/>
        <w:tabs>
          <w:tab w:val="left" w:pos="877"/>
        </w:tabs>
        <w:spacing w:before="0" w:line="23" w:lineRule="atLeast"/>
        <w:ind w:firstLine="709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е)</w:t>
      </w:r>
      <w:r w:rsidRPr="00FB7590">
        <w:rPr>
          <w:color w:val="auto"/>
          <w:sz w:val="22"/>
          <w:szCs w:val="22"/>
        </w:rPr>
        <w:tab/>
      </w:r>
      <w:r w:rsidR="00595E3B" w:rsidRPr="00FB7590">
        <w:rPr>
          <w:color w:val="auto"/>
          <w:sz w:val="22"/>
          <w:szCs w:val="22"/>
        </w:rPr>
        <w:t>Финансиране на плана</w:t>
      </w:r>
    </w:p>
    <w:p w14:paraId="40A6D886" w14:textId="04776490" w:rsidR="0058466F" w:rsidRPr="00FB7590" w:rsidRDefault="0058466F" w:rsidP="00993CC7">
      <w:pPr>
        <w:pStyle w:val="20"/>
        <w:spacing w:before="0" w:after="0" w:line="23" w:lineRule="atLeast"/>
        <w:ind w:firstLine="709"/>
        <w:jc w:val="both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Разработването на п</w:t>
      </w:r>
      <w:r w:rsidR="007A35BF" w:rsidRPr="00FB7590">
        <w:rPr>
          <w:color w:val="auto"/>
          <w:sz w:val="22"/>
          <w:szCs w:val="22"/>
        </w:rPr>
        <w:t>роект</w:t>
      </w:r>
      <w:r w:rsidRPr="00FB7590">
        <w:rPr>
          <w:color w:val="auto"/>
          <w:sz w:val="22"/>
          <w:szCs w:val="22"/>
        </w:rPr>
        <w:t>а</w:t>
      </w:r>
      <w:r w:rsidR="007A35BF" w:rsidRPr="00FB7590">
        <w:rPr>
          <w:color w:val="auto"/>
          <w:sz w:val="22"/>
          <w:szCs w:val="22"/>
        </w:rPr>
        <w:t xml:space="preserve"> на </w:t>
      </w:r>
      <w:r w:rsidRPr="00FB7590">
        <w:rPr>
          <w:color w:val="auto"/>
          <w:sz w:val="22"/>
          <w:szCs w:val="22"/>
        </w:rPr>
        <w:t xml:space="preserve">ПУРН за ЗБР 2022-2027 г. е финансирано </w:t>
      </w:r>
      <w:r w:rsidR="00F9712F" w:rsidRPr="00FB7590">
        <w:rPr>
          <w:color w:val="auto"/>
          <w:sz w:val="22"/>
          <w:szCs w:val="22"/>
        </w:rPr>
        <w:t xml:space="preserve">посредством </w:t>
      </w:r>
      <w:r w:rsidR="001247E1" w:rsidRPr="00FB7590">
        <w:rPr>
          <w:color w:val="auto"/>
          <w:sz w:val="22"/>
          <w:szCs w:val="22"/>
        </w:rPr>
        <w:t xml:space="preserve">Оперативна програма „Околна среда 2014-2020 г.“, в рамките на проект: </w:t>
      </w:r>
      <w:r w:rsidR="001247E1" w:rsidRPr="00FB7590">
        <w:rPr>
          <w:color w:val="auto"/>
          <w:sz w:val="22"/>
          <w:szCs w:val="22"/>
          <w:lang w:val="en-GB"/>
        </w:rPr>
        <w:t>BG</w:t>
      </w:r>
      <w:r w:rsidR="00F6261B" w:rsidRPr="00FB7590">
        <w:rPr>
          <w:color w:val="auto"/>
          <w:sz w:val="22"/>
          <w:szCs w:val="22"/>
          <w:lang w:val="en-GB"/>
        </w:rPr>
        <w:t xml:space="preserve">16M1OP002-4.005-0001 </w:t>
      </w:r>
      <w:r w:rsidR="00F6261B" w:rsidRPr="00FB7590">
        <w:rPr>
          <w:color w:val="auto"/>
          <w:sz w:val="22"/>
          <w:szCs w:val="22"/>
        </w:rPr>
        <w:t>„ПУРН – втори цикъл 2022-2027 г.“</w:t>
      </w:r>
    </w:p>
    <w:p w14:paraId="108565C6" w14:textId="2C7E9F2E" w:rsidR="007A35BF" w:rsidRPr="00FB7590" w:rsidRDefault="007A35BF" w:rsidP="00993CC7">
      <w:pPr>
        <w:pStyle w:val="20"/>
        <w:shd w:val="clear" w:color="auto" w:fill="auto"/>
        <w:spacing w:before="0" w:after="0" w:line="23" w:lineRule="atLeast"/>
        <w:ind w:firstLine="709"/>
        <w:jc w:val="both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Потенциалните източници за финансиране на мерките в ПУРН включват държавен бюджет; общински бюджети;</w:t>
      </w:r>
      <w:r w:rsidR="00322A27" w:rsidRPr="00FB7590">
        <w:rPr>
          <w:color w:val="auto"/>
          <w:sz w:val="22"/>
          <w:szCs w:val="22"/>
        </w:rPr>
        <w:t xml:space="preserve"> европейски структурни и инвестиционни фондове, като </w:t>
      </w:r>
      <w:r w:rsidR="0062248E" w:rsidRPr="00FB7590">
        <w:rPr>
          <w:color w:val="auto"/>
          <w:sz w:val="22"/>
          <w:szCs w:val="22"/>
        </w:rPr>
        <w:t>Механизм</w:t>
      </w:r>
      <w:r w:rsidR="005E4A41" w:rsidRPr="00FB7590">
        <w:rPr>
          <w:color w:val="auto"/>
          <w:sz w:val="22"/>
          <w:szCs w:val="22"/>
        </w:rPr>
        <w:t>а</w:t>
      </w:r>
      <w:r w:rsidR="0062248E" w:rsidRPr="00FB7590">
        <w:rPr>
          <w:color w:val="auto"/>
          <w:sz w:val="22"/>
          <w:szCs w:val="22"/>
        </w:rPr>
        <w:t xml:space="preserve"> за възстановяване и устойчивост (</w:t>
      </w:r>
      <w:r w:rsidR="00322A27" w:rsidRPr="00FB7590">
        <w:rPr>
          <w:color w:val="auto"/>
          <w:sz w:val="22"/>
          <w:szCs w:val="22"/>
        </w:rPr>
        <w:t>МВУ</w:t>
      </w:r>
      <w:r w:rsidR="0062248E" w:rsidRPr="00FB7590">
        <w:rPr>
          <w:color w:val="auto"/>
          <w:sz w:val="22"/>
          <w:szCs w:val="22"/>
        </w:rPr>
        <w:t>)</w:t>
      </w:r>
      <w:r w:rsidR="00322A27" w:rsidRPr="00FB7590">
        <w:rPr>
          <w:color w:val="auto"/>
          <w:sz w:val="22"/>
          <w:szCs w:val="22"/>
        </w:rPr>
        <w:t xml:space="preserve">, </w:t>
      </w:r>
      <w:r w:rsidR="0062248E" w:rsidRPr="00FB7590">
        <w:rPr>
          <w:color w:val="auto"/>
          <w:sz w:val="22"/>
          <w:szCs w:val="22"/>
        </w:rPr>
        <w:t>Кохезионния фонд (</w:t>
      </w:r>
      <w:r w:rsidR="00322A27" w:rsidRPr="00FB7590">
        <w:rPr>
          <w:color w:val="auto"/>
          <w:sz w:val="22"/>
          <w:szCs w:val="22"/>
        </w:rPr>
        <w:t>КФ</w:t>
      </w:r>
      <w:r w:rsidR="0062248E" w:rsidRPr="00FB7590">
        <w:rPr>
          <w:color w:val="auto"/>
          <w:sz w:val="22"/>
          <w:szCs w:val="22"/>
        </w:rPr>
        <w:t>)</w:t>
      </w:r>
      <w:r w:rsidR="003F24C6" w:rsidRPr="00FB7590">
        <w:rPr>
          <w:color w:val="auto"/>
          <w:sz w:val="22"/>
          <w:szCs w:val="22"/>
        </w:rPr>
        <w:t xml:space="preserve">, </w:t>
      </w:r>
      <w:r w:rsidR="0062248E" w:rsidRPr="00FB7590">
        <w:rPr>
          <w:color w:val="auto"/>
          <w:sz w:val="22"/>
          <w:szCs w:val="22"/>
        </w:rPr>
        <w:t>Европейския фонд за регионално развитие (</w:t>
      </w:r>
      <w:r w:rsidR="003F24C6" w:rsidRPr="00FB7590">
        <w:rPr>
          <w:color w:val="auto"/>
          <w:sz w:val="22"/>
          <w:szCs w:val="22"/>
        </w:rPr>
        <w:t>ЕФРР</w:t>
      </w:r>
      <w:r w:rsidR="0062248E" w:rsidRPr="00FB7590">
        <w:rPr>
          <w:color w:val="auto"/>
          <w:sz w:val="22"/>
          <w:szCs w:val="22"/>
        </w:rPr>
        <w:t>)</w:t>
      </w:r>
      <w:r w:rsidR="003F24C6" w:rsidRPr="00FB7590">
        <w:rPr>
          <w:color w:val="auto"/>
          <w:sz w:val="22"/>
          <w:szCs w:val="22"/>
        </w:rPr>
        <w:t xml:space="preserve">, </w:t>
      </w:r>
      <w:r w:rsidR="008F15FB" w:rsidRPr="00FB7590">
        <w:rPr>
          <w:color w:val="auto"/>
          <w:sz w:val="22"/>
          <w:szCs w:val="22"/>
        </w:rPr>
        <w:t>Европейскип социален фонд плюс (</w:t>
      </w:r>
      <w:r w:rsidR="003F24C6" w:rsidRPr="00FB7590">
        <w:rPr>
          <w:color w:val="auto"/>
          <w:sz w:val="22"/>
          <w:szCs w:val="22"/>
        </w:rPr>
        <w:t>ЕСФ+</w:t>
      </w:r>
      <w:r w:rsidR="008F15FB" w:rsidRPr="00FB7590">
        <w:rPr>
          <w:color w:val="auto"/>
          <w:sz w:val="22"/>
          <w:szCs w:val="22"/>
        </w:rPr>
        <w:t>)</w:t>
      </w:r>
      <w:r w:rsidR="003F24C6" w:rsidRPr="00FB7590">
        <w:rPr>
          <w:color w:val="auto"/>
          <w:sz w:val="22"/>
          <w:szCs w:val="22"/>
        </w:rPr>
        <w:t xml:space="preserve">, </w:t>
      </w:r>
      <w:r w:rsidR="003F24C6" w:rsidRPr="00FB7590">
        <w:rPr>
          <w:color w:val="auto"/>
          <w:sz w:val="22"/>
          <w:szCs w:val="22"/>
          <w:lang w:val="en-GB"/>
        </w:rPr>
        <w:t xml:space="preserve">InvestEU </w:t>
      </w:r>
      <w:r w:rsidR="003F24C6" w:rsidRPr="00FB7590">
        <w:rPr>
          <w:color w:val="auto"/>
          <w:sz w:val="22"/>
          <w:szCs w:val="22"/>
        </w:rPr>
        <w:t>и др</w:t>
      </w:r>
      <w:r w:rsidRPr="00FB7590">
        <w:rPr>
          <w:color w:val="auto"/>
          <w:sz w:val="22"/>
          <w:szCs w:val="22"/>
        </w:rPr>
        <w:t>.</w:t>
      </w:r>
    </w:p>
    <w:p w14:paraId="689E19FE" w14:textId="77777777" w:rsidR="00337C4F" w:rsidRPr="00FB7590" w:rsidRDefault="00E524B6" w:rsidP="0020105C">
      <w:pPr>
        <w:pStyle w:val="10"/>
        <w:keepNext/>
        <w:keepLines/>
        <w:shd w:val="clear" w:color="auto" w:fill="FFF2CC" w:themeFill="accent4" w:themeFillTint="33"/>
        <w:tabs>
          <w:tab w:val="left" w:pos="877"/>
        </w:tabs>
        <w:spacing w:before="0" w:line="23" w:lineRule="atLeast"/>
        <w:ind w:firstLine="709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ж)</w:t>
      </w:r>
      <w:r w:rsidRPr="00FB7590">
        <w:rPr>
          <w:color w:val="auto"/>
          <w:sz w:val="22"/>
          <w:szCs w:val="22"/>
        </w:rPr>
        <w:tab/>
      </w:r>
      <w:r w:rsidR="00595E3B" w:rsidRPr="00FB7590">
        <w:rPr>
          <w:color w:val="auto"/>
          <w:sz w:val="22"/>
          <w:szCs w:val="22"/>
        </w:rPr>
        <w:t>Срокове и етапи на изготвянето на плана и наличие, нормативно регламентирано на изискване за обществено обсъждане или др.</w:t>
      </w:r>
      <w:r w:rsidR="008E2E9A" w:rsidRPr="00FB7590">
        <w:rPr>
          <w:color w:val="auto"/>
          <w:sz w:val="22"/>
          <w:szCs w:val="22"/>
        </w:rPr>
        <w:t xml:space="preserve"> </w:t>
      </w:r>
      <w:r w:rsidR="00595E3B" w:rsidRPr="00FB7590">
        <w:rPr>
          <w:color w:val="auto"/>
          <w:sz w:val="22"/>
          <w:szCs w:val="22"/>
        </w:rPr>
        <w:t>процедурна форма за участие на обществеността</w:t>
      </w:r>
    </w:p>
    <w:p w14:paraId="645017D4" w14:textId="77777777" w:rsidR="0020105C" w:rsidRPr="00FB7590" w:rsidRDefault="0020105C" w:rsidP="0020105C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Директивата за наводненията и Законът за водите изискват прилагането на подход за дългосрочно планиране на три етапа, с цел намаляване на риска от наводнения, които се преразглеждат на всеки шест години в рамките на цикъл, координиран и синхронизиран с цикъла на прилагане на Рамковата директива за водите (РДВ). Етапите на разработване на ПУРН са следните: </w:t>
      </w:r>
    </w:p>
    <w:p w14:paraId="6FAF1C2B" w14:textId="77777777" w:rsidR="0020105C" w:rsidRPr="00FB7590" w:rsidRDefault="0020105C" w:rsidP="0020105C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>1. Разработване на Предварителна оценка на риска от наводнения (ПОРН) за всеки район за басейново управление, определен в съответствие с член 146а на Закона за водите.</w:t>
      </w:r>
    </w:p>
    <w:p w14:paraId="2BD89D00" w14:textId="5ECFD855" w:rsidR="0020105C" w:rsidRPr="00FB7590" w:rsidRDefault="0020105C" w:rsidP="0020105C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2. Разработване на карти на заплахата и риска от наводнения (КЗРН), според изискванията на член 146д от Закона за водите. </w:t>
      </w:r>
    </w:p>
    <w:p w14:paraId="300BDAC0" w14:textId="77777777" w:rsidR="0020105C" w:rsidRPr="00FB7590" w:rsidRDefault="0020105C" w:rsidP="0020105C">
      <w:pPr>
        <w:spacing w:line="23" w:lineRule="atLeas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3. Разработване на плановете за управление на риска от наводнения (ПУРН), включително и програма от мерки (ПоМ) към тях, с цел намаляване на риска от наводнения, в съответствие с изискванията на член 146и от Закона за водите. </w:t>
      </w:r>
    </w:p>
    <w:p w14:paraId="51D3B1BE" w14:textId="77777777" w:rsidR="0020105C" w:rsidRPr="00FB7590" w:rsidRDefault="0020105C" w:rsidP="0020105C">
      <w:pPr>
        <w:spacing w:line="23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color w:val="auto"/>
          <w:sz w:val="22"/>
          <w:szCs w:val="22"/>
        </w:rPr>
        <w:t>ПУРН се приема от Министерски съвет и преразглеждат и актуализират на всеки шест години.</w:t>
      </w:r>
    </w:p>
    <w:p w14:paraId="6AF56C7E" w14:textId="77777777" w:rsidR="0020105C" w:rsidRPr="00FB7590" w:rsidRDefault="0020105C" w:rsidP="0020105C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213C51EA" w14:textId="771AF732" w:rsidR="000975F9" w:rsidRPr="00FB7590" w:rsidRDefault="0032215F" w:rsidP="005037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7590">
        <w:rPr>
          <w:rFonts w:ascii="Times New Roman" w:hAnsi="Times New Roman" w:cs="Times New Roman"/>
          <w:sz w:val="22"/>
          <w:szCs w:val="22"/>
        </w:rPr>
        <w:t>Проект на план за управление на риска от наводнения и резултатите от отделните етапи на неговото разработване са публикувани на интернет страницата на Басейнова дирекция „Западнобеломорски район”</w:t>
      </w:r>
      <w:r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EE30EA" w:rsidRPr="00FB759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7" w:history="1"/>
    </w:p>
    <w:p w14:paraId="3C00F4B7" w14:textId="77777777" w:rsidR="00337C4F" w:rsidRPr="00FB7590" w:rsidRDefault="00595E3B" w:rsidP="0072415A">
      <w:pPr>
        <w:pStyle w:val="40"/>
        <w:numPr>
          <w:ilvl w:val="0"/>
          <w:numId w:val="1"/>
        </w:numPr>
        <w:shd w:val="clear" w:color="auto" w:fill="D9E2F3" w:themeFill="accent5" w:themeFillTint="33"/>
        <w:tabs>
          <w:tab w:val="left" w:pos="368"/>
        </w:tabs>
        <w:spacing w:line="23" w:lineRule="atLeast"/>
        <w:ind w:firstLine="709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Информация за органа, отговорен за прилагането на плана</w:t>
      </w:r>
    </w:p>
    <w:p w14:paraId="506998CE" w14:textId="4E08F3FF" w:rsidR="00337C4F" w:rsidRPr="00FB7590" w:rsidRDefault="00595E3B" w:rsidP="0072415A">
      <w:pPr>
        <w:pStyle w:val="20"/>
        <w:shd w:val="clear" w:color="auto" w:fill="auto"/>
        <w:spacing w:before="0" w:after="0" w:line="23" w:lineRule="atLeast"/>
        <w:ind w:firstLine="709"/>
        <w:jc w:val="both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Отговорен орган за прилагането на плана е</w:t>
      </w:r>
      <w:r w:rsidR="00F02BDD" w:rsidRPr="00FB7590">
        <w:rPr>
          <w:color w:val="auto"/>
          <w:sz w:val="22"/>
          <w:szCs w:val="22"/>
        </w:rPr>
        <w:t xml:space="preserve"> Басейнова Дирекция </w:t>
      </w:r>
      <w:r w:rsidR="00911E3B" w:rsidRPr="00FB7590">
        <w:rPr>
          <w:color w:val="auto"/>
          <w:sz w:val="22"/>
          <w:szCs w:val="22"/>
        </w:rPr>
        <w:t xml:space="preserve">Западнобеломорски район, с център гр. </w:t>
      </w:r>
      <w:r w:rsidR="00F02BDD" w:rsidRPr="00FB7590">
        <w:rPr>
          <w:color w:val="auto"/>
          <w:sz w:val="22"/>
          <w:szCs w:val="22"/>
        </w:rPr>
        <w:t>Благоевград.</w:t>
      </w:r>
    </w:p>
    <w:p w14:paraId="7E17F551" w14:textId="77777777" w:rsidR="00337C4F" w:rsidRPr="00FB7590" w:rsidRDefault="00595E3B" w:rsidP="0072415A">
      <w:pPr>
        <w:pStyle w:val="40"/>
        <w:numPr>
          <w:ilvl w:val="0"/>
          <w:numId w:val="1"/>
        </w:numPr>
        <w:shd w:val="clear" w:color="auto" w:fill="D9E2F3" w:themeFill="accent5" w:themeFillTint="33"/>
        <w:tabs>
          <w:tab w:val="left" w:pos="368"/>
        </w:tabs>
        <w:spacing w:line="23" w:lineRule="atLeast"/>
        <w:ind w:firstLine="709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Орган за приемане/одобряване/утвърждаване на плана</w:t>
      </w:r>
    </w:p>
    <w:p w14:paraId="1F232487" w14:textId="46423C95" w:rsidR="00DF5284" w:rsidRPr="00FB7590" w:rsidRDefault="00AD2817" w:rsidP="00E5130C">
      <w:pPr>
        <w:pStyle w:val="20"/>
        <w:shd w:val="clear" w:color="auto" w:fill="auto"/>
        <w:spacing w:before="0" w:after="0" w:line="23" w:lineRule="atLeast"/>
        <w:ind w:firstLine="709"/>
        <w:jc w:val="both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Компетентен орган за одобряването на ПУРН е Министерски съвет по предложение на Министъра на околната среда и водите, съгласно чл. 160 от Закона за водите.</w:t>
      </w:r>
    </w:p>
    <w:p w14:paraId="5A3F7A06" w14:textId="77777777" w:rsidR="00DF5284" w:rsidRPr="00FB7590" w:rsidRDefault="00DF5284" w:rsidP="00DF5284">
      <w:pPr>
        <w:pStyle w:val="40"/>
        <w:numPr>
          <w:ilvl w:val="0"/>
          <w:numId w:val="1"/>
        </w:numPr>
        <w:shd w:val="clear" w:color="auto" w:fill="D9E2F3" w:themeFill="accent5" w:themeFillTint="33"/>
        <w:tabs>
          <w:tab w:val="left" w:pos="368"/>
        </w:tabs>
        <w:spacing w:line="276" w:lineRule="auto"/>
        <w:ind w:firstLine="709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Информация за начина на заплащане на дължимата такса в размер, определен съгласно Тарифата за таксите, които се събират в системата на Министерството на околната среда и водите</w:t>
      </w:r>
    </w:p>
    <w:p w14:paraId="56897F82" w14:textId="40EC9412" w:rsidR="005037E0" w:rsidRPr="00FB7590" w:rsidRDefault="00DF5284" w:rsidP="00DF5284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Дължимата такса в размер, определен съгласно Тарифата за таксите, които се събират в системата на Министерство на околната среда и водите, ще бъде заплатена при предоставяне на Искане за издаване на становище за екологична оценка.</w:t>
      </w:r>
    </w:p>
    <w:p w14:paraId="2A70E2EE" w14:textId="77777777" w:rsidR="00337C4F" w:rsidRPr="00FB7590" w:rsidRDefault="00595E3B" w:rsidP="0072415A">
      <w:pPr>
        <w:pStyle w:val="40"/>
        <w:numPr>
          <w:ilvl w:val="0"/>
          <w:numId w:val="1"/>
        </w:numPr>
        <w:shd w:val="clear" w:color="auto" w:fill="D9E2F3" w:themeFill="accent5" w:themeFillTint="33"/>
        <w:tabs>
          <w:tab w:val="left" w:pos="368"/>
        </w:tabs>
        <w:spacing w:line="23" w:lineRule="atLeast"/>
        <w:ind w:firstLine="709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Място за публичен достъп</w:t>
      </w:r>
    </w:p>
    <w:p w14:paraId="7A3CE280" w14:textId="647565C4" w:rsidR="00A456DF" w:rsidRPr="00FB7590" w:rsidRDefault="00595E3B" w:rsidP="0072415A">
      <w:pPr>
        <w:pStyle w:val="20"/>
        <w:shd w:val="clear" w:color="auto" w:fill="auto"/>
        <w:spacing w:before="0" w:after="0" w:line="23" w:lineRule="atLeast"/>
        <w:ind w:firstLine="709"/>
        <w:jc w:val="both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 xml:space="preserve">Документите </w:t>
      </w:r>
      <w:r w:rsidR="008936B8" w:rsidRPr="00FB7590">
        <w:rPr>
          <w:color w:val="auto"/>
          <w:sz w:val="22"/>
          <w:szCs w:val="22"/>
        </w:rPr>
        <w:t>(проект на ПУРН</w:t>
      </w:r>
      <w:r w:rsidR="00C542C7" w:rsidRPr="00FB7590">
        <w:rPr>
          <w:color w:val="auto"/>
          <w:sz w:val="22"/>
          <w:szCs w:val="22"/>
        </w:rPr>
        <w:t xml:space="preserve">, доклад за </w:t>
      </w:r>
      <w:r w:rsidR="00A456DF" w:rsidRPr="00FB7590">
        <w:rPr>
          <w:color w:val="auto"/>
          <w:sz w:val="22"/>
          <w:szCs w:val="22"/>
        </w:rPr>
        <w:t>екологична оценка</w:t>
      </w:r>
      <w:r w:rsidR="00C542C7" w:rsidRPr="00FB7590">
        <w:rPr>
          <w:color w:val="auto"/>
          <w:sz w:val="22"/>
          <w:szCs w:val="22"/>
        </w:rPr>
        <w:t xml:space="preserve">, доклад за </w:t>
      </w:r>
      <w:r w:rsidR="00A456DF" w:rsidRPr="00FB7590">
        <w:rPr>
          <w:color w:val="auto"/>
          <w:sz w:val="22"/>
          <w:szCs w:val="22"/>
        </w:rPr>
        <w:t xml:space="preserve">оценка на </w:t>
      </w:r>
      <w:r w:rsidR="00A456DF" w:rsidRPr="00FB7590">
        <w:rPr>
          <w:color w:val="auto"/>
          <w:sz w:val="22"/>
          <w:szCs w:val="22"/>
        </w:rPr>
        <w:lastRenderedPageBreak/>
        <w:t>степента на въздействие</w:t>
      </w:r>
      <w:r w:rsidR="00C542C7" w:rsidRPr="00FB7590">
        <w:rPr>
          <w:color w:val="auto"/>
          <w:sz w:val="22"/>
          <w:szCs w:val="22"/>
        </w:rPr>
        <w:t xml:space="preserve"> и приложенията към тях) </w:t>
      </w:r>
      <w:r w:rsidRPr="00FB7590">
        <w:rPr>
          <w:color w:val="auto"/>
          <w:sz w:val="22"/>
          <w:szCs w:val="22"/>
        </w:rPr>
        <w:t>са предоставени за достъп в</w:t>
      </w:r>
      <w:r w:rsidR="00A456DF" w:rsidRPr="00FB7590">
        <w:rPr>
          <w:color w:val="auto"/>
          <w:sz w:val="22"/>
          <w:szCs w:val="22"/>
        </w:rPr>
        <w:t>:</w:t>
      </w:r>
    </w:p>
    <w:p w14:paraId="47BE83A0" w14:textId="6DFDEAD5" w:rsidR="003B3F3F" w:rsidRPr="00FB7590" w:rsidRDefault="00595E3B" w:rsidP="0072415A">
      <w:pPr>
        <w:pStyle w:val="20"/>
        <w:numPr>
          <w:ilvl w:val="0"/>
          <w:numId w:val="17"/>
        </w:numPr>
        <w:shd w:val="clear" w:color="auto" w:fill="auto"/>
        <w:spacing w:before="0" w:after="0" w:line="23" w:lineRule="atLeast"/>
        <w:ind w:left="0" w:firstLine="709"/>
        <w:jc w:val="both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 xml:space="preserve">сградата на </w:t>
      </w:r>
      <w:r w:rsidR="00960F71" w:rsidRPr="00FB7590">
        <w:rPr>
          <w:color w:val="auto"/>
          <w:sz w:val="22"/>
          <w:szCs w:val="22"/>
        </w:rPr>
        <w:t>Басейнова Дирекция „Западнобеломорски район“</w:t>
      </w:r>
      <w:r w:rsidR="00C542C7" w:rsidRPr="00FB7590">
        <w:rPr>
          <w:color w:val="auto"/>
          <w:sz w:val="22"/>
          <w:szCs w:val="22"/>
        </w:rPr>
        <w:t>,</w:t>
      </w:r>
      <w:r w:rsidR="00F429DE" w:rsidRPr="00FB7590">
        <w:rPr>
          <w:color w:val="auto"/>
          <w:sz w:val="22"/>
          <w:szCs w:val="22"/>
        </w:rPr>
        <w:t xml:space="preserve"> </w:t>
      </w:r>
      <w:r w:rsidR="00960F71" w:rsidRPr="00FB7590">
        <w:rPr>
          <w:sz w:val="22"/>
          <w:szCs w:val="22"/>
        </w:rPr>
        <w:t>гр. Благоевград, бул. „Св .Димитър Солунски” № 66</w:t>
      </w:r>
      <w:r w:rsidRPr="00FB7590">
        <w:rPr>
          <w:color w:val="auto"/>
          <w:sz w:val="22"/>
          <w:szCs w:val="22"/>
        </w:rPr>
        <w:t xml:space="preserve">, всеки работен ден от </w:t>
      </w:r>
      <w:r w:rsidR="00A2084D" w:rsidRPr="00FB7590">
        <w:rPr>
          <w:color w:val="auto"/>
          <w:sz w:val="22"/>
          <w:szCs w:val="22"/>
        </w:rPr>
        <w:t xml:space="preserve"> </w:t>
      </w:r>
      <w:r w:rsidR="00A2084D" w:rsidRPr="00514566">
        <w:rPr>
          <w:color w:val="auto"/>
          <w:sz w:val="22"/>
          <w:szCs w:val="22"/>
        </w:rPr>
        <w:t>9:00 до 17:30 часа.</w:t>
      </w:r>
      <w:r w:rsidR="00A2084D" w:rsidRPr="00FB7590">
        <w:rPr>
          <w:color w:val="auto"/>
          <w:sz w:val="22"/>
          <w:szCs w:val="22"/>
        </w:rPr>
        <w:t xml:space="preserve"> Лице</w:t>
      </w:r>
      <w:r w:rsidR="003B3F3F" w:rsidRPr="00FB7590">
        <w:rPr>
          <w:color w:val="auto"/>
          <w:sz w:val="22"/>
          <w:szCs w:val="22"/>
        </w:rPr>
        <w:t xml:space="preserve"> за контакти: </w:t>
      </w:r>
      <w:r w:rsidR="00514566">
        <w:rPr>
          <w:color w:val="auto"/>
          <w:sz w:val="22"/>
          <w:szCs w:val="22"/>
        </w:rPr>
        <w:t>Нели Гоцева – началник отдел „Планове“</w:t>
      </w:r>
    </w:p>
    <w:p w14:paraId="7E39D285" w14:textId="07ED3EB2" w:rsidR="005C2F0E" w:rsidRPr="00FB7590" w:rsidRDefault="00A456DF" w:rsidP="0072415A">
      <w:pPr>
        <w:pStyle w:val="20"/>
        <w:numPr>
          <w:ilvl w:val="0"/>
          <w:numId w:val="17"/>
        </w:numPr>
        <w:shd w:val="clear" w:color="auto" w:fill="auto"/>
        <w:spacing w:before="0" w:after="0" w:line="23" w:lineRule="atLeast"/>
        <w:ind w:left="0" w:firstLine="709"/>
        <w:jc w:val="both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 xml:space="preserve">сградата на Министерство на околната среда и водите, </w:t>
      </w:r>
      <w:r w:rsidR="00DE3A88" w:rsidRPr="00FB7590">
        <w:rPr>
          <w:color w:val="auto"/>
          <w:sz w:val="22"/>
          <w:szCs w:val="22"/>
        </w:rPr>
        <w:t>гр. София, бул. „Княгиня Мария Луиза“ № 22</w:t>
      </w:r>
      <w:r w:rsidR="005C2F0E" w:rsidRPr="00FB7590">
        <w:rPr>
          <w:color w:val="auto"/>
          <w:sz w:val="22"/>
          <w:szCs w:val="22"/>
        </w:rPr>
        <w:t xml:space="preserve">, всеки работен ден от  </w:t>
      </w:r>
      <w:r w:rsidR="005C2F0E" w:rsidRPr="00185164">
        <w:rPr>
          <w:color w:val="auto"/>
          <w:sz w:val="22"/>
          <w:szCs w:val="22"/>
        </w:rPr>
        <w:t>9:00 до 17:30 часа.</w:t>
      </w:r>
      <w:r w:rsidR="005C2F0E" w:rsidRPr="00FB7590">
        <w:rPr>
          <w:color w:val="auto"/>
          <w:sz w:val="22"/>
          <w:szCs w:val="22"/>
        </w:rPr>
        <w:t xml:space="preserve"> Лице за контакти: </w:t>
      </w:r>
      <w:r w:rsidR="00185164" w:rsidRPr="00185164">
        <w:rPr>
          <w:color w:val="auto"/>
          <w:sz w:val="22"/>
          <w:szCs w:val="22"/>
        </w:rPr>
        <w:t>Ралица Павлова</w:t>
      </w:r>
    </w:p>
    <w:p w14:paraId="2FCBB120" w14:textId="0B4E2EEE" w:rsidR="00A456DF" w:rsidRPr="00FB7590" w:rsidRDefault="00A456DF" w:rsidP="0072415A">
      <w:pPr>
        <w:pStyle w:val="20"/>
        <w:shd w:val="clear" w:color="auto" w:fill="auto"/>
        <w:spacing w:before="0" w:after="0" w:line="23" w:lineRule="atLeast"/>
        <w:ind w:firstLine="709"/>
        <w:jc w:val="both"/>
        <w:rPr>
          <w:color w:val="auto"/>
          <w:sz w:val="22"/>
          <w:szCs w:val="22"/>
        </w:rPr>
      </w:pPr>
    </w:p>
    <w:p w14:paraId="2ADE582D" w14:textId="77777777" w:rsidR="005C2F0E" w:rsidRPr="00FB7590" w:rsidRDefault="003B3F3F" w:rsidP="0072415A">
      <w:pPr>
        <w:pStyle w:val="20"/>
        <w:shd w:val="clear" w:color="auto" w:fill="auto"/>
        <w:spacing w:before="0" w:after="0" w:line="23" w:lineRule="atLeast"/>
        <w:ind w:firstLine="709"/>
        <w:jc w:val="both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Проектите на документите са публикувани на</w:t>
      </w:r>
      <w:r w:rsidR="005C2F0E" w:rsidRPr="00FB7590">
        <w:rPr>
          <w:color w:val="auto"/>
          <w:sz w:val="22"/>
          <w:szCs w:val="22"/>
        </w:rPr>
        <w:t>:</w:t>
      </w:r>
    </w:p>
    <w:p w14:paraId="72CC6FAF" w14:textId="3AADEE67" w:rsidR="003B3F3F" w:rsidRDefault="003B3F3F" w:rsidP="0072415A">
      <w:pPr>
        <w:pStyle w:val="20"/>
        <w:numPr>
          <w:ilvl w:val="0"/>
          <w:numId w:val="18"/>
        </w:numPr>
        <w:shd w:val="clear" w:color="auto" w:fill="auto"/>
        <w:spacing w:before="0" w:after="0" w:line="23" w:lineRule="atLeast"/>
        <w:ind w:left="0" w:firstLine="709"/>
        <w:jc w:val="both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електронната страница на Басейнова дирекция „Западнобеломорски район”</w:t>
      </w:r>
      <w:r w:rsidR="005C2F0E" w:rsidRPr="00FB7590">
        <w:rPr>
          <w:color w:val="auto"/>
          <w:sz w:val="22"/>
          <w:szCs w:val="22"/>
        </w:rPr>
        <w:t>:</w:t>
      </w:r>
    </w:p>
    <w:p w14:paraId="3D9FC03B" w14:textId="71EE3DAF" w:rsidR="00C65CF3" w:rsidRDefault="00C65CF3" w:rsidP="00C65CF3">
      <w:pPr>
        <w:pStyle w:val="20"/>
        <w:shd w:val="clear" w:color="auto" w:fill="auto"/>
        <w:spacing w:before="0" w:after="0" w:line="23" w:lineRule="atLeast"/>
        <w:jc w:val="both"/>
        <w:rPr>
          <w:color w:val="auto"/>
          <w:sz w:val="22"/>
          <w:szCs w:val="22"/>
        </w:rPr>
      </w:pPr>
      <w:hyperlink r:id="rId8" w:history="1">
        <w:r w:rsidRPr="00074AC8">
          <w:rPr>
            <w:rStyle w:val="Hyperlink"/>
            <w:sz w:val="22"/>
            <w:szCs w:val="22"/>
          </w:rPr>
          <w:t>https://wabd.bg/content/обществени-консултации/обществени-консултации-етапи-пурн/</w:t>
        </w:r>
      </w:hyperlink>
    </w:p>
    <w:p w14:paraId="3F62420D" w14:textId="77777777" w:rsidR="00C65CF3" w:rsidRDefault="005C2F0E" w:rsidP="0072415A">
      <w:pPr>
        <w:pStyle w:val="20"/>
        <w:numPr>
          <w:ilvl w:val="0"/>
          <w:numId w:val="18"/>
        </w:numPr>
        <w:shd w:val="clear" w:color="auto" w:fill="auto"/>
        <w:spacing w:before="0" w:after="0" w:line="23" w:lineRule="atLeast"/>
        <w:ind w:left="0" w:firstLine="709"/>
        <w:jc w:val="both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електронната страница на Министерство на околната среда и водите:</w:t>
      </w:r>
    </w:p>
    <w:p w14:paraId="287D0F84" w14:textId="19872E3C" w:rsidR="00C65CF3" w:rsidRDefault="0063302B" w:rsidP="00C65CF3">
      <w:pPr>
        <w:pStyle w:val="20"/>
        <w:shd w:val="clear" w:color="auto" w:fill="auto"/>
        <w:spacing w:before="0" w:after="0" w:line="23" w:lineRule="atLeast"/>
        <w:jc w:val="both"/>
        <w:rPr>
          <w:color w:val="auto"/>
          <w:sz w:val="22"/>
          <w:szCs w:val="22"/>
        </w:rPr>
      </w:pPr>
      <w:hyperlink r:id="rId9" w:history="1">
        <w:r w:rsidR="00C65CF3" w:rsidRPr="00074AC8">
          <w:rPr>
            <w:rStyle w:val="Hyperlink"/>
            <w:sz w:val="22"/>
            <w:szCs w:val="22"/>
          </w:rPr>
          <w:t>https://www.moew.government.bg/bg/vodi/planove-za-upravlenie/planove-za-upravlenie-na-riska-ot-navodneniya-purn/planove-za-upravlenie-na-riska-ot-navodneniya-2022-2027/</w:t>
        </w:r>
      </w:hyperlink>
    </w:p>
    <w:p w14:paraId="2B09DED2" w14:textId="73A547E2" w:rsidR="00185164" w:rsidRPr="00185164" w:rsidRDefault="00595E3B" w:rsidP="00185164">
      <w:pPr>
        <w:pStyle w:val="40"/>
        <w:numPr>
          <w:ilvl w:val="0"/>
          <w:numId w:val="1"/>
        </w:numPr>
        <w:shd w:val="clear" w:color="auto" w:fill="D9E2F3" w:themeFill="accent5" w:themeFillTint="33"/>
        <w:tabs>
          <w:tab w:val="left" w:pos="368"/>
        </w:tabs>
        <w:spacing w:line="23" w:lineRule="atLeast"/>
        <w:ind w:firstLine="709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Време за публичен достъп</w:t>
      </w:r>
    </w:p>
    <w:p w14:paraId="27E9F2FF" w14:textId="7857476B" w:rsidR="00337C4F" w:rsidRPr="00185164" w:rsidRDefault="00185164" w:rsidP="00185164">
      <w:pPr>
        <w:pStyle w:val="20"/>
        <w:shd w:val="clear" w:color="auto" w:fill="auto"/>
        <w:spacing w:before="0" w:after="0" w:line="23" w:lineRule="atLeast"/>
        <w:ind w:firstLine="709"/>
        <w:jc w:val="both"/>
        <w:rPr>
          <w:color w:val="auto"/>
          <w:sz w:val="22"/>
          <w:szCs w:val="22"/>
        </w:rPr>
      </w:pPr>
      <w:r w:rsidRPr="00185164">
        <w:rPr>
          <w:color w:val="auto"/>
          <w:sz w:val="22"/>
          <w:szCs w:val="22"/>
        </w:rPr>
        <w:t>30 дни, считано от 27.09.2023 г. до 27.10.2023 г., включително.</w:t>
      </w:r>
    </w:p>
    <w:p w14:paraId="551BE711" w14:textId="77777777" w:rsidR="00337C4F" w:rsidRPr="00FB7590" w:rsidRDefault="00595E3B" w:rsidP="0072415A">
      <w:pPr>
        <w:pStyle w:val="40"/>
        <w:numPr>
          <w:ilvl w:val="0"/>
          <w:numId w:val="1"/>
        </w:numPr>
        <w:shd w:val="clear" w:color="auto" w:fill="D9E2F3" w:themeFill="accent5" w:themeFillTint="33"/>
        <w:tabs>
          <w:tab w:val="left" w:pos="478"/>
        </w:tabs>
        <w:spacing w:line="23" w:lineRule="atLeast"/>
        <w:ind w:firstLine="709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Начин за изразяване на становище</w:t>
      </w:r>
    </w:p>
    <w:p w14:paraId="257AEDE5" w14:textId="77777777" w:rsidR="007955E7" w:rsidRPr="00FB7590" w:rsidRDefault="00FC6C9E" w:rsidP="0072415A">
      <w:pPr>
        <w:pStyle w:val="20"/>
        <w:spacing w:before="0" w:after="0" w:line="23" w:lineRule="atLeast"/>
        <w:ind w:firstLine="709"/>
        <w:jc w:val="both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Становища и мнения могат да се депозират на място, с писма на адрес:</w:t>
      </w:r>
      <w:r w:rsidR="007955E7" w:rsidRPr="00FB7590">
        <w:rPr>
          <w:color w:val="auto"/>
          <w:sz w:val="22"/>
          <w:szCs w:val="22"/>
        </w:rPr>
        <w:t xml:space="preserve"> </w:t>
      </w:r>
    </w:p>
    <w:p w14:paraId="5DE5AAF6" w14:textId="0020E8FE" w:rsidR="007955E7" w:rsidRPr="00FB7590" w:rsidRDefault="00FC6C9E" w:rsidP="0072415A">
      <w:pPr>
        <w:pStyle w:val="20"/>
        <w:numPr>
          <w:ilvl w:val="0"/>
          <w:numId w:val="19"/>
        </w:numPr>
        <w:spacing w:before="0" w:after="0" w:line="23" w:lineRule="atLeast"/>
        <w:ind w:left="0" w:firstLine="709"/>
        <w:jc w:val="both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 xml:space="preserve">гр. Благоевград, бул. „Св. Димитър Солунски” № 66, </w:t>
      </w:r>
    </w:p>
    <w:p w14:paraId="7F10CAA8" w14:textId="0431A8AF" w:rsidR="007955E7" w:rsidRPr="00FB7590" w:rsidRDefault="007955E7" w:rsidP="0072415A">
      <w:pPr>
        <w:pStyle w:val="20"/>
        <w:numPr>
          <w:ilvl w:val="0"/>
          <w:numId w:val="19"/>
        </w:numPr>
        <w:spacing w:before="0" w:after="0" w:line="23" w:lineRule="atLeast"/>
        <w:ind w:left="0" w:firstLine="709"/>
        <w:jc w:val="both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>гр. София, бул. „Княгиня Мария Луиза“ № 22</w:t>
      </w:r>
    </w:p>
    <w:p w14:paraId="2A7C6D7D" w14:textId="4A4813A6" w:rsidR="00C1220E" w:rsidRPr="00FB7590" w:rsidRDefault="00F461C6" w:rsidP="0072415A">
      <w:pPr>
        <w:pStyle w:val="20"/>
        <w:spacing w:before="0" w:after="0" w:line="23" w:lineRule="atLeast"/>
        <w:ind w:firstLine="709"/>
        <w:jc w:val="both"/>
        <w:rPr>
          <w:color w:val="auto"/>
          <w:sz w:val="22"/>
          <w:szCs w:val="22"/>
        </w:rPr>
      </w:pPr>
      <w:r w:rsidRPr="00FB7590">
        <w:rPr>
          <w:color w:val="auto"/>
          <w:sz w:val="22"/>
          <w:szCs w:val="22"/>
        </w:rPr>
        <w:t xml:space="preserve">както и </w:t>
      </w:r>
      <w:r w:rsidR="00FC6C9E" w:rsidRPr="00FB7590">
        <w:rPr>
          <w:color w:val="auto"/>
          <w:sz w:val="22"/>
          <w:szCs w:val="22"/>
        </w:rPr>
        <w:t xml:space="preserve"> по електронна поща: </w:t>
      </w:r>
      <w:r w:rsidR="003F56FE" w:rsidRPr="00FB7590">
        <w:rPr>
          <w:color w:val="auto"/>
          <w:sz w:val="22"/>
          <w:szCs w:val="22"/>
        </w:rPr>
        <w:t xml:space="preserve"> </w:t>
      </w:r>
      <w:hyperlink r:id="rId10" w:history="1">
        <w:r w:rsidR="003F56FE" w:rsidRPr="00FB7590">
          <w:rPr>
            <w:rStyle w:val="Hyperlink"/>
            <w:sz w:val="22"/>
            <w:szCs w:val="22"/>
          </w:rPr>
          <w:t>bdblg@wabd.bg</w:t>
        </w:r>
      </w:hyperlink>
    </w:p>
    <w:p w14:paraId="74DBC7EA" w14:textId="77777777" w:rsidR="0072415A" w:rsidRPr="00FB7590" w:rsidRDefault="0072415A" w:rsidP="0072415A">
      <w:pPr>
        <w:pStyle w:val="20"/>
        <w:spacing w:before="0" w:after="0" w:line="23" w:lineRule="atLeast"/>
        <w:ind w:firstLine="709"/>
        <w:jc w:val="both"/>
        <w:rPr>
          <w:color w:val="auto"/>
          <w:sz w:val="22"/>
          <w:szCs w:val="22"/>
        </w:rPr>
      </w:pPr>
    </w:p>
    <w:p w14:paraId="028126FC" w14:textId="04F2ECCB" w:rsidR="00FC6C9E" w:rsidRPr="00FB7590" w:rsidRDefault="00FC6C9E" w:rsidP="0072415A">
      <w:pPr>
        <w:pStyle w:val="20"/>
        <w:spacing w:before="0" w:after="0" w:line="23" w:lineRule="atLeast"/>
        <w:ind w:firstLine="709"/>
        <w:jc w:val="both"/>
        <w:rPr>
          <w:b/>
          <w:color w:val="auto"/>
          <w:sz w:val="22"/>
          <w:szCs w:val="22"/>
        </w:rPr>
      </w:pPr>
      <w:r w:rsidRPr="00FB7590">
        <w:rPr>
          <w:b/>
          <w:color w:val="auto"/>
          <w:sz w:val="22"/>
          <w:szCs w:val="22"/>
        </w:rPr>
        <w:t xml:space="preserve">След приключване на 30-дневния срок за консултации, ще бъде проведено обществено обсъждане на проекта на ПУРН, доклада за </w:t>
      </w:r>
      <w:r w:rsidR="0072415A" w:rsidRPr="00FB7590">
        <w:rPr>
          <w:b/>
          <w:color w:val="auto"/>
          <w:sz w:val="22"/>
          <w:szCs w:val="22"/>
        </w:rPr>
        <w:t>екологична оценка</w:t>
      </w:r>
      <w:r w:rsidRPr="00FB7590">
        <w:rPr>
          <w:b/>
          <w:color w:val="auto"/>
          <w:sz w:val="22"/>
          <w:szCs w:val="22"/>
        </w:rPr>
        <w:t xml:space="preserve">, </w:t>
      </w:r>
      <w:r w:rsidR="0072415A" w:rsidRPr="00FB7590">
        <w:rPr>
          <w:b/>
          <w:color w:val="auto"/>
          <w:sz w:val="22"/>
          <w:szCs w:val="22"/>
        </w:rPr>
        <w:t>д</w:t>
      </w:r>
      <w:r w:rsidRPr="00FB7590">
        <w:rPr>
          <w:b/>
          <w:color w:val="auto"/>
          <w:sz w:val="22"/>
          <w:szCs w:val="22"/>
        </w:rPr>
        <w:t xml:space="preserve">оклада за </w:t>
      </w:r>
      <w:r w:rsidR="0072415A" w:rsidRPr="00FB7590">
        <w:rPr>
          <w:b/>
          <w:color w:val="auto"/>
          <w:sz w:val="22"/>
          <w:szCs w:val="22"/>
        </w:rPr>
        <w:t>оценка на степента на въздействие</w:t>
      </w:r>
      <w:r w:rsidRPr="00FB7590">
        <w:rPr>
          <w:b/>
          <w:color w:val="auto"/>
          <w:sz w:val="22"/>
          <w:szCs w:val="22"/>
        </w:rPr>
        <w:t xml:space="preserve"> и всички приложения към тях. </w:t>
      </w:r>
    </w:p>
    <w:p w14:paraId="2FC14B78" w14:textId="7CE74B16" w:rsidR="00337C4F" w:rsidRPr="00FB7590" w:rsidRDefault="00FC6C9E" w:rsidP="0072415A">
      <w:pPr>
        <w:pStyle w:val="20"/>
        <w:shd w:val="clear" w:color="auto" w:fill="auto"/>
        <w:spacing w:before="0" w:after="0" w:line="23" w:lineRule="atLeast"/>
        <w:ind w:firstLine="709"/>
        <w:jc w:val="both"/>
        <w:rPr>
          <w:b/>
          <w:color w:val="auto"/>
          <w:sz w:val="22"/>
          <w:szCs w:val="22"/>
        </w:rPr>
      </w:pPr>
      <w:r w:rsidRPr="00FB7590">
        <w:rPr>
          <w:b/>
          <w:color w:val="auto"/>
          <w:sz w:val="22"/>
          <w:szCs w:val="22"/>
        </w:rPr>
        <w:t xml:space="preserve">Общественото обсъждане ще се проведе на: </w:t>
      </w:r>
      <w:r w:rsidR="00514566">
        <w:rPr>
          <w:b/>
          <w:color w:val="auto"/>
          <w:sz w:val="22"/>
          <w:szCs w:val="22"/>
        </w:rPr>
        <w:t>31.10.2023 г.</w:t>
      </w:r>
      <w:r w:rsidR="0072415A" w:rsidRPr="00FB7590">
        <w:rPr>
          <w:b/>
          <w:color w:val="auto"/>
          <w:sz w:val="22"/>
          <w:szCs w:val="22"/>
        </w:rPr>
        <w:t xml:space="preserve"> </w:t>
      </w:r>
      <w:r w:rsidRPr="00FB7590">
        <w:rPr>
          <w:b/>
          <w:color w:val="auto"/>
          <w:sz w:val="22"/>
          <w:szCs w:val="22"/>
        </w:rPr>
        <w:t>от</w:t>
      </w:r>
      <w:r w:rsidR="00514566">
        <w:rPr>
          <w:b/>
          <w:color w:val="auto"/>
          <w:sz w:val="22"/>
          <w:szCs w:val="22"/>
        </w:rPr>
        <w:t xml:space="preserve"> 15:00 </w:t>
      </w:r>
      <w:r w:rsidRPr="00FB7590">
        <w:rPr>
          <w:b/>
          <w:color w:val="auto"/>
          <w:sz w:val="22"/>
          <w:szCs w:val="22"/>
        </w:rPr>
        <w:t>часа, в гр. Благоевгра</w:t>
      </w:r>
      <w:r w:rsidR="00FD7012" w:rsidRPr="00FB7590">
        <w:rPr>
          <w:b/>
          <w:color w:val="auto"/>
          <w:sz w:val="22"/>
          <w:szCs w:val="22"/>
        </w:rPr>
        <w:t>д, бул. „</w:t>
      </w:r>
      <w:r w:rsidR="00514566">
        <w:rPr>
          <w:b/>
          <w:color w:val="auto"/>
          <w:sz w:val="22"/>
          <w:szCs w:val="22"/>
        </w:rPr>
        <w:t>Св. Димитър Солунски" № 66, зала № 2 – втори етаж.</w:t>
      </w:r>
      <w:r w:rsidRPr="00FB7590">
        <w:rPr>
          <w:b/>
          <w:color w:val="auto"/>
          <w:sz w:val="22"/>
          <w:szCs w:val="22"/>
        </w:rPr>
        <w:t xml:space="preserve">  </w:t>
      </w:r>
    </w:p>
    <w:sectPr w:rsidR="00337C4F" w:rsidRPr="00FB7590" w:rsidSect="00AC7202">
      <w:footerReference w:type="default" r:id="rId11"/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4966E" w16cex:dateUtc="2023-08-26T12:19:00Z"/>
  <w16cex:commentExtensible w16cex:durableId="2894A17C" w16cex:dateUtc="2023-08-26T13:06:00Z"/>
  <w16cex:commentExtensible w16cex:durableId="2894A1C9" w16cex:dateUtc="2023-08-26T13:06:00Z"/>
  <w16cex:commentExtensible w16cex:durableId="2894A21A" w16cex:dateUtc="2023-08-26T13:08:00Z"/>
  <w16cex:commentExtensible w16cex:durableId="2894A30A" w16cex:dateUtc="2023-08-26T13:12:00Z"/>
  <w16cex:commentExtensible w16cex:durableId="28B3E8FE" w16cex:dateUtc="2023-09-19T0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9AE99B" w16cid:durableId="2894966E"/>
  <w16cid:commentId w16cid:paraId="27C9CDD3" w16cid:durableId="2894A17C"/>
  <w16cid:commentId w16cid:paraId="516B289E" w16cid:durableId="2894A1C9"/>
  <w16cid:commentId w16cid:paraId="09E016A2" w16cid:durableId="2894A21A"/>
  <w16cid:commentId w16cid:paraId="0B92F695" w16cid:durableId="2894A30A"/>
  <w16cid:commentId w16cid:paraId="67D03041" w16cid:durableId="28B3E8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90FBA" w14:textId="77777777" w:rsidR="0063302B" w:rsidRDefault="0063302B">
      <w:r>
        <w:separator/>
      </w:r>
    </w:p>
  </w:endnote>
  <w:endnote w:type="continuationSeparator" w:id="0">
    <w:p w14:paraId="1E6AD9B6" w14:textId="77777777" w:rsidR="0063302B" w:rsidRDefault="0063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9019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D2EED4" w14:textId="18A1D1C2" w:rsidR="00F738CA" w:rsidRPr="0072415A" w:rsidRDefault="00F738CA" w:rsidP="0072415A">
        <w:pPr>
          <w:pStyle w:val="Footer"/>
          <w:jc w:val="right"/>
          <w:rPr>
            <w:rFonts w:ascii="Times New Roman" w:hAnsi="Times New Roman" w:cs="Times New Roman"/>
          </w:rPr>
        </w:pPr>
        <w:r w:rsidRPr="0072415A">
          <w:rPr>
            <w:rFonts w:ascii="Times New Roman" w:hAnsi="Times New Roman" w:cs="Times New Roman"/>
          </w:rPr>
          <w:fldChar w:fldCharType="begin"/>
        </w:r>
        <w:r w:rsidRPr="0072415A">
          <w:rPr>
            <w:rFonts w:ascii="Times New Roman" w:hAnsi="Times New Roman" w:cs="Times New Roman"/>
          </w:rPr>
          <w:instrText>PAGE   \* MERGEFORMAT</w:instrText>
        </w:r>
        <w:r w:rsidRPr="0072415A">
          <w:rPr>
            <w:rFonts w:ascii="Times New Roman" w:hAnsi="Times New Roman" w:cs="Times New Roman"/>
          </w:rPr>
          <w:fldChar w:fldCharType="separate"/>
        </w:r>
        <w:r w:rsidR="0031327E">
          <w:rPr>
            <w:rFonts w:ascii="Times New Roman" w:hAnsi="Times New Roman" w:cs="Times New Roman"/>
            <w:noProof/>
          </w:rPr>
          <w:t>1</w:t>
        </w:r>
        <w:r w:rsidRPr="0072415A">
          <w:rPr>
            <w:rFonts w:ascii="Times New Roman" w:hAnsi="Times New Roman" w:cs="Times New Roman"/>
          </w:rPr>
          <w:fldChar w:fldCharType="end"/>
        </w:r>
      </w:p>
    </w:sdtContent>
  </w:sdt>
  <w:p w14:paraId="6D20FF6C" w14:textId="77777777" w:rsidR="00F738CA" w:rsidRPr="0072415A" w:rsidRDefault="00F738CA" w:rsidP="0072415A">
    <w:pPr>
      <w:pStyle w:val="Footer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A41DA" w14:textId="77777777" w:rsidR="0063302B" w:rsidRDefault="0063302B"/>
  </w:footnote>
  <w:footnote w:type="continuationSeparator" w:id="0">
    <w:p w14:paraId="0E6FEC85" w14:textId="77777777" w:rsidR="0063302B" w:rsidRDefault="006330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754"/>
    <w:multiLevelType w:val="hybridMultilevel"/>
    <w:tmpl w:val="E286C3E6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4BA2313"/>
    <w:multiLevelType w:val="hybridMultilevel"/>
    <w:tmpl w:val="B7803E08"/>
    <w:lvl w:ilvl="0" w:tplc="47B2C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266CA"/>
    <w:multiLevelType w:val="hybridMultilevel"/>
    <w:tmpl w:val="718CA940"/>
    <w:lvl w:ilvl="0" w:tplc="04020001">
      <w:start w:val="1"/>
      <w:numFmt w:val="bullet"/>
      <w:lvlText w:val="•"/>
      <w:lvlJc w:val="left"/>
      <w:pPr>
        <w:ind w:left="501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86" w:hanging="360"/>
      </w:pPr>
      <w:rPr>
        <w:rFonts w:ascii="Wingdings" w:hAnsi="Wingdings" w:hint="default"/>
      </w:rPr>
    </w:lvl>
  </w:abstractNum>
  <w:abstractNum w:abstractNumId="3" w15:restartNumberingAfterBreak="0">
    <w:nsid w:val="2F482666"/>
    <w:multiLevelType w:val="hybridMultilevel"/>
    <w:tmpl w:val="83CA696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FF7F0D"/>
    <w:multiLevelType w:val="hybridMultilevel"/>
    <w:tmpl w:val="7B668462"/>
    <w:lvl w:ilvl="0" w:tplc="1DD86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D3AD8"/>
    <w:multiLevelType w:val="hybridMultilevel"/>
    <w:tmpl w:val="4BC89074"/>
    <w:lvl w:ilvl="0" w:tplc="2CE6EA5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2B5940"/>
    <w:multiLevelType w:val="hybridMultilevel"/>
    <w:tmpl w:val="53568146"/>
    <w:lvl w:ilvl="0" w:tplc="040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8E77D0E"/>
    <w:multiLevelType w:val="multilevel"/>
    <w:tmpl w:val="90A45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70755C"/>
    <w:multiLevelType w:val="multilevel"/>
    <w:tmpl w:val="B888F34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97361B"/>
    <w:multiLevelType w:val="hybridMultilevel"/>
    <w:tmpl w:val="8BA604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E0474"/>
    <w:multiLevelType w:val="singleLevel"/>
    <w:tmpl w:val="F32ECC50"/>
    <w:lvl w:ilvl="0">
      <w:numFmt w:val="bullet"/>
      <w:lvlText w:val="•"/>
      <w:lvlJc w:val="left"/>
    </w:lvl>
  </w:abstractNum>
  <w:abstractNum w:abstractNumId="11" w15:restartNumberingAfterBreak="0">
    <w:nsid w:val="5CC77D98"/>
    <w:multiLevelType w:val="hybridMultilevel"/>
    <w:tmpl w:val="0F0CB2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5819F2"/>
    <w:multiLevelType w:val="hybridMultilevel"/>
    <w:tmpl w:val="1B828FA4"/>
    <w:lvl w:ilvl="0" w:tplc="08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3" w15:restartNumberingAfterBreak="0">
    <w:nsid w:val="5EE66EEA"/>
    <w:multiLevelType w:val="hybridMultilevel"/>
    <w:tmpl w:val="91004C3C"/>
    <w:lvl w:ilvl="0" w:tplc="08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4" w15:restartNumberingAfterBreak="0">
    <w:nsid w:val="66C1365D"/>
    <w:multiLevelType w:val="hybridMultilevel"/>
    <w:tmpl w:val="A7FE5F98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 w15:restartNumberingAfterBreak="0">
    <w:nsid w:val="6791712B"/>
    <w:multiLevelType w:val="hybridMultilevel"/>
    <w:tmpl w:val="8102B9C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384EC2"/>
    <w:multiLevelType w:val="multilevel"/>
    <w:tmpl w:val="66D8C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45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76C10B52"/>
    <w:multiLevelType w:val="hybridMultilevel"/>
    <w:tmpl w:val="E7E268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55AF4"/>
    <w:multiLevelType w:val="multilevel"/>
    <w:tmpl w:val="0D48BE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15"/>
  </w:num>
  <w:num w:numId="11">
    <w:abstractNumId w:val="0"/>
  </w:num>
  <w:num w:numId="12">
    <w:abstractNumId w:val="2"/>
  </w:num>
  <w:num w:numId="13">
    <w:abstractNumId w:val="6"/>
  </w:num>
  <w:num w:numId="14">
    <w:abstractNumId w:val="17"/>
  </w:num>
  <w:num w:numId="15">
    <w:abstractNumId w:val="11"/>
  </w:num>
  <w:num w:numId="16">
    <w:abstractNumId w:val="16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4F"/>
    <w:rsid w:val="00045115"/>
    <w:rsid w:val="0005050E"/>
    <w:rsid w:val="00066142"/>
    <w:rsid w:val="00094B6F"/>
    <w:rsid w:val="0009733A"/>
    <w:rsid w:val="000975F9"/>
    <w:rsid w:val="000A20A4"/>
    <w:rsid w:val="000A4B3A"/>
    <w:rsid w:val="000B2382"/>
    <w:rsid w:val="000F3C05"/>
    <w:rsid w:val="00101F7E"/>
    <w:rsid w:val="001226B3"/>
    <w:rsid w:val="001247E1"/>
    <w:rsid w:val="00130C55"/>
    <w:rsid w:val="00135EDC"/>
    <w:rsid w:val="001414B4"/>
    <w:rsid w:val="0014312E"/>
    <w:rsid w:val="001464AF"/>
    <w:rsid w:val="00162B56"/>
    <w:rsid w:val="00185164"/>
    <w:rsid w:val="001B14EF"/>
    <w:rsid w:val="001C051B"/>
    <w:rsid w:val="001C1C9E"/>
    <w:rsid w:val="001C6754"/>
    <w:rsid w:val="0020105C"/>
    <w:rsid w:val="00214E37"/>
    <w:rsid w:val="002203DF"/>
    <w:rsid w:val="00230611"/>
    <w:rsid w:val="00236A81"/>
    <w:rsid w:val="00246B2C"/>
    <w:rsid w:val="00246D75"/>
    <w:rsid w:val="002473C4"/>
    <w:rsid w:val="00252CD6"/>
    <w:rsid w:val="00281FA1"/>
    <w:rsid w:val="00290E69"/>
    <w:rsid w:val="002A09B8"/>
    <w:rsid w:val="002E28C3"/>
    <w:rsid w:val="0031327E"/>
    <w:rsid w:val="00320852"/>
    <w:rsid w:val="0032215F"/>
    <w:rsid w:val="00322A27"/>
    <w:rsid w:val="00337C4F"/>
    <w:rsid w:val="00340332"/>
    <w:rsid w:val="003406CF"/>
    <w:rsid w:val="0038550E"/>
    <w:rsid w:val="003B3F3F"/>
    <w:rsid w:val="003B666B"/>
    <w:rsid w:val="003F2013"/>
    <w:rsid w:val="003F24C6"/>
    <w:rsid w:val="003F56FE"/>
    <w:rsid w:val="0040171E"/>
    <w:rsid w:val="004158CB"/>
    <w:rsid w:val="00427EC3"/>
    <w:rsid w:val="004309A1"/>
    <w:rsid w:val="00442C3A"/>
    <w:rsid w:val="0047140D"/>
    <w:rsid w:val="00487CE4"/>
    <w:rsid w:val="004A668E"/>
    <w:rsid w:val="004B7842"/>
    <w:rsid w:val="004C34F7"/>
    <w:rsid w:val="004F0F91"/>
    <w:rsid w:val="004F4B0C"/>
    <w:rsid w:val="005037E0"/>
    <w:rsid w:val="00506E6F"/>
    <w:rsid w:val="00510090"/>
    <w:rsid w:val="00514566"/>
    <w:rsid w:val="00514D04"/>
    <w:rsid w:val="0051715C"/>
    <w:rsid w:val="00534DB9"/>
    <w:rsid w:val="00553ABD"/>
    <w:rsid w:val="00577A72"/>
    <w:rsid w:val="00580927"/>
    <w:rsid w:val="0058466F"/>
    <w:rsid w:val="005867AB"/>
    <w:rsid w:val="00590E1A"/>
    <w:rsid w:val="00592F9F"/>
    <w:rsid w:val="00595E3B"/>
    <w:rsid w:val="005C2F0E"/>
    <w:rsid w:val="005E4A41"/>
    <w:rsid w:val="00605AF2"/>
    <w:rsid w:val="0060645B"/>
    <w:rsid w:val="00612E58"/>
    <w:rsid w:val="006171F5"/>
    <w:rsid w:val="0062248E"/>
    <w:rsid w:val="00631C3F"/>
    <w:rsid w:val="0063302B"/>
    <w:rsid w:val="006467C2"/>
    <w:rsid w:val="00654036"/>
    <w:rsid w:val="006826E2"/>
    <w:rsid w:val="006A34BC"/>
    <w:rsid w:val="006C09B9"/>
    <w:rsid w:val="006C34F1"/>
    <w:rsid w:val="006C56FB"/>
    <w:rsid w:val="006C6D61"/>
    <w:rsid w:val="006D5868"/>
    <w:rsid w:val="00701619"/>
    <w:rsid w:val="0072415A"/>
    <w:rsid w:val="00731D0C"/>
    <w:rsid w:val="007339A4"/>
    <w:rsid w:val="00741740"/>
    <w:rsid w:val="00746F6D"/>
    <w:rsid w:val="00791688"/>
    <w:rsid w:val="007955E7"/>
    <w:rsid w:val="007A35BF"/>
    <w:rsid w:val="007C051E"/>
    <w:rsid w:val="007E7A4B"/>
    <w:rsid w:val="007F0714"/>
    <w:rsid w:val="007F3C5F"/>
    <w:rsid w:val="00812A84"/>
    <w:rsid w:val="00851832"/>
    <w:rsid w:val="008565B7"/>
    <w:rsid w:val="00873CB9"/>
    <w:rsid w:val="00881DD4"/>
    <w:rsid w:val="008936B8"/>
    <w:rsid w:val="008B281F"/>
    <w:rsid w:val="008B4932"/>
    <w:rsid w:val="008C2823"/>
    <w:rsid w:val="008D5C71"/>
    <w:rsid w:val="008E0502"/>
    <w:rsid w:val="008E2E9A"/>
    <w:rsid w:val="008F15FB"/>
    <w:rsid w:val="00911E3B"/>
    <w:rsid w:val="009151BC"/>
    <w:rsid w:val="00936584"/>
    <w:rsid w:val="0095680E"/>
    <w:rsid w:val="00960F71"/>
    <w:rsid w:val="00972D2C"/>
    <w:rsid w:val="00993CC7"/>
    <w:rsid w:val="009A38BF"/>
    <w:rsid w:val="009B7C58"/>
    <w:rsid w:val="009E49DF"/>
    <w:rsid w:val="009F6005"/>
    <w:rsid w:val="009F637C"/>
    <w:rsid w:val="00A0247E"/>
    <w:rsid w:val="00A047BC"/>
    <w:rsid w:val="00A13CB2"/>
    <w:rsid w:val="00A202DC"/>
    <w:rsid w:val="00A2084D"/>
    <w:rsid w:val="00A32F7F"/>
    <w:rsid w:val="00A35B4E"/>
    <w:rsid w:val="00A35C2B"/>
    <w:rsid w:val="00A43428"/>
    <w:rsid w:val="00A456DF"/>
    <w:rsid w:val="00A644DD"/>
    <w:rsid w:val="00A7792D"/>
    <w:rsid w:val="00A8545F"/>
    <w:rsid w:val="00A90C81"/>
    <w:rsid w:val="00AC7202"/>
    <w:rsid w:val="00AD2817"/>
    <w:rsid w:val="00B4796F"/>
    <w:rsid w:val="00B51853"/>
    <w:rsid w:val="00B52AC9"/>
    <w:rsid w:val="00B52CC0"/>
    <w:rsid w:val="00B60C6D"/>
    <w:rsid w:val="00B868D0"/>
    <w:rsid w:val="00BA144B"/>
    <w:rsid w:val="00BB0240"/>
    <w:rsid w:val="00BB2943"/>
    <w:rsid w:val="00C0600A"/>
    <w:rsid w:val="00C1220E"/>
    <w:rsid w:val="00C16847"/>
    <w:rsid w:val="00C34C20"/>
    <w:rsid w:val="00C539F9"/>
    <w:rsid w:val="00C542C7"/>
    <w:rsid w:val="00C6051E"/>
    <w:rsid w:val="00C65CF3"/>
    <w:rsid w:val="00C95B04"/>
    <w:rsid w:val="00CB2B6A"/>
    <w:rsid w:val="00CB42CE"/>
    <w:rsid w:val="00CD3216"/>
    <w:rsid w:val="00CD78F4"/>
    <w:rsid w:val="00D20432"/>
    <w:rsid w:val="00D20F53"/>
    <w:rsid w:val="00D27F20"/>
    <w:rsid w:val="00D640A1"/>
    <w:rsid w:val="00DD05AC"/>
    <w:rsid w:val="00DE3A88"/>
    <w:rsid w:val="00DF0809"/>
    <w:rsid w:val="00DF5284"/>
    <w:rsid w:val="00E02BAA"/>
    <w:rsid w:val="00E03A0F"/>
    <w:rsid w:val="00E110D0"/>
    <w:rsid w:val="00E47E17"/>
    <w:rsid w:val="00E5116C"/>
    <w:rsid w:val="00E5130C"/>
    <w:rsid w:val="00E524B6"/>
    <w:rsid w:val="00E60AD2"/>
    <w:rsid w:val="00E87E13"/>
    <w:rsid w:val="00EB4195"/>
    <w:rsid w:val="00EC1344"/>
    <w:rsid w:val="00EE30EA"/>
    <w:rsid w:val="00F021C1"/>
    <w:rsid w:val="00F02BDD"/>
    <w:rsid w:val="00F13CDC"/>
    <w:rsid w:val="00F176C1"/>
    <w:rsid w:val="00F347C3"/>
    <w:rsid w:val="00F40E92"/>
    <w:rsid w:val="00F429DE"/>
    <w:rsid w:val="00F461C6"/>
    <w:rsid w:val="00F6261B"/>
    <w:rsid w:val="00F644A4"/>
    <w:rsid w:val="00F64C76"/>
    <w:rsid w:val="00F6654B"/>
    <w:rsid w:val="00F738CA"/>
    <w:rsid w:val="00F81E95"/>
    <w:rsid w:val="00F83300"/>
    <w:rsid w:val="00F84DB8"/>
    <w:rsid w:val="00F85C01"/>
    <w:rsid w:val="00F9712F"/>
    <w:rsid w:val="00FA5EBA"/>
    <w:rsid w:val="00FB7590"/>
    <w:rsid w:val="00FC6C9E"/>
    <w:rsid w:val="00FC74C7"/>
    <w:rsid w:val="00FD0778"/>
    <w:rsid w:val="00FD7012"/>
    <w:rsid w:val="00FE66B3"/>
    <w:rsid w:val="00FE7262"/>
    <w:rsid w:val="00FF1ECA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D6F6"/>
  <w15:docId w15:val="{4801F5D7-1AB5-4B35-9EA0-85CDDB5B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311pt">
    <w:name w:val="Основен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5pt">
    <w:name w:val="Основен текст (5) + 15 pt;Удебелен;Не 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41">
    <w:name w:val="Основен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480" w:after="240" w:line="26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120" w:line="274" w:lineRule="exact"/>
      <w:ind w:hanging="320"/>
      <w:jc w:val="both"/>
    </w:pPr>
    <w:rPr>
      <w:rFonts w:ascii="Times New Roman" w:eastAsia="Times New Roman" w:hAnsi="Times New Roman"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F40E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0714"/>
  </w:style>
  <w:style w:type="paragraph" w:customStyle="1" w:styleId="Char1">
    <w:name w:val="Char1"/>
    <w:basedOn w:val="Normal"/>
    <w:rsid w:val="007F0714"/>
    <w:pPr>
      <w:widowControl/>
      <w:tabs>
        <w:tab w:val="left" w:pos="709"/>
      </w:tabs>
    </w:pPr>
    <w:rPr>
      <w:rFonts w:eastAsia="Times New Roman" w:cs="Times New Roman"/>
      <w:color w:val="auto"/>
      <w:lang w:val="pl-PL" w:eastAsia="pl-PL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0714"/>
    <w:rPr>
      <w:color w:val="000000"/>
    </w:rPr>
  </w:style>
  <w:style w:type="character" w:styleId="Emphasis">
    <w:name w:val="Emphasis"/>
    <w:qFormat/>
    <w:rsid w:val="00C539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738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8C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738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8CA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20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0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03DF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3DF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DF"/>
    <w:rPr>
      <w:rFonts w:ascii="Segoe UI" w:hAnsi="Segoe UI" w:cs="Segoe UI"/>
      <w:color w:val="000000"/>
      <w:sz w:val="18"/>
      <w:szCs w:val="18"/>
    </w:rPr>
  </w:style>
  <w:style w:type="table" w:customStyle="1" w:styleId="TableHRWallingford">
    <w:name w:val="~TableHRWallingford"/>
    <w:basedOn w:val="TableNormal"/>
    <w:uiPriority w:val="99"/>
    <w:rsid w:val="002A09B8"/>
    <w:pPr>
      <w:widowControl/>
    </w:pPr>
    <w:rPr>
      <w:rFonts w:asciiTheme="minorHAnsi" w:eastAsiaTheme="minorHAnsi" w:hAnsiTheme="minorHAnsi" w:cstheme="minorBidi"/>
      <w:color w:val="000000" w:themeColor="text1"/>
      <w:sz w:val="20"/>
      <w:szCs w:val="20"/>
      <w:lang w:eastAsia="en-US" w:bidi="ar-SA"/>
    </w:rPr>
    <w:tblPr>
      <w:tblStyleRowBandSize w:val="1"/>
      <w:tblBorders>
        <w:top w:val="single" w:sz="4" w:space="0" w:color="5B9BD5" w:themeColor="accent1"/>
        <w:left w:val="single" w:sz="4" w:space="0" w:color="E7E6E6" w:themeColor="background2"/>
        <w:bottom w:val="single" w:sz="4" w:space="0" w:color="5B9BD5" w:themeColor="accent1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cPr>
      <w:shd w:val="clear" w:color="auto" w:fill="FFFFFF" w:themeFill="background1"/>
    </w:tcPr>
    <w:tblStylePr w:type="firstRow">
      <w:tblPr/>
      <w:trPr>
        <w:cantSplit/>
        <w:tblHeader/>
      </w:trPr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5B9BD5" w:themeFill="accent1"/>
      </w:tcPr>
    </w:tblStylePr>
    <w:tblStylePr w:type="firstCol">
      <w:rPr>
        <w:color w:val="5B9BD5" w:themeColor="accent1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left w:val="single" w:sz="4" w:space="0" w:color="E7E6E6" w:themeColor="background2"/>
          <w:right w:val="single" w:sz="4" w:space="0" w:color="E7E6E6" w:themeColor="background2"/>
          <w:insideH w:val="nil"/>
          <w:insideV w:val="single" w:sz="4" w:space="0" w:color="E7E6E6" w:themeColor="background2"/>
          <w:tl2br w:val="nil"/>
          <w:tr2bl w:val="nil"/>
        </w:tcBorders>
        <w:shd w:val="clear" w:color="auto" w:fill="E7E6E6" w:themeFill="background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bd.bg/content/&#1086;&#1073;&#1097;&#1077;&#1089;&#1090;&#1074;&#1077;&#1085;&#1080;-&#1082;&#1086;&#1085;&#1089;&#1091;&#1083;&#1090;&#1072;&#1094;&#1080;&#1080;/&#1086;&#1073;&#1097;&#1077;&#1089;&#1090;&#1074;&#1077;&#1085;&#1080;-&#1082;&#1086;&#1085;&#1089;&#1091;&#1083;&#1090;&#1072;&#1094;&#1080;&#1080;-&#1077;&#1090;&#1072;&#1087;&#1080;-&#1087;&#1091;&#1088;&#1085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bd.bg/index.php/2015-06-25-12-30-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mailto:bdblg@wab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ew.government.bg/bg/vodi/planove-za-upravlenie/planove-za-upravlenie-na-riska-ot-navodneniya-purn/planove-za-upravlenie-na-riska-ot-navodneniya-2022-20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1761</Words>
  <Characters>10044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NeliGoceva</dc:creator>
  <cp:lastModifiedBy>Windows User</cp:lastModifiedBy>
  <cp:revision>2</cp:revision>
  <dcterms:created xsi:type="dcterms:W3CDTF">2023-09-28T08:47:00Z</dcterms:created>
  <dcterms:modified xsi:type="dcterms:W3CDTF">2023-09-28T08:47:00Z</dcterms:modified>
</cp:coreProperties>
</file>