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7"/>
        <w:gridCol w:w="3888"/>
        <w:gridCol w:w="2122"/>
      </w:tblGrid>
      <w:tr w:rsidR="00664168" w:rsidRPr="00770851" w:rsidTr="001D6C57">
        <w:tc>
          <w:tcPr>
            <w:tcW w:w="9747" w:type="dxa"/>
            <w:gridSpan w:val="3"/>
          </w:tcPr>
          <w:p w:rsidR="00664168" w:rsidRPr="001D6C57" w:rsidRDefault="00BC3B28" w:rsidP="001D6C57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ТАБЛИЦИ</w:t>
            </w:r>
            <w:r w:rsidR="00664168" w:rsidRPr="001D6C57">
              <w:rPr>
                <w:b/>
                <w:sz w:val="20"/>
                <w:szCs w:val="20"/>
              </w:rPr>
              <w:t xml:space="preserve"> ЗА СЪОТВЕТСТВИЕ</w:t>
            </w:r>
          </w:p>
        </w:tc>
      </w:tr>
      <w:tr w:rsidR="00664168" w:rsidRPr="00AE39A2" w:rsidTr="001D6C57">
        <w:tc>
          <w:tcPr>
            <w:tcW w:w="3737" w:type="dxa"/>
          </w:tcPr>
          <w:p w:rsidR="00664168" w:rsidRPr="001D6C57" w:rsidRDefault="00244D5C" w:rsidP="00D85B79">
            <w:pPr>
              <w:pStyle w:val="NoSpacing"/>
              <w:rPr>
                <w:b/>
                <w:sz w:val="20"/>
                <w:szCs w:val="20"/>
                <w:lang w:eastAsia="bg-BG"/>
              </w:rPr>
            </w:pPr>
            <w:r w:rsidRPr="00244D5C">
              <w:rPr>
                <w:b/>
                <w:sz w:val="20"/>
                <w:szCs w:val="20"/>
                <w:lang w:eastAsia="bg-BG"/>
              </w:rPr>
              <w:t xml:space="preserve">ДЕЛЕГИРАНА ДИРЕКТИВА (ЕС) 2015/573 НА КОМИСИЯТА от 30 януари 2015 година за изменение, с цел привеждане в съответствие с техническия прогрес, на приложение IV към Директива 2011/65/ЕС на Европейския парламент и на Съвета по отношение на освобождаване от ограничението за използване на олово в </w:t>
            </w:r>
            <w:proofErr w:type="spellStart"/>
            <w:r w:rsidRPr="00244D5C">
              <w:rPr>
                <w:b/>
                <w:sz w:val="20"/>
                <w:szCs w:val="20"/>
                <w:lang w:eastAsia="bg-BG"/>
              </w:rPr>
              <w:t>поливинилхлоридни</w:t>
            </w:r>
            <w:proofErr w:type="spellEnd"/>
            <w:r w:rsidRPr="00244D5C">
              <w:rPr>
                <w:b/>
                <w:sz w:val="20"/>
                <w:szCs w:val="20"/>
                <w:lang w:eastAsia="bg-BG"/>
              </w:rPr>
              <w:t xml:space="preserve"> сензори в медицински уреди за ин витро диагностика</w:t>
            </w:r>
          </w:p>
        </w:tc>
        <w:tc>
          <w:tcPr>
            <w:tcW w:w="3888" w:type="dxa"/>
          </w:tcPr>
          <w:p w:rsidR="00664168" w:rsidRPr="001D6C57" w:rsidRDefault="00244D5C" w:rsidP="00244D5C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Наредба за условията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реда </w:t>
            </w:r>
            <w:r w:rsidR="00664168" w:rsidRPr="001D6C57">
              <w:rPr>
                <w:b/>
                <w:sz w:val="20"/>
                <w:szCs w:val="20"/>
              </w:rPr>
              <w:t>за пускане на пазара на електрическо и електронно оборудване във връзка с ограниченията за употреба на определени опасна вещества</w:t>
            </w:r>
          </w:p>
        </w:tc>
        <w:tc>
          <w:tcPr>
            <w:tcW w:w="2122" w:type="dxa"/>
          </w:tcPr>
          <w:p w:rsidR="00664168" w:rsidRPr="001D6C57" w:rsidRDefault="00664168" w:rsidP="006F3AD7">
            <w:pPr>
              <w:pStyle w:val="NoSpacing"/>
              <w:rPr>
                <w:b/>
                <w:sz w:val="20"/>
                <w:szCs w:val="20"/>
              </w:rPr>
            </w:pPr>
            <w:r w:rsidRPr="001D6C57">
              <w:rPr>
                <w:b/>
                <w:sz w:val="20"/>
                <w:szCs w:val="20"/>
              </w:rPr>
              <w:t>Съответствие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i/>
                <w:iCs/>
                <w:sz w:val="20"/>
                <w:szCs w:val="20"/>
              </w:rPr>
              <w:t xml:space="preserve">Член 1 </w:t>
            </w:r>
          </w:p>
          <w:p w:rsidR="00664168" w:rsidRPr="001D6C57" w:rsidRDefault="00244D5C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244D5C">
              <w:rPr>
                <w:bCs/>
                <w:sz w:val="20"/>
                <w:szCs w:val="20"/>
              </w:rPr>
              <w:t>Приложение IV към Директива 2011/65/ЕС се изменя в съответствие с приложението към настоящата директива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i/>
                <w:iCs/>
                <w:sz w:val="20"/>
                <w:szCs w:val="20"/>
              </w:rPr>
              <w:t xml:space="preserve">Член 2 </w:t>
            </w:r>
          </w:p>
          <w:p w:rsidR="00244D5C" w:rsidRPr="00244D5C" w:rsidRDefault="00244D5C" w:rsidP="00617ADF">
            <w:pPr>
              <w:pStyle w:val="NoSpacing"/>
              <w:jc w:val="both"/>
              <w:rPr>
                <w:sz w:val="20"/>
                <w:szCs w:val="20"/>
                <w:lang w:val="ru-RU"/>
              </w:rPr>
            </w:pPr>
            <w:r w:rsidRPr="00244D5C">
              <w:rPr>
                <w:sz w:val="20"/>
                <w:szCs w:val="20"/>
                <w:lang w:val="ru-RU"/>
              </w:rPr>
              <w:t xml:space="preserve">1.Държавите членки въвеждат в сила законовите, подзаконовите и административните разпоредби, необходими, за да се съобразят с настоящата директива, не по-късно от последния ден на деветия месец след нейното влизане в сила. Те незабавно съобщават на Комисията текста на тези разпоредби. </w:t>
            </w:r>
          </w:p>
          <w:p w:rsidR="00244D5C" w:rsidRDefault="00244D5C" w:rsidP="00617ADF">
            <w:pPr>
              <w:pStyle w:val="NoSpacing"/>
              <w:jc w:val="both"/>
              <w:rPr>
                <w:sz w:val="20"/>
                <w:szCs w:val="20"/>
                <w:lang w:val="ru-RU"/>
              </w:rPr>
            </w:pPr>
            <w:r w:rsidRPr="00244D5C">
              <w:rPr>
                <w:sz w:val="20"/>
                <w:szCs w:val="20"/>
                <w:lang w:val="ru-RU"/>
              </w:rPr>
              <w:t xml:space="preserve"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 </w:t>
            </w: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244D5C" w:rsidRDefault="00244D5C" w:rsidP="00244D5C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664168" w:rsidRPr="001D6C57" w:rsidRDefault="00244D5C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244D5C">
              <w:rPr>
                <w:sz w:val="20"/>
                <w:szCs w:val="20"/>
                <w:lang w:val="ru-RU"/>
              </w:rPr>
              <w:t>2.Държавите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3888" w:type="dxa"/>
          </w:tcPr>
          <w:p w:rsidR="00664168" w:rsidRPr="00EC1741" w:rsidRDefault="00664168" w:rsidP="006F3AD7">
            <w:pPr>
              <w:pStyle w:val="NoSpacing"/>
              <w:rPr>
                <w:sz w:val="20"/>
                <w:szCs w:val="20"/>
                <w:lang w:val="ru-RU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7002C0">
            <w:pPr>
              <w:pStyle w:val="NoSpacing"/>
              <w:rPr>
                <w:sz w:val="20"/>
                <w:szCs w:val="20"/>
              </w:rPr>
            </w:pPr>
          </w:p>
          <w:p w:rsidR="00244D5C" w:rsidRPr="00244D5C" w:rsidRDefault="00244D5C" w:rsidP="00244D5C">
            <w:pPr>
              <w:pStyle w:val="NoSpacing"/>
              <w:rPr>
                <w:sz w:val="20"/>
                <w:szCs w:val="20"/>
              </w:rPr>
            </w:pPr>
            <w:r w:rsidRPr="00244D5C">
              <w:rPr>
                <w:b/>
                <w:sz w:val="20"/>
                <w:szCs w:val="20"/>
              </w:rPr>
              <w:t>В § 2 от Допълнит</w:t>
            </w:r>
            <w:r w:rsidR="00617ADF">
              <w:rPr>
                <w:b/>
                <w:sz w:val="20"/>
                <w:szCs w:val="20"/>
              </w:rPr>
              <w:t>елн</w:t>
            </w:r>
            <w:r w:rsidR="00697027">
              <w:rPr>
                <w:b/>
                <w:sz w:val="20"/>
                <w:szCs w:val="20"/>
              </w:rPr>
              <w:t>ите разпоредби се създават т.</w:t>
            </w:r>
            <w:r w:rsidRPr="00244D5C">
              <w:rPr>
                <w:b/>
                <w:sz w:val="20"/>
                <w:szCs w:val="20"/>
              </w:rPr>
              <w:t xml:space="preserve"> 28</w:t>
            </w:r>
            <w:r w:rsidR="00617ADF">
              <w:rPr>
                <w:b/>
                <w:sz w:val="20"/>
                <w:szCs w:val="20"/>
              </w:rPr>
              <w:t>, 29 и</w:t>
            </w:r>
            <w:r w:rsidRPr="00244D5C">
              <w:rPr>
                <w:b/>
                <w:sz w:val="20"/>
                <w:szCs w:val="20"/>
              </w:rPr>
              <w:t xml:space="preserve"> 30:</w:t>
            </w:r>
          </w:p>
          <w:p w:rsidR="00664168" w:rsidRPr="00C55583" w:rsidRDefault="00244D5C" w:rsidP="00244D5C">
            <w:pPr>
              <w:pStyle w:val="NoSpacing"/>
              <w:rPr>
                <w:sz w:val="20"/>
                <w:szCs w:val="20"/>
                <w:lang w:val="en-US"/>
              </w:rPr>
            </w:pPr>
            <w:r w:rsidRPr="00244D5C">
              <w:rPr>
                <w:sz w:val="20"/>
                <w:szCs w:val="20"/>
              </w:rPr>
              <w:t xml:space="preserve">„28. Делегирана директива (ЕС) 2015/573 на Комисията от 30 януари 2015 година за изменение, с цел привеждане в съответствие с техническия прогрес, на приложение IV към Директива 2011/65/ЕС на Европейския парламент и на Съвета по отношение на освобождаване от ограничението за използване на олово в </w:t>
            </w:r>
            <w:proofErr w:type="spellStart"/>
            <w:r w:rsidRPr="00244D5C">
              <w:rPr>
                <w:sz w:val="20"/>
                <w:szCs w:val="20"/>
              </w:rPr>
              <w:t>поливинилхлоридни</w:t>
            </w:r>
            <w:proofErr w:type="spellEnd"/>
            <w:r w:rsidRPr="00244D5C">
              <w:rPr>
                <w:sz w:val="20"/>
                <w:szCs w:val="20"/>
              </w:rPr>
              <w:t xml:space="preserve"> сензори в медицински уреди за ин витро диагностика (ОВ, </w:t>
            </w:r>
            <w:r w:rsidRPr="00244D5C">
              <w:rPr>
                <w:sz w:val="20"/>
                <w:szCs w:val="20"/>
                <w:lang w:val="en-US"/>
              </w:rPr>
              <w:t xml:space="preserve">L 94/4, 10.4.2015 </w:t>
            </w:r>
            <w:r w:rsidR="00C55583">
              <w:rPr>
                <w:sz w:val="20"/>
                <w:szCs w:val="20"/>
              </w:rPr>
              <w:t>г.)</w:t>
            </w:r>
            <w:r w:rsidR="00C5558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2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Пълно</w:t>
            </w: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 xml:space="preserve">Член 3 </w:t>
            </w:r>
          </w:p>
          <w:p w:rsidR="00664168" w:rsidRPr="001D6C57" w:rsidRDefault="00244D5C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244D5C">
              <w:rPr>
                <w:sz w:val="20"/>
                <w:szCs w:val="20"/>
              </w:rPr>
              <w:t>Настоящата директива влиза в сила на двадесетия ден след деня на публикуването ѝ в Официален вестник на Европейския съюз.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 xml:space="preserve">Член 4 </w:t>
            </w:r>
          </w:p>
          <w:p w:rsidR="00664168" w:rsidRPr="001D6C57" w:rsidRDefault="00664168" w:rsidP="006F3AD7">
            <w:pPr>
              <w:pStyle w:val="NoSpacing"/>
              <w:rPr>
                <w:bCs/>
                <w:sz w:val="20"/>
                <w:szCs w:val="20"/>
              </w:rPr>
            </w:pPr>
            <w:r w:rsidRPr="001D6C57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3D2EE6" w:rsidRDefault="003D2EE6" w:rsidP="006F3AD7">
            <w:pPr>
              <w:pStyle w:val="NoSpacing"/>
              <w:rPr>
                <w:sz w:val="20"/>
                <w:szCs w:val="20"/>
              </w:rPr>
            </w:pPr>
            <w:r w:rsidRPr="003D2EE6">
              <w:rPr>
                <w:sz w:val="20"/>
                <w:szCs w:val="20"/>
              </w:rPr>
              <w:t>ПРИЛОЖЕНИЕ</w:t>
            </w:r>
          </w:p>
          <w:p w:rsidR="00664168" w:rsidRPr="001D6C57" w:rsidRDefault="00244D5C" w:rsidP="00244D5C">
            <w:pPr>
              <w:pStyle w:val="NoSpacing"/>
              <w:jc w:val="both"/>
              <w:rPr>
                <w:sz w:val="20"/>
                <w:szCs w:val="20"/>
              </w:rPr>
            </w:pPr>
            <w:r w:rsidRPr="00244D5C">
              <w:rPr>
                <w:sz w:val="20"/>
                <w:szCs w:val="20"/>
              </w:rPr>
              <w:t xml:space="preserve">В приложение IV към Директива </w:t>
            </w:r>
            <w:r w:rsidRPr="00244D5C">
              <w:rPr>
                <w:sz w:val="20"/>
                <w:szCs w:val="20"/>
              </w:rPr>
              <w:lastRenderedPageBreak/>
              <w:t>2011/65/ЕС се добавя следната точка 41: „</w:t>
            </w:r>
            <w:proofErr w:type="spellStart"/>
            <w:r w:rsidRPr="00244D5C">
              <w:rPr>
                <w:sz w:val="20"/>
                <w:szCs w:val="20"/>
              </w:rPr>
              <w:t>41</w:t>
            </w:r>
            <w:proofErr w:type="spellEnd"/>
            <w:r w:rsidRPr="00244D5C">
              <w:rPr>
                <w:sz w:val="20"/>
                <w:szCs w:val="20"/>
              </w:rPr>
              <w:t xml:space="preserve">.Олово, като термичен стабилизатор в поливинилхлорид (PVC), който се използва като базов материал в </w:t>
            </w:r>
            <w:proofErr w:type="spellStart"/>
            <w:r w:rsidRPr="00244D5C">
              <w:rPr>
                <w:sz w:val="20"/>
                <w:szCs w:val="20"/>
              </w:rPr>
              <w:t>амперометрични</w:t>
            </w:r>
            <w:proofErr w:type="spellEnd"/>
            <w:r w:rsidRPr="00244D5C">
              <w:rPr>
                <w:sz w:val="20"/>
                <w:szCs w:val="20"/>
              </w:rPr>
              <w:t xml:space="preserve">, </w:t>
            </w:r>
            <w:proofErr w:type="spellStart"/>
            <w:r w:rsidRPr="00244D5C">
              <w:rPr>
                <w:sz w:val="20"/>
                <w:szCs w:val="20"/>
              </w:rPr>
              <w:t>потенциометрични</w:t>
            </w:r>
            <w:proofErr w:type="spellEnd"/>
            <w:r w:rsidRPr="00244D5C">
              <w:rPr>
                <w:sz w:val="20"/>
                <w:szCs w:val="20"/>
              </w:rPr>
              <w:t xml:space="preserve"> и </w:t>
            </w:r>
            <w:proofErr w:type="spellStart"/>
            <w:r w:rsidRPr="00244D5C">
              <w:rPr>
                <w:sz w:val="20"/>
                <w:szCs w:val="20"/>
              </w:rPr>
              <w:t>кондуктометрични</w:t>
            </w:r>
            <w:proofErr w:type="spellEnd"/>
            <w:r w:rsidRPr="00244D5C">
              <w:rPr>
                <w:sz w:val="20"/>
                <w:szCs w:val="20"/>
              </w:rPr>
              <w:t xml:space="preserve"> електрохимични сензори, които се използват в медицински уреди за ин витро диагностика за анализ на кръв и други телесни течности и газове. Изтича на 31 декември 2018 г.“</w:t>
            </w:r>
          </w:p>
        </w:tc>
        <w:tc>
          <w:tcPr>
            <w:tcW w:w="3888" w:type="dxa"/>
          </w:tcPr>
          <w:p w:rsidR="00C54784" w:rsidRDefault="00C54784" w:rsidP="000F605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  <w:p w:rsidR="000F6057" w:rsidRPr="000F6057" w:rsidRDefault="000F6057" w:rsidP="000F6057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0F6057">
              <w:rPr>
                <w:b/>
                <w:bCs/>
                <w:sz w:val="20"/>
                <w:szCs w:val="20"/>
              </w:rPr>
              <w:t xml:space="preserve">В Приложение № 3 се създават точки </w:t>
            </w:r>
            <w:r w:rsidRPr="000F6057">
              <w:rPr>
                <w:b/>
                <w:bCs/>
                <w:sz w:val="20"/>
                <w:szCs w:val="20"/>
              </w:rPr>
              <w:lastRenderedPageBreak/>
              <w:t>3.33 и 3.34</w:t>
            </w:r>
            <w:r w:rsidRPr="000F6057">
              <w:rPr>
                <w:bCs/>
                <w:sz w:val="20"/>
                <w:szCs w:val="20"/>
              </w:rPr>
              <w:t>:</w:t>
            </w:r>
          </w:p>
          <w:p w:rsidR="00664168" w:rsidRPr="00EC1741" w:rsidRDefault="000F6057" w:rsidP="000F6057">
            <w:pPr>
              <w:pStyle w:val="NoSpacing"/>
              <w:jc w:val="both"/>
              <w:rPr>
                <w:bCs/>
                <w:sz w:val="20"/>
                <w:szCs w:val="20"/>
                <w:lang w:val="ru-RU"/>
              </w:rPr>
            </w:pPr>
            <w:r w:rsidRPr="000F6057">
              <w:rPr>
                <w:bCs/>
                <w:sz w:val="20"/>
                <w:szCs w:val="20"/>
              </w:rPr>
              <w:t xml:space="preserve">„3.33. Олово, като термичен стабилизатор в поливинилхлорид (PVC), който се използва като базов материал в </w:t>
            </w:r>
            <w:proofErr w:type="spellStart"/>
            <w:r w:rsidRPr="000F6057">
              <w:rPr>
                <w:bCs/>
                <w:sz w:val="20"/>
                <w:szCs w:val="20"/>
              </w:rPr>
              <w:t>амперометрични</w:t>
            </w:r>
            <w:proofErr w:type="spellEnd"/>
            <w:r w:rsidRPr="000F605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F6057">
              <w:rPr>
                <w:bCs/>
                <w:sz w:val="20"/>
                <w:szCs w:val="20"/>
              </w:rPr>
              <w:t>потенциометрични</w:t>
            </w:r>
            <w:proofErr w:type="spellEnd"/>
            <w:r w:rsidRPr="000F6057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0F6057">
              <w:rPr>
                <w:bCs/>
                <w:sz w:val="20"/>
                <w:szCs w:val="20"/>
              </w:rPr>
              <w:t>кондуктометрични</w:t>
            </w:r>
            <w:proofErr w:type="spellEnd"/>
            <w:r w:rsidRPr="000F6057">
              <w:rPr>
                <w:bCs/>
                <w:sz w:val="20"/>
                <w:szCs w:val="20"/>
              </w:rPr>
              <w:t xml:space="preserve"> електрохимични сензори, които се използват в медицински уреди за ин витро диагностика за анализ на кръв и други телесни течности и газове.</w:t>
            </w:r>
            <w:r w:rsidR="0067306B">
              <w:rPr>
                <w:bCs/>
                <w:sz w:val="20"/>
                <w:szCs w:val="20"/>
              </w:rPr>
              <w:t>“</w:t>
            </w:r>
          </w:p>
          <w:p w:rsidR="000F6057" w:rsidRDefault="000F6057" w:rsidP="00EC174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64168" w:rsidRDefault="000F6057" w:rsidP="00C5478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F6057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ЗР</w:t>
            </w:r>
            <w:r w:rsidRPr="000F605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„§ 4 (1) Точки 3.4, 3.14, 3.15, 3.17, 3.18, 3.21 от приложение № 3 се прилагат до 30 юни 2021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(2) Точки 3.13, 3.16, 3.22 и 3.24 от приложение № 3 се прилагат до 31 декември 2019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(3) Точка 3.19 от приложение № 3 се прилага до 30 юни 2020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(4) Точка 3.20 от приложение № 3 се прилага до 31 декември 2017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(5) Точка 3.23 от приложение № 3 се прилага до 21 юли 2021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(6) Точка 3.25 от приложение № 3 се прилага до 30 юни 2016 г. по отношение на медицинските апарати от клас </w:t>
            </w:r>
            <w:proofErr w:type="spellStart"/>
            <w:r w:rsidRPr="00C54784">
              <w:rPr>
                <w:rFonts w:eastAsia="Times New Roman"/>
                <w:bCs/>
                <w:sz w:val="20"/>
                <w:szCs w:val="20"/>
              </w:rPr>
              <w:t>ІІа</w:t>
            </w:r>
            <w:proofErr w:type="spellEnd"/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 и до 31 декември 2020 г. по отношение на медицинските апарати от клас </w:t>
            </w:r>
            <w:proofErr w:type="spellStart"/>
            <w:r w:rsidRPr="00C54784">
              <w:rPr>
                <w:rFonts w:eastAsia="Times New Roman"/>
                <w:bCs/>
                <w:sz w:val="20"/>
                <w:szCs w:val="20"/>
              </w:rPr>
              <w:t>ІІб</w:t>
            </w:r>
            <w:proofErr w:type="spellEnd"/>
            <w:r w:rsidRPr="00C54784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(7) Точка 3.26 от приложение № 3 се прилага до 22 юли 2021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(8) Точка 3.27 от приложение № 3 се прилага до 21 юли 2024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(9) Точка 3.28 от приложение № 3 се прилага до 31 декември 2020 г. Посоченото в тази точка олово може да се употребява и след тази дата в резервни части за промишлени прибори за контрол и управление, пуснати на пазара преди 1 януари 2021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(10) Точка 3.29 от приложение № 3 се прилага до 31 декември 2018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(11) Точка 3.30 от приложение № 3 се прилага до 31 декември 2019 г. Посоченото в тази точка олово може да се употребява и след тази дата в резервни части за КТ и рентгенови системи, пуснати на пазара преди 1 януари 2020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(12) Точка 3.31 от приложение № 3 се прилага: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1. до 21 юли 2021 г. за медицинските изделия и приборите за контрол и управление;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2. до 21 юли 2023 г. за медицински изделия за диагностика ин витро;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3. до 21 юли 2024 г. за промишлени прибори за контрол и управление. 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(13) Точка 3.32 от приложение № 3 се прилага до 31 декември 2020 г. </w:t>
            </w:r>
            <w:r w:rsidRPr="00C54784">
              <w:rPr>
                <w:rFonts w:eastAsia="Times New Roman"/>
                <w:bCs/>
                <w:sz w:val="20"/>
                <w:szCs w:val="20"/>
              </w:rPr>
              <w:lastRenderedPageBreak/>
              <w:t>Посоченото в тази точка олово може да се използва след тази дата по отношение на резервни части за промишлени контролни и регулиращи прибори, пуснати на пазара преди 1 януари 2021 г.</w:t>
            </w:r>
          </w:p>
          <w:p w:rsidR="00C54784" w:rsidRPr="00C54784" w:rsidRDefault="00C54784" w:rsidP="00C5478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/>
                <w:bCs/>
                <w:sz w:val="20"/>
                <w:szCs w:val="20"/>
              </w:rPr>
              <w:t>(14) Точка 3.33 от Приложение № 3 се прилага до 31.12.2018 г.</w:t>
            </w:r>
          </w:p>
          <w:p w:rsidR="00C54784" w:rsidRPr="000F6057" w:rsidRDefault="00C54784" w:rsidP="00C5478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(15) Точка 3.34 от Приложение № 3 се прилага до 30.06.2019 г.</w:t>
            </w:r>
          </w:p>
        </w:tc>
        <w:tc>
          <w:tcPr>
            <w:tcW w:w="2122" w:type="dxa"/>
          </w:tcPr>
          <w:p w:rsidR="00664168" w:rsidRPr="001D6C57" w:rsidRDefault="00664168" w:rsidP="00F51538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lastRenderedPageBreak/>
              <w:t>Пълно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003B0D" w:rsidP="00003B0D">
            <w:pPr>
              <w:pStyle w:val="NoSpacing"/>
              <w:jc w:val="both"/>
              <w:rPr>
                <w:sz w:val="20"/>
                <w:szCs w:val="20"/>
              </w:rPr>
            </w:pPr>
            <w:r w:rsidRPr="00003B0D">
              <w:rPr>
                <w:rFonts w:ascii="EUAlbertina Cyr" w:eastAsia="Calibri" w:hAnsi="EUAlbertina Cyr" w:cs="EUAlbertina Cyr"/>
                <w:b/>
                <w:bCs/>
                <w:color w:val="000000"/>
                <w:sz w:val="19"/>
                <w:szCs w:val="19"/>
                <w:lang w:val="ru-RU"/>
              </w:rPr>
              <w:lastRenderedPageBreak/>
              <w:t>ДЕЛЕГИРАНА ДИРЕКТИВА (ЕС) 2015/574 НА КОМИСИЯТА от 30 януари 2015 година за изменение, с цел привеждане в съответствие с техническия прогрес, на приложение IV към Директива 2011/65/ЕС на Европейския парламент и на Съвета, относно освобождаване от ограничение за употребата на живак с приложение в системи за интраваскуларно ултразвуково образно изследване</w:t>
            </w:r>
          </w:p>
        </w:tc>
        <w:tc>
          <w:tcPr>
            <w:tcW w:w="3888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6F3AD7">
            <w:pPr>
              <w:pStyle w:val="NoSpacing"/>
              <w:rPr>
                <w:sz w:val="20"/>
                <w:szCs w:val="20"/>
              </w:rPr>
            </w:pP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1D6C57">
              <w:rPr>
                <w:i/>
                <w:iCs/>
                <w:sz w:val="20"/>
                <w:szCs w:val="20"/>
              </w:rPr>
              <w:t xml:space="preserve">Член 1 </w:t>
            </w:r>
          </w:p>
          <w:p w:rsidR="00664168" w:rsidRPr="001D6C57" w:rsidRDefault="00664168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1D6C57">
              <w:rPr>
                <w:bCs/>
                <w:sz w:val="20"/>
                <w:szCs w:val="20"/>
              </w:rPr>
              <w:t>Приложение IV към Директива 2011/65/ЕС се изменя в съответствие с приложението към настоящата директива.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i/>
                <w:iCs/>
                <w:sz w:val="20"/>
                <w:szCs w:val="20"/>
              </w:rPr>
              <w:t xml:space="preserve">Член 2 </w:t>
            </w: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617ADF">
              <w:rPr>
                <w:sz w:val="20"/>
                <w:szCs w:val="20"/>
              </w:rPr>
              <w:t xml:space="preserve">1.Държавите членки въвеждат в сила законовите, подзаконовите и административните разпоредби, необходими, за да се съобразят с настоящата директива, не по-късно от последния ден на деветия месец след нейното влизане в сила. Те незабавно съобщават на Комисията текста на тези разпоредби. </w:t>
            </w: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617ADF">
              <w:rPr>
                <w:sz w:val="20"/>
                <w:szCs w:val="20"/>
              </w:rPr>
              <w:t xml:space="preserve"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 </w:t>
            </w: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7ADF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1D6C57" w:rsidRDefault="00617ADF" w:rsidP="002957D6">
            <w:pPr>
              <w:pStyle w:val="NoSpacing"/>
              <w:jc w:val="both"/>
              <w:rPr>
                <w:sz w:val="20"/>
                <w:szCs w:val="20"/>
              </w:rPr>
            </w:pPr>
            <w:r w:rsidRPr="00617ADF">
              <w:rPr>
                <w:sz w:val="20"/>
                <w:szCs w:val="20"/>
              </w:rPr>
              <w:t>2.Държавите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3888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17ADF" w:rsidRPr="00617ADF" w:rsidRDefault="00617ADF" w:rsidP="00617ADF">
            <w:pPr>
              <w:pStyle w:val="NoSpacing"/>
              <w:rPr>
                <w:sz w:val="20"/>
                <w:szCs w:val="20"/>
              </w:rPr>
            </w:pPr>
            <w:r w:rsidRPr="00617ADF">
              <w:rPr>
                <w:b/>
                <w:sz w:val="20"/>
                <w:szCs w:val="20"/>
              </w:rPr>
              <w:t xml:space="preserve">В § 2 от Допълнителните разпоредби се създават </w:t>
            </w:r>
            <w:r w:rsidR="00697027">
              <w:rPr>
                <w:b/>
                <w:sz w:val="20"/>
                <w:szCs w:val="20"/>
              </w:rPr>
              <w:t>т.</w:t>
            </w:r>
            <w:r w:rsidRPr="00617ADF">
              <w:rPr>
                <w:b/>
                <w:sz w:val="20"/>
                <w:szCs w:val="20"/>
              </w:rPr>
              <w:t xml:space="preserve"> 28, 29 и 30:</w:t>
            </w:r>
          </w:p>
          <w:p w:rsidR="00664168" w:rsidRPr="001D6C57" w:rsidRDefault="00617ADF" w:rsidP="00617ADF">
            <w:pPr>
              <w:pStyle w:val="NoSpacing"/>
              <w:jc w:val="both"/>
              <w:rPr>
                <w:sz w:val="20"/>
                <w:szCs w:val="20"/>
              </w:rPr>
            </w:pPr>
            <w:r w:rsidRPr="00617ADF">
              <w:rPr>
                <w:sz w:val="20"/>
                <w:szCs w:val="20"/>
              </w:rPr>
              <w:t xml:space="preserve">29. Делегирана директива (ЕС) 2015/574 на Комисията от 30 януари 2015 година за изменение, с цел привеждане в съответствие с техническия прогрес, на приложение IV към Директива 2011/65/ЕС на Европейския парламент и на Съвета, относно освобождаване от ограничение за употребата на живак с приложение в системи за </w:t>
            </w:r>
            <w:proofErr w:type="spellStart"/>
            <w:r w:rsidRPr="00617ADF">
              <w:rPr>
                <w:sz w:val="20"/>
                <w:szCs w:val="20"/>
              </w:rPr>
              <w:t>интраваскуларно</w:t>
            </w:r>
            <w:proofErr w:type="spellEnd"/>
            <w:r w:rsidRPr="00617ADF">
              <w:rPr>
                <w:sz w:val="20"/>
                <w:szCs w:val="20"/>
              </w:rPr>
              <w:t xml:space="preserve"> ултразвуково образно изследване (ОВ, </w:t>
            </w:r>
            <w:r w:rsidRPr="00617ADF">
              <w:rPr>
                <w:sz w:val="20"/>
                <w:szCs w:val="20"/>
                <w:lang w:val="en-US"/>
              </w:rPr>
              <w:t xml:space="preserve">L 94/4, 10.4.2015 </w:t>
            </w:r>
            <w:r w:rsidRPr="00617ADF">
              <w:rPr>
                <w:sz w:val="20"/>
                <w:szCs w:val="20"/>
              </w:rPr>
              <w:t>г.)</w:t>
            </w:r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Пълно</w:t>
            </w: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 xml:space="preserve">Член 3 </w:t>
            </w:r>
          </w:p>
          <w:p w:rsidR="00664168" w:rsidRPr="001D6C57" w:rsidRDefault="002957D6" w:rsidP="002957D6">
            <w:pPr>
              <w:pStyle w:val="NoSpacing"/>
              <w:jc w:val="both"/>
              <w:rPr>
                <w:sz w:val="20"/>
                <w:szCs w:val="20"/>
              </w:rPr>
            </w:pPr>
            <w:r w:rsidRPr="002957D6">
              <w:rPr>
                <w:sz w:val="20"/>
                <w:szCs w:val="20"/>
              </w:rPr>
              <w:t>Настоящата директива влиза в сила на двадесетия ден след деня на публикуването ѝ в Официален вестник на Европейския съюз.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 xml:space="preserve">Член 4 </w:t>
            </w:r>
          </w:p>
          <w:p w:rsidR="00664168" w:rsidRPr="001D6C57" w:rsidRDefault="00664168" w:rsidP="00180F00">
            <w:pPr>
              <w:pStyle w:val="NoSpacing"/>
              <w:rPr>
                <w:bCs/>
                <w:sz w:val="20"/>
                <w:szCs w:val="20"/>
              </w:rPr>
            </w:pPr>
            <w:r w:rsidRPr="001D6C57">
              <w:rPr>
                <w:bCs/>
                <w:sz w:val="20"/>
                <w:szCs w:val="20"/>
              </w:rPr>
              <w:lastRenderedPageBreak/>
              <w:t>Адресати на настоящата директива са държавите членки.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3D2EE6" w:rsidRDefault="003D2EE6" w:rsidP="00180F00">
            <w:pPr>
              <w:pStyle w:val="NoSpacing"/>
              <w:rPr>
                <w:sz w:val="20"/>
                <w:szCs w:val="20"/>
              </w:rPr>
            </w:pPr>
            <w:r w:rsidRPr="003D2EE6">
              <w:rPr>
                <w:sz w:val="20"/>
                <w:szCs w:val="20"/>
              </w:rPr>
              <w:lastRenderedPageBreak/>
              <w:t>ПРИЛОЖЕНИЕ</w:t>
            </w:r>
          </w:p>
          <w:p w:rsidR="00664168" w:rsidRPr="001D6C57" w:rsidRDefault="002957D6" w:rsidP="002957D6">
            <w:pPr>
              <w:pStyle w:val="NoSpacing"/>
              <w:jc w:val="both"/>
              <w:rPr>
                <w:sz w:val="20"/>
                <w:szCs w:val="20"/>
              </w:rPr>
            </w:pPr>
            <w:r w:rsidRPr="002957D6">
              <w:rPr>
                <w:sz w:val="20"/>
                <w:szCs w:val="20"/>
              </w:rPr>
              <w:t>В приложение IV към Директива 2011/65/ЕС се добавя следната точка 42: „</w:t>
            </w:r>
            <w:proofErr w:type="spellStart"/>
            <w:r w:rsidRPr="002957D6">
              <w:rPr>
                <w:sz w:val="20"/>
                <w:szCs w:val="20"/>
              </w:rPr>
              <w:t>42</w:t>
            </w:r>
            <w:proofErr w:type="spellEnd"/>
            <w:r w:rsidRPr="002957D6">
              <w:rPr>
                <w:sz w:val="20"/>
                <w:szCs w:val="20"/>
              </w:rPr>
              <w:t xml:space="preserve">. Живак в електрически ротационни съединители за </w:t>
            </w:r>
            <w:proofErr w:type="spellStart"/>
            <w:r w:rsidRPr="002957D6">
              <w:rPr>
                <w:sz w:val="20"/>
                <w:szCs w:val="20"/>
              </w:rPr>
              <w:t>интраваскуларно</w:t>
            </w:r>
            <w:proofErr w:type="spellEnd"/>
            <w:r w:rsidRPr="002957D6">
              <w:rPr>
                <w:sz w:val="20"/>
                <w:szCs w:val="20"/>
              </w:rPr>
              <w:t xml:space="preserve"> ултразвуково образно изследване, които позволяват висока честота на работния режим на експлоатация (&gt; 50 </w:t>
            </w:r>
            <w:proofErr w:type="spellStart"/>
            <w:r w:rsidRPr="002957D6">
              <w:rPr>
                <w:sz w:val="20"/>
                <w:szCs w:val="20"/>
              </w:rPr>
              <w:t>MHz</w:t>
            </w:r>
            <w:proofErr w:type="spellEnd"/>
            <w:r w:rsidRPr="002957D6">
              <w:rPr>
                <w:sz w:val="20"/>
                <w:szCs w:val="20"/>
              </w:rPr>
              <w:t>). Изтича на 30 юни 2019 г.“</w:t>
            </w:r>
          </w:p>
        </w:tc>
        <w:tc>
          <w:tcPr>
            <w:tcW w:w="3888" w:type="dxa"/>
          </w:tcPr>
          <w:p w:rsidR="002957D6" w:rsidRPr="002957D6" w:rsidRDefault="002957D6" w:rsidP="002957D6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957D6">
              <w:rPr>
                <w:b/>
                <w:bCs/>
                <w:sz w:val="20"/>
                <w:szCs w:val="20"/>
              </w:rPr>
              <w:t>В Приложение № 3 се създават точки 3.33 и 3.34:</w:t>
            </w:r>
          </w:p>
          <w:p w:rsidR="00664168" w:rsidRDefault="002957D6" w:rsidP="002957D6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045D8">
              <w:rPr>
                <w:b/>
                <w:bCs/>
                <w:sz w:val="20"/>
                <w:szCs w:val="20"/>
              </w:rPr>
              <w:t>3.34.</w:t>
            </w:r>
            <w:r w:rsidRPr="002957D6">
              <w:rPr>
                <w:bCs/>
                <w:sz w:val="20"/>
                <w:szCs w:val="20"/>
              </w:rPr>
              <w:t xml:space="preserve"> Живак в електрически ротационни съединители за </w:t>
            </w:r>
            <w:proofErr w:type="spellStart"/>
            <w:r w:rsidRPr="002957D6">
              <w:rPr>
                <w:bCs/>
                <w:sz w:val="20"/>
                <w:szCs w:val="20"/>
              </w:rPr>
              <w:t>интраваскуларно</w:t>
            </w:r>
            <w:proofErr w:type="spellEnd"/>
            <w:r w:rsidRPr="002957D6">
              <w:rPr>
                <w:bCs/>
                <w:sz w:val="20"/>
                <w:szCs w:val="20"/>
              </w:rPr>
              <w:t xml:space="preserve"> ултразвуково образно изследване, които позволяват висока честота на работния режим на експлоатация (&gt; 50 </w:t>
            </w:r>
            <w:proofErr w:type="spellStart"/>
            <w:r w:rsidRPr="002957D6">
              <w:rPr>
                <w:bCs/>
                <w:sz w:val="20"/>
                <w:szCs w:val="20"/>
              </w:rPr>
              <w:t>MHz</w:t>
            </w:r>
            <w:proofErr w:type="spellEnd"/>
            <w:r w:rsidRPr="002957D6">
              <w:rPr>
                <w:bCs/>
                <w:sz w:val="20"/>
                <w:szCs w:val="20"/>
              </w:rPr>
              <w:t>).“</w:t>
            </w:r>
          </w:p>
          <w:p w:rsidR="00C54784" w:rsidRDefault="00C54784" w:rsidP="001D6C5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  <w:p w:rsidR="009045D8" w:rsidRDefault="009045D8" w:rsidP="009045D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F6057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ЗР</w:t>
            </w:r>
            <w:r w:rsidRPr="000F605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„§ 4 (1) Точки 3.4, 3.14, 3.15, 3.17, 3.18, 3.21 от приложение № 3 се прилагат до 30 юни 2021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(2) Точки 3.13, 3.16, 3.22 и 3.24 от приложение № 3 се прилагат до 31 декември 2019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(3) Точка 3.19 от приложение № 3 се прилага до 30 юни 2020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(4) Точка 3.20 от приложение № 3 се прилага до 31 декември 2017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(5) Точка 3.23 от приложение № 3 се прилага до 21 юли 2021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(6) Точка 3.25 от приложение № 3 се прилага до 30 юни 2016 г. по отношение на медицинските апарати от клас </w:t>
            </w:r>
            <w:proofErr w:type="spellStart"/>
            <w:r w:rsidRPr="00C54784">
              <w:rPr>
                <w:rFonts w:eastAsia="Times New Roman"/>
                <w:bCs/>
                <w:sz w:val="20"/>
                <w:szCs w:val="20"/>
              </w:rPr>
              <w:t>ІІа</w:t>
            </w:r>
            <w:proofErr w:type="spellEnd"/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 и до 31 декември 2020 г. по отношение на медицинските апарати от клас </w:t>
            </w:r>
            <w:proofErr w:type="spellStart"/>
            <w:r w:rsidRPr="00C54784">
              <w:rPr>
                <w:rFonts w:eastAsia="Times New Roman"/>
                <w:bCs/>
                <w:sz w:val="20"/>
                <w:szCs w:val="20"/>
              </w:rPr>
              <w:t>ІІб</w:t>
            </w:r>
            <w:proofErr w:type="spellEnd"/>
            <w:r w:rsidRPr="00C54784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(7) Точка 3.26 от приложение № 3 се прилага до 22 юли 2021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(8) Точка 3.27 от приложение № 3 се прилага до 21 юли 2024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(9) Точка 3.28 от приложение № 3 се прилага до 31 декември 2020 г. Посоченото в тази точка олово може да се употребява и след тази дата в резервни части за промишлени прибори за контрол и управление, пуснати на пазара преди 1 януари 2021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(10) Точка 3.29 от приложение № 3 се прилага до 31 декември 2018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(11) Точка 3.30 от приложение № 3 се прилага до 31 декември 2019 г. Посоченото в тази точка олово може да се употребява и след тази дата в резервни части за КТ и рентгенови системи, пуснати на пазара преди 1 януари 2020 г.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(12) Точка 3.31 от приложение № 3 се прилага: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1. до 21 юли 2021 г. за медицинските изделия и приборите за контрол и управление;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>2. до 21 юли 2023 г. за медицински изделия за диагностика ин витро;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3. до 21 юли 2024 г. за промишлени прибори за контрол и управление. </w:t>
            </w:r>
          </w:p>
          <w:p w:rsidR="009045D8" w:rsidRPr="00C54784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54784">
              <w:rPr>
                <w:rFonts w:eastAsia="Times New Roman"/>
                <w:bCs/>
                <w:sz w:val="20"/>
                <w:szCs w:val="20"/>
              </w:rPr>
              <w:t xml:space="preserve">(13) Точка 3.32 от приложение № 3 се прилага до 31 декември 2020 г. Посоченото в тази точка олово може да се използва след тази дата по отношение на </w:t>
            </w:r>
            <w:r w:rsidRPr="00C54784">
              <w:rPr>
                <w:rFonts w:eastAsia="Times New Roman"/>
                <w:bCs/>
                <w:sz w:val="20"/>
                <w:szCs w:val="20"/>
              </w:rPr>
              <w:lastRenderedPageBreak/>
              <w:t>резервни части за промишлени контролни и регулиращи прибори, пуснати на пазара преди 1 януари 2021 г.</w:t>
            </w:r>
          </w:p>
          <w:p w:rsidR="009045D8" w:rsidRPr="009045D8" w:rsidRDefault="009045D8" w:rsidP="009045D8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9045D8">
              <w:rPr>
                <w:rFonts w:eastAsia="Times New Roman"/>
                <w:bCs/>
                <w:sz w:val="20"/>
                <w:szCs w:val="20"/>
              </w:rPr>
              <w:t>(14) Точка 3.33 от Приложение № 3 се прилага до 31.12.2018 г.</w:t>
            </w:r>
          </w:p>
          <w:p w:rsidR="002957D6" w:rsidRPr="009045D8" w:rsidRDefault="009045D8" w:rsidP="009045D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045D8">
              <w:rPr>
                <w:b/>
                <w:bCs/>
                <w:sz w:val="20"/>
                <w:szCs w:val="20"/>
              </w:rPr>
              <w:t>(15) Точка 3.34 от Приложение № 3 се прилага до 30.06.2019 г.</w:t>
            </w:r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lastRenderedPageBreak/>
              <w:t>Пълно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D29C2" w:rsidP="006D29C2">
            <w:pPr>
              <w:pStyle w:val="NoSpacing"/>
              <w:jc w:val="both"/>
              <w:rPr>
                <w:sz w:val="20"/>
                <w:szCs w:val="20"/>
              </w:rPr>
            </w:pPr>
            <w:r w:rsidRPr="006D29C2">
              <w:rPr>
                <w:rFonts w:ascii="EUAlbertina Cyr" w:eastAsia="Calibri" w:hAnsi="EUAlbertina Cyr" w:cs="EUAlbertina Cyr"/>
                <w:b/>
                <w:bCs/>
                <w:color w:val="000000"/>
                <w:sz w:val="19"/>
                <w:szCs w:val="19"/>
                <w:lang w:val="ru-RU"/>
              </w:rPr>
              <w:lastRenderedPageBreak/>
              <w:t>ДЕЛЕГИРАНА ДИРЕКТИВА (ЕС) 2015/863 НА КОМИСИЯТА от 31 март 2015 година за изменение на приложение II към Директива 2011/65/ЕС на Европейския парламент и на Съвета по отношение на списъка на ограничените вещества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E917C6">
            <w:pPr>
              <w:pStyle w:val="NoSpacing"/>
              <w:rPr>
                <w:sz w:val="20"/>
                <w:szCs w:val="20"/>
              </w:rPr>
            </w:pP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i/>
                <w:iCs/>
                <w:sz w:val="20"/>
                <w:szCs w:val="20"/>
              </w:rPr>
              <w:t xml:space="preserve">Член 1 </w:t>
            </w:r>
          </w:p>
          <w:p w:rsidR="00664168" w:rsidRPr="001D6C57" w:rsidRDefault="006D29C2" w:rsidP="006D29C2">
            <w:pPr>
              <w:pStyle w:val="NoSpacing"/>
              <w:jc w:val="both"/>
              <w:rPr>
                <w:sz w:val="20"/>
                <w:szCs w:val="20"/>
              </w:rPr>
            </w:pPr>
            <w:r w:rsidRPr="006D29C2">
              <w:rPr>
                <w:bCs/>
                <w:sz w:val="20"/>
                <w:szCs w:val="20"/>
              </w:rPr>
              <w:t>Текстът на приложение II към Директива 2011/65/ЕС се заменя с текста на приложението към настоящата директива.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i/>
                <w:iCs/>
                <w:sz w:val="20"/>
                <w:szCs w:val="20"/>
              </w:rPr>
              <w:t xml:space="preserve">Член 2 </w:t>
            </w: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AF1CB3">
            <w:pPr>
              <w:pStyle w:val="NoSpacing"/>
              <w:jc w:val="both"/>
              <w:rPr>
                <w:sz w:val="20"/>
                <w:szCs w:val="20"/>
              </w:rPr>
            </w:pPr>
            <w:r w:rsidRPr="006D29C2">
              <w:rPr>
                <w:sz w:val="20"/>
                <w:szCs w:val="20"/>
              </w:rPr>
              <w:t xml:space="preserve">1.Държавите членки приемат и публикуват не по-късно от 31 декември 2016 г. законовите, подзаконовите и административните разпоредби, необходими за да се съобразят с настоящата директивата. Те незабавно съобщават на Комисията текста на тези разпоредби. </w:t>
            </w: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  <w:r w:rsidRPr="006D29C2">
              <w:rPr>
                <w:sz w:val="20"/>
                <w:szCs w:val="20"/>
              </w:rPr>
              <w:t xml:space="preserve">Те прилагат тези разпоредби, считано от 22 юли 2019 г. </w:t>
            </w: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6D29C2">
            <w:pPr>
              <w:pStyle w:val="NoSpacing"/>
              <w:jc w:val="both"/>
              <w:rPr>
                <w:sz w:val="20"/>
                <w:szCs w:val="20"/>
              </w:rPr>
            </w:pPr>
            <w:r w:rsidRPr="006D29C2">
              <w:rPr>
                <w:sz w:val="20"/>
                <w:szCs w:val="20"/>
              </w:rPr>
              <w:t xml:space="preserve"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 </w:t>
            </w: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D29C2" w:rsidP="00AF1CB3">
            <w:pPr>
              <w:pStyle w:val="NoSpacing"/>
              <w:jc w:val="both"/>
              <w:rPr>
                <w:sz w:val="20"/>
                <w:szCs w:val="20"/>
              </w:rPr>
            </w:pPr>
            <w:r w:rsidRPr="006D29C2">
              <w:rPr>
                <w:sz w:val="20"/>
                <w:szCs w:val="20"/>
              </w:rPr>
              <w:t>2.Държавите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3888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Pr="006D29C2" w:rsidRDefault="00697027" w:rsidP="006D29C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ПЗР</w:t>
            </w:r>
          </w:p>
          <w:p w:rsidR="006D29C2" w:rsidRPr="00697027" w:rsidRDefault="00697027" w:rsidP="00AF1CB3">
            <w:pPr>
              <w:pStyle w:val="NoSpacing"/>
              <w:jc w:val="both"/>
              <w:rPr>
                <w:sz w:val="20"/>
                <w:szCs w:val="20"/>
              </w:rPr>
            </w:pPr>
            <w:r w:rsidRPr="000B450A">
              <w:rPr>
                <w:b/>
                <w:bCs/>
                <w:sz w:val="20"/>
                <w:szCs w:val="20"/>
              </w:rPr>
              <w:t>§ 3</w:t>
            </w:r>
            <w:r w:rsidRPr="00697027">
              <w:rPr>
                <w:bCs/>
                <w:sz w:val="20"/>
                <w:szCs w:val="20"/>
              </w:rPr>
              <w:t xml:space="preserve"> (1) Точки 7 - 10 от Приложение № 1 се прилагат от 22.07.2019 г., като за медицинските изделия, включително ин витро диагностичните медицински изделия, и приборите за контрол и управление, включително промишлените прибори за контрол и управление се прилагат от 22.07.2021 г.</w:t>
            </w:r>
          </w:p>
          <w:p w:rsidR="00664168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C54784" w:rsidRDefault="00C54784" w:rsidP="00AF1CB3">
            <w:pPr>
              <w:pStyle w:val="NoSpacing"/>
              <w:rPr>
                <w:b/>
                <w:sz w:val="20"/>
                <w:szCs w:val="20"/>
              </w:rPr>
            </w:pPr>
          </w:p>
          <w:p w:rsidR="00C54784" w:rsidRDefault="00C54784" w:rsidP="00AF1CB3">
            <w:pPr>
              <w:pStyle w:val="NoSpacing"/>
              <w:rPr>
                <w:b/>
                <w:sz w:val="20"/>
                <w:szCs w:val="20"/>
              </w:rPr>
            </w:pPr>
          </w:p>
          <w:p w:rsidR="00C54784" w:rsidRDefault="00C54784" w:rsidP="00AF1CB3">
            <w:pPr>
              <w:pStyle w:val="NoSpacing"/>
              <w:rPr>
                <w:b/>
                <w:sz w:val="20"/>
                <w:szCs w:val="20"/>
              </w:rPr>
            </w:pPr>
          </w:p>
          <w:p w:rsidR="00AF1CB3" w:rsidRPr="00697027" w:rsidRDefault="00AF1CB3" w:rsidP="00AF1CB3">
            <w:pPr>
              <w:pStyle w:val="NoSpacing"/>
              <w:rPr>
                <w:b/>
                <w:sz w:val="20"/>
                <w:szCs w:val="20"/>
              </w:rPr>
            </w:pPr>
            <w:r w:rsidRPr="00AF1CB3">
              <w:rPr>
                <w:b/>
                <w:sz w:val="20"/>
                <w:szCs w:val="20"/>
              </w:rPr>
              <w:t>В § 2 от Допълнителн</w:t>
            </w:r>
            <w:r w:rsidR="00697027">
              <w:rPr>
                <w:b/>
                <w:sz w:val="20"/>
                <w:szCs w:val="20"/>
              </w:rPr>
              <w:t>ите разпоредби се създават т.</w:t>
            </w:r>
            <w:r w:rsidRPr="00AF1CB3">
              <w:rPr>
                <w:b/>
                <w:sz w:val="20"/>
                <w:szCs w:val="20"/>
              </w:rPr>
              <w:t xml:space="preserve"> 28, 29 и 30:</w:t>
            </w:r>
          </w:p>
          <w:p w:rsidR="00AF1CB3" w:rsidRP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r w:rsidRPr="00AF1CB3">
              <w:rPr>
                <w:sz w:val="20"/>
                <w:szCs w:val="20"/>
              </w:rPr>
              <w:t xml:space="preserve">30. Делегирана директива (ЕС) 2015/863 на Комисията от 31 март 2015 година за изменение на приложение II към Директива 2011/65/ЕС на Европейския парламент и на Съвета по отношение на списъка на ограничените вещества (ОВ, </w:t>
            </w:r>
            <w:r w:rsidRPr="00AF1CB3">
              <w:rPr>
                <w:sz w:val="20"/>
                <w:szCs w:val="20"/>
                <w:lang w:val="en-US"/>
              </w:rPr>
              <w:t>L 137/10, 4.6.2015</w:t>
            </w:r>
            <w:r w:rsidRPr="00AF1CB3">
              <w:rPr>
                <w:sz w:val="20"/>
                <w:szCs w:val="20"/>
              </w:rPr>
              <w:t xml:space="preserve"> г.).“</w:t>
            </w:r>
          </w:p>
          <w:p w:rsidR="006D29C2" w:rsidRPr="001D6C57" w:rsidRDefault="006D29C2" w:rsidP="00180F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F736B1" w:rsidRDefault="00F736B1" w:rsidP="00180F00">
            <w:pPr>
              <w:pStyle w:val="NoSpacing"/>
              <w:rPr>
                <w:sz w:val="20"/>
                <w:szCs w:val="20"/>
              </w:rPr>
            </w:pPr>
          </w:p>
          <w:p w:rsidR="00F736B1" w:rsidRDefault="00F736B1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Пълно</w:t>
            </w: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D29C2" w:rsidP="00180F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Пълно</w:t>
            </w: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D29C2" w:rsidRDefault="006D29C2" w:rsidP="00180F00">
            <w:pPr>
              <w:pStyle w:val="NoSpacing"/>
              <w:rPr>
                <w:sz w:val="20"/>
                <w:szCs w:val="20"/>
              </w:rPr>
            </w:pPr>
          </w:p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lastRenderedPageBreak/>
              <w:t xml:space="preserve">Член 3 </w:t>
            </w:r>
          </w:p>
          <w:p w:rsidR="00664168" w:rsidRPr="001D6C57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r w:rsidRPr="00AF1CB3">
              <w:rPr>
                <w:sz w:val="20"/>
                <w:szCs w:val="20"/>
              </w:rPr>
              <w:t>Настоящата директива влиза в сила на двадесетия ден след деня на публикуването ѝ в Официален вестник на Европейския съюз.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 xml:space="preserve">Член 4 </w:t>
            </w:r>
          </w:p>
          <w:p w:rsidR="00664168" w:rsidRPr="001D6C57" w:rsidRDefault="00664168" w:rsidP="00AF1CB3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1D6C57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3888" w:type="dxa"/>
          </w:tcPr>
          <w:p w:rsidR="00664168" w:rsidRPr="001D6C57" w:rsidRDefault="00664168" w:rsidP="001D6C57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664168" w:rsidRPr="001D6C57" w:rsidRDefault="00664168" w:rsidP="001D6C57">
            <w:pPr>
              <w:pStyle w:val="NoSpacing"/>
              <w:jc w:val="both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6F3AD7" w:rsidTr="001D6C57">
        <w:tc>
          <w:tcPr>
            <w:tcW w:w="3737" w:type="dxa"/>
          </w:tcPr>
          <w:p w:rsidR="00664168" w:rsidRPr="003D2EE6" w:rsidRDefault="003D2EE6" w:rsidP="00180F00">
            <w:pPr>
              <w:pStyle w:val="NoSpacing"/>
              <w:rPr>
                <w:sz w:val="20"/>
                <w:szCs w:val="20"/>
              </w:rPr>
            </w:pPr>
            <w:r w:rsidRPr="003D2EE6">
              <w:rPr>
                <w:sz w:val="20"/>
                <w:szCs w:val="20"/>
              </w:rPr>
              <w:t>ПРИЛОЖЕНИЕ</w:t>
            </w:r>
          </w:p>
          <w:p w:rsidR="003D2EE6" w:rsidRDefault="00AF1CB3" w:rsidP="00AF1CB3">
            <w:pPr>
              <w:pStyle w:val="NoSpacing"/>
              <w:jc w:val="both"/>
              <w:rPr>
                <w:i/>
                <w:iCs/>
                <w:sz w:val="20"/>
                <w:szCs w:val="20"/>
              </w:rPr>
            </w:pPr>
            <w:r w:rsidRPr="00AF1CB3">
              <w:rPr>
                <w:i/>
                <w:iCs/>
                <w:sz w:val="20"/>
                <w:szCs w:val="20"/>
                <w:lang w:val="en-US"/>
              </w:rPr>
              <w:t>„</w:t>
            </w:r>
            <w:r w:rsidRPr="00AF1CB3">
              <w:rPr>
                <w:iCs/>
                <w:sz w:val="20"/>
                <w:szCs w:val="20"/>
                <w:lang w:val="en-US"/>
              </w:rPr>
              <w:t>ПРИЛОЖЕНИЕ II</w:t>
            </w:r>
            <w:r w:rsidRPr="00AF1CB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AF1CB3" w:rsidRDefault="00AF1CB3" w:rsidP="003E53C9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Ограничени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вещества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посочени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4,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параграф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1, и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максимално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допустими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стойности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тегловната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концентрация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еднородните</w:t>
            </w:r>
            <w:proofErr w:type="spellEnd"/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b/>
                <w:bCs/>
                <w:sz w:val="20"/>
                <w:szCs w:val="20"/>
                <w:lang w:val="en-US"/>
              </w:rPr>
              <w:t>материали</w:t>
            </w:r>
            <w:proofErr w:type="spellEnd"/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r w:rsidRPr="00AF1C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Олово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(0</w:t>
            </w:r>
            <w:proofErr w:type="gramStart"/>
            <w:r w:rsidRPr="00AF1CB3">
              <w:rPr>
                <w:sz w:val="20"/>
                <w:szCs w:val="20"/>
                <w:lang w:val="en-US"/>
              </w:rPr>
              <w:t>,1</w:t>
            </w:r>
            <w:proofErr w:type="gramEnd"/>
            <w:r w:rsidRPr="00AF1CB3">
              <w:rPr>
                <w:sz w:val="20"/>
                <w:szCs w:val="20"/>
                <w:lang w:val="en-US"/>
              </w:rPr>
              <w:t xml:space="preserve"> %) </w:t>
            </w: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AF1CB3">
              <w:rPr>
                <w:sz w:val="20"/>
                <w:szCs w:val="20"/>
                <w:lang w:val="en-US"/>
              </w:rPr>
              <w:t>Живак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(0</w:t>
            </w:r>
            <w:proofErr w:type="gramStart"/>
            <w:r w:rsidRPr="00AF1CB3">
              <w:rPr>
                <w:sz w:val="20"/>
                <w:szCs w:val="20"/>
                <w:lang w:val="en-US"/>
              </w:rPr>
              <w:t>,1</w:t>
            </w:r>
            <w:proofErr w:type="gramEnd"/>
            <w:r w:rsidRPr="00AF1CB3">
              <w:rPr>
                <w:sz w:val="20"/>
                <w:szCs w:val="20"/>
                <w:lang w:val="en-US"/>
              </w:rPr>
              <w:t xml:space="preserve"> %) </w:t>
            </w: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AF1CB3">
              <w:rPr>
                <w:sz w:val="20"/>
                <w:szCs w:val="20"/>
                <w:lang w:val="en-US"/>
              </w:rPr>
              <w:t>Кадмий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(0</w:t>
            </w:r>
            <w:proofErr w:type="gramStart"/>
            <w:r w:rsidRPr="00AF1CB3">
              <w:rPr>
                <w:sz w:val="20"/>
                <w:szCs w:val="20"/>
                <w:lang w:val="en-US"/>
              </w:rPr>
              <w:t>,01</w:t>
            </w:r>
            <w:proofErr w:type="gramEnd"/>
            <w:r w:rsidRPr="00AF1CB3">
              <w:rPr>
                <w:sz w:val="20"/>
                <w:szCs w:val="20"/>
                <w:lang w:val="en-US"/>
              </w:rPr>
              <w:t xml:space="preserve"> %) </w:t>
            </w:r>
          </w:p>
          <w:p w:rsidR="00AF1CB3" w:rsidRDefault="00AF1CB3" w:rsidP="003E53C9">
            <w:pPr>
              <w:pStyle w:val="NoSpacing"/>
              <w:rPr>
                <w:sz w:val="20"/>
                <w:szCs w:val="20"/>
              </w:rPr>
            </w:pPr>
            <w:r w:rsidRPr="00AF1CB3">
              <w:rPr>
                <w:sz w:val="20"/>
                <w:szCs w:val="20"/>
                <w:lang w:val="en-US"/>
              </w:rPr>
              <w:t xml:space="preserve">Шествалентен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хром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(0</w:t>
            </w:r>
            <w:proofErr w:type="gramStart"/>
            <w:r w:rsidRPr="00AF1CB3">
              <w:rPr>
                <w:sz w:val="20"/>
                <w:szCs w:val="20"/>
                <w:lang w:val="en-US"/>
              </w:rPr>
              <w:t>,1</w:t>
            </w:r>
            <w:proofErr w:type="gramEnd"/>
            <w:r w:rsidRPr="00AF1CB3">
              <w:rPr>
                <w:sz w:val="20"/>
                <w:szCs w:val="20"/>
                <w:lang w:val="en-US"/>
              </w:rPr>
              <w:t xml:space="preserve"> %) Полибромирани бифенили (PBB) (0</w:t>
            </w:r>
            <w:proofErr w:type="gramStart"/>
            <w:r w:rsidRPr="00AF1CB3">
              <w:rPr>
                <w:sz w:val="20"/>
                <w:szCs w:val="20"/>
                <w:lang w:val="en-US"/>
              </w:rPr>
              <w:t>,1</w:t>
            </w:r>
            <w:proofErr w:type="gramEnd"/>
            <w:r w:rsidRPr="00AF1CB3">
              <w:rPr>
                <w:sz w:val="20"/>
                <w:szCs w:val="20"/>
                <w:lang w:val="en-US"/>
              </w:rPr>
              <w:t xml:space="preserve"> %) Полибромирани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дифенилови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етери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(PBDE) (0</w:t>
            </w:r>
            <w:proofErr w:type="gramStart"/>
            <w:r w:rsidRPr="00AF1CB3">
              <w:rPr>
                <w:sz w:val="20"/>
                <w:szCs w:val="20"/>
                <w:lang w:val="en-US"/>
              </w:rPr>
              <w:t>,1</w:t>
            </w:r>
            <w:proofErr w:type="gramEnd"/>
            <w:r w:rsidRPr="00AF1CB3">
              <w:rPr>
                <w:sz w:val="20"/>
                <w:szCs w:val="20"/>
                <w:lang w:val="en-US"/>
              </w:rPr>
              <w:t xml:space="preserve"> %) </w:t>
            </w:r>
          </w:p>
          <w:p w:rsidR="00AF1CB3" w:rsidRDefault="00AF1CB3" w:rsidP="003E53C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F1CB3">
              <w:rPr>
                <w:sz w:val="20"/>
                <w:szCs w:val="20"/>
                <w:lang w:val="en-US"/>
              </w:rPr>
              <w:t>Бис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(2-етилхексил)фталат (DEHP) (0,1 %)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Бутилбензилфталат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(BBP) (0,1 %)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Дибутилфталат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(DBP) (0,1 %)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Диизобутилфталат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(DIBP) (0,1 %)</w:t>
            </w: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AF1CB3">
              <w:rPr>
                <w:sz w:val="20"/>
                <w:szCs w:val="20"/>
                <w:lang w:val="en-US"/>
              </w:rPr>
              <w:t>Ограничаването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DEHP, BBP, DBP и DIBP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отношение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медицинските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изделия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включително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инвитро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диагностичните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медицински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изделия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приборите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контрол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управление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включително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промишлените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прибори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контрол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управление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се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прилага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22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юли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2021 г. </w:t>
            </w: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0036B" w:rsidRDefault="00D0036B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0036B" w:rsidRDefault="00D0036B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0036B" w:rsidRDefault="00D0036B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0036B" w:rsidRDefault="00D0036B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0036B" w:rsidRDefault="00D0036B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AF1CB3">
              <w:rPr>
                <w:sz w:val="20"/>
                <w:szCs w:val="20"/>
                <w:lang w:val="en-US"/>
              </w:rPr>
              <w:t>Ограничаването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DEHP, BBP, DBP и DIBP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се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прилага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отношение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кабелите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или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резервните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части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ремонт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повторна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употреба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модернизация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функционалните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характеристики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или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повишаване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капацитета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ЕЕО,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пуснато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пазара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преди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22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юли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2019 г.,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медицинските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изделия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включително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инвитро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диагностичните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медицински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изделия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приборите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контрол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управление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включително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промишлените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прибори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контрол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управление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пуснати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пазара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преди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22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юли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2021 г. </w:t>
            </w:r>
          </w:p>
          <w:p w:rsidR="00AF1CB3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3E53C9" w:rsidRDefault="003E53C9" w:rsidP="00AF1CB3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3E53C9" w:rsidRDefault="003E53C9" w:rsidP="00AF1CB3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3E53C9" w:rsidRDefault="003E53C9" w:rsidP="00AF1CB3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664168" w:rsidRPr="001D6C57" w:rsidRDefault="00AF1CB3" w:rsidP="00AF1CB3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AF1CB3">
              <w:rPr>
                <w:sz w:val="20"/>
                <w:szCs w:val="20"/>
                <w:lang w:val="en-US"/>
              </w:rPr>
              <w:t>Ограничаването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DEHP, BBP и DBP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lastRenderedPageBreak/>
              <w:t>не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се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прилага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отношение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детските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играчки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които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вече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са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предмет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ограничаване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DEHP, BBP и DBP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посредством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вписване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51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приложение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XVII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към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CB3">
              <w:rPr>
                <w:sz w:val="20"/>
                <w:szCs w:val="20"/>
                <w:lang w:val="en-US"/>
              </w:rPr>
              <w:t>Регламент</w:t>
            </w:r>
            <w:proofErr w:type="spellEnd"/>
            <w:r w:rsidRPr="00AF1CB3">
              <w:rPr>
                <w:sz w:val="20"/>
                <w:szCs w:val="20"/>
                <w:lang w:val="en-US"/>
              </w:rPr>
              <w:t xml:space="preserve"> (ЕО) № 1907/2006.“</w:t>
            </w:r>
          </w:p>
        </w:tc>
        <w:tc>
          <w:tcPr>
            <w:tcW w:w="3888" w:type="dxa"/>
          </w:tcPr>
          <w:p w:rsidR="00D0036B" w:rsidRPr="00D0036B" w:rsidRDefault="003E53C9" w:rsidP="00D0036B">
            <w:pPr>
              <w:pStyle w:val="NoSpacing"/>
              <w:rPr>
                <w:bCs/>
                <w:sz w:val="20"/>
                <w:szCs w:val="20"/>
              </w:rPr>
            </w:pPr>
            <w:r w:rsidRPr="003E53C9">
              <w:rPr>
                <w:b/>
                <w:bCs/>
                <w:sz w:val="20"/>
                <w:szCs w:val="20"/>
              </w:rPr>
              <w:lastRenderedPageBreak/>
              <w:t>В приложение № 1 се създават т</w:t>
            </w:r>
            <w:r w:rsidR="00A725A4">
              <w:rPr>
                <w:b/>
                <w:bCs/>
                <w:sz w:val="20"/>
                <w:szCs w:val="20"/>
              </w:rPr>
              <w:t>.</w:t>
            </w:r>
            <w:r w:rsidRPr="003E53C9">
              <w:rPr>
                <w:b/>
                <w:bCs/>
                <w:sz w:val="20"/>
                <w:szCs w:val="20"/>
              </w:rPr>
              <w:t xml:space="preserve"> 7, 8, 9 и 10:</w:t>
            </w:r>
          </w:p>
          <w:p w:rsidR="00D0036B" w:rsidRP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2304"/>
              <w:gridCol w:w="810"/>
            </w:tblGrid>
            <w:tr w:rsidR="00D0036B" w:rsidRPr="00D0036B" w:rsidTr="000E01A3">
              <w:tc>
                <w:tcPr>
                  <w:tcW w:w="1101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„7.</w:t>
                  </w:r>
                </w:p>
              </w:tc>
              <w:tc>
                <w:tcPr>
                  <w:tcW w:w="5094" w:type="dxa"/>
                </w:tcPr>
                <w:p w:rsidR="00D0036B" w:rsidRPr="00D0036B" w:rsidRDefault="00D0036B" w:rsidP="00D0036B">
                  <w:pPr>
                    <w:pStyle w:val="NoSpacing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Бис(2-етилхексил)фталат (DEHP)</w:t>
                  </w:r>
                </w:p>
              </w:tc>
              <w:tc>
                <w:tcPr>
                  <w:tcW w:w="3098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0,1 %</w:t>
                  </w:r>
                </w:p>
              </w:tc>
            </w:tr>
            <w:tr w:rsidR="00D0036B" w:rsidRPr="00D0036B" w:rsidTr="000E01A3">
              <w:tc>
                <w:tcPr>
                  <w:tcW w:w="1101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8.</w:t>
                  </w:r>
                </w:p>
              </w:tc>
              <w:tc>
                <w:tcPr>
                  <w:tcW w:w="5094" w:type="dxa"/>
                </w:tcPr>
                <w:p w:rsidR="00D0036B" w:rsidRPr="00D0036B" w:rsidRDefault="00D0036B" w:rsidP="00D0036B">
                  <w:pPr>
                    <w:pStyle w:val="NoSpacing"/>
                    <w:rPr>
                      <w:bCs/>
                      <w:sz w:val="20"/>
                    </w:rPr>
                  </w:pPr>
                  <w:proofErr w:type="spellStart"/>
                  <w:r w:rsidRPr="00D0036B">
                    <w:rPr>
                      <w:bCs/>
                      <w:sz w:val="20"/>
                    </w:rPr>
                    <w:t>Бутилбензилфталат</w:t>
                  </w:r>
                  <w:proofErr w:type="spellEnd"/>
                  <w:r w:rsidRPr="00D0036B">
                    <w:rPr>
                      <w:bCs/>
                      <w:sz w:val="20"/>
                    </w:rPr>
                    <w:t xml:space="preserve"> (BBP)</w:t>
                  </w:r>
                </w:p>
              </w:tc>
              <w:tc>
                <w:tcPr>
                  <w:tcW w:w="3098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0,1 %</w:t>
                  </w:r>
                </w:p>
              </w:tc>
            </w:tr>
            <w:tr w:rsidR="00D0036B" w:rsidRPr="00D0036B" w:rsidTr="000E01A3">
              <w:tc>
                <w:tcPr>
                  <w:tcW w:w="1101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9.</w:t>
                  </w:r>
                </w:p>
              </w:tc>
              <w:tc>
                <w:tcPr>
                  <w:tcW w:w="5094" w:type="dxa"/>
                </w:tcPr>
                <w:p w:rsidR="00D0036B" w:rsidRPr="00D0036B" w:rsidRDefault="00D0036B" w:rsidP="00D0036B">
                  <w:pPr>
                    <w:pStyle w:val="NoSpacing"/>
                    <w:rPr>
                      <w:bCs/>
                      <w:sz w:val="20"/>
                    </w:rPr>
                  </w:pPr>
                  <w:proofErr w:type="spellStart"/>
                  <w:r w:rsidRPr="00D0036B">
                    <w:rPr>
                      <w:bCs/>
                      <w:sz w:val="20"/>
                    </w:rPr>
                    <w:t>Дибутилфталат</w:t>
                  </w:r>
                  <w:proofErr w:type="spellEnd"/>
                  <w:r w:rsidRPr="00D0036B">
                    <w:rPr>
                      <w:bCs/>
                      <w:sz w:val="20"/>
                    </w:rPr>
                    <w:t xml:space="preserve"> (DBP)</w:t>
                  </w:r>
                </w:p>
              </w:tc>
              <w:tc>
                <w:tcPr>
                  <w:tcW w:w="3098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0,1 %</w:t>
                  </w:r>
                </w:p>
              </w:tc>
            </w:tr>
            <w:tr w:rsidR="00D0036B" w:rsidRPr="00D0036B" w:rsidTr="000E01A3">
              <w:tc>
                <w:tcPr>
                  <w:tcW w:w="1101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10.</w:t>
                  </w:r>
                </w:p>
              </w:tc>
              <w:tc>
                <w:tcPr>
                  <w:tcW w:w="5094" w:type="dxa"/>
                </w:tcPr>
                <w:p w:rsidR="00D0036B" w:rsidRPr="00D0036B" w:rsidRDefault="00D0036B" w:rsidP="00D0036B">
                  <w:pPr>
                    <w:pStyle w:val="NoSpacing"/>
                    <w:rPr>
                      <w:bCs/>
                      <w:sz w:val="20"/>
                    </w:rPr>
                  </w:pPr>
                  <w:proofErr w:type="spellStart"/>
                  <w:r w:rsidRPr="00D0036B">
                    <w:rPr>
                      <w:bCs/>
                      <w:sz w:val="20"/>
                    </w:rPr>
                    <w:t>Диизобутилфталат</w:t>
                  </w:r>
                  <w:proofErr w:type="spellEnd"/>
                  <w:r w:rsidRPr="00D0036B">
                    <w:rPr>
                      <w:bCs/>
                      <w:sz w:val="20"/>
                    </w:rPr>
                    <w:t xml:space="preserve"> (DIBP)</w:t>
                  </w:r>
                </w:p>
              </w:tc>
              <w:tc>
                <w:tcPr>
                  <w:tcW w:w="3098" w:type="dxa"/>
                </w:tcPr>
                <w:p w:rsidR="00D0036B" w:rsidRPr="00D0036B" w:rsidRDefault="00D0036B" w:rsidP="00D0036B">
                  <w:pPr>
                    <w:pStyle w:val="NoSpacing"/>
                    <w:jc w:val="both"/>
                    <w:rPr>
                      <w:bCs/>
                      <w:sz w:val="20"/>
                    </w:rPr>
                  </w:pPr>
                  <w:r w:rsidRPr="00D0036B">
                    <w:rPr>
                      <w:bCs/>
                      <w:sz w:val="20"/>
                    </w:rPr>
                    <w:t>0,1 %“</w:t>
                  </w:r>
                </w:p>
              </w:tc>
            </w:tr>
          </w:tbl>
          <w:p w:rsidR="00D0036B" w:rsidRP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D0036B" w:rsidRDefault="00D0036B" w:rsidP="00D0036B">
            <w:pPr>
              <w:pStyle w:val="NoSpacing"/>
              <w:rPr>
                <w:bCs/>
                <w:sz w:val="20"/>
                <w:szCs w:val="20"/>
              </w:rPr>
            </w:pPr>
          </w:p>
          <w:p w:rsidR="003E53C9" w:rsidRDefault="003E53C9" w:rsidP="00D0036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:rsidR="00697027" w:rsidRPr="006D29C2" w:rsidRDefault="00697027" w:rsidP="0069702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ПЗР</w:t>
            </w:r>
          </w:p>
          <w:p w:rsidR="00697027" w:rsidRPr="00697027" w:rsidRDefault="00697027" w:rsidP="00697027">
            <w:pPr>
              <w:pStyle w:val="NoSpacing"/>
              <w:jc w:val="both"/>
              <w:rPr>
                <w:sz w:val="20"/>
                <w:szCs w:val="20"/>
              </w:rPr>
            </w:pPr>
            <w:r w:rsidRPr="00A725A4">
              <w:rPr>
                <w:b/>
                <w:bCs/>
                <w:sz w:val="20"/>
                <w:szCs w:val="20"/>
              </w:rPr>
              <w:t xml:space="preserve">§ 3 </w:t>
            </w:r>
            <w:r w:rsidRPr="00A725A4">
              <w:rPr>
                <w:bCs/>
                <w:sz w:val="20"/>
                <w:szCs w:val="20"/>
              </w:rPr>
              <w:t>(1)</w:t>
            </w:r>
            <w:r w:rsidRPr="00697027">
              <w:rPr>
                <w:bCs/>
                <w:sz w:val="20"/>
                <w:szCs w:val="20"/>
              </w:rPr>
              <w:t xml:space="preserve"> Точки 7 - 10 от Приложение № 1 се прилагат от 22.07.2019 г., като за медицинските изделия, включително ин витро диагностичните медицински изделия, и приборите за контрол и управление, включително промишлените прибори за контрол и управление се прилагат от 22.07.2021 г.</w:t>
            </w:r>
          </w:p>
          <w:p w:rsidR="003E53C9" w:rsidRDefault="003E53C9" w:rsidP="003E53C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697027" w:rsidRDefault="00697027" w:rsidP="003E53C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697027" w:rsidRDefault="00697027" w:rsidP="003E53C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697027" w:rsidRPr="003E53C9" w:rsidRDefault="00697027" w:rsidP="003E53C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697027" w:rsidRPr="00697027" w:rsidRDefault="00697027" w:rsidP="0069702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7027">
              <w:rPr>
                <w:b/>
                <w:bCs/>
                <w:sz w:val="20"/>
                <w:szCs w:val="20"/>
              </w:rPr>
              <w:t>ПЗР</w:t>
            </w:r>
          </w:p>
          <w:p w:rsidR="00697027" w:rsidRPr="00C54784" w:rsidRDefault="00697027" w:rsidP="0069702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7027">
              <w:rPr>
                <w:b/>
                <w:bCs/>
                <w:sz w:val="20"/>
                <w:szCs w:val="20"/>
              </w:rPr>
              <w:t xml:space="preserve">§ 3 </w:t>
            </w:r>
            <w:r w:rsidRPr="00697027">
              <w:rPr>
                <w:bCs/>
                <w:sz w:val="20"/>
                <w:szCs w:val="20"/>
              </w:rPr>
              <w:t>(2) Ограниченията за DEHP, BBP, DBP и DIBP в т. 7-10 в приложение № 1 не се прилагат:</w:t>
            </w:r>
          </w:p>
          <w:p w:rsidR="00697027" w:rsidRPr="00697027" w:rsidRDefault="00697027" w:rsidP="00697027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697027">
              <w:rPr>
                <w:bCs/>
                <w:sz w:val="20"/>
                <w:szCs w:val="20"/>
              </w:rPr>
              <w:t>1. по отношение на кабелите или резервните части за ремонт, повторна употреба, модернизация на функционалните характеристики или повишаване на капацитета на ЕЕО, пуснато на пазара преди 22 юли 2019 г., и</w:t>
            </w:r>
          </w:p>
          <w:p w:rsidR="00697027" w:rsidRPr="00697027" w:rsidRDefault="00697027" w:rsidP="00697027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697027">
              <w:rPr>
                <w:bCs/>
                <w:sz w:val="20"/>
                <w:szCs w:val="20"/>
              </w:rPr>
              <w:t xml:space="preserve">2. по отношение на медицинските изделия, включително инвитро диагностичните медицински изделия, и приборите за контрол и управление, включително промишлените прибори за контрол и управление, пуснати на пазара преди 22 юли 2021 г. </w:t>
            </w:r>
          </w:p>
          <w:p w:rsidR="003E53C9" w:rsidRPr="003E53C9" w:rsidRDefault="003E53C9" w:rsidP="003E53C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67306B" w:rsidRDefault="0067306B" w:rsidP="00673735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664168" w:rsidRDefault="00C54784" w:rsidP="0067373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ПЗР </w:t>
            </w:r>
          </w:p>
          <w:p w:rsidR="00C54784" w:rsidRPr="00C54784" w:rsidRDefault="00C54784" w:rsidP="00FD5EDC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§3 </w:t>
            </w:r>
            <w:r w:rsidRPr="00C54784">
              <w:rPr>
                <w:bCs/>
                <w:sz w:val="20"/>
                <w:szCs w:val="20"/>
              </w:rPr>
              <w:t>(</w:t>
            </w:r>
            <w:proofErr w:type="spellStart"/>
            <w:r w:rsidRPr="00C54784">
              <w:rPr>
                <w:bCs/>
                <w:sz w:val="20"/>
                <w:szCs w:val="20"/>
              </w:rPr>
              <w:t>3</w:t>
            </w:r>
            <w:proofErr w:type="spellEnd"/>
            <w:r w:rsidRPr="00C54784">
              <w:rPr>
                <w:bCs/>
                <w:sz w:val="20"/>
                <w:szCs w:val="20"/>
              </w:rPr>
              <w:t xml:space="preserve">) Ограничаването на DEHP, BBP и DBP в т. 7-9 в приложение № 1 не се прилага по отношение на детските играчки, които вече са предмет на ограничаване на DEHP, BBP и DBP посредством вписване 51 от приложение XVII към </w:t>
            </w:r>
            <w:r w:rsidR="00FD5EDC" w:rsidRPr="00FD5EDC">
              <w:rPr>
                <w:bCs/>
                <w:sz w:val="20"/>
                <w:szCs w:val="20"/>
              </w:rPr>
              <w:t>Регламент (ЕО) № 1907/2006 на Европейския парламент и на Съвета от 18 декември 2006 г. относно регистрацията, оценката, разрешаването и ограничаването на химикали (REACH), за създаване на Европейска агенция по химикали, за изменение на Директива 1999/45/ЕО и за отмяна на Регламент (ЕИО) № 793/93 на Съвета и Регламент (ЕО) № 1488/94 на Комисията, както и на Директива 76/769/ЕИО на Съвета и директиви 91/155/ЕИО, 93/67/ЕИО, 93/105/ЕО и 2000/21/ЕО на Комисията (ОВ L 396, 30.12.2006 г., стр. 1).</w:t>
            </w:r>
            <w:bookmarkStart w:id="0" w:name="_GoBack"/>
            <w:bookmarkEnd w:id="0"/>
          </w:p>
        </w:tc>
        <w:tc>
          <w:tcPr>
            <w:tcW w:w="2122" w:type="dxa"/>
          </w:tcPr>
          <w:p w:rsidR="00664168" w:rsidRPr="001D6C57" w:rsidRDefault="00664168" w:rsidP="00180F00">
            <w:pPr>
              <w:pStyle w:val="NoSpacing"/>
              <w:rPr>
                <w:sz w:val="20"/>
                <w:szCs w:val="20"/>
              </w:rPr>
            </w:pPr>
            <w:r w:rsidRPr="001D6C57">
              <w:rPr>
                <w:sz w:val="20"/>
                <w:szCs w:val="20"/>
              </w:rPr>
              <w:lastRenderedPageBreak/>
              <w:t>Пълно</w:t>
            </w:r>
          </w:p>
        </w:tc>
      </w:tr>
    </w:tbl>
    <w:p w:rsidR="00664168" w:rsidRPr="00AE39A2" w:rsidRDefault="00664168" w:rsidP="006F3AD7">
      <w:pPr>
        <w:pStyle w:val="NoSpacing"/>
        <w:rPr>
          <w:sz w:val="20"/>
          <w:szCs w:val="20"/>
          <w:lang w:val="en-US"/>
        </w:rPr>
      </w:pPr>
    </w:p>
    <w:sectPr w:rsidR="00664168" w:rsidRPr="00AE39A2" w:rsidSect="00FE59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D9" w:rsidRDefault="00FE32D9" w:rsidP="00DD4682">
      <w:pPr>
        <w:spacing w:after="0" w:line="240" w:lineRule="auto"/>
      </w:pPr>
      <w:r>
        <w:separator/>
      </w:r>
    </w:p>
  </w:endnote>
  <w:endnote w:type="continuationSeparator" w:id="0">
    <w:p w:rsidR="00FE32D9" w:rsidRDefault="00FE32D9" w:rsidP="00DD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charset w:val="A1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5C" w:rsidRDefault="00244D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EDC">
      <w:rPr>
        <w:noProof/>
      </w:rPr>
      <w:t>5</w:t>
    </w:r>
    <w:r>
      <w:rPr>
        <w:noProof/>
      </w:rPr>
      <w:fldChar w:fldCharType="end"/>
    </w:r>
  </w:p>
  <w:p w:rsidR="00244D5C" w:rsidRDefault="00244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D9" w:rsidRDefault="00FE32D9" w:rsidP="00DD4682">
      <w:pPr>
        <w:spacing w:after="0" w:line="240" w:lineRule="auto"/>
      </w:pPr>
      <w:r>
        <w:separator/>
      </w:r>
    </w:p>
  </w:footnote>
  <w:footnote w:type="continuationSeparator" w:id="0">
    <w:p w:rsidR="00FE32D9" w:rsidRDefault="00FE32D9" w:rsidP="00DD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CAF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103F1"/>
    <w:multiLevelType w:val="hybridMultilevel"/>
    <w:tmpl w:val="005E7BF2"/>
    <w:lvl w:ilvl="0" w:tplc="93A006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1C930B4"/>
    <w:multiLevelType w:val="hybridMultilevel"/>
    <w:tmpl w:val="605AC1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07C25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A575F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7A6365"/>
    <w:multiLevelType w:val="hybridMultilevel"/>
    <w:tmpl w:val="F640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6"/>
    <w:rsid w:val="00000806"/>
    <w:rsid w:val="00000B5A"/>
    <w:rsid w:val="00001D2F"/>
    <w:rsid w:val="00003B0D"/>
    <w:rsid w:val="000068DF"/>
    <w:rsid w:val="00006BBF"/>
    <w:rsid w:val="00010580"/>
    <w:rsid w:val="00013BF1"/>
    <w:rsid w:val="00015A42"/>
    <w:rsid w:val="000169E3"/>
    <w:rsid w:val="000175EC"/>
    <w:rsid w:val="00021752"/>
    <w:rsid w:val="0002596D"/>
    <w:rsid w:val="00031A9A"/>
    <w:rsid w:val="000349FD"/>
    <w:rsid w:val="000406A5"/>
    <w:rsid w:val="000417FA"/>
    <w:rsid w:val="00042C14"/>
    <w:rsid w:val="000433A1"/>
    <w:rsid w:val="00043E95"/>
    <w:rsid w:val="0004524D"/>
    <w:rsid w:val="00050811"/>
    <w:rsid w:val="00053E24"/>
    <w:rsid w:val="00054816"/>
    <w:rsid w:val="00055500"/>
    <w:rsid w:val="000557B2"/>
    <w:rsid w:val="0006250A"/>
    <w:rsid w:val="00064EDD"/>
    <w:rsid w:val="00066B64"/>
    <w:rsid w:val="00067769"/>
    <w:rsid w:val="000724F7"/>
    <w:rsid w:val="000725BE"/>
    <w:rsid w:val="00073D5B"/>
    <w:rsid w:val="00082409"/>
    <w:rsid w:val="00085E84"/>
    <w:rsid w:val="00090BFB"/>
    <w:rsid w:val="00092ED5"/>
    <w:rsid w:val="00095E79"/>
    <w:rsid w:val="0009686C"/>
    <w:rsid w:val="000972FE"/>
    <w:rsid w:val="000A096A"/>
    <w:rsid w:val="000A216B"/>
    <w:rsid w:val="000A306D"/>
    <w:rsid w:val="000A3D67"/>
    <w:rsid w:val="000B15A0"/>
    <w:rsid w:val="000B2196"/>
    <w:rsid w:val="000B25C8"/>
    <w:rsid w:val="000B450A"/>
    <w:rsid w:val="000B6F41"/>
    <w:rsid w:val="000C12B0"/>
    <w:rsid w:val="000C1B7E"/>
    <w:rsid w:val="000C2C31"/>
    <w:rsid w:val="000C3ACA"/>
    <w:rsid w:val="000C587F"/>
    <w:rsid w:val="000C6411"/>
    <w:rsid w:val="000C64E5"/>
    <w:rsid w:val="000D1095"/>
    <w:rsid w:val="000D1383"/>
    <w:rsid w:val="000D186D"/>
    <w:rsid w:val="000D2A93"/>
    <w:rsid w:val="000D4674"/>
    <w:rsid w:val="000E0755"/>
    <w:rsid w:val="000E2451"/>
    <w:rsid w:val="000E2B3B"/>
    <w:rsid w:val="000E6122"/>
    <w:rsid w:val="000E69B6"/>
    <w:rsid w:val="000F5872"/>
    <w:rsid w:val="000F6057"/>
    <w:rsid w:val="001018F1"/>
    <w:rsid w:val="00103227"/>
    <w:rsid w:val="00104458"/>
    <w:rsid w:val="00104495"/>
    <w:rsid w:val="00107266"/>
    <w:rsid w:val="001102DD"/>
    <w:rsid w:val="00113E1E"/>
    <w:rsid w:val="00116939"/>
    <w:rsid w:val="001200E9"/>
    <w:rsid w:val="001210CB"/>
    <w:rsid w:val="001235DA"/>
    <w:rsid w:val="00125D39"/>
    <w:rsid w:val="00136559"/>
    <w:rsid w:val="00137550"/>
    <w:rsid w:val="00137FB9"/>
    <w:rsid w:val="00147B8E"/>
    <w:rsid w:val="00150DF5"/>
    <w:rsid w:val="00151D3B"/>
    <w:rsid w:val="00151F31"/>
    <w:rsid w:val="00154F10"/>
    <w:rsid w:val="00157D93"/>
    <w:rsid w:val="001607B7"/>
    <w:rsid w:val="001617F6"/>
    <w:rsid w:val="001639A4"/>
    <w:rsid w:val="00164B21"/>
    <w:rsid w:val="0016567B"/>
    <w:rsid w:val="00167A2E"/>
    <w:rsid w:val="00172796"/>
    <w:rsid w:val="00173E12"/>
    <w:rsid w:val="001753C8"/>
    <w:rsid w:val="00175ACD"/>
    <w:rsid w:val="00180F00"/>
    <w:rsid w:val="001850F6"/>
    <w:rsid w:val="00185300"/>
    <w:rsid w:val="001876E5"/>
    <w:rsid w:val="001902C7"/>
    <w:rsid w:val="00190744"/>
    <w:rsid w:val="0019098D"/>
    <w:rsid w:val="00191F4C"/>
    <w:rsid w:val="00195369"/>
    <w:rsid w:val="0019616C"/>
    <w:rsid w:val="001A3B53"/>
    <w:rsid w:val="001A7409"/>
    <w:rsid w:val="001B0F07"/>
    <w:rsid w:val="001B15FB"/>
    <w:rsid w:val="001B4BA3"/>
    <w:rsid w:val="001B4FD8"/>
    <w:rsid w:val="001C25DF"/>
    <w:rsid w:val="001C2DE4"/>
    <w:rsid w:val="001C3450"/>
    <w:rsid w:val="001C461A"/>
    <w:rsid w:val="001C46D5"/>
    <w:rsid w:val="001C6E2C"/>
    <w:rsid w:val="001D10C2"/>
    <w:rsid w:val="001D364C"/>
    <w:rsid w:val="001D4564"/>
    <w:rsid w:val="001D6814"/>
    <w:rsid w:val="001D6C57"/>
    <w:rsid w:val="001E0A1C"/>
    <w:rsid w:val="001E0B85"/>
    <w:rsid w:val="001E1903"/>
    <w:rsid w:val="001E2DC5"/>
    <w:rsid w:val="001E30EA"/>
    <w:rsid w:val="001E5441"/>
    <w:rsid w:val="001F1DAF"/>
    <w:rsid w:val="001F4077"/>
    <w:rsid w:val="001F44E5"/>
    <w:rsid w:val="001F712C"/>
    <w:rsid w:val="00202D57"/>
    <w:rsid w:val="00202FDF"/>
    <w:rsid w:val="0020308B"/>
    <w:rsid w:val="002055FE"/>
    <w:rsid w:val="00207A6F"/>
    <w:rsid w:val="00215C0B"/>
    <w:rsid w:val="002240AE"/>
    <w:rsid w:val="0022642A"/>
    <w:rsid w:val="0023292A"/>
    <w:rsid w:val="00232F96"/>
    <w:rsid w:val="002333F2"/>
    <w:rsid w:val="002428B0"/>
    <w:rsid w:val="00242DBB"/>
    <w:rsid w:val="00243211"/>
    <w:rsid w:val="00244AE9"/>
    <w:rsid w:val="00244D5C"/>
    <w:rsid w:val="00245516"/>
    <w:rsid w:val="0024677D"/>
    <w:rsid w:val="0024678E"/>
    <w:rsid w:val="0025429C"/>
    <w:rsid w:val="00254DE3"/>
    <w:rsid w:val="00255EFD"/>
    <w:rsid w:val="00260D1A"/>
    <w:rsid w:val="00265B50"/>
    <w:rsid w:val="00266C7A"/>
    <w:rsid w:val="0026745D"/>
    <w:rsid w:val="00273661"/>
    <w:rsid w:val="00276226"/>
    <w:rsid w:val="00283352"/>
    <w:rsid w:val="002842A5"/>
    <w:rsid w:val="0029126F"/>
    <w:rsid w:val="002917E6"/>
    <w:rsid w:val="002949AF"/>
    <w:rsid w:val="002951AD"/>
    <w:rsid w:val="002957D6"/>
    <w:rsid w:val="002973EC"/>
    <w:rsid w:val="002A4005"/>
    <w:rsid w:val="002A6002"/>
    <w:rsid w:val="002B0997"/>
    <w:rsid w:val="002B142F"/>
    <w:rsid w:val="002B3158"/>
    <w:rsid w:val="002B4155"/>
    <w:rsid w:val="002B4DB7"/>
    <w:rsid w:val="002B5CBC"/>
    <w:rsid w:val="002C1614"/>
    <w:rsid w:val="002D499B"/>
    <w:rsid w:val="002D599A"/>
    <w:rsid w:val="002D620F"/>
    <w:rsid w:val="002D74E1"/>
    <w:rsid w:val="002E15B5"/>
    <w:rsid w:val="002E25BA"/>
    <w:rsid w:val="002F04C9"/>
    <w:rsid w:val="002F13B0"/>
    <w:rsid w:val="002F4F35"/>
    <w:rsid w:val="002F7B08"/>
    <w:rsid w:val="002F7C65"/>
    <w:rsid w:val="00303862"/>
    <w:rsid w:val="003043AD"/>
    <w:rsid w:val="003056FB"/>
    <w:rsid w:val="0031549F"/>
    <w:rsid w:val="00315834"/>
    <w:rsid w:val="00316D70"/>
    <w:rsid w:val="00316F26"/>
    <w:rsid w:val="00317AE9"/>
    <w:rsid w:val="0032208C"/>
    <w:rsid w:val="00330B7E"/>
    <w:rsid w:val="00331524"/>
    <w:rsid w:val="00331CE5"/>
    <w:rsid w:val="0033322A"/>
    <w:rsid w:val="00336F9A"/>
    <w:rsid w:val="003434C4"/>
    <w:rsid w:val="00344119"/>
    <w:rsid w:val="00345F56"/>
    <w:rsid w:val="00353A89"/>
    <w:rsid w:val="003601D7"/>
    <w:rsid w:val="0036759C"/>
    <w:rsid w:val="00367668"/>
    <w:rsid w:val="00370C86"/>
    <w:rsid w:val="003761A9"/>
    <w:rsid w:val="00382973"/>
    <w:rsid w:val="00382CED"/>
    <w:rsid w:val="00385C04"/>
    <w:rsid w:val="003918C1"/>
    <w:rsid w:val="00393580"/>
    <w:rsid w:val="003974FF"/>
    <w:rsid w:val="003A2893"/>
    <w:rsid w:val="003A3AED"/>
    <w:rsid w:val="003A4F1B"/>
    <w:rsid w:val="003A6B62"/>
    <w:rsid w:val="003B1047"/>
    <w:rsid w:val="003B61E7"/>
    <w:rsid w:val="003C1B09"/>
    <w:rsid w:val="003C6EAA"/>
    <w:rsid w:val="003D2EE6"/>
    <w:rsid w:val="003D3E4A"/>
    <w:rsid w:val="003D42C8"/>
    <w:rsid w:val="003D6760"/>
    <w:rsid w:val="003E056C"/>
    <w:rsid w:val="003E201C"/>
    <w:rsid w:val="003E40C4"/>
    <w:rsid w:val="003E53C9"/>
    <w:rsid w:val="003E6879"/>
    <w:rsid w:val="003E690C"/>
    <w:rsid w:val="003F2222"/>
    <w:rsid w:val="003F2F3F"/>
    <w:rsid w:val="003F5CFF"/>
    <w:rsid w:val="003F763C"/>
    <w:rsid w:val="00400DCA"/>
    <w:rsid w:val="00403249"/>
    <w:rsid w:val="00403CDB"/>
    <w:rsid w:val="0040605C"/>
    <w:rsid w:val="004061F4"/>
    <w:rsid w:val="004065C2"/>
    <w:rsid w:val="004112EC"/>
    <w:rsid w:val="00417DCE"/>
    <w:rsid w:val="004239D5"/>
    <w:rsid w:val="00424C1E"/>
    <w:rsid w:val="00430D73"/>
    <w:rsid w:val="0043181A"/>
    <w:rsid w:val="0043198F"/>
    <w:rsid w:val="004331E2"/>
    <w:rsid w:val="00437C45"/>
    <w:rsid w:val="00445D73"/>
    <w:rsid w:val="00447DD0"/>
    <w:rsid w:val="00447EB5"/>
    <w:rsid w:val="00450EDB"/>
    <w:rsid w:val="00452BC7"/>
    <w:rsid w:val="00452E65"/>
    <w:rsid w:val="004543CE"/>
    <w:rsid w:val="00454B72"/>
    <w:rsid w:val="00454F52"/>
    <w:rsid w:val="00455F90"/>
    <w:rsid w:val="00457EA6"/>
    <w:rsid w:val="00460D5B"/>
    <w:rsid w:val="0046371C"/>
    <w:rsid w:val="00471817"/>
    <w:rsid w:val="00472FFF"/>
    <w:rsid w:val="00473137"/>
    <w:rsid w:val="0047395B"/>
    <w:rsid w:val="004747F2"/>
    <w:rsid w:val="00481641"/>
    <w:rsid w:val="00485C99"/>
    <w:rsid w:val="0048739E"/>
    <w:rsid w:val="004873C1"/>
    <w:rsid w:val="0049031C"/>
    <w:rsid w:val="0049132C"/>
    <w:rsid w:val="004939FB"/>
    <w:rsid w:val="0049439C"/>
    <w:rsid w:val="004947B7"/>
    <w:rsid w:val="00494C4A"/>
    <w:rsid w:val="004960D6"/>
    <w:rsid w:val="004A3D7F"/>
    <w:rsid w:val="004B35C4"/>
    <w:rsid w:val="004C1D89"/>
    <w:rsid w:val="004D0D64"/>
    <w:rsid w:val="004D633B"/>
    <w:rsid w:val="004D7AFE"/>
    <w:rsid w:val="004E30EB"/>
    <w:rsid w:val="004E48C7"/>
    <w:rsid w:val="004E4A9B"/>
    <w:rsid w:val="004E5294"/>
    <w:rsid w:val="004E6D44"/>
    <w:rsid w:val="004F32A6"/>
    <w:rsid w:val="004F39DE"/>
    <w:rsid w:val="004F6844"/>
    <w:rsid w:val="00500F51"/>
    <w:rsid w:val="005037BB"/>
    <w:rsid w:val="00503BDF"/>
    <w:rsid w:val="00507205"/>
    <w:rsid w:val="00515075"/>
    <w:rsid w:val="00523FDD"/>
    <w:rsid w:val="00524737"/>
    <w:rsid w:val="0052649A"/>
    <w:rsid w:val="00530595"/>
    <w:rsid w:val="0053400E"/>
    <w:rsid w:val="005354FA"/>
    <w:rsid w:val="005365B5"/>
    <w:rsid w:val="00541C92"/>
    <w:rsid w:val="00541FC7"/>
    <w:rsid w:val="00542483"/>
    <w:rsid w:val="005425FF"/>
    <w:rsid w:val="005436AC"/>
    <w:rsid w:val="005447A5"/>
    <w:rsid w:val="0055257F"/>
    <w:rsid w:val="00552724"/>
    <w:rsid w:val="00554676"/>
    <w:rsid w:val="00555194"/>
    <w:rsid w:val="005553D6"/>
    <w:rsid w:val="00555D88"/>
    <w:rsid w:val="0055656B"/>
    <w:rsid w:val="00560692"/>
    <w:rsid w:val="005620B9"/>
    <w:rsid w:val="00563966"/>
    <w:rsid w:val="005705FF"/>
    <w:rsid w:val="00571BE5"/>
    <w:rsid w:val="0058310B"/>
    <w:rsid w:val="005862CB"/>
    <w:rsid w:val="005906EA"/>
    <w:rsid w:val="00591E5B"/>
    <w:rsid w:val="00594CF7"/>
    <w:rsid w:val="005953BB"/>
    <w:rsid w:val="0059559C"/>
    <w:rsid w:val="005A1717"/>
    <w:rsid w:val="005A3044"/>
    <w:rsid w:val="005A77F2"/>
    <w:rsid w:val="005B1404"/>
    <w:rsid w:val="005B53DD"/>
    <w:rsid w:val="005C2974"/>
    <w:rsid w:val="005C364B"/>
    <w:rsid w:val="005C3A15"/>
    <w:rsid w:val="005C3A8A"/>
    <w:rsid w:val="005C418F"/>
    <w:rsid w:val="005C46E1"/>
    <w:rsid w:val="005C678F"/>
    <w:rsid w:val="005D4BFA"/>
    <w:rsid w:val="005E13C4"/>
    <w:rsid w:val="005E3C95"/>
    <w:rsid w:val="005E43D2"/>
    <w:rsid w:val="005E44DB"/>
    <w:rsid w:val="005E50DC"/>
    <w:rsid w:val="005E5178"/>
    <w:rsid w:val="005E796A"/>
    <w:rsid w:val="005E7C5B"/>
    <w:rsid w:val="005F32F8"/>
    <w:rsid w:val="005F3A0C"/>
    <w:rsid w:val="005F4656"/>
    <w:rsid w:val="005F56C0"/>
    <w:rsid w:val="005F6F3D"/>
    <w:rsid w:val="00601660"/>
    <w:rsid w:val="0060636E"/>
    <w:rsid w:val="0060640B"/>
    <w:rsid w:val="00613C7F"/>
    <w:rsid w:val="00613F98"/>
    <w:rsid w:val="006163F4"/>
    <w:rsid w:val="00616927"/>
    <w:rsid w:val="00617ADF"/>
    <w:rsid w:val="00623027"/>
    <w:rsid w:val="00623F08"/>
    <w:rsid w:val="006253B1"/>
    <w:rsid w:val="00627312"/>
    <w:rsid w:val="006315AD"/>
    <w:rsid w:val="00632831"/>
    <w:rsid w:val="006333FB"/>
    <w:rsid w:val="0063470D"/>
    <w:rsid w:val="00634E4C"/>
    <w:rsid w:val="006354D8"/>
    <w:rsid w:val="00637054"/>
    <w:rsid w:val="00640305"/>
    <w:rsid w:val="006417A1"/>
    <w:rsid w:val="00641FDA"/>
    <w:rsid w:val="00642244"/>
    <w:rsid w:val="00642994"/>
    <w:rsid w:val="00642DB7"/>
    <w:rsid w:val="00643ABE"/>
    <w:rsid w:val="006445EF"/>
    <w:rsid w:val="00644DCC"/>
    <w:rsid w:val="00661510"/>
    <w:rsid w:val="00661853"/>
    <w:rsid w:val="00663D30"/>
    <w:rsid w:val="00664168"/>
    <w:rsid w:val="006663D1"/>
    <w:rsid w:val="0067166E"/>
    <w:rsid w:val="0067306B"/>
    <w:rsid w:val="00673735"/>
    <w:rsid w:val="0067496C"/>
    <w:rsid w:val="00674F47"/>
    <w:rsid w:val="00680F0B"/>
    <w:rsid w:val="0068482F"/>
    <w:rsid w:val="006861E1"/>
    <w:rsid w:val="0068703D"/>
    <w:rsid w:val="00690676"/>
    <w:rsid w:val="006907E6"/>
    <w:rsid w:val="00690889"/>
    <w:rsid w:val="006912FA"/>
    <w:rsid w:val="006913D1"/>
    <w:rsid w:val="00692DB1"/>
    <w:rsid w:val="00697027"/>
    <w:rsid w:val="006A170E"/>
    <w:rsid w:val="006A53AF"/>
    <w:rsid w:val="006B1974"/>
    <w:rsid w:val="006B441E"/>
    <w:rsid w:val="006B4CC3"/>
    <w:rsid w:val="006B75BA"/>
    <w:rsid w:val="006C16AA"/>
    <w:rsid w:val="006D152A"/>
    <w:rsid w:val="006D29C2"/>
    <w:rsid w:val="006D662C"/>
    <w:rsid w:val="006E12D5"/>
    <w:rsid w:val="006E7533"/>
    <w:rsid w:val="006F17BA"/>
    <w:rsid w:val="006F3AD7"/>
    <w:rsid w:val="006F5150"/>
    <w:rsid w:val="007002C0"/>
    <w:rsid w:val="00701DDA"/>
    <w:rsid w:val="0070410E"/>
    <w:rsid w:val="0071220D"/>
    <w:rsid w:val="0072146F"/>
    <w:rsid w:val="007272E6"/>
    <w:rsid w:val="007318C4"/>
    <w:rsid w:val="00731959"/>
    <w:rsid w:val="00732F33"/>
    <w:rsid w:val="00733302"/>
    <w:rsid w:val="00736E6E"/>
    <w:rsid w:val="00743A5D"/>
    <w:rsid w:val="00746E60"/>
    <w:rsid w:val="00747A25"/>
    <w:rsid w:val="00750D9E"/>
    <w:rsid w:val="007524D1"/>
    <w:rsid w:val="00754027"/>
    <w:rsid w:val="0075493D"/>
    <w:rsid w:val="00755D53"/>
    <w:rsid w:val="00760863"/>
    <w:rsid w:val="00761FD2"/>
    <w:rsid w:val="007667AE"/>
    <w:rsid w:val="00770851"/>
    <w:rsid w:val="007776A1"/>
    <w:rsid w:val="00777C50"/>
    <w:rsid w:val="00780B3A"/>
    <w:rsid w:val="007833CC"/>
    <w:rsid w:val="00785984"/>
    <w:rsid w:val="00786030"/>
    <w:rsid w:val="007875CC"/>
    <w:rsid w:val="00787DE4"/>
    <w:rsid w:val="00791978"/>
    <w:rsid w:val="0079460A"/>
    <w:rsid w:val="00795F16"/>
    <w:rsid w:val="007A14AB"/>
    <w:rsid w:val="007A326E"/>
    <w:rsid w:val="007A546C"/>
    <w:rsid w:val="007A55B6"/>
    <w:rsid w:val="007B1612"/>
    <w:rsid w:val="007B3A97"/>
    <w:rsid w:val="007B5B8E"/>
    <w:rsid w:val="007B765E"/>
    <w:rsid w:val="007C01E5"/>
    <w:rsid w:val="007C1902"/>
    <w:rsid w:val="007C3E53"/>
    <w:rsid w:val="007C3EFA"/>
    <w:rsid w:val="007C4A14"/>
    <w:rsid w:val="007C67DA"/>
    <w:rsid w:val="007C6FB6"/>
    <w:rsid w:val="007D2D64"/>
    <w:rsid w:val="007E0AD2"/>
    <w:rsid w:val="007E25D3"/>
    <w:rsid w:val="007E3526"/>
    <w:rsid w:val="007E3659"/>
    <w:rsid w:val="007E5E49"/>
    <w:rsid w:val="007E6C6E"/>
    <w:rsid w:val="007E71DD"/>
    <w:rsid w:val="007F0ED8"/>
    <w:rsid w:val="007F159E"/>
    <w:rsid w:val="007F26B8"/>
    <w:rsid w:val="007F2FA5"/>
    <w:rsid w:val="007F566B"/>
    <w:rsid w:val="007F65A7"/>
    <w:rsid w:val="007F7930"/>
    <w:rsid w:val="00802F01"/>
    <w:rsid w:val="00804F0E"/>
    <w:rsid w:val="00807ADE"/>
    <w:rsid w:val="00810BD5"/>
    <w:rsid w:val="008112EC"/>
    <w:rsid w:val="00811894"/>
    <w:rsid w:val="008215E6"/>
    <w:rsid w:val="00821B25"/>
    <w:rsid w:val="00824EB4"/>
    <w:rsid w:val="00825EC9"/>
    <w:rsid w:val="008263F3"/>
    <w:rsid w:val="0083164B"/>
    <w:rsid w:val="00831769"/>
    <w:rsid w:val="0083669B"/>
    <w:rsid w:val="00837BA5"/>
    <w:rsid w:val="008414E9"/>
    <w:rsid w:val="00841D82"/>
    <w:rsid w:val="00843014"/>
    <w:rsid w:val="00844DA9"/>
    <w:rsid w:val="00845259"/>
    <w:rsid w:val="008475AB"/>
    <w:rsid w:val="00853E1B"/>
    <w:rsid w:val="00861A78"/>
    <w:rsid w:val="00866649"/>
    <w:rsid w:val="00870F4C"/>
    <w:rsid w:val="00881067"/>
    <w:rsid w:val="0088146F"/>
    <w:rsid w:val="00882ABA"/>
    <w:rsid w:val="00883FC2"/>
    <w:rsid w:val="008923E2"/>
    <w:rsid w:val="00892BF3"/>
    <w:rsid w:val="00892F47"/>
    <w:rsid w:val="008932D2"/>
    <w:rsid w:val="008955C0"/>
    <w:rsid w:val="00895773"/>
    <w:rsid w:val="008A2404"/>
    <w:rsid w:val="008A38E3"/>
    <w:rsid w:val="008A4BC5"/>
    <w:rsid w:val="008B62D6"/>
    <w:rsid w:val="008B6E16"/>
    <w:rsid w:val="008C2196"/>
    <w:rsid w:val="008C4C15"/>
    <w:rsid w:val="008C4FC1"/>
    <w:rsid w:val="008C53E4"/>
    <w:rsid w:val="008C5ED1"/>
    <w:rsid w:val="008C75ED"/>
    <w:rsid w:val="008C7E05"/>
    <w:rsid w:val="008D0FE2"/>
    <w:rsid w:val="008D19F0"/>
    <w:rsid w:val="008D284C"/>
    <w:rsid w:val="008D4E30"/>
    <w:rsid w:val="008D523B"/>
    <w:rsid w:val="008D712B"/>
    <w:rsid w:val="008E0236"/>
    <w:rsid w:val="008E07FF"/>
    <w:rsid w:val="008E3326"/>
    <w:rsid w:val="008E3CF7"/>
    <w:rsid w:val="008E4076"/>
    <w:rsid w:val="008F52AE"/>
    <w:rsid w:val="00900879"/>
    <w:rsid w:val="00901FD3"/>
    <w:rsid w:val="009023EF"/>
    <w:rsid w:val="00903348"/>
    <w:rsid w:val="0090378E"/>
    <w:rsid w:val="00903A71"/>
    <w:rsid w:val="009045D8"/>
    <w:rsid w:val="00906E07"/>
    <w:rsid w:val="00910CF4"/>
    <w:rsid w:val="00920FDB"/>
    <w:rsid w:val="00925474"/>
    <w:rsid w:val="0093243F"/>
    <w:rsid w:val="009350DB"/>
    <w:rsid w:val="00937E14"/>
    <w:rsid w:val="00943238"/>
    <w:rsid w:val="009440BC"/>
    <w:rsid w:val="00951116"/>
    <w:rsid w:val="00952246"/>
    <w:rsid w:val="00952EAF"/>
    <w:rsid w:val="00955B63"/>
    <w:rsid w:val="00957356"/>
    <w:rsid w:val="00960353"/>
    <w:rsid w:val="0096319A"/>
    <w:rsid w:val="00964574"/>
    <w:rsid w:val="00966CDA"/>
    <w:rsid w:val="0097217D"/>
    <w:rsid w:val="00972A6A"/>
    <w:rsid w:val="009735C2"/>
    <w:rsid w:val="009752CB"/>
    <w:rsid w:val="00975E48"/>
    <w:rsid w:val="0097678E"/>
    <w:rsid w:val="00977542"/>
    <w:rsid w:val="00980B1E"/>
    <w:rsid w:val="0098531C"/>
    <w:rsid w:val="00985EFE"/>
    <w:rsid w:val="00990A61"/>
    <w:rsid w:val="00991F53"/>
    <w:rsid w:val="009938B1"/>
    <w:rsid w:val="00997A10"/>
    <w:rsid w:val="009A2C12"/>
    <w:rsid w:val="009A3199"/>
    <w:rsid w:val="009A4485"/>
    <w:rsid w:val="009A7D95"/>
    <w:rsid w:val="009B0FBE"/>
    <w:rsid w:val="009B6F01"/>
    <w:rsid w:val="009C093C"/>
    <w:rsid w:val="009C129F"/>
    <w:rsid w:val="009D5FBF"/>
    <w:rsid w:val="009E0FB8"/>
    <w:rsid w:val="009E1AC1"/>
    <w:rsid w:val="009E307E"/>
    <w:rsid w:val="009E3E55"/>
    <w:rsid w:val="009E70A1"/>
    <w:rsid w:val="009F5A69"/>
    <w:rsid w:val="00A05875"/>
    <w:rsid w:val="00A065B5"/>
    <w:rsid w:val="00A1049E"/>
    <w:rsid w:val="00A20A9E"/>
    <w:rsid w:val="00A22609"/>
    <w:rsid w:val="00A22728"/>
    <w:rsid w:val="00A236BA"/>
    <w:rsid w:val="00A24C4E"/>
    <w:rsid w:val="00A24C7D"/>
    <w:rsid w:val="00A354A3"/>
    <w:rsid w:val="00A3767C"/>
    <w:rsid w:val="00A40394"/>
    <w:rsid w:val="00A4510E"/>
    <w:rsid w:val="00A512E1"/>
    <w:rsid w:val="00A5140F"/>
    <w:rsid w:val="00A516B2"/>
    <w:rsid w:val="00A52803"/>
    <w:rsid w:val="00A5312C"/>
    <w:rsid w:val="00A5647B"/>
    <w:rsid w:val="00A56CE5"/>
    <w:rsid w:val="00A60BD5"/>
    <w:rsid w:val="00A61BE5"/>
    <w:rsid w:val="00A63006"/>
    <w:rsid w:val="00A70BC7"/>
    <w:rsid w:val="00A725A4"/>
    <w:rsid w:val="00A74012"/>
    <w:rsid w:val="00A80E52"/>
    <w:rsid w:val="00A814A9"/>
    <w:rsid w:val="00A83B01"/>
    <w:rsid w:val="00A8567D"/>
    <w:rsid w:val="00A85756"/>
    <w:rsid w:val="00A91DDF"/>
    <w:rsid w:val="00A9263A"/>
    <w:rsid w:val="00A92D6F"/>
    <w:rsid w:val="00A974FA"/>
    <w:rsid w:val="00AA0420"/>
    <w:rsid w:val="00AA1A5A"/>
    <w:rsid w:val="00AA3B66"/>
    <w:rsid w:val="00AB1274"/>
    <w:rsid w:val="00AB1437"/>
    <w:rsid w:val="00AB1C7D"/>
    <w:rsid w:val="00AB5A38"/>
    <w:rsid w:val="00AC1407"/>
    <w:rsid w:val="00AE18E2"/>
    <w:rsid w:val="00AE3117"/>
    <w:rsid w:val="00AE39A2"/>
    <w:rsid w:val="00AE5624"/>
    <w:rsid w:val="00AF1CB3"/>
    <w:rsid w:val="00AF2903"/>
    <w:rsid w:val="00AF494F"/>
    <w:rsid w:val="00AF4B2F"/>
    <w:rsid w:val="00AF5213"/>
    <w:rsid w:val="00B0196E"/>
    <w:rsid w:val="00B035F1"/>
    <w:rsid w:val="00B03826"/>
    <w:rsid w:val="00B0479D"/>
    <w:rsid w:val="00B113E6"/>
    <w:rsid w:val="00B20E9D"/>
    <w:rsid w:val="00B21ADF"/>
    <w:rsid w:val="00B27B9B"/>
    <w:rsid w:val="00B27D64"/>
    <w:rsid w:val="00B31477"/>
    <w:rsid w:val="00B33AEA"/>
    <w:rsid w:val="00B36700"/>
    <w:rsid w:val="00B36F7B"/>
    <w:rsid w:val="00B42DCA"/>
    <w:rsid w:val="00B467C0"/>
    <w:rsid w:val="00B46916"/>
    <w:rsid w:val="00B46A8A"/>
    <w:rsid w:val="00B52E95"/>
    <w:rsid w:val="00B5432E"/>
    <w:rsid w:val="00B60D7A"/>
    <w:rsid w:val="00B614C6"/>
    <w:rsid w:val="00B6382F"/>
    <w:rsid w:val="00B67822"/>
    <w:rsid w:val="00B71B85"/>
    <w:rsid w:val="00B71D89"/>
    <w:rsid w:val="00B725EB"/>
    <w:rsid w:val="00B83ED6"/>
    <w:rsid w:val="00B909AF"/>
    <w:rsid w:val="00B90DF1"/>
    <w:rsid w:val="00B91DED"/>
    <w:rsid w:val="00B924D7"/>
    <w:rsid w:val="00B94231"/>
    <w:rsid w:val="00B959B5"/>
    <w:rsid w:val="00B95E6E"/>
    <w:rsid w:val="00BA0311"/>
    <w:rsid w:val="00BA3DB0"/>
    <w:rsid w:val="00BB15EA"/>
    <w:rsid w:val="00BB18A5"/>
    <w:rsid w:val="00BB3A49"/>
    <w:rsid w:val="00BB5E34"/>
    <w:rsid w:val="00BC3B28"/>
    <w:rsid w:val="00BC409C"/>
    <w:rsid w:val="00BC41BD"/>
    <w:rsid w:val="00BC61AD"/>
    <w:rsid w:val="00BC793F"/>
    <w:rsid w:val="00BD03DD"/>
    <w:rsid w:val="00BD0517"/>
    <w:rsid w:val="00BD0B14"/>
    <w:rsid w:val="00BD0CE5"/>
    <w:rsid w:val="00BD1A91"/>
    <w:rsid w:val="00BD1B17"/>
    <w:rsid w:val="00BD6477"/>
    <w:rsid w:val="00BE1754"/>
    <w:rsid w:val="00BE6372"/>
    <w:rsid w:val="00BF4E4F"/>
    <w:rsid w:val="00BF5DA7"/>
    <w:rsid w:val="00BF6197"/>
    <w:rsid w:val="00C044C0"/>
    <w:rsid w:val="00C046EF"/>
    <w:rsid w:val="00C06DBD"/>
    <w:rsid w:val="00C1210B"/>
    <w:rsid w:val="00C1262C"/>
    <w:rsid w:val="00C12C5C"/>
    <w:rsid w:val="00C16F4F"/>
    <w:rsid w:val="00C2079B"/>
    <w:rsid w:val="00C21CEB"/>
    <w:rsid w:val="00C23214"/>
    <w:rsid w:val="00C2744B"/>
    <w:rsid w:val="00C30B33"/>
    <w:rsid w:val="00C33013"/>
    <w:rsid w:val="00C3637D"/>
    <w:rsid w:val="00C37B76"/>
    <w:rsid w:val="00C40EF1"/>
    <w:rsid w:val="00C53230"/>
    <w:rsid w:val="00C539BD"/>
    <w:rsid w:val="00C53BB8"/>
    <w:rsid w:val="00C54784"/>
    <w:rsid w:val="00C55583"/>
    <w:rsid w:val="00C5741E"/>
    <w:rsid w:val="00C620D9"/>
    <w:rsid w:val="00C630A1"/>
    <w:rsid w:val="00C65662"/>
    <w:rsid w:val="00C661C6"/>
    <w:rsid w:val="00C67AAB"/>
    <w:rsid w:val="00C7060C"/>
    <w:rsid w:val="00C74D42"/>
    <w:rsid w:val="00C75890"/>
    <w:rsid w:val="00C75E35"/>
    <w:rsid w:val="00C84377"/>
    <w:rsid w:val="00C86AD0"/>
    <w:rsid w:val="00C86D35"/>
    <w:rsid w:val="00C92173"/>
    <w:rsid w:val="00C93D86"/>
    <w:rsid w:val="00C9401B"/>
    <w:rsid w:val="00C97C3E"/>
    <w:rsid w:val="00CA11F0"/>
    <w:rsid w:val="00CA35F9"/>
    <w:rsid w:val="00CA6EB0"/>
    <w:rsid w:val="00CB1C67"/>
    <w:rsid w:val="00CB3010"/>
    <w:rsid w:val="00CB3103"/>
    <w:rsid w:val="00CB52C4"/>
    <w:rsid w:val="00CC299A"/>
    <w:rsid w:val="00CC4022"/>
    <w:rsid w:val="00CC4C25"/>
    <w:rsid w:val="00CC5E05"/>
    <w:rsid w:val="00CC6DBD"/>
    <w:rsid w:val="00CD06B8"/>
    <w:rsid w:val="00CE1951"/>
    <w:rsid w:val="00CE41B2"/>
    <w:rsid w:val="00CF0E10"/>
    <w:rsid w:val="00CF1602"/>
    <w:rsid w:val="00CF23FB"/>
    <w:rsid w:val="00CF5EE3"/>
    <w:rsid w:val="00CF6AA6"/>
    <w:rsid w:val="00D0036B"/>
    <w:rsid w:val="00D054BF"/>
    <w:rsid w:val="00D061A6"/>
    <w:rsid w:val="00D067AB"/>
    <w:rsid w:val="00D11151"/>
    <w:rsid w:val="00D129E4"/>
    <w:rsid w:val="00D1341A"/>
    <w:rsid w:val="00D13866"/>
    <w:rsid w:val="00D13E76"/>
    <w:rsid w:val="00D15144"/>
    <w:rsid w:val="00D214E3"/>
    <w:rsid w:val="00D231DC"/>
    <w:rsid w:val="00D24EEC"/>
    <w:rsid w:val="00D2741F"/>
    <w:rsid w:val="00D279AC"/>
    <w:rsid w:val="00D27ACD"/>
    <w:rsid w:val="00D27E9A"/>
    <w:rsid w:val="00D30F14"/>
    <w:rsid w:val="00D34E51"/>
    <w:rsid w:val="00D43DA2"/>
    <w:rsid w:val="00D43FD3"/>
    <w:rsid w:val="00D50B42"/>
    <w:rsid w:val="00D50EB1"/>
    <w:rsid w:val="00D51617"/>
    <w:rsid w:val="00D5448D"/>
    <w:rsid w:val="00D55DCD"/>
    <w:rsid w:val="00D56DEC"/>
    <w:rsid w:val="00D57187"/>
    <w:rsid w:val="00D57E51"/>
    <w:rsid w:val="00D611A6"/>
    <w:rsid w:val="00D61EB0"/>
    <w:rsid w:val="00D63140"/>
    <w:rsid w:val="00D71ABB"/>
    <w:rsid w:val="00D74D5B"/>
    <w:rsid w:val="00D77821"/>
    <w:rsid w:val="00D806E9"/>
    <w:rsid w:val="00D836D5"/>
    <w:rsid w:val="00D85B79"/>
    <w:rsid w:val="00D878DB"/>
    <w:rsid w:val="00D935A3"/>
    <w:rsid w:val="00DA1F5D"/>
    <w:rsid w:val="00DA3D86"/>
    <w:rsid w:val="00DA5901"/>
    <w:rsid w:val="00DB050D"/>
    <w:rsid w:val="00DB4D11"/>
    <w:rsid w:val="00DC24CC"/>
    <w:rsid w:val="00DC2A52"/>
    <w:rsid w:val="00DC3934"/>
    <w:rsid w:val="00DD4079"/>
    <w:rsid w:val="00DD4682"/>
    <w:rsid w:val="00DD54C5"/>
    <w:rsid w:val="00DD5892"/>
    <w:rsid w:val="00DE1B87"/>
    <w:rsid w:val="00DE3B44"/>
    <w:rsid w:val="00DE3E3E"/>
    <w:rsid w:val="00DE61E8"/>
    <w:rsid w:val="00DE72F2"/>
    <w:rsid w:val="00DF1E38"/>
    <w:rsid w:val="00DF380A"/>
    <w:rsid w:val="00DF693A"/>
    <w:rsid w:val="00E06514"/>
    <w:rsid w:val="00E07B22"/>
    <w:rsid w:val="00E1238C"/>
    <w:rsid w:val="00E13D17"/>
    <w:rsid w:val="00E179C3"/>
    <w:rsid w:val="00E26563"/>
    <w:rsid w:val="00E27482"/>
    <w:rsid w:val="00E30815"/>
    <w:rsid w:val="00E328E5"/>
    <w:rsid w:val="00E34E77"/>
    <w:rsid w:val="00E35BAB"/>
    <w:rsid w:val="00E35E34"/>
    <w:rsid w:val="00E37BBD"/>
    <w:rsid w:val="00E40CFE"/>
    <w:rsid w:val="00E4420A"/>
    <w:rsid w:val="00E472DA"/>
    <w:rsid w:val="00E4737B"/>
    <w:rsid w:val="00E51124"/>
    <w:rsid w:val="00E52645"/>
    <w:rsid w:val="00E534DA"/>
    <w:rsid w:val="00E57808"/>
    <w:rsid w:val="00E57D2B"/>
    <w:rsid w:val="00E64492"/>
    <w:rsid w:val="00E652F2"/>
    <w:rsid w:val="00E66341"/>
    <w:rsid w:val="00E66F47"/>
    <w:rsid w:val="00E7102A"/>
    <w:rsid w:val="00E716A5"/>
    <w:rsid w:val="00E71AE2"/>
    <w:rsid w:val="00E72941"/>
    <w:rsid w:val="00E755FF"/>
    <w:rsid w:val="00E76D87"/>
    <w:rsid w:val="00E80E80"/>
    <w:rsid w:val="00E8296B"/>
    <w:rsid w:val="00E8776B"/>
    <w:rsid w:val="00E917C6"/>
    <w:rsid w:val="00E92750"/>
    <w:rsid w:val="00E93F41"/>
    <w:rsid w:val="00E94BF8"/>
    <w:rsid w:val="00E9585E"/>
    <w:rsid w:val="00E964B5"/>
    <w:rsid w:val="00E9722B"/>
    <w:rsid w:val="00E97CE8"/>
    <w:rsid w:val="00EA269F"/>
    <w:rsid w:val="00EA2EB6"/>
    <w:rsid w:val="00EA395D"/>
    <w:rsid w:val="00EA51BF"/>
    <w:rsid w:val="00EA64AD"/>
    <w:rsid w:val="00EA774A"/>
    <w:rsid w:val="00EA7F5B"/>
    <w:rsid w:val="00EB346C"/>
    <w:rsid w:val="00EB5FDD"/>
    <w:rsid w:val="00EC0009"/>
    <w:rsid w:val="00EC095B"/>
    <w:rsid w:val="00EC1741"/>
    <w:rsid w:val="00EC1D2D"/>
    <w:rsid w:val="00EC1DC1"/>
    <w:rsid w:val="00EC3B7F"/>
    <w:rsid w:val="00EC3C96"/>
    <w:rsid w:val="00EC622A"/>
    <w:rsid w:val="00EC66C8"/>
    <w:rsid w:val="00ED069D"/>
    <w:rsid w:val="00ED3004"/>
    <w:rsid w:val="00ED3726"/>
    <w:rsid w:val="00ED3A40"/>
    <w:rsid w:val="00ED41D5"/>
    <w:rsid w:val="00ED4226"/>
    <w:rsid w:val="00ED7118"/>
    <w:rsid w:val="00EE3DE9"/>
    <w:rsid w:val="00EF1076"/>
    <w:rsid w:val="00EF1FA2"/>
    <w:rsid w:val="00EF20D4"/>
    <w:rsid w:val="00EF7DC5"/>
    <w:rsid w:val="00F0106C"/>
    <w:rsid w:val="00F0329E"/>
    <w:rsid w:val="00F039A5"/>
    <w:rsid w:val="00F04417"/>
    <w:rsid w:val="00F11131"/>
    <w:rsid w:val="00F14D3A"/>
    <w:rsid w:val="00F1534C"/>
    <w:rsid w:val="00F21B13"/>
    <w:rsid w:val="00F22C9B"/>
    <w:rsid w:val="00F22CF7"/>
    <w:rsid w:val="00F31E61"/>
    <w:rsid w:val="00F32E76"/>
    <w:rsid w:val="00F3397C"/>
    <w:rsid w:val="00F34934"/>
    <w:rsid w:val="00F35FA6"/>
    <w:rsid w:val="00F457AC"/>
    <w:rsid w:val="00F45A7B"/>
    <w:rsid w:val="00F50D64"/>
    <w:rsid w:val="00F5140E"/>
    <w:rsid w:val="00F51538"/>
    <w:rsid w:val="00F517FD"/>
    <w:rsid w:val="00F55AB9"/>
    <w:rsid w:val="00F60EC8"/>
    <w:rsid w:val="00F6198B"/>
    <w:rsid w:val="00F628F5"/>
    <w:rsid w:val="00F62E80"/>
    <w:rsid w:val="00F64C1D"/>
    <w:rsid w:val="00F7051A"/>
    <w:rsid w:val="00F71809"/>
    <w:rsid w:val="00F736B1"/>
    <w:rsid w:val="00F75B16"/>
    <w:rsid w:val="00F80657"/>
    <w:rsid w:val="00F83930"/>
    <w:rsid w:val="00F84A7D"/>
    <w:rsid w:val="00F91597"/>
    <w:rsid w:val="00F93DDE"/>
    <w:rsid w:val="00F9797C"/>
    <w:rsid w:val="00FA1712"/>
    <w:rsid w:val="00FA3B6D"/>
    <w:rsid w:val="00FA60A8"/>
    <w:rsid w:val="00FA6A82"/>
    <w:rsid w:val="00FB263D"/>
    <w:rsid w:val="00FB6683"/>
    <w:rsid w:val="00FB7755"/>
    <w:rsid w:val="00FC2683"/>
    <w:rsid w:val="00FC5876"/>
    <w:rsid w:val="00FD1AB8"/>
    <w:rsid w:val="00FD3336"/>
    <w:rsid w:val="00FD4F4A"/>
    <w:rsid w:val="00FD5EDC"/>
    <w:rsid w:val="00FD61BF"/>
    <w:rsid w:val="00FD6392"/>
    <w:rsid w:val="00FE2170"/>
    <w:rsid w:val="00FE32D9"/>
    <w:rsid w:val="00FE599F"/>
    <w:rsid w:val="00FE67F5"/>
    <w:rsid w:val="00FF13B3"/>
    <w:rsid w:val="00FF24B0"/>
    <w:rsid w:val="00FF420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47"/>
    <w:pPr>
      <w:spacing w:after="200" w:line="276" w:lineRule="auto"/>
    </w:pPr>
    <w:rPr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9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styleId="NoSpacing">
    <w:name w:val="No Spacing"/>
    <w:uiPriority w:val="99"/>
    <w:qFormat/>
    <w:rsid w:val="00BA3DB0"/>
    <w:rPr>
      <w:rFonts w:eastAsia="Times New Roman"/>
      <w:sz w:val="24"/>
      <w:lang w:val="bg-BG"/>
    </w:rPr>
  </w:style>
  <w:style w:type="paragraph" w:styleId="ListParagraph">
    <w:name w:val="List Paragraph"/>
    <w:basedOn w:val="Normal"/>
    <w:uiPriority w:val="99"/>
    <w:qFormat/>
    <w:rsid w:val="00C23214"/>
    <w:pPr>
      <w:ind w:left="720"/>
      <w:contextualSpacing/>
    </w:pPr>
  </w:style>
  <w:style w:type="paragraph" w:customStyle="1" w:styleId="Default">
    <w:name w:val="Default"/>
    <w:uiPriority w:val="99"/>
    <w:rsid w:val="0071220D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customStyle="1" w:styleId="newdocreference">
    <w:name w:val="newdocreference"/>
    <w:uiPriority w:val="99"/>
    <w:rsid w:val="002B0997"/>
  </w:style>
  <w:style w:type="paragraph" w:styleId="Header">
    <w:name w:val="header"/>
    <w:basedOn w:val="Normal"/>
    <w:link w:val="Head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8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682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6B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47"/>
    <w:pPr>
      <w:spacing w:after="200" w:line="276" w:lineRule="auto"/>
    </w:pPr>
    <w:rPr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9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styleId="NoSpacing">
    <w:name w:val="No Spacing"/>
    <w:uiPriority w:val="99"/>
    <w:qFormat/>
    <w:rsid w:val="00BA3DB0"/>
    <w:rPr>
      <w:rFonts w:eastAsia="Times New Roman"/>
      <w:sz w:val="24"/>
      <w:lang w:val="bg-BG"/>
    </w:rPr>
  </w:style>
  <w:style w:type="paragraph" w:styleId="ListParagraph">
    <w:name w:val="List Paragraph"/>
    <w:basedOn w:val="Normal"/>
    <w:uiPriority w:val="99"/>
    <w:qFormat/>
    <w:rsid w:val="00C23214"/>
    <w:pPr>
      <w:ind w:left="720"/>
      <w:contextualSpacing/>
    </w:pPr>
  </w:style>
  <w:style w:type="paragraph" w:customStyle="1" w:styleId="Default">
    <w:name w:val="Default"/>
    <w:uiPriority w:val="99"/>
    <w:rsid w:val="0071220D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customStyle="1" w:styleId="newdocreference">
    <w:name w:val="newdocreference"/>
    <w:uiPriority w:val="99"/>
    <w:rsid w:val="002B0997"/>
  </w:style>
  <w:style w:type="paragraph" w:styleId="Header">
    <w:name w:val="header"/>
    <w:basedOn w:val="Normal"/>
    <w:link w:val="Head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8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682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6B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ТАБЛИЦА ЗА СЪОТВЕТСТВИЕ</vt:lpstr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ЗА СЪОТВЕТСТВИЕ</dc:title>
  <dc:creator>user</dc:creator>
  <cp:lastModifiedBy>MGaygurova</cp:lastModifiedBy>
  <cp:revision>22</cp:revision>
  <cp:lastPrinted>2015-09-14T08:23:00Z</cp:lastPrinted>
  <dcterms:created xsi:type="dcterms:W3CDTF">2015-07-20T13:11:00Z</dcterms:created>
  <dcterms:modified xsi:type="dcterms:W3CDTF">2015-09-23T08:28:00Z</dcterms:modified>
</cp:coreProperties>
</file>