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F42" w:rsidRPr="00B71FC1" w:rsidRDefault="005D6F42" w:rsidP="005D6F42">
      <w:pPr>
        <w:rPr>
          <w:b/>
          <w:lang w:val="bg-BG"/>
        </w:rPr>
      </w:pPr>
    </w:p>
    <w:p w:rsidR="0021265C" w:rsidRDefault="009375A8" w:rsidP="00790FCD">
      <w:pPr>
        <w:spacing w:after="120" w:line="270" w:lineRule="atLeast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  <w:r w:rsidRPr="009375A8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СЪОБЩЕНИЕ </w:t>
      </w:r>
    </w:p>
    <w:p w:rsidR="009375A8" w:rsidRDefault="009375A8" w:rsidP="00790FCD">
      <w:pPr>
        <w:spacing w:after="120" w:line="270" w:lineRule="atLeast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  <w:r w:rsidRPr="009375A8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ЗА ПРОВЕЖДАНЕ НА КОНСУЛТАЦИИ</w:t>
      </w:r>
    </w:p>
    <w:p w:rsidR="008B0B60" w:rsidRPr="009375A8" w:rsidRDefault="008B0B60" w:rsidP="00790FCD">
      <w:pPr>
        <w:spacing w:after="120" w:line="270" w:lineRule="atLeast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790FCD" w:rsidRDefault="00790FCD" w:rsidP="00790FCD">
      <w:pPr>
        <w:spacing w:after="120" w:line="270" w:lineRule="atLeast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съгласно</w:t>
      </w:r>
      <w:r w:rsidR="009375A8" w:rsidRPr="00790FCD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 чл.</w:t>
      </w:r>
      <w:r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 xml:space="preserve"> </w:t>
      </w:r>
      <w:r w:rsidR="009375A8" w:rsidRPr="00790FCD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20, ал.1, т.1 на Наредбата за условията и реда за извършване на екологич</w:t>
      </w:r>
      <w:r w:rsidR="007C2B54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на оценка на планове и програми</w:t>
      </w:r>
      <w:r w:rsidR="009E1A94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,</w:t>
      </w:r>
      <w:r w:rsidR="009375A8" w:rsidRPr="00790FCD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 по Доклад за екологична оценка на</w:t>
      </w:r>
      <w:r w:rsidRPr="00790FCD">
        <w:rPr>
          <w:rFonts w:ascii="Times New Roman" w:eastAsia="Times New Roman" w:hAnsi="Times New Roman"/>
          <w:bCs/>
          <w:i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Pr="007C2B54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Интегриран план в областта на енергетиката и климата на Република България </w:t>
      </w:r>
      <w:r w:rsidR="000F4D59" w:rsidRPr="000F4D59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2021-2030 г. </w:t>
      </w:r>
      <w:r w:rsidRPr="007C2B54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– актуализация 2024 г.</w:t>
      </w:r>
      <w:r w:rsidRPr="00790FCD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 (ДЕО на проект на </w:t>
      </w:r>
      <w:r w:rsidR="00FF4BE1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ИПЕК</w:t>
      </w:r>
      <w:r w:rsidR="007C2B54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–актуализация 2024 г.</w:t>
      </w:r>
      <w:r w:rsidR="003352A0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)</w:t>
      </w:r>
    </w:p>
    <w:p w:rsidR="009E1A94" w:rsidRPr="00790FCD" w:rsidRDefault="009E1A94" w:rsidP="009E1A94">
      <w:pPr>
        <w:spacing w:after="120" w:line="270" w:lineRule="atLeast"/>
        <w:ind w:firstLine="357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Министерството на околната среда и водите съобщава, че стартира провеждането на консултации по чл. 20 </w:t>
      </w:r>
      <w:r w:rsidR="00423786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от </w:t>
      </w:r>
      <w:r w:rsidR="00423786" w:rsidRPr="009E1A94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Наредбата за условията и реда за извършване на екологична оценка на планове и програми</w:t>
      </w:r>
      <w:r w:rsidR="00423786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,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с обществеността, заинтересованите органи и трети лица, </w:t>
      </w:r>
      <w:r w:rsidRPr="009E1A94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по Доклад за екологична оценка на Интегриран план в областта на енергетиката и климата на Република България 2021-2030 г. – актуализация 2024 г.</w:t>
      </w:r>
    </w:p>
    <w:p w:rsidR="00790FCD" w:rsidRDefault="006D7B53" w:rsidP="006D7B53">
      <w:pPr>
        <w:pStyle w:val="ListParagraph"/>
        <w:numPr>
          <w:ilvl w:val="0"/>
          <w:numId w:val="2"/>
        </w:numPr>
        <w:spacing w:after="120" w:line="270" w:lineRule="atLeast"/>
        <w:ind w:left="714" w:hanging="357"/>
        <w:contextualSpacing w:val="0"/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Информация на възложителя</w:t>
      </w:r>
    </w:p>
    <w:p w:rsidR="006D7B53" w:rsidRPr="0000360D" w:rsidRDefault="006D7B53" w:rsidP="006D7B53">
      <w:pPr>
        <w:pStyle w:val="ListParagraph"/>
        <w:spacing w:after="120" w:line="270" w:lineRule="atLeast"/>
        <w:ind w:left="714"/>
        <w:contextualSpacing w:val="0"/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</w:pPr>
      <w:r w:rsidRPr="006D7B53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Представлявано от </w:t>
      </w:r>
      <w:r w:rsidR="00DD376C" w:rsidRPr="00D14532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Юлиян Попов</w:t>
      </w:r>
      <w:r w:rsidRPr="00D14532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– Министър</w:t>
      </w:r>
    </w:p>
    <w:p w:rsidR="006D7B53" w:rsidRPr="006D7B53" w:rsidRDefault="006D7B53" w:rsidP="006D7B53">
      <w:pPr>
        <w:pStyle w:val="ListParagraph"/>
        <w:spacing w:after="120" w:line="270" w:lineRule="atLeast"/>
        <w:ind w:left="714"/>
        <w:contextualSpacing w:val="0"/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  <w:r w:rsidRPr="006D7B53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Пълен пощенски адрес</w:t>
      </w:r>
      <w:r w:rsidR="00DD376C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:</w:t>
      </w:r>
    </w:p>
    <w:p w:rsidR="006D7B53" w:rsidRPr="006D7B53" w:rsidRDefault="006D7B53" w:rsidP="006D7B53">
      <w:pPr>
        <w:pStyle w:val="ListParagraph"/>
        <w:spacing w:after="120" w:line="270" w:lineRule="atLeast"/>
        <w:ind w:left="714"/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  <w:r w:rsidRPr="006D7B53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Централна сграда:</w:t>
      </w:r>
    </w:p>
    <w:p w:rsidR="006D7B53" w:rsidRDefault="006D7B53" w:rsidP="006D7B53">
      <w:pPr>
        <w:pStyle w:val="ListParagraph"/>
        <w:spacing w:after="120" w:line="270" w:lineRule="atLeast"/>
        <w:ind w:left="714"/>
        <w:contextualSpacing w:val="0"/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  <w:r w:rsidRPr="006D7B53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1000, гр. София, бул. „Княгиня Мария Луиза“ </w:t>
      </w:r>
      <w:r w:rsidR="00DD376C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№ </w:t>
      </w:r>
      <w:r w:rsidRPr="006D7B53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22 </w:t>
      </w:r>
    </w:p>
    <w:p w:rsidR="006D7B53" w:rsidRPr="006D7B53" w:rsidRDefault="006D7B53" w:rsidP="006D7B53">
      <w:pPr>
        <w:pStyle w:val="ListParagraph"/>
        <w:spacing w:after="120" w:line="270" w:lineRule="atLeast"/>
        <w:ind w:left="714"/>
        <w:contextualSpacing w:val="0"/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  <w:r w:rsidRPr="006D7B53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Лице за контакт от страна на Възложителя: инж.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Маргарита Томова – държавен експерт в дирекция „Политика по изменение на климата“</w:t>
      </w:r>
    </w:p>
    <w:p w:rsidR="006D7B53" w:rsidRPr="006D7B53" w:rsidRDefault="006D7B53" w:rsidP="006D7B53">
      <w:pPr>
        <w:pStyle w:val="ListParagraph"/>
        <w:spacing w:after="120" w:line="270" w:lineRule="atLeast"/>
        <w:ind w:left="714"/>
        <w:contextualSpacing w:val="0"/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</w:pPr>
      <w:r w:rsidRPr="006D7B53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Телефон</w:t>
      </w:r>
      <w:r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: 02 940 6237</w:t>
      </w:r>
      <w:r w:rsidRPr="006D7B53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, e-</w:t>
      </w:r>
      <w:proofErr w:type="spellStart"/>
      <w:r w:rsidRPr="006D7B53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mail</w:t>
      </w:r>
      <w:proofErr w:type="spellEnd"/>
      <w:r w:rsidRPr="006D7B53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:</w:t>
      </w:r>
      <w:r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 </w:t>
      </w:r>
      <w:hyperlink r:id="rId7" w:history="1">
        <w:r w:rsidRPr="00624B4E">
          <w:rPr>
            <w:rStyle w:val="Hyperlink"/>
            <w:rFonts w:ascii="Times New Roman" w:eastAsia="Times New Roman" w:hAnsi="Times New Roman"/>
            <w:bCs/>
            <w:sz w:val="24"/>
            <w:szCs w:val="24"/>
            <w:bdr w:val="none" w:sz="0" w:space="0" w:color="auto" w:frame="1"/>
            <w:lang w:eastAsia="bg-BG"/>
          </w:rPr>
          <w:t>margarita.tomova@moew.government.bg</w:t>
        </w:r>
      </w:hyperlink>
      <w:r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 xml:space="preserve"> </w:t>
      </w:r>
    </w:p>
    <w:p w:rsidR="006D7B53" w:rsidRPr="006D7B53" w:rsidRDefault="006D7B53" w:rsidP="006D7B53">
      <w:pPr>
        <w:pStyle w:val="ListParagraph"/>
        <w:spacing w:after="120" w:line="270" w:lineRule="atLeast"/>
        <w:ind w:left="714"/>
        <w:contextualSpacing w:val="0"/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  <w:r w:rsidRPr="006D7B53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Лице за контакт от страна на </w:t>
      </w:r>
      <w:r w:rsidR="005F44BB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консултантския колектив от експерти по чл. 83, ал. 2 от Закона за опазване на околната среда</w:t>
      </w:r>
      <w:r w:rsidRPr="006D7B53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:</w:t>
      </w:r>
    </w:p>
    <w:p w:rsidR="006D7B53" w:rsidRPr="006D7B53" w:rsidRDefault="005F44BB" w:rsidP="006D7B53">
      <w:pPr>
        <w:pStyle w:val="ListParagraph"/>
        <w:spacing w:after="120" w:line="270" w:lineRule="atLeast"/>
        <w:ind w:left="714"/>
        <w:contextualSpacing w:val="0"/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  <w:r w:rsidRPr="008B0B60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Нина Стоянова</w:t>
      </w:r>
      <w:r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 – Ръководител </w:t>
      </w:r>
    </w:p>
    <w:p w:rsidR="006D7B53" w:rsidRDefault="006D7B53" w:rsidP="006D7B53">
      <w:pPr>
        <w:pStyle w:val="ListParagraph"/>
        <w:spacing w:after="120" w:line="270" w:lineRule="atLeast"/>
        <w:ind w:left="714"/>
        <w:contextualSpacing w:val="0"/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</w:pPr>
      <w:r w:rsidRPr="006D7B53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Телефон</w:t>
      </w:r>
      <w:r w:rsidR="005F44BB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: 0899 914 155, </w:t>
      </w:r>
      <w:r w:rsidRPr="006D7B53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e-</w:t>
      </w:r>
      <w:proofErr w:type="spellStart"/>
      <w:r w:rsidRPr="006D7B53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mail</w:t>
      </w:r>
      <w:proofErr w:type="spellEnd"/>
      <w:r w:rsidRPr="006D7B53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:</w:t>
      </w:r>
      <w:r w:rsidR="005F44BB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 </w:t>
      </w:r>
      <w:hyperlink r:id="rId8" w:history="1">
        <w:r w:rsidR="005F44BB" w:rsidRPr="00624B4E">
          <w:rPr>
            <w:rStyle w:val="Hyperlink"/>
            <w:rFonts w:ascii="Times New Roman" w:eastAsia="Times New Roman" w:hAnsi="Times New Roman"/>
            <w:bCs/>
            <w:sz w:val="24"/>
            <w:szCs w:val="24"/>
            <w:bdr w:val="none" w:sz="0" w:space="0" w:color="auto" w:frame="1"/>
            <w:lang w:eastAsia="bg-BG"/>
          </w:rPr>
          <w:t>ecostim@gmail.com</w:t>
        </w:r>
      </w:hyperlink>
      <w:r w:rsidR="005F44BB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 xml:space="preserve"> </w:t>
      </w:r>
    </w:p>
    <w:p w:rsidR="00ED3AC5" w:rsidRDefault="00ED3AC5" w:rsidP="00ED3AC5">
      <w:pPr>
        <w:pStyle w:val="ListParagraph"/>
        <w:numPr>
          <w:ilvl w:val="0"/>
          <w:numId w:val="2"/>
        </w:numPr>
        <w:spacing w:after="120" w:line="270" w:lineRule="atLeast"/>
        <w:ind w:left="714" w:hanging="357"/>
        <w:contextualSpacing w:val="0"/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  <w:r w:rsidRPr="00ED3AC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Обща информация за проекта на </w:t>
      </w:r>
      <w:r w:rsidR="00FF4BE1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ИПЕК</w:t>
      </w:r>
      <w:r w:rsidRPr="00ED3AC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–актуализация 2024 г.</w:t>
      </w:r>
    </w:p>
    <w:p w:rsidR="00ED3AC5" w:rsidRPr="000620DC" w:rsidRDefault="00A646FA" w:rsidP="00ED3AC5">
      <w:pPr>
        <w:pStyle w:val="ListParagraph"/>
        <w:spacing w:after="120" w:line="270" w:lineRule="atLeast"/>
        <w:ind w:left="714"/>
        <w:contextualSpacing w:val="0"/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  <w:r w:rsidRPr="000620DC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а) основание за изготвяне на плана</w:t>
      </w:r>
    </w:p>
    <w:p w:rsidR="00D85A52" w:rsidRPr="00D85A52" w:rsidRDefault="00274652" w:rsidP="0000360D">
      <w:pPr>
        <w:pStyle w:val="ListParagraph"/>
        <w:spacing w:after="120" w:line="270" w:lineRule="atLeast"/>
        <w:ind w:left="0" w:firstLine="714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</w:pPr>
      <w:r w:rsidRPr="00274652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Интегриран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ият</w:t>
      </w:r>
      <w:r w:rsidRPr="00274652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план в областта на енергетиката и климата на Република България </w:t>
      </w:r>
      <w:r w:rsidR="000F4D59" w:rsidRPr="000F4D59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2021-2030 г. </w:t>
      </w:r>
      <w:r w:rsidRPr="00274652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– актуализация 2024 г.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и разработен на основание чл. </w:t>
      </w:r>
      <w:r w:rsidR="00202595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3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от</w:t>
      </w:r>
      <w:r w:rsidRPr="00274652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Регламент (ЕС) 2018/1999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на Европейския парламент и на С</w:t>
      </w:r>
      <w:r w:rsidRPr="00274652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ъвета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Pr="00274652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от 11 декември 2018 г.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Pr="00274652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относно управлението на Енергийния съюз и на действията в областта на климата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. </w:t>
      </w:r>
      <w:r w:rsidR="00D85A52" w:rsidRPr="00D85A52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Планът</w:t>
      </w:r>
      <w:r w:rsidR="00A636AD" w:rsidRPr="00D85A52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е </w:t>
      </w:r>
      <w:r w:rsidR="00A636AD" w:rsidRPr="00D85A52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lastRenderedPageBreak/>
        <w:t xml:space="preserve">изготвен в съответствие с изискванията на Регламент (ЕС) 2018/1999 и отразява всички препоръки на </w:t>
      </w:r>
      <w:r w:rsidR="00D85A52" w:rsidRPr="00D85A52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Европейската комиси</w:t>
      </w:r>
      <w:r w:rsidR="005307D4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я</w:t>
      </w:r>
      <w:r w:rsidR="00D85A52" w:rsidRPr="00D85A52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(</w:t>
      </w:r>
      <w:r w:rsidR="00A636AD" w:rsidRPr="00D85A52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ЕК</w:t>
      </w:r>
      <w:r w:rsidR="00D85A52" w:rsidRPr="00D85A52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)</w:t>
      </w:r>
      <w:r w:rsidR="00A636AD" w:rsidRPr="00D85A52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по проекта на Интегриран план. </w:t>
      </w:r>
    </w:p>
    <w:p w:rsidR="00D85A52" w:rsidRPr="00D85A52" w:rsidRDefault="00D85A52" w:rsidP="00D85A52">
      <w:pPr>
        <w:pStyle w:val="ListParagraph"/>
        <w:spacing w:after="120" w:line="270" w:lineRule="atLeast"/>
        <w:ind w:left="714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</w:pPr>
    </w:p>
    <w:p w:rsidR="00D85A52" w:rsidRPr="007B5A6C" w:rsidRDefault="007B5A6C" w:rsidP="00D85A52">
      <w:pPr>
        <w:pStyle w:val="ListParagraph"/>
        <w:spacing w:after="120" w:line="270" w:lineRule="atLeast"/>
        <w:ind w:left="714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</w:pPr>
      <w:r w:rsidRPr="007B5A6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б)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Pr="007B5A6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период на действие и етапи на изпълнение на </w:t>
      </w:r>
      <w:r w:rsidR="00FF4BE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ИПЕК</w:t>
      </w:r>
      <w:r w:rsidRPr="007B5A6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–актуализация 2024 г.</w:t>
      </w:r>
    </w:p>
    <w:p w:rsidR="007B5A6C" w:rsidRDefault="007B5A6C" w:rsidP="00D85A52">
      <w:pPr>
        <w:pStyle w:val="ListParagraph"/>
        <w:spacing w:after="120" w:line="270" w:lineRule="atLeast"/>
        <w:ind w:left="714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bdr w:val="none" w:sz="0" w:space="0" w:color="auto" w:frame="1"/>
          <w:lang w:val="bg-BG" w:eastAsia="bg-BG"/>
        </w:rPr>
      </w:pPr>
    </w:p>
    <w:p w:rsidR="00561BCF" w:rsidRPr="00561BCF" w:rsidRDefault="007E284F" w:rsidP="0000360D">
      <w:pPr>
        <w:pStyle w:val="ListParagraph"/>
        <w:spacing w:after="120" w:line="270" w:lineRule="atLeast"/>
        <w:ind w:left="0" w:firstLine="709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</w:pPr>
      <w:r w:rsidRPr="007E284F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Интегриран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ият</w:t>
      </w:r>
      <w:r w:rsidRPr="007E284F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план в областта на енергетиката и климата на Република България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е разработен за период от 2021 г. до 2030 г. </w:t>
      </w:r>
      <w:r w:rsidR="00202595" w:rsidRPr="00202595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като </w:t>
      </w:r>
      <w:r w:rsidR="00202595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е отчетена</w:t>
      </w:r>
      <w:r w:rsidR="00202595" w:rsidRPr="00202595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по-дългосрочната перспектива</w:t>
      </w:r>
      <w:r w:rsidR="00202595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в съответствие с изискванията на </w:t>
      </w:r>
      <w:r w:rsidR="00202595" w:rsidRPr="00202595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Регламент (ЕС) 2018/1999</w:t>
      </w:r>
      <w:r w:rsidR="00202595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.</w:t>
      </w:r>
      <w:r w:rsidR="00561BCF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Проектът на настоящата актуализация на </w:t>
      </w:r>
      <w:r w:rsidR="00FF4BE1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ИПЕК</w:t>
      </w:r>
      <w:r w:rsidR="00561BCF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7B5A6C" w:rsidRPr="00561BCF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отразява по-високите цели, поставени с Европейската зелена сделка и Европейския закон за климата, Пакета „Готови за 55“, Плана </w:t>
      </w:r>
      <w:proofErr w:type="spellStart"/>
      <w:r w:rsidR="007B5A6C" w:rsidRPr="00561BCF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RЕPowerEU</w:t>
      </w:r>
      <w:proofErr w:type="spellEnd"/>
      <w:r w:rsidR="007B5A6C" w:rsidRPr="00561BCF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, както и последния доклад за България в рамките на Европейския семестър. </w:t>
      </w:r>
    </w:p>
    <w:p w:rsidR="00561BCF" w:rsidRPr="00F05316" w:rsidRDefault="00F05316" w:rsidP="00F05316">
      <w:pPr>
        <w:pStyle w:val="ListParagraph"/>
        <w:spacing w:after="120" w:line="270" w:lineRule="atLeast"/>
        <w:ind w:left="714"/>
        <w:contextualSpacing w:val="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</w:pPr>
      <w:r w:rsidRPr="00F053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в) териториален обхват</w:t>
      </w:r>
    </w:p>
    <w:p w:rsidR="00561BCF" w:rsidRPr="009C5FD7" w:rsidRDefault="009C5FD7" w:rsidP="009C5FD7">
      <w:pPr>
        <w:pStyle w:val="ListParagraph"/>
        <w:spacing w:after="120" w:line="270" w:lineRule="atLeast"/>
        <w:ind w:left="714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Планът ще се изпълнява на територията на Република България.</w:t>
      </w:r>
    </w:p>
    <w:p w:rsidR="00561BCF" w:rsidRPr="009C5FD7" w:rsidRDefault="009C5FD7" w:rsidP="009C5FD7">
      <w:pPr>
        <w:pStyle w:val="ListParagraph"/>
        <w:spacing w:after="120" w:line="270" w:lineRule="atLeast"/>
        <w:ind w:left="714"/>
        <w:contextualSpacing w:val="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</w:pPr>
      <w:r w:rsidRPr="009C5FD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г) 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з</w:t>
      </w:r>
      <w:r w:rsidRPr="009C5FD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асегнати елементи от Националната екологична мрежа</w:t>
      </w:r>
    </w:p>
    <w:p w:rsidR="003839FC" w:rsidRPr="00AA05F4" w:rsidRDefault="004B0381" w:rsidP="0000360D">
      <w:pPr>
        <w:pStyle w:val="ListParagraph"/>
        <w:spacing w:after="120" w:line="270" w:lineRule="atLeast"/>
        <w:ind w:left="0" w:firstLine="714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ab/>
      </w:r>
      <w:r w:rsidR="003839FC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На </w:t>
      </w:r>
      <w:r w:rsidR="003839FC" w:rsidRPr="003839FC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Интегриран</w:t>
      </w:r>
      <w:r w:rsidR="00383E9A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ия</w:t>
      </w:r>
      <w:r w:rsidR="003839FC" w:rsidRPr="003839FC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план в областта на енергетиката и климата на Република България </w:t>
      </w:r>
      <w:r w:rsidR="000F4D59" w:rsidRPr="000F4D59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2021-2030 г. </w:t>
      </w:r>
      <w:r w:rsidR="003839FC" w:rsidRPr="003839FC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– актуализация 2024 г.</w:t>
      </w:r>
      <w:r w:rsidR="003839FC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е извършена оценка </w:t>
      </w:r>
      <w:r w:rsidR="00776431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з</w:t>
      </w:r>
      <w:r w:rsidR="003839FC" w:rsidRPr="003839FC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а степента на въздействие върху защитените зони</w:t>
      </w:r>
      <w:r w:rsidR="003839FC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2979B3" w:rsidRPr="002979B3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от екологичната мрежа Натура 2000</w:t>
      </w:r>
      <w:r w:rsidR="002979B3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. Оценката е извършена </w:t>
      </w:r>
      <w:r w:rsidR="003839FC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по реда на </w:t>
      </w:r>
      <w:r w:rsidR="003839FC" w:rsidRPr="003839FC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="003839FC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. </w:t>
      </w:r>
      <w:r w:rsidR="003975FD" w:rsidRPr="003975FD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Оценката е </w:t>
      </w:r>
      <w:r w:rsidR="002979B3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изготвена</w:t>
      </w:r>
      <w:r w:rsidR="003975FD" w:rsidRPr="003975FD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при условията на съвместна процедура по глава шеста от Закона за опазване на околната среда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и </w:t>
      </w:r>
      <w:r w:rsidRPr="004B0381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чл. 31 от Закона за биологичното разнообразие</w:t>
      </w:r>
      <w:r w:rsidR="003975FD" w:rsidRPr="003975FD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, представена е </w:t>
      </w:r>
      <w:r w:rsidR="003975FD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във вид на</w:t>
      </w:r>
      <w:r w:rsidR="003975FD" w:rsidRPr="003975FD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нормативно изискващ се доклад</w:t>
      </w:r>
      <w:r w:rsidR="003975FD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– Приложение №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8 „Доклад за оценка за степента на въздействие върху защитените зони“</w:t>
      </w:r>
      <w:r w:rsidR="003975FD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3975FD" w:rsidRPr="003975FD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към доклада за ЕО и представлява неразделна част от него съгласно изискването по чл. 34 от </w:t>
      </w:r>
      <w:r w:rsidR="003975FD" w:rsidRPr="004B0381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="003975FD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. </w:t>
      </w:r>
      <w:r w:rsidR="00902318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За Плана е изготвена </w:t>
      </w:r>
      <w:r w:rsidR="00AA05F4" w:rsidRPr="00AA05F4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нотификация съгласно чл. 10 от Протокола за </w:t>
      </w:r>
      <w:r w:rsidR="00902318" w:rsidRPr="00902318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стратегическа екологична оценка</w:t>
      </w:r>
      <w:r w:rsidR="00AA05F4" w:rsidRPr="00AA05F4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към Конвенцията по </w:t>
      </w:r>
      <w:r w:rsidR="00902318" w:rsidRPr="00902318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оценка на въздействието върху околната среда</w:t>
      </w:r>
      <w:r w:rsidR="00AA05F4" w:rsidRPr="00902318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AA05F4" w:rsidRPr="00AA05F4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в трансграничен контекст</w:t>
      </w:r>
      <w:r w:rsidR="00902318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.</w:t>
      </w:r>
    </w:p>
    <w:p w:rsidR="00D373B8" w:rsidRPr="00D373B8" w:rsidRDefault="00697F8C" w:rsidP="00A94D03">
      <w:pPr>
        <w:spacing w:after="120" w:line="270" w:lineRule="atLeast"/>
        <w:ind w:firstLine="714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</w:pPr>
      <w:r w:rsidRPr="00D373B8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Оценката включва</w:t>
      </w:r>
      <w:r w:rsidR="00D373B8" w:rsidRPr="00D373B8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о</w:t>
      </w:r>
      <w:r w:rsidRPr="00D373B8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писание и анализ на въздействието на плана върху</w:t>
      </w:r>
      <w:r w:rsidR="00D373B8" w:rsidRPr="00D373B8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:</w:t>
      </w:r>
      <w:r w:rsidRPr="00D373B8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</w:t>
      </w:r>
    </w:p>
    <w:p w:rsidR="00697F8C" w:rsidRDefault="00697F8C" w:rsidP="00A94D03">
      <w:pPr>
        <w:pStyle w:val="ListParagraph"/>
        <w:numPr>
          <w:ilvl w:val="0"/>
          <w:numId w:val="5"/>
        </w:numPr>
        <w:spacing w:after="120" w:line="270" w:lineRule="atLeast"/>
        <w:ind w:left="1418" w:hanging="425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</w:pPr>
      <w:r w:rsidRPr="00697F8C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природни местообитания, предмет на опазване в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защитените зони;</w:t>
      </w:r>
    </w:p>
    <w:p w:rsidR="00697F8C" w:rsidRDefault="00771A99" w:rsidP="00A94D03">
      <w:pPr>
        <w:pStyle w:val="ListParagraph"/>
        <w:numPr>
          <w:ilvl w:val="0"/>
          <w:numId w:val="4"/>
        </w:numPr>
        <w:spacing w:after="120" w:line="270" w:lineRule="atLeast"/>
        <w:ind w:left="1418" w:hanging="425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</w:pPr>
      <w:r w:rsidRPr="00771A99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видове растения, предмет на опазване в</w:t>
      </w:r>
      <w:r w:rsidRPr="00771A99">
        <w:t xml:space="preserve"> </w:t>
      </w:r>
      <w:r w:rsidRPr="00771A99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защитените зони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;</w:t>
      </w:r>
    </w:p>
    <w:p w:rsidR="00771A99" w:rsidRDefault="00771A99" w:rsidP="00A94D03">
      <w:pPr>
        <w:pStyle w:val="ListParagraph"/>
        <w:numPr>
          <w:ilvl w:val="0"/>
          <w:numId w:val="4"/>
        </w:numPr>
        <w:spacing w:after="120" w:line="270" w:lineRule="atLeast"/>
        <w:ind w:left="1418" w:hanging="425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</w:pPr>
      <w:r w:rsidRPr="00771A99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видове безгръбначни, предмет на опазване в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защитените зони;</w:t>
      </w:r>
    </w:p>
    <w:p w:rsidR="00771A99" w:rsidRDefault="00771A99" w:rsidP="00A94D03">
      <w:pPr>
        <w:pStyle w:val="ListParagraph"/>
        <w:numPr>
          <w:ilvl w:val="0"/>
          <w:numId w:val="4"/>
        </w:numPr>
        <w:spacing w:after="120" w:line="270" w:lineRule="atLeast"/>
        <w:ind w:left="1418" w:hanging="425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</w:pPr>
      <w:r w:rsidRPr="00771A99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върху видове риби, предмет на опазване в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защитените зони;</w:t>
      </w:r>
    </w:p>
    <w:p w:rsidR="00771A99" w:rsidRDefault="00771A99" w:rsidP="00A94D03">
      <w:pPr>
        <w:pStyle w:val="ListParagraph"/>
        <w:numPr>
          <w:ilvl w:val="0"/>
          <w:numId w:val="4"/>
        </w:numPr>
        <w:spacing w:after="120" w:line="270" w:lineRule="atLeast"/>
        <w:ind w:left="1418" w:hanging="425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</w:pPr>
      <w:r w:rsidRPr="00771A99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видове земноводн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и</w:t>
      </w:r>
      <w:r w:rsidRPr="00771A99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и влечуги, предмет на опазване в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защитените зони;</w:t>
      </w:r>
    </w:p>
    <w:p w:rsidR="00771A99" w:rsidRDefault="00771A99" w:rsidP="00A94D03">
      <w:pPr>
        <w:pStyle w:val="ListParagraph"/>
        <w:numPr>
          <w:ilvl w:val="0"/>
          <w:numId w:val="4"/>
        </w:numPr>
        <w:spacing w:after="120" w:line="270" w:lineRule="atLeast"/>
        <w:ind w:left="1418" w:hanging="425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</w:pPr>
      <w:r w:rsidRPr="00771A99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видове бозайници (без прилепи), предмет на опазване в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защитените зони;</w:t>
      </w:r>
    </w:p>
    <w:p w:rsidR="00771A99" w:rsidRDefault="00D373B8" w:rsidP="00A94D03">
      <w:pPr>
        <w:pStyle w:val="ListParagraph"/>
        <w:numPr>
          <w:ilvl w:val="0"/>
          <w:numId w:val="4"/>
        </w:numPr>
        <w:spacing w:after="120" w:line="270" w:lineRule="atLeast"/>
        <w:ind w:left="1418" w:hanging="425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</w:pPr>
      <w:r w:rsidRPr="00D373B8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видове прилепи, предмет на опазване в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Pr="00D373B8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защитените зони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;</w:t>
      </w:r>
    </w:p>
    <w:p w:rsidR="00D373B8" w:rsidRDefault="00D373B8" w:rsidP="00A94D03">
      <w:pPr>
        <w:pStyle w:val="ListParagraph"/>
        <w:numPr>
          <w:ilvl w:val="0"/>
          <w:numId w:val="4"/>
        </w:numPr>
        <w:spacing w:after="120" w:line="270" w:lineRule="atLeast"/>
        <w:ind w:left="1418" w:hanging="425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</w:pPr>
      <w:r w:rsidRPr="00D373B8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видове птици, предмет на опазване в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защитените зони;</w:t>
      </w:r>
    </w:p>
    <w:p w:rsidR="00D373B8" w:rsidRPr="00D373B8" w:rsidRDefault="00D373B8" w:rsidP="00A94D03">
      <w:pPr>
        <w:pStyle w:val="ListParagraph"/>
        <w:numPr>
          <w:ilvl w:val="0"/>
          <w:numId w:val="4"/>
        </w:numPr>
        <w:spacing w:after="120" w:line="270" w:lineRule="atLeast"/>
        <w:ind w:left="1418" w:hanging="425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</w:pPr>
      <w:r w:rsidRPr="00D373B8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въздействието на плана върху целостта на защитените зони</w:t>
      </w:r>
      <w:r w:rsidR="00A94D03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.</w:t>
      </w:r>
    </w:p>
    <w:p w:rsidR="00697F8C" w:rsidRPr="00BD0A58" w:rsidRDefault="00BD0A58" w:rsidP="00BD0A58">
      <w:pPr>
        <w:spacing w:after="120" w:line="270" w:lineRule="atLeast"/>
        <w:ind w:left="714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</w:pPr>
      <w:r w:rsidRPr="00BD0A5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д) </w:t>
      </w:r>
      <w:proofErr w:type="spellStart"/>
      <w:r w:rsidRPr="00BD0A5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основни</w:t>
      </w:r>
      <w:proofErr w:type="spellEnd"/>
      <w:r w:rsidRPr="00BD0A5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</w:t>
      </w:r>
      <w:proofErr w:type="spellStart"/>
      <w:r w:rsidRPr="00BD0A5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цели</w:t>
      </w:r>
      <w:proofErr w:type="spellEnd"/>
      <w:r w:rsidRPr="00BD0A5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</w:t>
      </w:r>
      <w:proofErr w:type="spellStart"/>
      <w:r w:rsidRPr="00BD0A5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на</w:t>
      </w:r>
      <w:proofErr w:type="spellEnd"/>
      <w:r w:rsidRPr="00BD0A5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</w:t>
      </w:r>
      <w:r w:rsidR="008B0B60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>П</w:t>
      </w:r>
      <w:proofErr w:type="spellStart"/>
      <w:r w:rsidRPr="00BD0A5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лана</w:t>
      </w:r>
      <w:proofErr w:type="spellEnd"/>
    </w:p>
    <w:p w:rsidR="00383E9A" w:rsidRPr="00383E9A" w:rsidRDefault="00BD0A58" w:rsidP="00383E9A">
      <w:pPr>
        <w:spacing w:after="120" w:line="270" w:lineRule="atLeast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ab/>
      </w:r>
      <w:r w:rsidR="00383E9A" w:rsidRPr="00383E9A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Интегрирания</w:t>
      </w:r>
      <w:r w:rsidR="00383E9A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т</w:t>
      </w:r>
      <w:r w:rsidR="00383E9A" w:rsidRPr="00383E9A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план в областта на енергетиката и климата на Република България </w:t>
      </w:r>
      <w:r w:rsidR="000F4D59" w:rsidRPr="000F4D59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2021-2030 г. </w:t>
      </w:r>
      <w:r w:rsidR="00383E9A" w:rsidRPr="00383E9A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– актуализация 2024 г.  определя националните цели по петте измерения на </w:t>
      </w:r>
      <w:r w:rsidR="00383E9A" w:rsidRPr="00383E9A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lastRenderedPageBreak/>
        <w:t xml:space="preserve">плана до 2030 г. – декарбонизация, енергийна ефективност и сигурност, вътрешен енергиен пазар, както и научни изследвания, иновации и конкурентоспособност. Предвидени са подходящи политики и мерки за постигане на </w:t>
      </w:r>
      <w:proofErr w:type="spellStart"/>
      <w:r w:rsidR="00383E9A" w:rsidRPr="00383E9A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декарбонизирана</w:t>
      </w:r>
      <w:proofErr w:type="spellEnd"/>
      <w:r w:rsidR="00383E9A" w:rsidRPr="00383E9A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, устойчива и гъвкава енергийна система по разходоефективен начин, при отчитане на националните особености и нуждата от осигуряване на целенасочени мерки и стимули за постигане на амбициозните европейски климатични цели до 2050 г. Стимулиране на </w:t>
      </w:r>
      <w:proofErr w:type="spellStart"/>
      <w:r w:rsidR="00383E9A" w:rsidRPr="00383E9A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нисковъглеродното</w:t>
      </w:r>
      <w:proofErr w:type="spellEnd"/>
      <w:r w:rsidR="00383E9A" w:rsidRPr="00383E9A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развитие на икономиката, както и конкурентоспособна и сигурна енергетика са сред основните цели в областта на енергетиката, заложени в </w:t>
      </w:r>
      <w:r w:rsidR="00FF4BE1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ИПЕК</w:t>
      </w:r>
      <w:r w:rsidR="00383E9A" w:rsidRPr="00383E9A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. Планът цели също повишаване на енергийната ефективност, намаляване на въглеродните емисии и на зависимостта от внос на горива и енергия, както и гарантиране на енергия на достъпни цени за всички потребители.</w:t>
      </w:r>
    </w:p>
    <w:p w:rsidR="00383E9A" w:rsidRDefault="00383E9A" w:rsidP="00697F8C">
      <w:pPr>
        <w:spacing w:after="120" w:line="270" w:lineRule="atLeast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Целите на </w:t>
      </w:r>
      <w:r w:rsidR="00FF4BE1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ИПЕК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-актуализация 2024 г. са представени в Таблица 1</w:t>
      </w:r>
      <w:r w:rsidR="00142666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от документа</w:t>
      </w:r>
      <w:r w:rsidR="008B0B60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,</w:t>
      </w:r>
      <w:r w:rsidR="00142666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както следва:</w:t>
      </w:r>
    </w:p>
    <w:tbl>
      <w:tblPr>
        <w:tblW w:w="9072" w:type="dxa"/>
        <w:tblInd w:w="-106" w:type="dxa"/>
        <w:tbl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  <w:insideH w:val="single" w:sz="4" w:space="0" w:color="B6DDE8"/>
          <w:insideV w:val="single" w:sz="4" w:space="0" w:color="B6DDE8"/>
        </w:tblBorders>
        <w:tblLook w:val="00A0" w:firstRow="1" w:lastRow="0" w:firstColumn="1" w:lastColumn="0" w:noHBand="0" w:noVBand="0"/>
      </w:tblPr>
      <w:tblGrid>
        <w:gridCol w:w="4657"/>
        <w:gridCol w:w="4415"/>
      </w:tblGrid>
      <w:tr w:rsidR="00383E9A" w:rsidRPr="00383E9A" w:rsidTr="00CB691A">
        <w:trPr>
          <w:trHeight w:val="352"/>
        </w:trPr>
        <w:tc>
          <w:tcPr>
            <w:tcW w:w="9072" w:type="dxa"/>
            <w:gridSpan w:val="2"/>
            <w:tcBorders>
              <w:top w:val="single" w:sz="4" w:space="0" w:color="6FC2B4"/>
              <w:left w:val="single" w:sz="4" w:space="0" w:color="6FC2B4"/>
              <w:bottom w:val="single" w:sz="12" w:space="0" w:color="92CDDC"/>
              <w:right w:val="single" w:sz="4" w:space="0" w:color="6FC2B4"/>
            </w:tcBorders>
            <w:shd w:val="clear" w:color="auto" w:fill="6FC2B4"/>
          </w:tcPr>
          <w:p w:rsidR="00383E9A" w:rsidRPr="008B0B60" w:rsidRDefault="00383E9A" w:rsidP="00383E9A">
            <w:pPr>
              <w:spacing w:before="120" w:after="0" w:line="312" w:lineRule="auto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383E9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bg-BG"/>
              </w:rPr>
              <w:t>Цели на България до 2030 г.</w:t>
            </w:r>
          </w:p>
          <w:p w:rsidR="00383E9A" w:rsidRPr="00383E9A" w:rsidRDefault="00383E9A" w:rsidP="00383E9A">
            <w:pPr>
              <w:spacing w:before="120" w:after="0" w:line="31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383E9A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Преглед на целите за 2030 г.</w:t>
            </w:r>
          </w:p>
        </w:tc>
      </w:tr>
      <w:tr w:rsidR="00383E9A" w:rsidRPr="00383E9A" w:rsidTr="00CB691A">
        <w:trPr>
          <w:trHeight w:val="352"/>
        </w:trPr>
        <w:tc>
          <w:tcPr>
            <w:tcW w:w="9072" w:type="dxa"/>
            <w:gridSpan w:val="2"/>
            <w:tcBorders>
              <w:left w:val="single" w:sz="4" w:space="0" w:color="6FC2B4"/>
              <w:right w:val="single" w:sz="4" w:space="0" w:color="6FC2B4"/>
            </w:tcBorders>
            <w:shd w:val="clear" w:color="auto" w:fill="DDEFE8"/>
          </w:tcPr>
          <w:p w:rsidR="00383E9A" w:rsidRPr="00383E9A" w:rsidRDefault="00383E9A" w:rsidP="00383E9A">
            <w:pPr>
              <w:spacing w:before="120" w:after="0" w:line="31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383E9A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Възобновяеми енергийни източници</w:t>
            </w:r>
          </w:p>
        </w:tc>
      </w:tr>
      <w:tr w:rsidR="00383E9A" w:rsidRPr="00383E9A" w:rsidTr="00CB691A">
        <w:trPr>
          <w:trHeight w:val="602"/>
        </w:trPr>
        <w:tc>
          <w:tcPr>
            <w:tcW w:w="4657" w:type="dxa"/>
            <w:tcBorders>
              <w:left w:val="single" w:sz="4" w:space="0" w:color="6FC2B4"/>
            </w:tcBorders>
          </w:tcPr>
          <w:p w:rsidR="00383E9A" w:rsidRPr="00383E9A" w:rsidRDefault="00383E9A" w:rsidP="00383E9A">
            <w:pPr>
              <w:spacing w:before="120" w:after="0" w:line="31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383E9A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Национална цел за дял на енергия от ВИ в брутното крайно потребление на енергия до 2030 г.</w:t>
            </w:r>
          </w:p>
        </w:tc>
        <w:tc>
          <w:tcPr>
            <w:tcW w:w="4415" w:type="dxa"/>
            <w:tcBorders>
              <w:right w:val="single" w:sz="4" w:space="0" w:color="6FC2B4"/>
            </w:tcBorders>
          </w:tcPr>
          <w:p w:rsidR="00383E9A" w:rsidRPr="00383E9A" w:rsidRDefault="00383E9A" w:rsidP="00383E9A">
            <w:pPr>
              <w:spacing w:before="120" w:after="0" w:line="312" w:lineRule="auto"/>
              <w:ind w:left="43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83E9A">
              <w:rPr>
                <w:rFonts w:ascii="Times New Roman" w:hAnsi="Times New Roman"/>
                <w:sz w:val="24"/>
                <w:szCs w:val="24"/>
              </w:rPr>
              <w:t>34.96</w:t>
            </w:r>
            <w:r w:rsidRPr="00383E9A">
              <w:rPr>
                <w:rFonts w:ascii="Times New Roman" w:hAnsi="Times New Roman"/>
                <w:sz w:val="24"/>
                <w:szCs w:val="24"/>
                <w:lang w:val="bg-BG"/>
              </w:rPr>
              <w:t>%</w:t>
            </w:r>
          </w:p>
        </w:tc>
      </w:tr>
      <w:tr w:rsidR="00383E9A" w:rsidRPr="00383E9A" w:rsidTr="00CB691A">
        <w:trPr>
          <w:trHeight w:val="352"/>
        </w:trPr>
        <w:tc>
          <w:tcPr>
            <w:tcW w:w="4657" w:type="dxa"/>
            <w:tcBorders>
              <w:left w:val="single" w:sz="4" w:space="0" w:color="6FC2B4"/>
            </w:tcBorders>
          </w:tcPr>
          <w:p w:rsidR="00383E9A" w:rsidRPr="00383E9A" w:rsidRDefault="00383E9A" w:rsidP="00383E9A">
            <w:pPr>
              <w:spacing w:before="120" w:after="0" w:line="312" w:lineRule="auto"/>
              <w:ind w:firstLine="25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383E9A">
              <w:rPr>
                <w:rFonts w:ascii="Times New Roman" w:hAnsi="Times New Roman"/>
                <w:sz w:val="24"/>
                <w:szCs w:val="24"/>
                <w:lang w:val="bg-BG"/>
              </w:rPr>
              <w:t>ВИ - Е</w:t>
            </w:r>
            <w:r w:rsidRPr="00383E9A">
              <w:rPr>
                <w:rFonts w:ascii="Times New Roman" w:hAnsi="Times New Roman"/>
                <w:sz w:val="24"/>
                <w:szCs w:val="24"/>
                <w:vertAlign w:val="superscript"/>
                <w:lang w:val="bg-BG"/>
              </w:rPr>
              <w:footnoteReference w:id="1"/>
            </w:r>
            <w:r w:rsidRPr="00383E9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415" w:type="dxa"/>
            <w:tcBorders>
              <w:right w:val="single" w:sz="4" w:space="0" w:color="6FC2B4"/>
            </w:tcBorders>
          </w:tcPr>
          <w:p w:rsidR="00383E9A" w:rsidRPr="00383E9A" w:rsidRDefault="00383E9A" w:rsidP="00383E9A">
            <w:pPr>
              <w:spacing w:before="120" w:after="0" w:line="312" w:lineRule="auto"/>
              <w:ind w:left="43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83E9A">
              <w:rPr>
                <w:rFonts w:ascii="Times New Roman" w:hAnsi="Times New Roman"/>
                <w:sz w:val="24"/>
                <w:szCs w:val="24"/>
              </w:rPr>
              <w:t>49.</w:t>
            </w:r>
            <w:r w:rsidRPr="00383E9A">
              <w:rPr>
                <w:rFonts w:ascii="Times New Roman" w:hAnsi="Times New Roman"/>
                <w:sz w:val="24"/>
                <w:szCs w:val="24"/>
                <w:lang w:val="bg-BG"/>
              </w:rPr>
              <w:t>34%</w:t>
            </w:r>
          </w:p>
        </w:tc>
      </w:tr>
      <w:tr w:rsidR="00383E9A" w:rsidRPr="00383E9A" w:rsidTr="00CB691A">
        <w:trPr>
          <w:trHeight w:val="352"/>
        </w:trPr>
        <w:tc>
          <w:tcPr>
            <w:tcW w:w="4657" w:type="dxa"/>
            <w:tcBorders>
              <w:left w:val="single" w:sz="4" w:space="0" w:color="6FC2B4"/>
            </w:tcBorders>
          </w:tcPr>
          <w:p w:rsidR="00383E9A" w:rsidRPr="00383E9A" w:rsidRDefault="00383E9A" w:rsidP="00383E9A">
            <w:pPr>
              <w:spacing w:before="120" w:after="0" w:line="312" w:lineRule="auto"/>
              <w:ind w:firstLine="2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383E9A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ВИ-ТЕ и ЕО</w:t>
            </w:r>
            <w:r w:rsidRPr="00383E9A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bg-BG"/>
              </w:rPr>
              <w:footnoteReference w:id="2"/>
            </w:r>
          </w:p>
        </w:tc>
        <w:tc>
          <w:tcPr>
            <w:tcW w:w="4415" w:type="dxa"/>
            <w:tcBorders>
              <w:right w:val="single" w:sz="4" w:space="0" w:color="6FC2B4"/>
            </w:tcBorders>
          </w:tcPr>
          <w:p w:rsidR="00383E9A" w:rsidRPr="00383E9A" w:rsidRDefault="00383E9A" w:rsidP="00383E9A">
            <w:pPr>
              <w:spacing w:before="120" w:after="0" w:line="312" w:lineRule="auto"/>
              <w:ind w:left="43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383E9A">
              <w:rPr>
                <w:rFonts w:ascii="Times New Roman" w:hAnsi="Times New Roman"/>
                <w:color w:val="000000"/>
                <w:sz w:val="24"/>
                <w:szCs w:val="24"/>
              </w:rPr>
              <w:t>44.</w:t>
            </w:r>
            <w:r w:rsidRPr="00383E9A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01%</w:t>
            </w:r>
          </w:p>
        </w:tc>
      </w:tr>
      <w:tr w:rsidR="00383E9A" w:rsidRPr="00383E9A" w:rsidTr="00CB691A">
        <w:trPr>
          <w:trHeight w:val="352"/>
        </w:trPr>
        <w:tc>
          <w:tcPr>
            <w:tcW w:w="4657" w:type="dxa"/>
            <w:tcBorders>
              <w:left w:val="single" w:sz="4" w:space="0" w:color="6FC2B4"/>
            </w:tcBorders>
          </w:tcPr>
          <w:p w:rsidR="00383E9A" w:rsidRPr="00383E9A" w:rsidRDefault="00383E9A" w:rsidP="00383E9A">
            <w:pPr>
              <w:spacing w:before="120" w:after="0" w:line="312" w:lineRule="auto"/>
              <w:ind w:firstLine="25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383E9A">
              <w:rPr>
                <w:rFonts w:ascii="Times New Roman" w:hAnsi="Times New Roman"/>
                <w:sz w:val="24"/>
                <w:szCs w:val="24"/>
                <w:lang w:val="bg-BG"/>
              </w:rPr>
              <w:t>ВИ – транспорт</w:t>
            </w:r>
            <w:r w:rsidRPr="00383E9A">
              <w:rPr>
                <w:rFonts w:ascii="Times New Roman" w:hAnsi="Times New Roman"/>
                <w:sz w:val="24"/>
                <w:szCs w:val="24"/>
                <w:vertAlign w:val="superscript"/>
                <w:lang w:val="bg-BG"/>
              </w:rPr>
              <w:footnoteReference w:id="3"/>
            </w:r>
          </w:p>
        </w:tc>
        <w:tc>
          <w:tcPr>
            <w:tcW w:w="4415" w:type="dxa"/>
            <w:tcBorders>
              <w:right w:val="single" w:sz="4" w:space="0" w:color="6FC2B4"/>
            </w:tcBorders>
          </w:tcPr>
          <w:p w:rsidR="00383E9A" w:rsidRPr="00383E9A" w:rsidRDefault="00383E9A" w:rsidP="00383E9A">
            <w:pPr>
              <w:spacing w:before="120" w:after="0" w:line="312" w:lineRule="auto"/>
              <w:ind w:left="43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83E9A">
              <w:rPr>
                <w:rFonts w:ascii="Times New Roman" w:hAnsi="Times New Roman"/>
                <w:sz w:val="24"/>
                <w:szCs w:val="24"/>
                <w:lang w:val="bg-BG"/>
              </w:rPr>
              <w:t>29.93%</w:t>
            </w:r>
          </w:p>
        </w:tc>
      </w:tr>
      <w:tr w:rsidR="00383E9A" w:rsidRPr="00383E9A" w:rsidTr="00CB691A">
        <w:trPr>
          <w:trHeight w:val="352"/>
        </w:trPr>
        <w:tc>
          <w:tcPr>
            <w:tcW w:w="9072" w:type="dxa"/>
            <w:gridSpan w:val="2"/>
            <w:tcBorders>
              <w:left w:val="single" w:sz="4" w:space="0" w:color="6FC2B4"/>
              <w:right w:val="single" w:sz="4" w:space="0" w:color="6FC2B4"/>
            </w:tcBorders>
            <w:shd w:val="clear" w:color="auto" w:fill="DDEFE8"/>
          </w:tcPr>
          <w:p w:rsidR="00383E9A" w:rsidRPr="00383E9A" w:rsidRDefault="00383E9A" w:rsidP="00383E9A">
            <w:pPr>
              <w:spacing w:before="120" w:after="0" w:line="31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383E9A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Енергийна ефективност</w:t>
            </w:r>
          </w:p>
        </w:tc>
      </w:tr>
      <w:tr w:rsidR="00383E9A" w:rsidRPr="00383E9A" w:rsidTr="00CB691A">
        <w:trPr>
          <w:trHeight w:val="352"/>
        </w:trPr>
        <w:tc>
          <w:tcPr>
            <w:tcW w:w="4657" w:type="dxa"/>
            <w:tcBorders>
              <w:left w:val="single" w:sz="4" w:space="0" w:color="6FC2B4"/>
            </w:tcBorders>
          </w:tcPr>
          <w:p w:rsidR="00383E9A" w:rsidRPr="00383E9A" w:rsidRDefault="00383E9A" w:rsidP="00383E9A">
            <w:pPr>
              <w:spacing w:before="120" w:after="0" w:line="31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383E9A">
              <w:rPr>
                <w:rFonts w:ascii="Times New Roman" w:hAnsi="Times New Roman"/>
                <w:sz w:val="24"/>
                <w:szCs w:val="24"/>
                <w:lang w:val="bg-BG"/>
              </w:rPr>
              <w:t>Намаляване на първичното енергийно потребление спрямо референтния сценарий 2020</w:t>
            </w:r>
          </w:p>
        </w:tc>
        <w:tc>
          <w:tcPr>
            <w:tcW w:w="4415" w:type="dxa"/>
            <w:tcBorders>
              <w:right w:val="single" w:sz="4" w:space="0" w:color="6FC2B4"/>
            </w:tcBorders>
          </w:tcPr>
          <w:p w:rsidR="00383E9A" w:rsidRPr="00383E9A" w:rsidRDefault="00383E9A" w:rsidP="00383E9A">
            <w:pPr>
              <w:spacing w:before="120" w:after="0" w:line="312" w:lineRule="auto"/>
              <w:ind w:left="43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83E9A">
              <w:rPr>
                <w:rFonts w:ascii="Times New Roman" w:hAnsi="Times New Roman"/>
                <w:sz w:val="24"/>
                <w:szCs w:val="24"/>
              </w:rPr>
              <w:t>15.</w:t>
            </w:r>
            <w:r w:rsidRPr="00383E9A">
              <w:rPr>
                <w:rFonts w:ascii="Times New Roman" w:hAnsi="Times New Roman"/>
                <w:sz w:val="24"/>
                <w:szCs w:val="24"/>
                <w:lang w:val="bg-BG"/>
              </w:rPr>
              <w:t>42%</w:t>
            </w:r>
          </w:p>
        </w:tc>
      </w:tr>
      <w:tr w:rsidR="00383E9A" w:rsidRPr="00383E9A" w:rsidTr="00CB691A">
        <w:trPr>
          <w:trHeight w:val="352"/>
        </w:trPr>
        <w:tc>
          <w:tcPr>
            <w:tcW w:w="4657" w:type="dxa"/>
            <w:tcBorders>
              <w:left w:val="single" w:sz="4" w:space="0" w:color="6FC2B4"/>
            </w:tcBorders>
          </w:tcPr>
          <w:p w:rsidR="00383E9A" w:rsidRPr="00383E9A" w:rsidRDefault="00383E9A" w:rsidP="00383E9A">
            <w:pPr>
              <w:spacing w:before="120" w:after="0" w:line="31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383E9A">
              <w:rPr>
                <w:rFonts w:ascii="Times New Roman" w:hAnsi="Times New Roman"/>
                <w:sz w:val="24"/>
                <w:szCs w:val="24"/>
                <w:lang w:val="bg-BG"/>
              </w:rPr>
              <w:t>Намаляване на крайното енергийно потребление на енергия спрямо референтния сценарий</w:t>
            </w:r>
            <w:r w:rsidRPr="00383E9A" w:rsidDel="005F6BB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83E9A">
              <w:rPr>
                <w:rFonts w:ascii="Times New Roman" w:hAnsi="Times New Roman"/>
                <w:sz w:val="24"/>
                <w:szCs w:val="24"/>
                <w:lang w:val="bg-BG"/>
              </w:rPr>
              <w:t>2020</w:t>
            </w:r>
          </w:p>
        </w:tc>
        <w:tc>
          <w:tcPr>
            <w:tcW w:w="4415" w:type="dxa"/>
            <w:tcBorders>
              <w:right w:val="single" w:sz="4" w:space="0" w:color="6FC2B4"/>
            </w:tcBorders>
          </w:tcPr>
          <w:p w:rsidR="00383E9A" w:rsidRPr="00383E9A" w:rsidRDefault="00383E9A" w:rsidP="00383E9A">
            <w:pPr>
              <w:spacing w:before="120" w:after="0" w:line="312" w:lineRule="auto"/>
              <w:ind w:left="43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83E9A">
              <w:rPr>
                <w:rFonts w:ascii="Times New Roman" w:hAnsi="Times New Roman"/>
                <w:sz w:val="24"/>
                <w:szCs w:val="24"/>
              </w:rPr>
              <w:t>11.</w:t>
            </w:r>
            <w:r w:rsidRPr="00383E9A">
              <w:rPr>
                <w:rFonts w:ascii="Times New Roman" w:hAnsi="Times New Roman"/>
                <w:sz w:val="24"/>
                <w:szCs w:val="24"/>
                <w:lang w:val="bg-BG"/>
              </w:rPr>
              <w:t>61%</w:t>
            </w:r>
          </w:p>
        </w:tc>
      </w:tr>
      <w:tr w:rsidR="00383E9A" w:rsidRPr="00383E9A" w:rsidTr="00CB691A">
        <w:trPr>
          <w:trHeight w:val="352"/>
        </w:trPr>
        <w:tc>
          <w:tcPr>
            <w:tcW w:w="4657" w:type="dxa"/>
            <w:tcBorders>
              <w:left w:val="single" w:sz="4" w:space="0" w:color="6FC2B4"/>
            </w:tcBorders>
          </w:tcPr>
          <w:p w:rsidR="00383E9A" w:rsidRPr="00383E9A" w:rsidRDefault="00383E9A" w:rsidP="00383E9A">
            <w:pPr>
              <w:spacing w:before="120" w:after="0" w:line="31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383E9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Първично потребление на енергия </w:t>
            </w:r>
          </w:p>
        </w:tc>
        <w:tc>
          <w:tcPr>
            <w:tcW w:w="4415" w:type="dxa"/>
            <w:tcBorders>
              <w:right w:val="single" w:sz="4" w:space="0" w:color="6FC2B4"/>
            </w:tcBorders>
          </w:tcPr>
          <w:p w:rsidR="00383E9A" w:rsidRPr="00383E9A" w:rsidRDefault="00383E9A" w:rsidP="00383E9A">
            <w:pPr>
              <w:spacing w:before="120" w:after="0" w:line="312" w:lineRule="auto"/>
              <w:ind w:left="43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83E9A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Pr="00383E9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190 </w:t>
            </w:r>
            <w:proofErr w:type="spellStart"/>
            <w:r w:rsidRPr="00383E9A">
              <w:rPr>
                <w:rFonts w:ascii="Times New Roman" w:hAnsi="Times New Roman"/>
                <w:sz w:val="24"/>
                <w:szCs w:val="24"/>
                <w:lang w:val="bg-BG"/>
              </w:rPr>
              <w:t>ktoe</w:t>
            </w:r>
            <w:proofErr w:type="spellEnd"/>
          </w:p>
        </w:tc>
      </w:tr>
      <w:tr w:rsidR="00383E9A" w:rsidRPr="00383E9A" w:rsidTr="00CB691A">
        <w:trPr>
          <w:trHeight w:val="352"/>
        </w:trPr>
        <w:tc>
          <w:tcPr>
            <w:tcW w:w="4657" w:type="dxa"/>
            <w:tcBorders>
              <w:left w:val="single" w:sz="4" w:space="0" w:color="6FC2B4"/>
            </w:tcBorders>
          </w:tcPr>
          <w:p w:rsidR="00383E9A" w:rsidRPr="00383E9A" w:rsidRDefault="00383E9A" w:rsidP="00383E9A">
            <w:pPr>
              <w:spacing w:before="120" w:after="0" w:line="31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383E9A">
              <w:rPr>
                <w:rFonts w:ascii="Times New Roman" w:hAnsi="Times New Roman"/>
                <w:sz w:val="24"/>
                <w:szCs w:val="24"/>
                <w:lang w:val="bg-BG"/>
              </w:rPr>
              <w:t>Крайно потребление на енергия</w:t>
            </w:r>
          </w:p>
        </w:tc>
        <w:tc>
          <w:tcPr>
            <w:tcW w:w="4415" w:type="dxa"/>
            <w:tcBorders>
              <w:right w:val="single" w:sz="4" w:space="0" w:color="6FC2B4"/>
            </w:tcBorders>
          </w:tcPr>
          <w:p w:rsidR="00383E9A" w:rsidRPr="00383E9A" w:rsidRDefault="00383E9A" w:rsidP="00383E9A">
            <w:pPr>
              <w:spacing w:before="120" w:after="0" w:line="312" w:lineRule="auto"/>
              <w:ind w:left="43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83E9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8 819 </w:t>
            </w:r>
            <w:proofErr w:type="spellStart"/>
            <w:r w:rsidRPr="00383E9A">
              <w:rPr>
                <w:rFonts w:ascii="Times New Roman" w:hAnsi="Times New Roman"/>
                <w:sz w:val="24"/>
                <w:szCs w:val="24"/>
                <w:lang w:val="bg-BG"/>
              </w:rPr>
              <w:t>ktoe</w:t>
            </w:r>
            <w:proofErr w:type="spellEnd"/>
          </w:p>
        </w:tc>
      </w:tr>
      <w:tr w:rsidR="00383E9A" w:rsidRPr="00383E9A" w:rsidTr="00CB691A">
        <w:trPr>
          <w:trHeight w:val="352"/>
        </w:trPr>
        <w:tc>
          <w:tcPr>
            <w:tcW w:w="9072" w:type="dxa"/>
            <w:gridSpan w:val="2"/>
            <w:tcBorders>
              <w:left w:val="single" w:sz="4" w:space="0" w:color="6FC2B4"/>
              <w:right w:val="single" w:sz="4" w:space="0" w:color="6FC2B4"/>
            </w:tcBorders>
            <w:shd w:val="clear" w:color="auto" w:fill="DDEFE8"/>
          </w:tcPr>
          <w:p w:rsidR="00383E9A" w:rsidRPr="00383E9A" w:rsidRDefault="00383E9A" w:rsidP="00383E9A">
            <w:pPr>
              <w:spacing w:before="120" w:after="0" w:line="31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383E9A">
              <w:rPr>
                <w:rFonts w:ascii="Times New Roman" w:hAnsi="Times New Roman"/>
                <w:sz w:val="24"/>
                <w:szCs w:val="24"/>
                <w:lang w:val="bg-BG"/>
              </w:rPr>
              <w:t>Емисии на парникови газове</w:t>
            </w:r>
          </w:p>
        </w:tc>
      </w:tr>
      <w:tr w:rsidR="00383E9A" w:rsidRPr="00383E9A" w:rsidTr="00CB691A">
        <w:trPr>
          <w:trHeight w:val="352"/>
        </w:trPr>
        <w:tc>
          <w:tcPr>
            <w:tcW w:w="4657" w:type="dxa"/>
            <w:tcBorders>
              <w:left w:val="single" w:sz="4" w:space="0" w:color="6FC2B4"/>
            </w:tcBorders>
          </w:tcPr>
          <w:p w:rsidR="00383E9A" w:rsidRPr="00383E9A" w:rsidRDefault="00383E9A" w:rsidP="00383E9A">
            <w:pPr>
              <w:spacing w:before="120" w:after="0" w:line="312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83E9A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Национална цел за намаляване на емисиите на ПГ до 2030 г. спрямо 2005 г. за секторите извън ЕСТЕ (сграден фонд, селско стопанство, отпадъци и транспорт) съгласно Регламент (ЕС) № 2023/857  за задължителните годишни намаления на емисиите на парникови газове за държавите членки през периода 2021—2030 г.</w:t>
            </w:r>
          </w:p>
          <w:p w:rsidR="00383E9A" w:rsidRPr="00383E9A" w:rsidRDefault="00383E9A" w:rsidP="00383E9A">
            <w:pPr>
              <w:spacing w:before="120" w:after="0" w:line="31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415" w:type="dxa"/>
            <w:tcBorders>
              <w:right w:val="single" w:sz="4" w:space="0" w:color="6FC2B4"/>
            </w:tcBorders>
          </w:tcPr>
          <w:p w:rsidR="00383E9A" w:rsidRPr="00383E9A" w:rsidRDefault="00383E9A" w:rsidP="00383E9A">
            <w:pPr>
              <w:spacing w:before="120" w:after="0" w:line="312" w:lineRule="auto"/>
              <w:ind w:left="43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383E9A" w:rsidRPr="00383E9A" w:rsidRDefault="00383E9A" w:rsidP="00383E9A">
            <w:pPr>
              <w:spacing w:before="120" w:after="0" w:line="312" w:lineRule="auto"/>
              <w:ind w:left="43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383E9A" w:rsidRPr="00383E9A" w:rsidRDefault="00383E9A" w:rsidP="00383E9A">
            <w:pPr>
              <w:spacing w:before="120" w:after="0" w:line="312" w:lineRule="auto"/>
              <w:ind w:left="43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83E9A"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  <w:r w:rsidRPr="00383E9A">
              <w:rPr>
                <w:rFonts w:ascii="Times New Roman" w:hAnsi="Times New Roman"/>
                <w:sz w:val="24"/>
                <w:szCs w:val="24"/>
                <w:lang w:val="en-GB"/>
              </w:rPr>
              <w:t>%</w:t>
            </w:r>
          </w:p>
          <w:p w:rsidR="00383E9A" w:rsidRPr="00383E9A" w:rsidRDefault="00383E9A" w:rsidP="00383E9A">
            <w:pPr>
              <w:spacing w:before="120" w:after="0" w:line="312" w:lineRule="auto"/>
              <w:ind w:left="43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383E9A" w:rsidRPr="00383E9A" w:rsidRDefault="00383E9A" w:rsidP="00383E9A">
            <w:pPr>
              <w:spacing w:before="120" w:after="0" w:line="312" w:lineRule="auto"/>
              <w:ind w:left="43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383E9A" w:rsidRPr="00383E9A" w:rsidTr="00CB691A">
        <w:trPr>
          <w:trHeight w:val="352"/>
        </w:trPr>
        <w:tc>
          <w:tcPr>
            <w:tcW w:w="4657" w:type="dxa"/>
            <w:tcBorders>
              <w:left w:val="single" w:sz="4" w:space="0" w:color="6FC2B4"/>
            </w:tcBorders>
          </w:tcPr>
          <w:p w:rsidR="00383E9A" w:rsidRPr="00383E9A" w:rsidRDefault="00383E9A" w:rsidP="00383E9A">
            <w:pPr>
              <w:spacing w:before="120" w:after="0" w:line="312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83E9A">
              <w:rPr>
                <w:rFonts w:ascii="Times New Roman" w:hAnsi="Times New Roman"/>
                <w:sz w:val="24"/>
                <w:szCs w:val="24"/>
                <w:lang w:val="bg-BG"/>
              </w:rPr>
              <w:t>Национална цел в сектор Земеползване, промените в земеползването и горското стопанство съгласно Регламент (ЕС) № 2023/839</w:t>
            </w:r>
          </w:p>
        </w:tc>
        <w:tc>
          <w:tcPr>
            <w:tcW w:w="4415" w:type="dxa"/>
            <w:tcBorders>
              <w:right w:val="single" w:sz="4" w:space="0" w:color="6FC2B4"/>
            </w:tcBorders>
          </w:tcPr>
          <w:p w:rsidR="00383E9A" w:rsidRPr="00383E9A" w:rsidRDefault="00383E9A" w:rsidP="00383E9A">
            <w:pPr>
              <w:spacing w:before="120" w:after="0" w:line="312" w:lineRule="auto"/>
              <w:ind w:left="42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83E9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периодите 2021—2025 г. емисиите на ПГ да не надхвърлят поглъщанията, изчислени като сбора на общите емисии и на общите поглъщания на нейна територия общо във всички отчетни категории площи, и национална годишна цел за нетните поглъщания в периода от 2026 г. до 2030 г. от – 9 718 ктона </w:t>
            </w:r>
            <w:r w:rsidRPr="00383E9A">
              <w:rPr>
                <w:rFonts w:ascii="Times New Roman" w:hAnsi="Times New Roman"/>
                <w:sz w:val="24"/>
                <w:szCs w:val="24"/>
              </w:rPr>
              <w:t>CO</w:t>
            </w:r>
            <w:r w:rsidRPr="00383E9A">
              <w:rPr>
                <w:rFonts w:ascii="Times New Roman" w:hAnsi="Times New Roman"/>
                <w:sz w:val="24"/>
                <w:szCs w:val="24"/>
                <w:vertAlign w:val="subscript"/>
                <w:lang w:val="bg-BG"/>
              </w:rPr>
              <w:t>2</w:t>
            </w:r>
            <w:r w:rsidRPr="00383E9A">
              <w:rPr>
                <w:rFonts w:ascii="Times New Roman" w:hAnsi="Times New Roman"/>
                <w:sz w:val="24"/>
                <w:szCs w:val="24"/>
                <w:lang w:val="bg-BG"/>
              </w:rPr>
              <w:t>екв.</w:t>
            </w:r>
          </w:p>
        </w:tc>
      </w:tr>
      <w:tr w:rsidR="00383E9A" w:rsidRPr="00383E9A" w:rsidTr="002A5FC8">
        <w:trPr>
          <w:trHeight w:val="352"/>
        </w:trPr>
        <w:tc>
          <w:tcPr>
            <w:tcW w:w="4657" w:type="dxa"/>
            <w:tcBorders>
              <w:left w:val="single" w:sz="4" w:space="0" w:color="6FC2B4"/>
            </w:tcBorders>
            <w:shd w:val="clear" w:color="auto" w:fill="DDEFE8"/>
          </w:tcPr>
          <w:p w:rsidR="00383E9A" w:rsidRPr="00383E9A" w:rsidRDefault="00383E9A" w:rsidP="00383E9A">
            <w:pPr>
              <w:spacing w:before="120" w:after="0" w:line="31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383E9A">
              <w:rPr>
                <w:rFonts w:ascii="Times New Roman" w:hAnsi="Times New Roman"/>
                <w:sz w:val="24"/>
                <w:szCs w:val="24"/>
                <w:lang w:val="bg-BG"/>
              </w:rPr>
              <w:t>Ниво на междусистемна електроенергийна свързаност</w:t>
            </w:r>
          </w:p>
        </w:tc>
        <w:tc>
          <w:tcPr>
            <w:tcW w:w="4415" w:type="dxa"/>
            <w:tcBorders>
              <w:right w:val="single" w:sz="4" w:space="0" w:color="6FC2B4"/>
            </w:tcBorders>
            <w:shd w:val="clear" w:color="auto" w:fill="DDEFE8"/>
          </w:tcPr>
          <w:p w:rsidR="00383E9A" w:rsidRPr="00383E9A" w:rsidRDefault="00383E9A" w:rsidP="00383E9A">
            <w:pPr>
              <w:spacing w:before="120" w:after="0" w:line="312" w:lineRule="auto"/>
              <w:ind w:left="43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83E9A">
              <w:rPr>
                <w:rFonts w:ascii="Times New Roman" w:hAnsi="Times New Roman"/>
                <w:sz w:val="24"/>
                <w:szCs w:val="24"/>
                <w:lang w:val="bg-BG"/>
              </w:rPr>
              <w:t>15%</w:t>
            </w:r>
          </w:p>
        </w:tc>
      </w:tr>
      <w:tr w:rsidR="002A5FC8" w:rsidRPr="008B0B60" w:rsidTr="002A5FC8">
        <w:trPr>
          <w:trHeight w:val="352"/>
        </w:trPr>
        <w:tc>
          <w:tcPr>
            <w:tcW w:w="9072" w:type="dxa"/>
            <w:gridSpan w:val="2"/>
            <w:tcBorders>
              <w:left w:val="single" w:sz="4" w:space="0" w:color="6FC2B4"/>
              <w:bottom w:val="single" w:sz="4" w:space="0" w:color="6FC2B4"/>
              <w:right w:val="single" w:sz="4" w:space="0" w:color="6FC2B4"/>
            </w:tcBorders>
            <w:shd w:val="clear" w:color="auto" w:fill="auto"/>
          </w:tcPr>
          <w:p w:rsidR="002A5FC8" w:rsidRPr="008B0B60" w:rsidRDefault="002A5FC8" w:rsidP="002A5FC8">
            <w:pPr>
              <w:spacing w:after="120" w:line="270" w:lineRule="atLeast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val="bg-BG" w:eastAsia="bg-BG"/>
              </w:rPr>
            </w:pPr>
            <w:r w:rsidRPr="008B0B6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val="bg-BG" w:eastAsia="bg-BG"/>
              </w:rPr>
              <w:t>Забележка:</w:t>
            </w:r>
          </w:p>
          <w:p w:rsidR="002A5FC8" w:rsidRPr="00383E9A" w:rsidRDefault="002A5FC8" w:rsidP="002A5FC8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B0B60">
              <w:rPr>
                <w:rFonts w:ascii="Times New Roman" w:hAnsi="Times New Roman"/>
                <w:sz w:val="24"/>
                <w:szCs w:val="24"/>
                <w:vertAlign w:val="superscript"/>
                <w:lang w:val="bg-BG"/>
              </w:rPr>
              <w:footnoteRef/>
            </w:r>
            <w:r w:rsidRPr="00383E9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Дял на електрическата енергия от ВИ в брутното крайно потребление на електрическа енергия </w:t>
            </w:r>
          </w:p>
          <w:p w:rsidR="002A5FC8" w:rsidRPr="00383E9A" w:rsidRDefault="000F4D59" w:rsidP="002A5FC8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val="bg-BG"/>
              </w:rPr>
              <w:t>2</w:t>
            </w:r>
            <w:r w:rsidR="002A5FC8" w:rsidRPr="00383E9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Дял на топлинната енергия и енергията за охлаждане от ВИ в брутното крайно потребление на топлинната енергия и енергията за охлаждане</w:t>
            </w:r>
          </w:p>
          <w:p w:rsidR="002A5FC8" w:rsidRPr="00383E9A" w:rsidRDefault="000F4D59" w:rsidP="002A5FC8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val="bg-BG"/>
              </w:rPr>
              <w:t>3</w:t>
            </w:r>
            <w:r w:rsidR="002A5FC8" w:rsidRPr="00383E9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Дял на енергията от ВИ в крайното потребление на енергия в сектор транспорт</w:t>
            </w:r>
          </w:p>
          <w:p w:rsidR="002A5FC8" w:rsidRPr="008B0B60" w:rsidRDefault="002A5FC8" w:rsidP="00383E9A">
            <w:pPr>
              <w:spacing w:before="120" w:after="0" w:line="312" w:lineRule="auto"/>
              <w:ind w:left="43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CA2DFD" w:rsidRDefault="00CA2DFD" w:rsidP="00697F8C">
      <w:pPr>
        <w:spacing w:after="120" w:line="270" w:lineRule="atLeast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u w:val="single"/>
          <w:bdr w:val="none" w:sz="0" w:space="0" w:color="auto" w:frame="1"/>
          <w:lang w:val="bg-BG" w:eastAsia="bg-BG"/>
        </w:rPr>
      </w:pPr>
    </w:p>
    <w:p w:rsidR="00A80178" w:rsidRDefault="00A80178" w:rsidP="00697F8C">
      <w:pPr>
        <w:spacing w:after="120" w:line="270" w:lineRule="atLeast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</w:pPr>
      <w:r w:rsidRPr="00A8017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е) финансиране на плана</w:t>
      </w:r>
    </w:p>
    <w:p w:rsidR="00257F55" w:rsidRDefault="00257F55" w:rsidP="0000360D">
      <w:pPr>
        <w:spacing w:after="120" w:line="270" w:lineRule="atLeast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Планът ще се осъществи </w:t>
      </w:r>
      <w:r w:rsidRPr="00257F55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чрез пряко и непряко финансиране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посредством различни финансови механизми, предвидени по петте измерения на </w:t>
      </w:r>
      <w:r w:rsidR="00D714B0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Енергийния съюз. </w:t>
      </w:r>
      <w:r w:rsidR="00CB691A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Р</w:t>
      </w:r>
      <w:r w:rsidR="00D714B0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еализирането му ще се</w:t>
      </w:r>
      <w:r w:rsidR="00CB691A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базира на</w:t>
      </w:r>
      <w:r w:rsidR="00D714B0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CB691A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с</w:t>
      </w:r>
      <w:r w:rsidR="00D714B0" w:rsidRPr="00D714B0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ъществуващи инвестиционни потоци</w:t>
      </w:r>
      <w:r w:rsidR="00F84DF5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, на</w:t>
      </w:r>
      <w:r w:rsidR="00D714B0" w:rsidRPr="00D714B0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прогнозни предположения за инвестиране по отношение на планираните политики и мерки</w:t>
      </w:r>
      <w:r w:rsidR="00CB691A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, </w:t>
      </w:r>
      <w:r w:rsidR="00F84DF5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на </w:t>
      </w:r>
      <w:r w:rsidR="00CB691A" w:rsidRPr="00CB691A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допълнителното подпомагане с публични финанси</w:t>
      </w:r>
      <w:r w:rsidR="00CB691A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, </w:t>
      </w:r>
      <w:r w:rsidR="00F84DF5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на </w:t>
      </w:r>
      <w:r w:rsidR="00CB691A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частни инвестиции и инвестиции в регионално сътрудничество</w:t>
      </w:r>
      <w:r w:rsidR="00636EE4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, основано на </w:t>
      </w:r>
      <w:r w:rsidR="00636EE4" w:rsidRPr="00636EE4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съществуващите </w:t>
      </w:r>
      <w:r w:rsidR="00636EE4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и планирани </w:t>
      </w:r>
      <w:r w:rsidR="00636EE4" w:rsidRPr="00636EE4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политики и мерки</w:t>
      </w:r>
      <w:r w:rsidR="00CB691A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. </w:t>
      </w:r>
    </w:p>
    <w:p w:rsidR="00CA2DFD" w:rsidRDefault="00CA2DFD" w:rsidP="00697F8C">
      <w:pPr>
        <w:spacing w:after="120" w:line="270" w:lineRule="atLeast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</w:pPr>
      <w:r w:rsidRPr="00CA2DF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lastRenderedPageBreak/>
        <w:t>ж) срокове и етапи на изготвянето на плана и наличие, нормативно регламентирано на изискване за обществено обсъждане или друга процедурна форма за участие на обществеността</w:t>
      </w:r>
    </w:p>
    <w:p w:rsidR="00107B2A" w:rsidRDefault="003A0740" w:rsidP="0000360D">
      <w:pPr>
        <w:spacing w:after="120" w:line="270" w:lineRule="atLeast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В чл. 3, параграф 4 от </w:t>
      </w:r>
      <w:r w:rsidRPr="003A0740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Регламент (ЕС) 2018/1999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се изисква в</w:t>
      </w:r>
      <w:r w:rsidR="003A3A46" w:rsidRPr="003A3A46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сяка държава членка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да </w:t>
      </w:r>
      <w:r w:rsidR="003A3A46" w:rsidRPr="003A3A46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осигур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и</w:t>
      </w:r>
      <w:r w:rsidR="003A3A46" w:rsidRPr="003A3A46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публичен достъп до своя интегриран национален план в областта на енергетиката и климата, представен на Комисията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. </w:t>
      </w:r>
      <w:r w:rsidR="00EA3EEC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Обществена консултация на</w:t>
      </w:r>
      <w:r w:rsidR="00EA3EEC" w:rsidRPr="00EA3EEC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C47F40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проекта на </w:t>
      </w:r>
      <w:r w:rsidR="00EA3EEC" w:rsidRPr="00EA3EEC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Интегриран план в областта на енергетиката и климата на Република България </w:t>
      </w:r>
      <w:r w:rsidR="000F4D59" w:rsidRPr="000F4D59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2021-2030 г. </w:t>
      </w:r>
      <w:r w:rsidR="00EA3EEC" w:rsidRPr="00EA3EEC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– актуализация 2024 г. е проведена в пери</w:t>
      </w:r>
      <w:r w:rsidR="00EA3EEC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ода 13.06.2024 г.– 26.06.2024 г</w:t>
      </w:r>
      <w:r w:rsidR="00EA3EEC" w:rsidRPr="00EA3EEC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.</w:t>
      </w:r>
      <w:r w:rsidR="00B70BB7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C47F40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Окончателната актуализация на плана, която е представена на Европейската комисия е достъпна на следната хипервръзка:  </w:t>
      </w:r>
      <w:hyperlink r:id="rId9" w:history="1">
        <w:r w:rsidR="00C47F40" w:rsidRPr="00624B4E">
          <w:rPr>
            <w:rStyle w:val="Hyperlink"/>
            <w:rFonts w:ascii="Times New Roman" w:eastAsia="Times New Roman" w:hAnsi="Times New Roman"/>
            <w:bCs/>
            <w:sz w:val="24"/>
            <w:szCs w:val="24"/>
            <w:bdr w:val="none" w:sz="0" w:space="0" w:color="auto" w:frame="1"/>
            <w:lang w:val="bg-BG" w:eastAsia="bg-BG"/>
          </w:rPr>
          <w:t>https://commission.europa.eu/publications/bulgaria-final-updated-necp-2021-2030-submitted-2025_en</w:t>
        </w:r>
      </w:hyperlink>
      <w:r w:rsidR="00C47F40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</w:t>
      </w:r>
    </w:p>
    <w:p w:rsidR="00107B2A" w:rsidRDefault="00107B2A" w:rsidP="00C34ECB">
      <w:pPr>
        <w:spacing w:after="120" w:line="270" w:lineRule="atLeast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</w:pPr>
      <w:r w:rsidRPr="00107B2A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Интегрираният план в областта на енергетиката и климата </w:t>
      </w:r>
      <w:r w:rsidR="000F4D59" w:rsidRPr="000F4D59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2021-2030 г. </w:t>
      </w:r>
      <w:r w:rsidRPr="00107B2A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– актуализация 2024 г., подлежи на задължителна екологична оценка и оценка на съвместимостта с предмета и целите за опазване на защитените зони от екологична мрежа по Натура 2000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.</w:t>
      </w:r>
    </w:p>
    <w:p w:rsidR="0067207F" w:rsidRDefault="001D6EFD" w:rsidP="00C34ECB">
      <w:pPr>
        <w:spacing w:after="120" w:line="270" w:lineRule="atLeast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Екологичната оценка</w:t>
      </w:r>
      <w:r w:rsidR="0067207F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 на проекта на Плана е извършена </w:t>
      </w:r>
      <w:r w:rsidR="007C2B54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при съвместна процедура </w:t>
      </w:r>
      <w:r w:rsidR="0067207F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по реда на </w:t>
      </w:r>
      <w:r w:rsidR="007C2B54" w:rsidRPr="007C2B54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Наредбата за условията и реда за извършване на екологична оценка на планове и програми </w:t>
      </w:r>
      <w:r w:rsidR="007C2B54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и </w:t>
      </w:r>
      <w:r w:rsidR="007C2B54" w:rsidRPr="007C2B54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="007C2B54"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. </w:t>
      </w:r>
    </w:p>
    <w:p w:rsidR="00107B2A" w:rsidRPr="00EA3EEC" w:rsidRDefault="00107B2A" w:rsidP="00EA3EEC">
      <w:pPr>
        <w:spacing w:after="120" w:line="270" w:lineRule="atLeast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</w:pPr>
    </w:p>
    <w:p w:rsidR="00ED3AC5" w:rsidRDefault="00831C79" w:rsidP="00831C79">
      <w:pPr>
        <w:pStyle w:val="ListParagraph"/>
        <w:numPr>
          <w:ilvl w:val="0"/>
          <w:numId w:val="2"/>
        </w:numPr>
        <w:spacing w:after="120" w:line="270" w:lineRule="atLeast"/>
        <w:contextualSpacing w:val="0"/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  <w:r w:rsidRPr="00831C79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Орган, отговорен за прилагането на плана</w:t>
      </w:r>
    </w:p>
    <w:p w:rsidR="00255212" w:rsidRDefault="00255212" w:rsidP="0045766A">
      <w:pPr>
        <w:pStyle w:val="ListParagraph"/>
        <w:spacing w:after="120" w:line="270" w:lineRule="atLeast"/>
        <w:ind w:left="0" w:firstLine="720"/>
        <w:contextualSpacing w:val="0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В чл. 4, ал. 1 от Закона за ограничаване изменението на климата е определено, че д</w:t>
      </w:r>
      <w:r w:rsidRPr="00255212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ържавната политика по ограничаване изменението на климата се интегрира в съответните секторни и интегрирани политики в областта на транспорта, енергетиката, строителството, селското и горското стопанство, туризма, промишлеността, регионалното развитие, здравеопазването и опазването на културното наследство, образование и наука, финанси и управление на европейски средства, труд и социална политика, отбрана, вътрешни и външни работи и се осъществява на секторно ниво</w:t>
      </w:r>
      <w:r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.</w:t>
      </w:r>
    </w:p>
    <w:p w:rsidR="00831C79" w:rsidRPr="00A50302" w:rsidRDefault="00651CA5" w:rsidP="0045766A">
      <w:pPr>
        <w:pStyle w:val="ListParagraph"/>
        <w:spacing w:after="120" w:line="270" w:lineRule="atLeast"/>
        <w:ind w:left="0" w:firstLine="720"/>
        <w:contextualSpacing w:val="0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На основание ч</w:t>
      </w:r>
      <w:r w:rsidRPr="00651CA5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л. 8.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, ал. 1 от Закона за ограничаване изменението на климата </w:t>
      </w:r>
      <w:r w:rsidRPr="00651CA5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(ЗОИК), </w:t>
      </w:r>
      <w:r w:rsidRPr="00651CA5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Министърът на енергетиката съвместно с министъра на околната среда и водите, подпомагани от министрите по чл. 4, ал. 1</w:t>
      </w:r>
      <w:r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 от ЗОИК</w:t>
      </w:r>
      <w:r w:rsidRPr="00651CA5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, разра</w:t>
      </w:r>
      <w:r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ботват Интегриран план в област</w:t>
      </w:r>
      <w:r w:rsidRPr="00651CA5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та на енергетиката и климата на Република България съгласно Регламент (ЕС) 2018/1999.</w:t>
      </w:r>
      <w:r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Pr="00651CA5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Министърът на енергетиката съвместно с министъра на околната среда и водите, подпомагани от министрите</w:t>
      </w:r>
      <w:r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: </w:t>
      </w:r>
      <w:r w:rsidRPr="00651CA5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министъра на икономиката и индустрията, министъра на иновациите и растежа, министъра на регионалното развитие и благоустройството, министъра на транспорта и съобщенията, министъра на земеделието и храните, министъра на вътрешните работи, министъра на финансите, министъра на външните работи, министъра на здравеопазването, министъра на електронното управление и министъра на културата в съответствие с правомощията им, предоставени </w:t>
      </w:r>
      <w:r w:rsidR="0045766A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от ЗОИК</w:t>
      </w:r>
      <w:r w:rsidRPr="00651CA5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 и със съответните специални закони</w:t>
      </w:r>
      <w:r w:rsidR="0045766A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, </w:t>
      </w:r>
      <w:r w:rsidRPr="00651CA5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изготвят актуализации и доклади за напредъка </w:t>
      </w:r>
      <w:r w:rsidR="00971F60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по прилагането </w:t>
      </w:r>
      <w:r w:rsidRPr="00651CA5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на </w:t>
      </w:r>
      <w:r w:rsidR="0045766A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Плана</w:t>
      </w:r>
      <w:r w:rsidRPr="00651CA5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.</w:t>
      </w:r>
    </w:p>
    <w:p w:rsidR="00831C79" w:rsidRDefault="00831C79" w:rsidP="0045766A">
      <w:pPr>
        <w:pStyle w:val="ListParagraph"/>
        <w:numPr>
          <w:ilvl w:val="0"/>
          <w:numId w:val="2"/>
        </w:numPr>
        <w:spacing w:after="120" w:line="270" w:lineRule="atLeast"/>
        <w:contextualSpacing w:val="0"/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О</w:t>
      </w:r>
      <w:r w:rsidRPr="00831C79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рган за приемане/одобряване/утвърждаване на плана</w:t>
      </w:r>
    </w:p>
    <w:p w:rsidR="00DC170E" w:rsidRPr="00984878" w:rsidRDefault="00984878" w:rsidP="00984878">
      <w:pPr>
        <w:pStyle w:val="ListParagraph"/>
        <w:ind w:left="0" w:firstLine="720"/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  <w:r w:rsidRPr="00984878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lastRenderedPageBreak/>
        <w:t>Интегриран</w:t>
      </w:r>
      <w:r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ият</w:t>
      </w:r>
      <w:r w:rsidRPr="00984878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 план в областта на енергетиката и климата на Република България </w:t>
      </w:r>
      <w:r w:rsidR="000F4D59" w:rsidRPr="000F4D59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2021-2030 г. </w:t>
      </w:r>
      <w:r w:rsidRPr="00984878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и актуализациите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му</w:t>
      </w:r>
      <w:r w:rsidRPr="00984878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 се одобряват от Министерския съвет по предложение на министъра на енергетиката и министъра на околната среда и водите</w:t>
      </w:r>
      <w:r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.</w:t>
      </w:r>
    </w:p>
    <w:p w:rsidR="00DC170E" w:rsidRDefault="00DC170E" w:rsidP="00DC170E">
      <w:pPr>
        <w:pStyle w:val="ListParagraph"/>
        <w:numPr>
          <w:ilvl w:val="0"/>
          <w:numId w:val="2"/>
        </w:numPr>
        <w:spacing w:after="120" w:line="270" w:lineRule="atLeast"/>
        <w:contextualSpacing w:val="0"/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  <w:r w:rsidRPr="00DC170E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Информация за датата и начина на заплащане на дължимата такса в размер, определен съгласно Тарифата за таксите, които се събират в системата на Министерството на околната среда и водите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.</w:t>
      </w:r>
    </w:p>
    <w:p w:rsidR="00DC170E" w:rsidRDefault="006A2242" w:rsidP="00657FC1">
      <w:pPr>
        <w:pStyle w:val="ListParagraph"/>
        <w:spacing w:after="120" w:line="270" w:lineRule="atLeast"/>
        <w:ind w:left="0" w:firstLine="720"/>
        <w:contextualSpacing w:val="0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  <w:r w:rsidRPr="006A2242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Дължимата такса в размер, определен съгласно Тарифата за таксите, които се събират в системата на Министерство на околната среда и водите, </w:t>
      </w:r>
      <w:r w:rsidR="00984878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ще бъде</w:t>
      </w:r>
      <w:r w:rsidRPr="006A2242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 заплатена на </w:t>
      </w:r>
      <w:r w:rsidR="00657FC1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при внасяне на искане по чл. 23, ал. 1 от Наредбата за ЕО, до компетентния орган, за издаване на становище за екологична оценка.</w:t>
      </w:r>
      <w:r w:rsidR="00657FC1" w:rsidRPr="00657FC1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 </w:t>
      </w:r>
    </w:p>
    <w:p w:rsidR="00CF6028" w:rsidRPr="00CF6028" w:rsidRDefault="00CF6028" w:rsidP="00CF6028">
      <w:pPr>
        <w:pStyle w:val="ListParagraph"/>
        <w:numPr>
          <w:ilvl w:val="0"/>
          <w:numId w:val="2"/>
        </w:numPr>
        <w:spacing w:after="120" w:line="270" w:lineRule="atLeast"/>
        <w:contextualSpacing w:val="0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  <w:r w:rsidRPr="00CF6028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Място за публичен достъп</w:t>
      </w:r>
    </w:p>
    <w:p w:rsidR="001404C1" w:rsidRDefault="00CF6028" w:rsidP="00CF6028">
      <w:pPr>
        <w:pStyle w:val="ListParagraph"/>
        <w:spacing w:after="120" w:line="270" w:lineRule="atLeast"/>
        <w:ind w:left="0" w:firstLine="720"/>
        <w:contextualSpacing w:val="0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  <w:r w:rsidRPr="00CF6028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Обществен достъп на проекта на ИПЕК–актуализация 2024 г., на Доклада за екологична оценка и на </w:t>
      </w:r>
      <w:r w:rsidR="001404C1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Д</w:t>
      </w:r>
      <w:r w:rsidRPr="00CF6028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оклада за оценка на степента на въздействие на проекта на ИПЕК–актуализация 2024 г. е осигурен на електронната страница на МОСВ  в раздел „КЛИМАТ“, в рубрика „Актуални съобщения“:</w:t>
      </w:r>
      <w:r w:rsidR="001404C1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 </w:t>
      </w:r>
    </w:p>
    <w:p w:rsidR="00824831" w:rsidRPr="00824831" w:rsidRDefault="00824831" w:rsidP="00824831">
      <w:pPr>
        <w:spacing w:after="120" w:line="270" w:lineRule="atLeast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  <w:hyperlink r:id="rId10" w:history="1">
        <w:r w:rsidRPr="00824831">
          <w:rPr>
            <w:rStyle w:val="Hyperlink"/>
            <w:rFonts w:ascii="Times New Roman" w:hAnsi="Times New Roman"/>
            <w:sz w:val="24"/>
            <w:szCs w:val="24"/>
          </w:rPr>
          <w:t>https://www.moew.government.bg/bg/provejdane-na-konsultacii-po-chl-20-ot-naredbata-za-usloviyata-i-reda-za-izvurshvane-na-ekologichna-ocenka-na-planove-i-programi-doklad-za-ekologichna-ocenka-na-integriran-plan-v-oblastta-na-energetikata-i-klimata-na-rep-18679/</w:t>
        </w:r>
      </w:hyperlink>
    </w:p>
    <w:p w:rsidR="00CF6028" w:rsidRDefault="001404C1" w:rsidP="00824831">
      <w:pPr>
        <w:pStyle w:val="ListParagraph"/>
        <w:numPr>
          <w:ilvl w:val="0"/>
          <w:numId w:val="2"/>
        </w:numPr>
        <w:spacing w:after="120" w:line="270" w:lineRule="atLeast"/>
        <w:contextualSpacing w:val="0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  <w:r w:rsidRPr="001404C1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Време за публичен достъп</w:t>
      </w:r>
    </w:p>
    <w:p w:rsidR="001404C1" w:rsidRPr="001404C1" w:rsidRDefault="001404C1" w:rsidP="001404C1">
      <w:pPr>
        <w:pStyle w:val="ListParagraph"/>
        <w:spacing w:after="120" w:line="270" w:lineRule="atLeast"/>
        <w:ind w:left="0" w:firstLine="720"/>
        <w:contextualSpacing w:val="0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  <w:r w:rsidRPr="001404C1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Срок за изразяване на становища от заинтересованите страни в процеса на консултации е </w:t>
      </w:r>
      <w:r w:rsidRPr="001404C1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30 дни</w:t>
      </w:r>
      <w:r w:rsidRPr="001404C1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 от публикуване на настоящото съобщение.</w:t>
      </w:r>
      <w:bookmarkStart w:id="0" w:name="_GoBack"/>
      <w:bookmarkEnd w:id="0"/>
    </w:p>
    <w:p w:rsidR="001404C1" w:rsidRPr="001404C1" w:rsidRDefault="001404C1" w:rsidP="001404C1">
      <w:pPr>
        <w:pStyle w:val="ListParagraph"/>
        <w:numPr>
          <w:ilvl w:val="0"/>
          <w:numId w:val="2"/>
        </w:numPr>
        <w:spacing w:after="120" w:line="270" w:lineRule="atLeast"/>
        <w:contextualSpacing w:val="0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  <w:r w:rsidRPr="001404C1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Начин за изразяване на становище</w:t>
      </w:r>
    </w:p>
    <w:p w:rsidR="001404C1" w:rsidRPr="001404C1" w:rsidRDefault="001404C1" w:rsidP="001404C1">
      <w:pPr>
        <w:pStyle w:val="ListParagraph"/>
        <w:spacing w:after="120" w:line="270" w:lineRule="atLeast"/>
        <w:ind w:left="0" w:firstLine="720"/>
        <w:contextualSpacing w:val="0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  <w:r w:rsidRPr="001404C1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Становища по Доклада за екологична оценка се приемат в срок до </w:t>
      </w:r>
      <w:r w:rsidR="00D14532" w:rsidRPr="00D14532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0</w:t>
      </w:r>
      <w:r w:rsidR="00D14532" w:rsidRPr="00D14532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bg-BG"/>
        </w:rPr>
        <w:t>8</w:t>
      </w:r>
      <w:r w:rsidR="00D14532" w:rsidRPr="00D14532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.06.</w:t>
      </w:r>
      <w:r w:rsidRPr="00D14532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2026 г.</w:t>
      </w:r>
      <w:r w:rsidRPr="001404C1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 на официалния адрес на МОСВ, както и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по електронна поща</w:t>
      </w:r>
      <w:r w:rsidRPr="001404C1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 на e-</w:t>
      </w:r>
      <w:proofErr w:type="spellStart"/>
      <w:r w:rsidRPr="001404C1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>mail</w:t>
      </w:r>
      <w:proofErr w:type="spellEnd"/>
      <w:r w:rsidRPr="001404C1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 адрес: </w:t>
      </w:r>
      <w:hyperlink r:id="rId11" w:history="1">
        <w:r w:rsidRPr="00624B4E">
          <w:rPr>
            <w:rStyle w:val="Hyperlink"/>
            <w:rFonts w:ascii="Times New Roman" w:eastAsia="Times New Roman" w:hAnsi="Times New Roman"/>
            <w:bCs/>
            <w:sz w:val="24"/>
            <w:szCs w:val="24"/>
            <w:bdr w:val="none" w:sz="0" w:space="0" w:color="auto" w:frame="1"/>
            <w:lang w:val="bg-BG" w:eastAsia="bg-BG"/>
          </w:rPr>
          <w:t>margarita.tomova@moew.government.bg</w:t>
        </w:r>
      </w:hyperlink>
      <w:r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 </w:t>
      </w:r>
    </w:p>
    <w:sectPr w:rsidR="001404C1" w:rsidRPr="001404C1" w:rsidSect="006B33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F05" w:rsidRDefault="00056F05" w:rsidP="005D6F42">
      <w:pPr>
        <w:spacing w:after="0" w:line="240" w:lineRule="auto"/>
      </w:pPr>
      <w:r>
        <w:separator/>
      </w:r>
    </w:p>
  </w:endnote>
  <w:endnote w:type="continuationSeparator" w:id="0">
    <w:p w:rsidR="00056F05" w:rsidRDefault="00056F05" w:rsidP="005D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2A0" w:rsidRDefault="003352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2A0" w:rsidRDefault="003352A0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82483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824831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:rsidR="003352A0" w:rsidRDefault="003352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2A0" w:rsidRPr="00227F9D" w:rsidRDefault="003352A0" w:rsidP="00227F9D">
    <w:pPr>
      <w:tabs>
        <w:tab w:val="left" w:pos="2775"/>
      </w:tabs>
      <w:spacing w:after="0" w:line="240" w:lineRule="auto"/>
      <w:rPr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72390</wp:posOffset>
              </wp:positionH>
              <wp:positionV relativeFrom="paragraph">
                <wp:posOffset>62230</wp:posOffset>
              </wp:positionV>
              <wp:extent cx="5864860" cy="20955"/>
              <wp:effectExtent l="0" t="0" r="2540" b="17145"/>
              <wp:wrapNone/>
              <wp:docPr id="8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64860" cy="2095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256278" id="Straight Connector 1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4.9pt" to="467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">
              <o:lock v:ext="edit" shapetype="f"/>
            </v:line>
          </w:pict>
        </mc:Fallback>
      </mc:AlternateContent>
    </w:r>
  </w:p>
  <w:tbl>
    <w:tblPr>
      <w:tblW w:w="9647" w:type="dxa"/>
      <w:tblLook w:val="04A0" w:firstRow="1" w:lastRow="0" w:firstColumn="1" w:lastColumn="0" w:noHBand="0" w:noVBand="1"/>
    </w:tblPr>
    <w:tblGrid>
      <w:gridCol w:w="3066"/>
      <w:gridCol w:w="4750"/>
      <w:gridCol w:w="1831"/>
    </w:tblGrid>
    <w:tr w:rsidR="003352A0" w:rsidRPr="00227F9D" w:rsidTr="00E85D5F">
      <w:trPr>
        <w:trHeight w:val="1013"/>
      </w:trPr>
      <w:tc>
        <w:tcPr>
          <w:tcW w:w="2356" w:type="dxa"/>
          <w:hideMark/>
        </w:tcPr>
        <w:p w:rsidR="003352A0" w:rsidRPr="00227F9D" w:rsidRDefault="003352A0" w:rsidP="00227F9D">
          <w:pPr>
            <w:tabs>
              <w:tab w:val="center" w:pos="4703"/>
              <w:tab w:val="right" w:pos="9406"/>
            </w:tabs>
            <w:spacing w:after="0"/>
            <w:jc w:val="center"/>
          </w:pPr>
          <w:r w:rsidRPr="00B2060C">
            <w:rPr>
              <w:noProof/>
              <w:lang w:val="bg-BG" w:eastAsia="bg-BG"/>
            </w:rPr>
            <w:drawing>
              <wp:inline distT="0" distB="0" distL="0" distR="0">
                <wp:extent cx="1801077" cy="723900"/>
                <wp:effectExtent l="0" t="0" r="8890" b="0"/>
                <wp:docPr id="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1077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0" w:type="dxa"/>
        </w:tcPr>
        <w:p w:rsidR="003352A0" w:rsidRPr="00227F9D" w:rsidRDefault="003352A0" w:rsidP="00227F9D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Times New Roman" w:hAnsi="Times New Roman"/>
            </w:rPr>
          </w:pPr>
          <w:proofErr w:type="spellStart"/>
          <w:r w:rsidRPr="00227F9D">
            <w:rPr>
              <w:rFonts w:ascii="Times New Roman" w:hAnsi="Times New Roman"/>
            </w:rPr>
            <w:t>София</w:t>
          </w:r>
          <w:proofErr w:type="spellEnd"/>
          <w:r w:rsidRPr="00227F9D">
            <w:rPr>
              <w:rFonts w:ascii="Times New Roman" w:hAnsi="Times New Roman"/>
            </w:rPr>
            <w:t xml:space="preserve">, 1000, </w:t>
          </w:r>
          <w:proofErr w:type="spellStart"/>
          <w:r w:rsidRPr="00227F9D">
            <w:rPr>
              <w:rFonts w:ascii="Times New Roman" w:hAnsi="Times New Roman"/>
            </w:rPr>
            <w:t>бул</w:t>
          </w:r>
          <w:proofErr w:type="spellEnd"/>
          <w:r w:rsidRPr="00227F9D">
            <w:rPr>
              <w:rFonts w:ascii="Times New Roman" w:hAnsi="Times New Roman"/>
            </w:rPr>
            <w:t>. „</w:t>
          </w:r>
          <w:proofErr w:type="spellStart"/>
          <w:r w:rsidRPr="00227F9D">
            <w:rPr>
              <w:rFonts w:ascii="Times New Roman" w:hAnsi="Times New Roman"/>
            </w:rPr>
            <w:t>Кн</w:t>
          </w:r>
          <w:proofErr w:type="spellEnd"/>
          <w:r w:rsidRPr="00227F9D">
            <w:rPr>
              <w:rFonts w:ascii="Times New Roman" w:hAnsi="Times New Roman"/>
            </w:rPr>
            <w:t xml:space="preserve">. </w:t>
          </w:r>
          <w:proofErr w:type="spellStart"/>
          <w:r w:rsidRPr="00227F9D">
            <w:rPr>
              <w:rFonts w:ascii="Times New Roman" w:hAnsi="Times New Roman"/>
            </w:rPr>
            <w:t>Мария</w:t>
          </w:r>
          <w:proofErr w:type="spellEnd"/>
          <w:r w:rsidRPr="00227F9D">
            <w:rPr>
              <w:rFonts w:ascii="Times New Roman" w:hAnsi="Times New Roman"/>
            </w:rPr>
            <w:t xml:space="preserve"> </w:t>
          </w:r>
          <w:proofErr w:type="spellStart"/>
          <w:r w:rsidRPr="00227F9D">
            <w:rPr>
              <w:rFonts w:ascii="Times New Roman" w:hAnsi="Times New Roman"/>
            </w:rPr>
            <w:t>Луиза</w:t>
          </w:r>
          <w:proofErr w:type="spellEnd"/>
          <w:r w:rsidRPr="00227F9D">
            <w:rPr>
              <w:rFonts w:ascii="Times New Roman" w:hAnsi="Times New Roman"/>
            </w:rPr>
            <w:t>” 22</w:t>
          </w:r>
        </w:p>
        <w:p w:rsidR="003352A0" w:rsidRPr="00227F9D" w:rsidRDefault="003352A0" w:rsidP="00227F9D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Times New Roman" w:hAnsi="Times New Roman"/>
            </w:rPr>
          </w:pPr>
        </w:p>
        <w:p w:rsidR="003352A0" w:rsidRPr="00BB70B5" w:rsidRDefault="003352A0" w:rsidP="00DC184C">
          <w:pPr>
            <w:tabs>
              <w:tab w:val="center" w:pos="4703"/>
              <w:tab w:val="right" w:pos="9406"/>
            </w:tabs>
            <w:spacing w:after="0"/>
            <w:jc w:val="center"/>
            <w:rPr>
              <w:lang w:val="bg-BG"/>
            </w:rPr>
          </w:pPr>
          <w:proofErr w:type="spellStart"/>
          <w:r w:rsidRPr="00227F9D">
            <w:rPr>
              <w:rFonts w:ascii="Times New Roman" w:hAnsi="Times New Roman"/>
            </w:rPr>
            <w:t>Тел</w:t>
          </w:r>
          <w:proofErr w:type="spellEnd"/>
          <w:r w:rsidRPr="00227F9D">
            <w:rPr>
              <w:rFonts w:ascii="Times New Roman" w:hAnsi="Times New Roman"/>
            </w:rPr>
            <w:t>: +359(2) 940 6</w:t>
          </w:r>
          <w:r>
            <w:rPr>
              <w:rFonts w:ascii="Times New Roman" w:hAnsi="Times New Roman"/>
            </w:rPr>
            <w:t>2</w:t>
          </w:r>
          <w:r>
            <w:rPr>
              <w:rFonts w:ascii="Times New Roman" w:hAnsi="Times New Roman"/>
              <w:lang w:val="bg-BG"/>
            </w:rPr>
            <w:t>5</w:t>
          </w:r>
          <w:r>
            <w:rPr>
              <w:rFonts w:ascii="Times New Roman" w:hAnsi="Times New Roman"/>
            </w:rPr>
            <w:t>9</w:t>
          </w:r>
          <w:r w:rsidRPr="00227F9D">
            <w:rPr>
              <w:rFonts w:ascii="Times New Roman" w:hAnsi="Times New Roman"/>
              <w:lang w:val="bg-BG"/>
            </w:rPr>
            <w:t>,</w:t>
          </w:r>
          <w:r w:rsidRPr="00227F9D">
            <w:rPr>
              <w:rFonts w:ascii="Times New Roman" w:hAnsi="Times New Roman"/>
            </w:rPr>
            <w:t xml:space="preserve"> </w:t>
          </w:r>
          <w:proofErr w:type="spellStart"/>
          <w:r w:rsidRPr="00227F9D">
            <w:rPr>
              <w:rFonts w:ascii="Times New Roman" w:hAnsi="Times New Roman"/>
            </w:rPr>
            <w:t>Факс</w:t>
          </w:r>
          <w:proofErr w:type="spellEnd"/>
          <w:r w:rsidRPr="00227F9D">
            <w:rPr>
              <w:rFonts w:ascii="Times New Roman" w:hAnsi="Times New Roman"/>
            </w:rPr>
            <w:t xml:space="preserve">:+359(2) </w:t>
          </w:r>
          <w:r w:rsidRPr="00225EA6">
            <w:rPr>
              <w:rFonts w:ascii="Times New Roman" w:hAnsi="Times New Roman"/>
            </w:rPr>
            <w:t xml:space="preserve">986 </w:t>
          </w:r>
          <w:r>
            <w:rPr>
              <w:rFonts w:ascii="Times New Roman" w:hAnsi="Times New Roman"/>
              <w:lang w:val="bg-BG"/>
            </w:rPr>
            <w:t>25 33</w:t>
          </w:r>
        </w:p>
      </w:tc>
      <w:tc>
        <w:tcPr>
          <w:tcW w:w="2001" w:type="dxa"/>
          <w:hideMark/>
        </w:tcPr>
        <w:p w:rsidR="003352A0" w:rsidRPr="00227F9D" w:rsidRDefault="003352A0" w:rsidP="00227F9D">
          <w:pPr>
            <w:tabs>
              <w:tab w:val="center" w:pos="4703"/>
              <w:tab w:val="right" w:pos="9406"/>
            </w:tabs>
            <w:spacing w:after="0"/>
            <w:jc w:val="center"/>
          </w:pPr>
          <w:r w:rsidRPr="00227F9D">
            <w:rPr>
              <w:rFonts w:ascii="Times New Roman" w:hAnsi="Times New Roman"/>
              <w:noProof/>
              <w:lang w:val="bg-BG" w:eastAsia="bg-BG"/>
            </w:rPr>
            <w:drawing>
              <wp:inline distT="0" distB="0" distL="0" distR="0">
                <wp:extent cx="371475" cy="3714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352A0" w:rsidRDefault="003352A0" w:rsidP="003E6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F05" w:rsidRDefault="00056F05" w:rsidP="005D6F42">
      <w:pPr>
        <w:spacing w:after="0" w:line="240" w:lineRule="auto"/>
      </w:pPr>
      <w:r>
        <w:separator/>
      </w:r>
    </w:p>
  </w:footnote>
  <w:footnote w:type="continuationSeparator" w:id="0">
    <w:p w:rsidR="00056F05" w:rsidRDefault="00056F05" w:rsidP="005D6F42">
      <w:pPr>
        <w:spacing w:after="0" w:line="240" w:lineRule="auto"/>
      </w:pPr>
      <w:r>
        <w:continuationSeparator/>
      </w:r>
    </w:p>
  </w:footnote>
  <w:footnote w:id="1">
    <w:p w:rsidR="003352A0" w:rsidRPr="00FF4BE1" w:rsidRDefault="003352A0" w:rsidP="00383E9A">
      <w:pPr>
        <w:pStyle w:val="FootnoteText"/>
        <w:rPr>
          <w:sz w:val="16"/>
          <w:szCs w:val="18"/>
          <w:lang w:val="bg-BG"/>
        </w:rPr>
      </w:pPr>
      <w:r w:rsidRPr="0065770F">
        <w:rPr>
          <w:rStyle w:val="FootnoteReference"/>
          <w:sz w:val="16"/>
          <w:szCs w:val="18"/>
        </w:rPr>
        <w:footnoteRef/>
      </w:r>
      <w:r w:rsidRPr="0065770F">
        <w:rPr>
          <w:sz w:val="16"/>
          <w:szCs w:val="18"/>
        </w:rPr>
        <w:t xml:space="preserve"> </w:t>
      </w:r>
      <w:r w:rsidRPr="00FF4BE1">
        <w:rPr>
          <w:sz w:val="16"/>
          <w:szCs w:val="18"/>
          <w:lang w:val="bg-BG"/>
        </w:rPr>
        <w:t xml:space="preserve">Дял на електрическата енергия от ВИ в брутното крайно потребление на електрическа енергия </w:t>
      </w:r>
    </w:p>
  </w:footnote>
  <w:footnote w:id="2">
    <w:p w:rsidR="003352A0" w:rsidRPr="00FF4BE1" w:rsidRDefault="003352A0" w:rsidP="00383E9A">
      <w:pPr>
        <w:pStyle w:val="FootnoteText"/>
        <w:rPr>
          <w:sz w:val="16"/>
          <w:szCs w:val="18"/>
          <w:lang w:val="bg-BG"/>
        </w:rPr>
      </w:pPr>
      <w:r w:rsidRPr="00FF4BE1">
        <w:rPr>
          <w:rStyle w:val="FootnoteReference"/>
          <w:sz w:val="16"/>
          <w:szCs w:val="18"/>
          <w:lang w:val="bg-BG"/>
        </w:rPr>
        <w:footnoteRef/>
      </w:r>
      <w:r w:rsidRPr="00FF4BE1">
        <w:rPr>
          <w:sz w:val="16"/>
          <w:szCs w:val="18"/>
          <w:lang w:val="bg-BG"/>
        </w:rPr>
        <w:t xml:space="preserve"> Дял на топлинната енергия и енергията за охлаждане от ВИ в брутното крайно потребление на топлинната енергия и енергията за охлаждане</w:t>
      </w:r>
    </w:p>
  </w:footnote>
  <w:footnote w:id="3">
    <w:p w:rsidR="003352A0" w:rsidRPr="00FF4BE1" w:rsidRDefault="003352A0" w:rsidP="00383E9A">
      <w:pPr>
        <w:pStyle w:val="FootnoteText"/>
        <w:rPr>
          <w:sz w:val="16"/>
          <w:szCs w:val="18"/>
          <w:lang w:val="bg-BG"/>
        </w:rPr>
      </w:pPr>
      <w:r w:rsidRPr="00FF4BE1">
        <w:rPr>
          <w:rStyle w:val="FootnoteReference"/>
          <w:sz w:val="16"/>
          <w:szCs w:val="18"/>
          <w:lang w:val="bg-BG"/>
        </w:rPr>
        <w:footnoteRef/>
      </w:r>
      <w:r w:rsidRPr="00FF4BE1">
        <w:rPr>
          <w:sz w:val="16"/>
          <w:szCs w:val="18"/>
          <w:lang w:val="bg-BG"/>
        </w:rPr>
        <w:t xml:space="preserve"> Дял на енергията от ВИ в крайното потребление на енергия в сектор транспорт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2A0" w:rsidRDefault="003352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2A0" w:rsidRDefault="003352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2A0" w:rsidRDefault="003352A0" w:rsidP="003E6B70">
    <w:pPr>
      <w:pStyle w:val="Header"/>
      <w:jc w:val="center"/>
    </w:pPr>
    <w:r w:rsidRPr="005D6F42">
      <w:rPr>
        <w:rFonts w:ascii="Times New Roman" w:hAnsi="Times New Roman"/>
        <w:b/>
        <w:caps/>
        <w:noProof/>
        <w:szCs w:val="24"/>
        <w:lang w:val="bg-BG" w:eastAsia="bg-BG"/>
      </w:rPr>
      <w:drawing>
        <wp:inline distT="0" distB="0" distL="0" distR="0">
          <wp:extent cx="895350" cy="781050"/>
          <wp:effectExtent l="0" t="0" r="0" b="0"/>
          <wp:docPr id="7" name="Picture 7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52A0" w:rsidRPr="005D6F42" w:rsidRDefault="003352A0" w:rsidP="003E6B70">
    <w:pPr>
      <w:spacing w:before="20" w:after="0" w:line="240" w:lineRule="auto"/>
      <w:jc w:val="center"/>
      <w:rPr>
        <w:rFonts w:ascii="Times New Roman" w:eastAsia="Times New Roman" w:hAnsi="Times New Roman"/>
        <w:b/>
        <w:caps/>
        <w:spacing w:val="20"/>
        <w:sz w:val="24"/>
        <w:szCs w:val="24"/>
        <w:lang w:val="bg-BG"/>
      </w:rPr>
    </w:pPr>
    <w:r w:rsidRPr="005D6F42">
      <w:rPr>
        <w:rFonts w:ascii="Times New Roman" w:eastAsia="Times New Roman" w:hAnsi="Times New Roman"/>
        <w:b/>
        <w:caps/>
        <w:spacing w:val="20"/>
        <w:sz w:val="24"/>
        <w:szCs w:val="24"/>
        <w:lang w:val="bg-BG"/>
      </w:rPr>
      <w:t>Р е п у б л и к а   б ъ л г а р и я</w:t>
    </w:r>
  </w:p>
  <w:p w:rsidR="003352A0" w:rsidRPr="005D6F42" w:rsidRDefault="003352A0" w:rsidP="003E6B70">
    <w:pPr>
      <w:spacing w:after="0" w:line="270" w:lineRule="atLeast"/>
      <w:rPr>
        <w:rFonts w:eastAsia="Times New Roman" w:cs="Arial"/>
        <w:b/>
        <w:bCs/>
        <w:color w:val="333333"/>
        <w:sz w:val="24"/>
        <w:szCs w:val="24"/>
        <w:bdr w:val="none" w:sz="0" w:space="0" w:color="auto" w:frame="1"/>
        <w:lang w:val="bg-BG" w:eastAsia="bg-BG"/>
      </w:rPr>
    </w:pPr>
  </w:p>
  <w:p w:rsidR="003352A0" w:rsidRPr="005D6F42" w:rsidRDefault="003352A0" w:rsidP="003E6B70">
    <w:pPr>
      <w:pBdr>
        <w:bottom w:val="single" w:sz="4" w:space="1" w:color="auto"/>
      </w:pBdr>
      <w:spacing w:after="0" w:line="270" w:lineRule="atLeast"/>
      <w:jc w:val="center"/>
      <w:rPr>
        <w:rFonts w:ascii="Arial" w:eastAsia="Times New Roman" w:hAnsi="Arial" w:cs="Arial"/>
        <w:b/>
        <w:bCs/>
        <w:color w:val="333333"/>
        <w:sz w:val="18"/>
        <w:szCs w:val="18"/>
        <w:bdr w:val="none" w:sz="0" w:space="0" w:color="auto" w:frame="1"/>
        <w:lang w:val="bg-BG" w:eastAsia="bg-BG"/>
      </w:rPr>
    </w:pPr>
    <w:r w:rsidRPr="005D6F42">
      <w:rPr>
        <w:rFonts w:ascii="Times New Roman" w:eastAsia="Times New Roman" w:hAnsi="Times New Roman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>МИНИСТЕРСТВО</w:t>
    </w:r>
    <w:r w:rsidRPr="005D6F42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 xml:space="preserve"> </w:t>
    </w:r>
    <w:r w:rsidRPr="005D6F42">
      <w:rPr>
        <w:rFonts w:ascii="Times New Roman" w:eastAsia="Times New Roman" w:hAnsi="Times New Roman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>НА</w:t>
    </w:r>
    <w:r w:rsidRPr="005D6F42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 xml:space="preserve"> </w:t>
    </w:r>
    <w:r w:rsidRPr="005D6F42">
      <w:rPr>
        <w:rFonts w:ascii="Times New Roman" w:eastAsia="Times New Roman" w:hAnsi="Times New Roman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>ОКОЛНАТА</w:t>
    </w:r>
    <w:r w:rsidRPr="005D6F42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 xml:space="preserve"> </w:t>
    </w:r>
    <w:r w:rsidRPr="005D6F42">
      <w:rPr>
        <w:rFonts w:ascii="Times New Roman" w:eastAsia="Times New Roman" w:hAnsi="Times New Roman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>СРЕДА</w:t>
    </w:r>
    <w:r w:rsidRPr="005D6F42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 xml:space="preserve"> </w:t>
    </w:r>
    <w:r w:rsidRPr="005D6F42">
      <w:rPr>
        <w:rFonts w:ascii="Times New Roman" w:eastAsia="Times New Roman" w:hAnsi="Times New Roman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>И</w:t>
    </w:r>
    <w:r w:rsidRPr="005D6F42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 xml:space="preserve"> </w:t>
    </w:r>
    <w:r w:rsidRPr="005D6F42">
      <w:rPr>
        <w:rFonts w:ascii="Times New Roman" w:eastAsia="Times New Roman" w:hAnsi="Times New Roman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>ВОДИТЕ</w:t>
    </w:r>
    <w:r w:rsidRPr="005D6F42">
      <w:rPr>
        <w:rFonts w:ascii="Arial" w:eastAsia="Times New Roman" w:hAnsi="Arial" w:cs="Arial"/>
        <w:b/>
        <w:bCs/>
        <w:color w:val="333333"/>
        <w:sz w:val="18"/>
        <w:szCs w:val="18"/>
        <w:bdr w:val="none" w:sz="0" w:space="0" w:color="auto" w:frame="1"/>
        <w:lang w:val="bg-BG" w:eastAsia="bg-BG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3B76"/>
    <w:multiLevelType w:val="hybridMultilevel"/>
    <w:tmpl w:val="212E58CA"/>
    <w:lvl w:ilvl="0" w:tplc="E53E3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0730CA"/>
    <w:multiLevelType w:val="hybridMultilevel"/>
    <w:tmpl w:val="C1A8E282"/>
    <w:lvl w:ilvl="0" w:tplc="0402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6251CD0"/>
    <w:multiLevelType w:val="hybridMultilevel"/>
    <w:tmpl w:val="F95CC5EE"/>
    <w:lvl w:ilvl="0" w:tplc="0402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35208BC"/>
    <w:multiLevelType w:val="hybridMultilevel"/>
    <w:tmpl w:val="962CC32E"/>
    <w:lvl w:ilvl="0" w:tplc="0402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F367CAB"/>
    <w:multiLevelType w:val="hybridMultilevel"/>
    <w:tmpl w:val="18363328"/>
    <w:lvl w:ilvl="0" w:tplc="D4820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42"/>
    <w:rsid w:val="0000360D"/>
    <w:rsid w:val="00021605"/>
    <w:rsid w:val="00044AD0"/>
    <w:rsid w:val="00056F05"/>
    <w:rsid w:val="000620DC"/>
    <w:rsid w:val="00066CF2"/>
    <w:rsid w:val="0007267D"/>
    <w:rsid w:val="000810C1"/>
    <w:rsid w:val="000D0962"/>
    <w:rsid w:val="000E6A1D"/>
    <w:rsid w:val="000F4D59"/>
    <w:rsid w:val="00107B2A"/>
    <w:rsid w:val="001404C1"/>
    <w:rsid w:val="00142666"/>
    <w:rsid w:val="00151775"/>
    <w:rsid w:val="00187728"/>
    <w:rsid w:val="001911CE"/>
    <w:rsid w:val="001D6EFD"/>
    <w:rsid w:val="00202595"/>
    <w:rsid w:val="002075C2"/>
    <w:rsid w:val="0021265C"/>
    <w:rsid w:val="00220FAC"/>
    <w:rsid w:val="00225EA6"/>
    <w:rsid w:val="00227F9D"/>
    <w:rsid w:val="0023547E"/>
    <w:rsid w:val="00255212"/>
    <w:rsid w:val="00257F55"/>
    <w:rsid w:val="00274652"/>
    <w:rsid w:val="00290675"/>
    <w:rsid w:val="002979B3"/>
    <w:rsid w:val="002A5FC8"/>
    <w:rsid w:val="002D07BC"/>
    <w:rsid w:val="00313066"/>
    <w:rsid w:val="003322B7"/>
    <w:rsid w:val="003352A0"/>
    <w:rsid w:val="003839FC"/>
    <w:rsid w:val="00383E9A"/>
    <w:rsid w:val="003975FD"/>
    <w:rsid w:val="003A0740"/>
    <w:rsid w:val="003A3A46"/>
    <w:rsid w:val="003D6BD8"/>
    <w:rsid w:val="003E6B70"/>
    <w:rsid w:val="00423786"/>
    <w:rsid w:val="0045766A"/>
    <w:rsid w:val="00465CBB"/>
    <w:rsid w:val="004A762D"/>
    <w:rsid w:val="004B0381"/>
    <w:rsid w:val="004B68FB"/>
    <w:rsid w:val="004B7E2B"/>
    <w:rsid w:val="004F42CD"/>
    <w:rsid w:val="00520E34"/>
    <w:rsid w:val="005307D4"/>
    <w:rsid w:val="00532017"/>
    <w:rsid w:val="00561BCF"/>
    <w:rsid w:val="005B5C7A"/>
    <w:rsid w:val="005D6F42"/>
    <w:rsid w:val="005E3797"/>
    <w:rsid w:val="005F44BB"/>
    <w:rsid w:val="00631519"/>
    <w:rsid w:val="00636EE4"/>
    <w:rsid w:val="00640F98"/>
    <w:rsid w:val="00651CA5"/>
    <w:rsid w:val="006575BD"/>
    <w:rsid w:val="00657FC1"/>
    <w:rsid w:val="00667D67"/>
    <w:rsid w:val="0067207F"/>
    <w:rsid w:val="006815D8"/>
    <w:rsid w:val="00697F8C"/>
    <w:rsid w:val="006A02DB"/>
    <w:rsid w:val="006A2242"/>
    <w:rsid w:val="006B33C3"/>
    <w:rsid w:val="006D6D3F"/>
    <w:rsid w:val="006D7B53"/>
    <w:rsid w:val="006E0628"/>
    <w:rsid w:val="006F4ABC"/>
    <w:rsid w:val="00727099"/>
    <w:rsid w:val="00765639"/>
    <w:rsid w:val="00771A99"/>
    <w:rsid w:val="007759DA"/>
    <w:rsid w:val="00776431"/>
    <w:rsid w:val="00785069"/>
    <w:rsid w:val="00790FCD"/>
    <w:rsid w:val="007B5A6C"/>
    <w:rsid w:val="007C2B54"/>
    <w:rsid w:val="007E284F"/>
    <w:rsid w:val="00824831"/>
    <w:rsid w:val="00831C79"/>
    <w:rsid w:val="008B0B60"/>
    <w:rsid w:val="008B0CA3"/>
    <w:rsid w:val="008D2DD7"/>
    <w:rsid w:val="00902318"/>
    <w:rsid w:val="009157FC"/>
    <w:rsid w:val="009375A8"/>
    <w:rsid w:val="009475E8"/>
    <w:rsid w:val="00971F60"/>
    <w:rsid w:val="00984878"/>
    <w:rsid w:val="00992A86"/>
    <w:rsid w:val="009A296D"/>
    <w:rsid w:val="009C2960"/>
    <w:rsid w:val="009C5FD7"/>
    <w:rsid w:val="009E1A94"/>
    <w:rsid w:val="009F47B0"/>
    <w:rsid w:val="00A05314"/>
    <w:rsid w:val="00A11D8B"/>
    <w:rsid w:val="00A17FF0"/>
    <w:rsid w:val="00A50302"/>
    <w:rsid w:val="00A636AD"/>
    <w:rsid w:val="00A646FA"/>
    <w:rsid w:val="00A80178"/>
    <w:rsid w:val="00A8442C"/>
    <w:rsid w:val="00A94A10"/>
    <w:rsid w:val="00A94D03"/>
    <w:rsid w:val="00AA05F4"/>
    <w:rsid w:val="00AC39E8"/>
    <w:rsid w:val="00AF0CC2"/>
    <w:rsid w:val="00B13BFA"/>
    <w:rsid w:val="00B2060C"/>
    <w:rsid w:val="00B2453B"/>
    <w:rsid w:val="00B31205"/>
    <w:rsid w:val="00B70BB7"/>
    <w:rsid w:val="00B71FC1"/>
    <w:rsid w:val="00B76723"/>
    <w:rsid w:val="00BB1167"/>
    <w:rsid w:val="00BB70B5"/>
    <w:rsid w:val="00BB7CB2"/>
    <w:rsid w:val="00BC24F5"/>
    <w:rsid w:val="00BC5067"/>
    <w:rsid w:val="00BD0A58"/>
    <w:rsid w:val="00C34ECB"/>
    <w:rsid w:val="00C47F40"/>
    <w:rsid w:val="00C5029E"/>
    <w:rsid w:val="00C52050"/>
    <w:rsid w:val="00CA2DFD"/>
    <w:rsid w:val="00CA7083"/>
    <w:rsid w:val="00CB691A"/>
    <w:rsid w:val="00CF31A9"/>
    <w:rsid w:val="00CF6028"/>
    <w:rsid w:val="00D02ACB"/>
    <w:rsid w:val="00D02EA4"/>
    <w:rsid w:val="00D14532"/>
    <w:rsid w:val="00D17021"/>
    <w:rsid w:val="00D211FE"/>
    <w:rsid w:val="00D326E2"/>
    <w:rsid w:val="00D373B8"/>
    <w:rsid w:val="00D714B0"/>
    <w:rsid w:val="00D85A52"/>
    <w:rsid w:val="00DC0305"/>
    <w:rsid w:val="00DC170E"/>
    <w:rsid w:val="00DC184C"/>
    <w:rsid w:val="00DD376C"/>
    <w:rsid w:val="00E85D5F"/>
    <w:rsid w:val="00EA3EEC"/>
    <w:rsid w:val="00ED1A74"/>
    <w:rsid w:val="00ED3AC5"/>
    <w:rsid w:val="00ED5D0E"/>
    <w:rsid w:val="00F03CC0"/>
    <w:rsid w:val="00F05316"/>
    <w:rsid w:val="00F84DF5"/>
    <w:rsid w:val="00FE31BE"/>
    <w:rsid w:val="00FE3BF4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8F93A2"/>
  <w15:chartTrackingRefBased/>
  <w15:docId w15:val="{3C6CD962-6B19-49BF-8B35-089FC2C2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F4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5D6F4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D6F4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5D6F42"/>
    <w:rPr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5D6F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8FB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6D7B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7B5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3E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3E9A"/>
    <w:rPr>
      <w:lang w:val="en-US" w:eastAsia="en-US"/>
    </w:rPr>
  </w:style>
  <w:style w:type="character" w:styleId="FootnoteReference">
    <w:name w:val="footnote reference"/>
    <w:aliases w:val="Footnote,Footnote symbol,Char1 Char Char Char Char,-E Fußnotenzeichen,EN Footnote Reference,Exposant 3 Point,Footnote Reference Number,Footnote Reference/,Footnote Refernece,Footnote call,Footnote reference number,SUPERS,BVI fnr"/>
    <w:uiPriority w:val="99"/>
    <w:rsid w:val="00383E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stim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garita.tomova@moew.government.b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garita.tomova@moew.government.b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moew.government.bg/bg/provejdane-na-konsultacii-po-chl-20-ot-naredbata-za-usloviyata-i-reda-za-izvurshvane-na-ekologichna-ocenka-na-planove-i-programi-doklad-za-ekologichna-ocenka-na-integriran-plan-v-oblastta-na-energetikata-i-klimata-na-rep-18679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ommission.europa.eu/publications/bulgaria-final-updated-necp-2021-2030-submitted-2025_en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6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gosman</dc:creator>
  <cp:keywords/>
  <cp:lastModifiedBy>Stanimira Misheva</cp:lastModifiedBy>
  <cp:revision>57</cp:revision>
  <cp:lastPrinted>2026-04-23T07:27:00Z</cp:lastPrinted>
  <dcterms:created xsi:type="dcterms:W3CDTF">2026-05-04T13:21:00Z</dcterms:created>
  <dcterms:modified xsi:type="dcterms:W3CDTF">2026-05-07T08:26:00Z</dcterms:modified>
</cp:coreProperties>
</file>