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E755" w14:textId="77777777" w:rsidR="00486511" w:rsidRPr="00230093" w:rsidRDefault="00486511" w:rsidP="00661D04">
      <w:pPr>
        <w:spacing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230093">
        <w:rPr>
          <w:rFonts w:ascii="Times New Roman" w:hAnsi="Times New Roman" w:cs="Times New Roman"/>
          <w:b/>
        </w:rPr>
        <w:t>Приложение № 3а</w:t>
      </w:r>
    </w:p>
    <w:p w14:paraId="5DBD7FEB" w14:textId="77777777" w:rsidR="009451BE" w:rsidRDefault="00230093" w:rsidP="000138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30093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Ключови индикатори за изпълнение на политиките и </w:t>
      </w:r>
      <w:r w:rsidR="00A80870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целеви стойности </w:t>
      </w:r>
    </w:p>
    <w:p w14:paraId="49E1449E" w14:textId="1A7AA4D6" w:rsidR="000138CE" w:rsidRDefault="00A80870" w:rsidP="009451B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за</w:t>
      </w:r>
      <w:r w:rsidR="00EF5C6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периода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202</w:t>
      </w:r>
      <w:r w:rsidR="005B02C8">
        <w:rPr>
          <w:rFonts w:ascii="Times New Roman" w:hAnsi="Times New Roman" w:cs="Times New Roman"/>
          <w:b/>
          <w:sz w:val="24"/>
          <w:szCs w:val="24"/>
          <w:lang w:val="en-US" w:eastAsia="bg-BG"/>
        </w:rPr>
        <w:t>3</w:t>
      </w:r>
      <w:r w:rsidR="009451BE">
        <w:rPr>
          <w:rFonts w:ascii="Times New Roman" w:hAnsi="Times New Roman" w:cs="Times New Roman"/>
          <w:b/>
          <w:sz w:val="24"/>
          <w:szCs w:val="24"/>
          <w:lang w:eastAsia="bg-BG"/>
        </w:rPr>
        <w:t>-202</w:t>
      </w:r>
      <w:r w:rsidR="00104B79">
        <w:rPr>
          <w:rFonts w:ascii="Times New Roman" w:hAnsi="Times New Roman" w:cs="Times New Roman"/>
          <w:b/>
          <w:sz w:val="24"/>
          <w:szCs w:val="24"/>
          <w:lang w:val="en-US" w:eastAsia="bg-BG"/>
        </w:rPr>
        <w:t>5</w:t>
      </w:r>
      <w:r w:rsidR="00230093" w:rsidRPr="00230093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г. </w:t>
      </w:r>
    </w:p>
    <w:p w14:paraId="621250F7" w14:textId="77777777" w:rsidR="00230093" w:rsidRPr="009451BE" w:rsidRDefault="00230093" w:rsidP="009451B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9451B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="00D20DF8" w:rsidRPr="009451B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Министерството на околната среда и водите </w:t>
      </w:r>
    </w:p>
    <w:p w14:paraId="73B8FF53" w14:textId="77777777" w:rsidR="00230093" w:rsidRDefault="00230093" w:rsidP="00661D0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1B280D10" w14:textId="77777777" w:rsidR="00022757" w:rsidRPr="00EF5C62" w:rsidRDefault="00D545AA" w:rsidP="00661D0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C62">
        <w:rPr>
          <w:rFonts w:ascii="Times New Roman" w:hAnsi="Times New Roman" w:cs="Times New Roman"/>
          <w:b/>
          <w:i/>
          <w:sz w:val="24"/>
          <w:szCs w:val="24"/>
        </w:rPr>
        <w:t xml:space="preserve">Област на политика: </w:t>
      </w:r>
      <w:r w:rsidR="00D20DF8" w:rsidRPr="00EF5C62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A89E6AB" w14:textId="77777777" w:rsidR="00091C5B" w:rsidRPr="00FE72C1" w:rsidRDefault="00D20DF8" w:rsidP="00661D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E72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Политика в областта на опазването и ползването на компонентите на околната среда</w:t>
      </w:r>
    </w:p>
    <w:p w14:paraId="47630F61" w14:textId="77777777" w:rsidR="00766A55" w:rsidRPr="00EF5C62" w:rsidRDefault="00091C5B" w:rsidP="00661D04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C62">
        <w:rPr>
          <w:rFonts w:ascii="Times New Roman" w:hAnsi="Times New Roman" w:cs="Times New Roman"/>
          <w:b/>
          <w:i/>
          <w:sz w:val="24"/>
          <w:szCs w:val="24"/>
        </w:rPr>
        <w:t>Кратко описание на обхвата на област</w:t>
      </w:r>
      <w:r w:rsidR="00766A55" w:rsidRPr="00EF5C62">
        <w:rPr>
          <w:rFonts w:ascii="Times New Roman" w:hAnsi="Times New Roman" w:cs="Times New Roman"/>
          <w:b/>
          <w:i/>
          <w:sz w:val="24"/>
          <w:szCs w:val="24"/>
        </w:rPr>
        <w:t>та на политиката</w:t>
      </w:r>
      <w:r w:rsidRPr="00EF5C62">
        <w:rPr>
          <w:rFonts w:ascii="Times New Roman" w:hAnsi="Times New Roman" w:cs="Times New Roman"/>
          <w:b/>
          <w:i/>
          <w:sz w:val="24"/>
          <w:szCs w:val="24"/>
        </w:rPr>
        <w:t>, за ко</w:t>
      </w:r>
      <w:r w:rsidR="00766A55" w:rsidRPr="00EF5C62">
        <w:rPr>
          <w:rFonts w:ascii="Times New Roman" w:hAnsi="Times New Roman" w:cs="Times New Roman"/>
          <w:b/>
          <w:i/>
          <w:sz w:val="24"/>
          <w:szCs w:val="24"/>
        </w:rPr>
        <w:t>ято</w:t>
      </w:r>
      <w:r w:rsidRPr="00EF5C62">
        <w:rPr>
          <w:rFonts w:ascii="Times New Roman" w:hAnsi="Times New Roman" w:cs="Times New Roman"/>
          <w:b/>
          <w:i/>
          <w:sz w:val="24"/>
          <w:szCs w:val="24"/>
        </w:rPr>
        <w:t xml:space="preserve"> ПРБ отговаря</w:t>
      </w:r>
    </w:p>
    <w:p w14:paraId="3E51CD3C" w14:textId="77777777" w:rsidR="00D20DF8" w:rsidRDefault="00912E47" w:rsidP="00661D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7">
        <w:rPr>
          <w:rFonts w:ascii="Times New Roman" w:hAnsi="Times New Roman" w:cs="Times New Roman"/>
          <w:sz w:val="24"/>
          <w:szCs w:val="24"/>
        </w:rPr>
        <w:t xml:space="preserve">Политиката в областта на опазването и ползването на компонентите на околната среда е насочена към опазване, съхранение и увеличаване на природния капитал, подобряване на управлението на отпадъците, преход към ефективна кръгова и конкурентоспособна нисковъглеродна икономика от гледна точка на използването на ресурсите и провеждане на устойчива политика за постигане на здравословна околна среда и защита на населението от свързани с околната среда въздействия. Тя обхваща </w:t>
      </w:r>
      <w:r w:rsidR="000138CE" w:rsidRPr="00022757">
        <w:rPr>
          <w:rFonts w:ascii="Times New Roman" w:hAnsi="Times New Roman" w:cs="Times New Roman"/>
          <w:sz w:val="24"/>
          <w:szCs w:val="24"/>
        </w:rPr>
        <w:t>развиването</w:t>
      </w:r>
      <w:r w:rsidR="000138CE">
        <w:rPr>
          <w:rFonts w:ascii="Times New Roman" w:hAnsi="Times New Roman" w:cs="Times New Roman"/>
          <w:sz w:val="24"/>
          <w:szCs w:val="24"/>
        </w:rPr>
        <w:t xml:space="preserve"> и</w:t>
      </w:r>
      <w:r w:rsidR="000138CE" w:rsidRPr="00022757">
        <w:rPr>
          <w:rFonts w:ascii="Times New Roman" w:hAnsi="Times New Roman" w:cs="Times New Roman"/>
          <w:sz w:val="24"/>
          <w:szCs w:val="24"/>
        </w:rPr>
        <w:t xml:space="preserve"> </w:t>
      </w:r>
      <w:r w:rsidRPr="00022757">
        <w:rPr>
          <w:rFonts w:ascii="Times New Roman" w:hAnsi="Times New Roman" w:cs="Times New Roman"/>
          <w:sz w:val="24"/>
          <w:szCs w:val="24"/>
        </w:rPr>
        <w:t>прилагането на комплекс от инструменти, които допринасят във висока степен за опазване чистотата на водите, почвите и въздуха, предотврат</w:t>
      </w:r>
      <w:r w:rsidR="005B405C">
        <w:rPr>
          <w:rFonts w:ascii="Times New Roman" w:hAnsi="Times New Roman" w:cs="Times New Roman"/>
          <w:sz w:val="24"/>
          <w:szCs w:val="24"/>
        </w:rPr>
        <w:t>яване</w:t>
      </w:r>
      <w:r w:rsidR="00EF5C62">
        <w:rPr>
          <w:rFonts w:ascii="Times New Roman" w:hAnsi="Times New Roman" w:cs="Times New Roman"/>
          <w:sz w:val="24"/>
          <w:szCs w:val="24"/>
        </w:rPr>
        <w:t xml:space="preserve"> на</w:t>
      </w:r>
      <w:r w:rsidR="005B405C">
        <w:rPr>
          <w:rFonts w:ascii="Times New Roman" w:hAnsi="Times New Roman" w:cs="Times New Roman"/>
          <w:sz w:val="24"/>
          <w:szCs w:val="24"/>
        </w:rPr>
        <w:t xml:space="preserve"> образуването на отпадъци</w:t>
      </w:r>
      <w:r w:rsidRPr="00022757">
        <w:rPr>
          <w:rFonts w:ascii="Times New Roman" w:hAnsi="Times New Roman" w:cs="Times New Roman"/>
          <w:sz w:val="24"/>
          <w:szCs w:val="24"/>
        </w:rPr>
        <w:t xml:space="preserve"> и</w:t>
      </w:r>
      <w:r w:rsidR="005B405C">
        <w:rPr>
          <w:rFonts w:ascii="Times New Roman" w:hAnsi="Times New Roman" w:cs="Times New Roman"/>
          <w:sz w:val="24"/>
          <w:szCs w:val="24"/>
        </w:rPr>
        <w:t xml:space="preserve"> </w:t>
      </w:r>
      <w:r w:rsidR="005B405C" w:rsidRPr="005B405C">
        <w:rPr>
          <w:rFonts w:ascii="Times New Roman" w:hAnsi="Times New Roman" w:cs="Times New Roman"/>
          <w:sz w:val="24"/>
          <w:szCs w:val="24"/>
        </w:rPr>
        <w:t>насърчаване на повторната употреба и оползотворяването им чрез рециклиране</w:t>
      </w:r>
      <w:r w:rsidRPr="00022757">
        <w:rPr>
          <w:rFonts w:ascii="Times New Roman" w:hAnsi="Times New Roman" w:cs="Times New Roman"/>
          <w:sz w:val="24"/>
          <w:szCs w:val="24"/>
        </w:rPr>
        <w:t xml:space="preserve">, </w:t>
      </w:r>
      <w:r w:rsidRPr="005B425D">
        <w:rPr>
          <w:rFonts w:ascii="Times New Roman" w:hAnsi="Times New Roman" w:cs="Times New Roman"/>
          <w:sz w:val="24"/>
          <w:szCs w:val="24"/>
        </w:rPr>
        <w:t>адаптиране към измененията на климата и ефективно използване на ресурсите в икономическия цикъл на страната.</w:t>
      </w:r>
    </w:p>
    <w:p w14:paraId="633B5E32" w14:textId="39E128B2" w:rsidR="00AE0B4B" w:rsidRDefault="00766A55" w:rsidP="00661D04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0788">
        <w:rPr>
          <w:rFonts w:ascii="Times New Roman" w:hAnsi="Times New Roman" w:cs="Times New Roman"/>
          <w:b/>
          <w:i/>
          <w:sz w:val="24"/>
          <w:szCs w:val="24"/>
        </w:rPr>
        <w:t>Отговорност</w:t>
      </w:r>
      <w:r w:rsidR="00D545AA" w:rsidRPr="007307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0B4B" w:rsidRPr="00730788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091C5B" w:rsidRPr="00730788">
        <w:rPr>
          <w:rFonts w:ascii="Times New Roman" w:hAnsi="Times New Roman" w:cs="Times New Roman"/>
          <w:b/>
          <w:i/>
          <w:sz w:val="24"/>
          <w:szCs w:val="24"/>
        </w:rPr>
        <w:t xml:space="preserve"> разпределението на публичните разходи</w:t>
      </w:r>
      <w:r w:rsidR="00AE0B4B" w:rsidRPr="00730788">
        <w:rPr>
          <w:rFonts w:ascii="Times New Roman" w:hAnsi="Times New Roman" w:cs="Times New Roman"/>
          <w:b/>
          <w:i/>
          <w:sz w:val="24"/>
          <w:szCs w:val="24"/>
        </w:rPr>
        <w:t xml:space="preserve"> за политиката</w:t>
      </w:r>
    </w:p>
    <w:p w14:paraId="0DE30D3C" w14:textId="2B6C8038" w:rsidR="004109C3" w:rsidRDefault="004109C3" w:rsidP="004109C3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540"/>
        <w:gridCol w:w="1840"/>
        <w:gridCol w:w="1660"/>
        <w:gridCol w:w="1660"/>
      </w:tblGrid>
      <w:tr w:rsidR="004109C3" w:rsidRPr="004109C3" w14:paraId="54DB3467" w14:textId="77777777" w:rsidTr="004109C3">
        <w:trPr>
          <w:trHeight w:val="2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8A675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6ABD9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7967" w14:textId="707366E3" w:rsidR="004109C3" w:rsidRPr="008D7B80" w:rsidRDefault="008D7B80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Бюджет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2887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Прогноза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A127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Прогноза</w:t>
            </w:r>
          </w:p>
        </w:tc>
      </w:tr>
      <w:tr w:rsidR="004109C3" w:rsidRPr="004109C3" w14:paraId="30989AC4" w14:textId="77777777" w:rsidTr="004109C3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62815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CB792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1900 МИНИСТЕРСТВО НА ОКОЛНАТА СРЕДА И ВОДИТЕ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B454F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EFC6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2024 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2D03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2025 г.</w:t>
            </w:r>
          </w:p>
        </w:tc>
      </w:tr>
      <w:tr w:rsidR="004109C3" w:rsidRPr="004109C3" w14:paraId="19652F5E" w14:textId="77777777" w:rsidTr="004109C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62066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E908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9BB0A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2E18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A4928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</w:t>
            </w:r>
          </w:p>
        </w:tc>
      </w:tr>
      <w:tr w:rsidR="004109C3" w:rsidRPr="004109C3" w14:paraId="052C77B1" w14:textId="77777777" w:rsidTr="004109C3">
        <w:trPr>
          <w:trHeight w:val="12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6E697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90699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Консолидирани разходи в област на политиката по опазването и ползването на компонентите на околната среда, които МОСВ разходва пряко чрез бюджета и отговаря за разпределението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EE9F6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42586,4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235B2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42 880,4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2B166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42 731,2</w:t>
            </w:r>
          </w:p>
        </w:tc>
      </w:tr>
      <w:tr w:rsidR="004109C3" w:rsidRPr="004109C3" w14:paraId="2763BBD8" w14:textId="77777777" w:rsidTr="004109C3">
        <w:trPr>
          <w:trHeight w:val="12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87F6B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CF599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Консолидирани разходи в област на политиката по опазването и ползването на компонентите на околната среда, финансирани по други бюджети и сметки за средства от ЕС, в т.ч.: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6E498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734843,7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785B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391 203,1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20C6E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451 436,9</w:t>
            </w:r>
          </w:p>
        </w:tc>
      </w:tr>
      <w:tr w:rsidR="004109C3" w:rsidRPr="004109C3" w14:paraId="2D6389F7" w14:textId="77777777" w:rsidTr="004109C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A05D1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ED2E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ПУДООС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D7C6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63797,7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2AD82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56 101,7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72140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55 311,7</w:t>
            </w:r>
          </w:p>
        </w:tc>
      </w:tr>
      <w:tr w:rsidR="004109C3" w:rsidRPr="004109C3" w14:paraId="4415C8F4" w14:textId="77777777" w:rsidTr="004109C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089EB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D743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ОП „Околна среда“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9E57C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634250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565BE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309 073,4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FD7F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378 662,2</w:t>
            </w:r>
          </w:p>
        </w:tc>
      </w:tr>
      <w:tr w:rsidR="004109C3" w:rsidRPr="004109C3" w14:paraId="3790B67D" w14:textId="77777777" w:rsidTr="004109C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B0DFD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4521E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Програма за минали екологични щети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0D02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23100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E3D7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21 800,0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67FA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13 200,0</w:t>
            </w:r>
          </w:p>
        </w:tc>
      </w:tr>
      <w:tr w:rsidR="004109C3" w:rsidRPr="004109C3" w14:paraId="2FA3E118" w14:textId="77777777" w:rsidTr="004109C3">
        <w:trPr>
          <w:trHeight w:val="7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5BCFD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01F1B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Други бюджетни организации, включени в консолидираната фискална политика – БАН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4FE9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47637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675,0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C3EC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675,0</w:t>
            </w:r>
          </w:p>
        </w:tc>
      </w:tr>
      <w:tr w:rsidR="004109C3" w:rsidRPr="004109C3" w14:paraId="7EDB46D8" w14:textId="77777777" w:rsidTr="004109C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F1D93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71A9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Национален доверителен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B3165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13021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B0BB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3 553,0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C2E4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3 588,0</w:t>
            </w:r>
          </w:p>
        </w:tc>
      </w:tr>
      <w:tr w:rsidR="004109C3" w:rsidRPr="004109C3" w14:paraId="5041FB3E" w14:textId="77777777" w:rsidTr="004109C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9B824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17AA" w14:textId="77777777" w:rsidR="004109C3" w:rsidRPr="004109C3" w:rsidRDefault="004109C3" w:rsidP="0041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ОБЩО ПО ПОЛИТИКАТА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AC5C1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777430,1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12D4A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434 083,5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36837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494 168,1</w:t>
            </w:r>
          </w:p>
        </w:tc>
      </w:tr>
    </w:tbl>
    <w:p w14:paraId="7C7FB14B" w14:textId="77777777" w:rsidR="004109C3" w:rsidRPr="004109C3" w:rsidRDefault="004109C3" w:rsidP="004109C3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D814FC" w14:textId="77777777" w:rsidR="00F154A7" w:rsidRPr="00223AC9" w:rsidRDefault="00F154A7" w:rsidP="00223AC9">
      <w:pPr>
        <w:spacing w:before="120" w:after="120" w:line="240" w:lineRule="auto"/>
        <w:jc w:val="both"/>
        <w:rPr>
          <w:i/>
          <w:sz w:val="24"/>
          <w:szCs w:val="24"/>
        </w:rPr>
      </w:pPr>
    </w:p>
    <w:p w14:paraId="5AA9F6AA" w14:textId="248AB8BB" w:rsidR="00230093" w:rsidRDefault="00230093" w:rsidP="00661D04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C62">
        <w:rPr>
          <w:rFonts w:ascii="Times New Roman" w:hAnsi="Times New Roman" w:cs="Times New Roman"/>
          <w:b/>
          <w:i/>
          <w:sz w:val="24"/>
          <w:szCs w:val="24"/>
        </w:rPr>
        <w:t>Ключови индикатори и целеви стойности</w:t>
      </w:r>
      <w:r w:rsidR="00091C5B" w:rsidRPr="00EF5C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8DD9D8B" w14:textId="77777777" w:rsidR="00C05D6F" w:rsidRDefault="00C05D6F" w:rsidP="00C05D6F">
      <w:pPr>
        <w:pStyle w:val="ListParagraph"/>
        <w:spacing w:before="120" w:after="120" w:line="240" w:lineRule="auto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7CD967" w14:textId="77777777" w:rsidR="00A570DC" w:rsidRDefault="00A570DC" w:rsidP="00A570DC">
      <w:pPr>
        <w:pStyle w:val="ListParagraph"/>
        <w:spacing w:before="120" w:after="120" w:line="240" w:lineRule="auto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0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3815"/>
        <w:gridCol w:w="1107"/>
        <w:gridCol w:w="1107"/>
        <w:gridCol w:w="950"/>
        <w:gridCol w:w="1110"/>
      </w:tblGrid>
      <w:tr w:rsidR="00BB28AF" w:rsidRPr="000B2BE5" w14:paraId="5FA445AC" w14:textId="77777777" w:rsidTr="001C74F4">
        <w:trPr>
          <w:trHeight w:val="410"/>
        </w:trPr>
        <w:tc>
          <w:tcPr>
            <w:tcW w:w="950" w:type="dxa"/>
            <w:shd w:val="clear" w:color="auto" w:fill="FFCC99"/>
          </w:tcPr>
          <w:p w14:paraId="27ECCA6C" w14:textId="77777777" w:rsidR="00BB28AF" w:rsidRPr="00E84B37" w:rsidRDefault="00BB28AF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089" w:type="dxa"/>
            <w:gridSpan w:val="5"/>
            <w:shd w:val="clear" w:color="auto" w:fill="FFCC99"/>
            <w:vAlign w:val="center"/>
          </w:tcPr>
          <w:p w14:paraId="52068835" w14:textId="425A9401" w:rsidR="00BB28AF" w:rsidRPr="000B2BE5" w:rsidRDefault="00BB28AF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E84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КЛЮЧОВИ ИНДИКАТОРИ ЗА ИЗПЪЛНЕНИЕ </w:t>
            </w:r>
            <w:r w:rsidRPr="000B2B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И ЦЕЛЕВИ СТОЙНОСТИ</w:t>
            </w:r>
          </w:p>
        </w:tc>
      </w:tr>
      <w:tr w:rsidR="00BB28AF" w:rsidRPr="000B2BE5" w14:paraId="6B02AD5A" w14:textId="77777777" w:rsidTr="001C74F4">
        <w:trPr>
          <w:trHeight w:val="400"/>
        </w:trPr>
        <w:tc>
          <w:tcPr>
            <w:tcW w:w="4765" w:type="dxa"/>
            <w:gridSpan w:val="2"/>
            <w:shd w:val="clear" w:color="auto" w:fill="FFCC99"/>
            <w:vAlign w:val="center"/>
          </w:tcPr>
          <w:p w14:paraId="1F1740F1" w14:textId="77777777" w:rsidR="00BB28AF" w:rsidRDefault="00BB28AF" w:rsidP="00D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bg-BG"/>
              </w:rPr>
            </w:pPr>
            <w:r w:rsidRPr="00FB4D41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bg-BG"/>
              </w:rPr>
              <w:t>Политика в областта на опазването и ползването</w:t>
            </w:r>
          </w:p>
          <w:p w14:paraId="3C11D151" w14:textId="5A2315D2" w:rsidR="00BB28AF" w:rsidRPr="000B2BE5" w:rsidRDefault="00BB28AF" w:rsidP="00D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FB4D41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bg-BG"/>
              </w:rPr>
              <w:t xml:space="preserve"> на компонентите на околната среда</w:t>
            </w:r>
          </w:p>
        </w:tc>
        <w:tc>
          <w:tcPr>
            <w:tcW w:w="4273" w:type="dxa"/>
            <w:gridSpan w:val="4"/>
            <w:shd w:val="clear" w:color="auto" w:fill="FFCC99"/>
            <w:vAlign w:val="center"/>
          </w:tcPr>
          <w:p w14:paraId="1297F79B" w14:textId="421E65D4" w:rsidR="00BB28AF" w:rsidRPr="000B2BE5" w:rsidRDefault="00BB28AF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Целева стойност</w:t>
            </w:r>
          </w:p>
        </w:tc>
      </w:tr>
      <w:tr w:rsidR="00104B79" w:rsidRPr="000B2BE5" w14:paraId="3A792484" w14:textId="77777777" w:rsidTr="001C74F4">
        <w:trPr>
          <w:trHeight w:val="440"/>
        </w:trPr>
        <w:tc>
          <w:tcPr>
            <w:tcW w:w="4765" w:type="dxa"/>
            <w:gridSpan w:val="2"/>
            <w:shd w:val="clear" w:color="auto" w:fill="FFCC99"/>
            <w:vAlign w:val="center"/>
          </w:tcPr>
          <w:p w14:paraId="60C150CD" w14:textId="55A341C5" w:rsidR="00104B79" w:rsidRPr="000B2BE5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E84B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Наименование на индикатора</w:t>
            </w:r>
          </w:p>
        </w:tc>
        <w:tc>
          <w:tcPr>
            <w:tcW w:w="1107" w:type="dxa"/>
            <w:shd w:val="clear" w:color="auto" w:fill="FFCC99"/>
            <w:vAlign w:val="center"/>
          </w:tcPr>
          <w:p w14:paraId="7345B318" w14:textId="77777777" w:rsidR="00104B79" w:rsidRPr="000B2BE5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Мерна единица</w:t>
            </w:r>
          </w:p>
        </w:tc>
        <w:tc>
          <w:tcPr>
            <w:tcW w:w="1107" w:type="dxa"/>
            <w:shd w:val="clear" w:color="auto" w:fill="FFCC99"/>
            <w:vAlign w:val="center"/>
          </w:tcPr>
          <w:p w14:paraId="154B6A9B" w14:textId="433D691E" w:rsidR="00104B79" w:rsidRPr="00BB28AF" w:rsidRDefault="008D7B80" w:rsidP="00BB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bg-BG"/>
              </w:rPr>
              <w:t>Бюджет</w:t>
            </w:r>
          </w:p>
          <w:p w14:paraId="22373CC8" w14:textId="7F1A1435" w:rsidR="00104B79" w:rsidRPr="000B2BE5" w:rsidRDefault="00104B79" w:rsidP="00BB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bg-BG"/>
              </w:rPr>
              <w:t>2023</w:t>
            </w:r>
            <w:r w:rsidRPr="00BB28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bg-BG"/>
              </w:rPr>
              <w:t xml:space="preserve"> г.</w:t>
            </w:r>
          </w:p>
        </w:tc>
        <w:tc>
          <w:tcPr>
            <w:tcW w:w="950" w:type="dxa"/>
            <w:shd w:val="clear" w:color="auto" w:fill="FFCC99"/>
            <w:vAlign w:val="center"/>
          </w:tcPr>
          <w:p w14:paraId="53F48BC4" w14:textId="101C7ECA" w:rsidR="00104B79" w:rsidRPr="000B2BE5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bg-BG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bg-BG"/>
              </w:rPr>
              <w:t>гноза</w:t>
            </w:r>
          </w:p>
          <w:p w14:paraId="67A2B558" w14:textId="77777777" w:rsidR="00104B79" w:rsidRPr="000B2BE5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bg-BG"/>
              </w:rPr>
              <w:t>2024 г.</w:t>
            </w:r>
          </w:p>
        </w:tc>
        <w:tc>
          <w:tcPr>
            <w:tcW w:w="1107" w:type="dxa"/>
            <w:shd w:val="clear" w:color="auto" w:fill="FFCC99"/>
            <w:vAlign w:val="center"/>
          </w:tcPr>
          <w:p w14:paraId="6813D452" w14:textId="77777777" w:rsidR="00104B79" w:rsidRPr="000B2BE5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bg-BG"/>
              </w:rPr>
              <w:t>Прогноза 2025 г.</w:t>
            </w:r>
          </w:p>
        </w:tc>
      </w:tr>
      <w:tr w:rsidR="00104B79" w:rsidRPr="000B2BE5" w14:paraId="147F642D" w14:textId="77777777" w:rsidTr="001C74F4">
        <w:trPr>
          <w:trHeight w:val="249"/>
        </w:trPr>
        <w:tc>
          <w:tcPr>
            <w:tcW w:w="4765" w:type="dxa"/>
            <w:gridSpan w:val="2"/>
            <w:shd w:val="clear" w:color="auto" w:fill="auto"/>
            <w:vAlign w:val="center"/>
          </w:tcPr>
          <w:p w14:paraId="547AB365" w14:textId="6DF8BE2A" w:rsidR="00104B79" w:rsidRPr="00A9072E" w:rsidRDefault="00104B79" w:rsidP="00A9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</w:pPr>
            <w:r w:rsidRPr="00A9072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r w:rsidRPr="00A9072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Население, обхванато от изпълнени мерки за подобряване състоянието на водите и за защита от наводнения</w:t>
            </w:r>
            <w:r w:rsidRPr="00A907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*</w:t>
            </w:r>
            <w:r w:rsidRPr="00A9072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  <w:t xml:space="preserve">: </w:t>
            </w:r>
          </w:p>
          <w:p w14:paraId="0241028F" w14:textId="77777777" w:rsidR="00104B79" w:rsidRPr="000B2BE5" w:rsidRDefault="00104B79" w:rsidP="000B2BE5">
            <w:pPr>
              <w:numPr>
                <w:ilvl w:val="0"/>
                <w:numId w:val="10"/>
              </w:numPr>
              <w:spacing w:after="0" w:line="240" w:lineRule="auto"/>
              <w:ind w:left="512" w:hanging="28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подобрено водоснабдяване</w:t>
            </w: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  <w:t>;</w:t>
            </w:r>
          </w:p>
          <w:p w14:paraId="130BEBC3" w14:textId="03DD92E2" w:rsidR="00104B79" w:rsidRPr="000B2BE5" w:rsidRDefault="00104B79" w:rsidP="000B2BE5">
            <w:pPr>
              <w:numPr>
                <w:ilvl w:val="0"/>
                <w:numId w:val="10"/>
              </w:numPr>
              <w:spacing w:after="0" w:line="240" w:lineRule="auto"/>
              <w:ind w:left="512" w:hanging="28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  <w:t>подобрено пречистване на отпадъчни води;</w:t>
            </w:r>
          </w:p>
          <w:p w14:paraId="4B605A14" w14:textId="77777777" w:rsidR="00104B79" w:rsidRPr="000B2BE5" w:rsidRDefault="00104B79" w:rsidP="000B2BE5">
            <w:pPr>
              <w:numPr>
                <w:ilvl w:val="0"/>
                <w:numId w:val="10"/>
              </w:numPr>
              <w:spacing w:after="0" w:line="240" w:lineRule="auto"/>
              <w:ind w:left="518" w:hanging="28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защита от наводнения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A6C91A0" w14:textId="77777777" w:rsidR="00104B79" w:rsidRPr="000B2BE5" w:rsidRDefault="00104B79" w:rsidP="000B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бр. жители</w:t>
            </w:r>
          </w:p>
        </w:tc>
        <w:tc>
          <w:tcPr>
            <w:tcW w:w="1107" w:type="dxa"/>
            <w:vAlign w:val="center"/>
          </w:tcPr>
          <w:p w14:paraId="64712085" w14:textId="77777777" w:rsidR="00104B79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14:paraId="1A591BF1" w14:textId="77777777" w:rsidR="00104B79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14:paraId="035C7C22" w14:textId="77777777" w:rsidR="00104B79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14:paraId="29603802" w14:textId="64148C6F" w:rsidR="00104B79" w:rsidRPr="001A1FE8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A1FE8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219 712</w:t>
            </w:r>
          </w:p>
          <w:p w14:paraId="6B515CB2" w14:textId="77777777" w:rsidR="00104B79" w:rsidRPr="001A1FE8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A1FE8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121 690</w:t>
            </w:r>
          </w:p>
          <w:p w14:paraId="381ABE25" w14:textId="2B5E0CCE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A1FE8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323 470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21B713B" w14:textId="3C237A61" w:rsidR="00104B79" w:rsidRPr="000B2BE5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14:paraId="31D3B090" w14:textId="77777777" w:rsidR="00104B79" w:rsidRPr="000B2BE5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bg-BG"/>
              </w:rPr>
            </w:pPr>
          </w:p>
          <w:p w14:paraId="03C9535F" w14:textId="77777777" w:rsidR="00104B79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14:paraId="21294CC5" w14:textId="0E12D6DB" w:rsidR="00104B79" w:rsidRPr="000B2BE5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202 070</w:t>
            </w:r>
          </w:p>
          <w:p w14:paraId="4872EDD8" w14:textId="77777777" w:rsidR="00104B79" w:rsidRPr="000B2BE5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121 000</w:t>
            </w:r>
          </w:p>
          <w:p w14:paraId="7C1B4DDC" w14:textId="77777777" w:rsidR="00104B79" w:rsidRPr="000B2BE5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255 660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E86DB52" w14:textId="77777777" w:rsidR="00104B79" w:rsidRPr="000B2BE5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bg-BG"/>
              </w:rPr>
            </w:pPr>
          </w:p>
          <w:p w14:paraId="5698AFEE" w14:textId="77777777" w:rsidR="00104B79" w:rsidRPr="000B2BE5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14:paraId="7E05001A" w14:textId="77777777" w:rsidR="00104B79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14:paraId="3AA220D1" w14:textId="5D9025BF" w:rsidR="00104B79" w:rsidRPr="000B2BE5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202 070</w:t>
            </w:r>
          </w:p>
          <w:p w14:paraId="78D1C638" w14:textId="77777777" w:rsidR="00104B79" w:rsidRPr="000B2BE5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121 000</w:t>
            </w:r>
          </w:p>
          <w:p w14:paraId="22AE3972" w14:textId="77777777" w:rsidR="00104B79" w:rsidRPr="000B2BE5" w:rsidRDefault="00104B79" w:rsidP="000B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255 660</w:t>
            </w:r>
          </w:p>
        </w:tc>
      </w:tr>
      <w:tr w:rsidR="00104B79" w:rsidRPr="000B2BE5" w14:paraId="0B152999" w14:textId="77777777" w:rsidTr="001C74F4">
        <w:trPr>
          <w:trHeight w:val="249"/>
        </w:trPr>
        <w:tc>
          <w:tcPr>
            <w:tcW w:w="4765" w:type="dxa"/>
            <w:gridSpan w:val="2"/>
            <w:shd w:val="clear" w:color="auto" w:fill="auto"/>
            <w:vAlign w:val="center"/>
          </w:tcPr>
          <w:p w14:paraId="7632DDA6" w14:textId="77777777" w:rsidR="00104B79" w:rsidRPr="000B2BE5" w:rsidRDefault="00104B79" w:rsidP="001A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  <w:t>2</w:t>
            </w: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 Допълнителен капацитет за оползотворяване/рециклиране на отпадъци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86E1834" w14:textId="77777777" w:rsidR="00104B79" w:rsidRPr="000B2BE5" w:rsidRDefault="00104B79" w:rsidP="001A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тона</w:t>
            </w:r>
          </w:p>
        </w:tc>
        <w:tc>
          <w:tcPr>
            <w:tcW w:w="1107" w:type="dxa"/>
            <w:vAlign w:val="center"/>
          </w:tcPr>
          <w:p w14:paraId="37B08A59" w14:textId="41722DBE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A1FE8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150 000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2A32FC6" w14:textId="74FD6249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55 000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96C9133" w14:textId="77777777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55 000</w:t>
            </w:r>
          </w:p>
        </w:tc>
      </w:tr>
      <w:tr w:rsidR="00104B79" w:rsidRPr="000B2BE5" w14:paraId="15538366" w14:textId="77777777" w:rsidTr="001C74F4">
        <w:trPr>
          <w:trHeight w:val="264"/>
        </w:trPr>
        <w:tc>
          <w:tcPr>
            <w:tcW w:w="4765" w:type="dxa"/>
            <w:gridSpan w:val="2"/>
            <w:shd w:val="clear" w:color="auto" w:fill="auto"/>
          </w:tcPr>
          <w:p w14:paraId="45E97AF8" w14:textId="2A99A1AC" w:rsidR="00104B79" w:rsidRPr="000B2BE5" w:rsidRDefault="00104B79" w:rsidP="001A1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3. </w:t>
            </w: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Управление и защита на природни местообитания и видове чрез</w:t>
            </w: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  <w:t xml:space="preserve">: </w:t>
            </w:r>
          </w:p>
          <w:p w14:paraId="291F5243" w14:textId="77777777" w:rsidR="00104B79" w:rsidRPr="000B2BE5" w:rsidRDefault="00104B79" w:rsidP="001A1FE8">
            <w:pPr>
              <w:numPr>
                <w:ilvl w:val="0"/>
                <w:numId w:val="10"/>
              </w:numPr>
              <w:spacing w:after="0" w:line="240" w:lineRule="auto"/>
              <w:ind w:left="512" w:hanging="28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приети планове за управление на защитени територии и защитени зони и планове за действие за растителни и животински видове;</w:t>
            </w:r>
          </w:p>
          <w:p w14:paraId="31A3A9D6" w14:textId="77777777" w:rsidR="00104B79" w:rsidRPr="000B2BE5" w:rsidRDefault="00104B79" w:rsidP="001A1FE8">
            <w:pPr>
              <w:numPr>
                <w:ilvl w:val="0"/>
                <w:numId w:val="10"/>
              </w:numPr>
              <w:spacing w:after="0" w:line="240" w:lineRule="auto"/>
              <w:ind w:left="512" w:hanging="28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  <w:t>осигуряване на екологосъобразно и контролирано ползване на природни ресурси в националните паркове (паша, дървесина, сенокос, лечебни растения, гъби и диворастящи плодове)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EB733E2" w14:textId="77777777" w:rsidR="00104B79" w:rsidRPr="000B2BE5" w:rsidRDefault="00104B79" w:rsidP="001A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брой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B3089CE" w14:textId="77777777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12</w:t>
            </w:r>
          </w:p>
          <w:p w14:paraId="202383AC" w14:textId="77777777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14:paraId="5B88BB6A" w14:textId="0D7F1D2D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900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54E4756" w14:textId="0AB84DAE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12</w:t>
            </w:r>
          </w:p>
          <w:p w14:paraId="271366D1" w14:textId="77777777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14:paraId="2E5C18B9" w14:textId="77777777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E2D3EE9" w14:textId="77777777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12</w:t>
            </w:r>
          </w:p>
          <w:p w14:paraId="48D331FB" w14:textId="77777777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14:paraId="69315302" w14:textId="77777777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900</w:t>
            </w:r>
          </w:p>
        </w:tc>
      </w:tr>
      <w:tr w:rsidR="00104B79" w:rsidRPr="000B2BE5" w14:paraId="13176C87" w14:textId="77777777" w:rsidTr="001C74F4">
        <w:trPr>
          <w:trHeight w:val="264"/>
        </w:trPr>
        <w:tc>
          <w:tcPr>
            <w:tcW w:w="4765" w:type="dxa"/>
            <w:gridSpan w:val="2"/>
            <w:shd w:val="clear" w:color="auto" w:fill="auto"/>
            <w:vAlign w:val="center"/>
          </w:tcPr>
          <w:p w14:paraId="3FE49BD9" w14:textId="77777777" w:rsidR="00104B79" w:rsidRPr="000B2BE5" w:rsidRDefault="00104B79" w:rsidP="001A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bg-BG"/>
              </w:rPr>
              <w:t>4</w:t>
            </w: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 Население с подобрено качество на атмосферния въздух (за замърсител ФПЧ</w:t>
            </w: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bg-BG"/>
              </w:rPr>
              <w:t>10</w:t>
            </w: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03BABB9" w14:textId="77777777" w:rsidR="00104B79" w:rsidRPr="000B2BE5" w:rsidRDefault="00104B79" w:rsidP="001A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бр. жители</w:t>
            </w:r>
          </w:p>
        </w:tc>
        <w:tc>
          <w:tcPr>
            <w:tcW w:w="1107" w:type="dxa"/>
            <w:vAlign w:val="center"/>
          </w:tcPr>
          <w:p w14:paraId="105A6A4C" w14:textId="52856CE5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A1FE8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728 205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C37B485" w14:textId="278ABBFC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788 713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01523C4" w14:textId="77777777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3 074 127**</w:t>
            </w:r>
          </w:p>
        </w:tc>
      </w:tr>
      <w:tr w:rsidR="00104B79" w:rsidRPr="000B2BE5" w14:paraId="71E0C039" w14:textId="77777777" w:rsidTr="001C74F4">
        <w:trPr>
          <w:trHeight w:val="469"/>
        </w:trPr>
        <w:tc>
          <w:tcPr>
            <w:tcW w:w="4765" w:type="dxa"/>
            <w:gridSpan w:val="2"/>
            <w:shd w:val="clear" w:color="auto" w:fill="auto"/>
            <w:vAlign w:val="center"/>
          </w:tcPr>
          <w:p w14:paraId="04AB41AD" w14:textId="77777777" w:rsidR="00104B79" w:rsidRPr="000B2BE5" w:rsidRDefault="00104B79" w:rsidP="001A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5. Спестени емисии на парникови газове от подкрепени проекти, подпомагащи смекчаването на неблагоприятните климатични промени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9033A07" w14:textId="77777777" w:rsidR="00104B79" w:rsidRPr="000B2BE5" w:rsidRDefault="00104B79" w:rsidP="001A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tCO2eq*</w:t>
            </w: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**</w:t>
            </w:r>
          </w:p>
        </w:tc>
        <w:tc>
          <w:tcPr>
            <w:tcW w:w="1107" w:type="dxa"/>
            <w:vAlign w:val="center"/>
          </w:tcPr>
          <w:p w14:paraId="3448A95B" w14:textId="56F2A367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A1FE8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660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Pr="001A1FE8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000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BD5F084" w14:textId="77AC9E7A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670 000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978C6DA" w14:textId="77777777" w:rsidR="00104B79" w:rsidRPr="000B2BE5" w:rsidRDefault="00104B79" w:rsidP="001A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B2BE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680 000</w:t>
            </w:r>
          </w:p>
        </w:tc>
      </w:tr>
    </w:tbl>
    <w:p w14:paraId="563B2EF6" w14:textId="77777777" w:rsidR="000B2BE5" w:rsidRPr="000B2BE5" w:rsidRDefault="000B2BE5" w:rsidP="000B2B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0B2BE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* Актуализацията на целевите стойности е извършена във връзка със сключени договори за финансиране от ОПОС по процедури BG16M1OP002-1.017-0001, BG16M1OP002-1.013, BG16M1OP002-4.002 и BG16M1OP002-4.005.</w:t>
      </w:r>
    </w:p>
    <w:p w14:paraId="37856EB5" w14:textId="77777777" w:rsidR="000B2BE5" w:rsidRPr="000B2BE5" w:rsidRDefault="000B2BE5" w:rsidP="000B2B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</w:pPr>
      <w:r w:rsidRPr="000B2BE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** Целевата стойност е актуализирана въз основа на данни за населението от НСИ към 31.12.2021 </w:t>
      </w:r>
      <w:r w:rsidRPr="000B2BE5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г.</w:t>
      </w:r>
    </w:p>
    <w:p w14:paraId="14F4D958" w14:textId="77777777" w:rsidR="000B2BE5" w:rsidRPr="000B2BE5" w:rsidRDefault="000B2BE5" w:rsidP="000B2B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0B2BE5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**</w:t>
      </w:r>
      <w:r w:rsidRPr="000B2BE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* тон въглероден диоксид еквивалент</w:t>
      </w:r>
    </w:p>
    <w:p w14:paraId="1B97446C" w14:textId="77777777" w:rsidR="001B1961" w:rsidRDefault="001B1961" w:rsidP="001B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5289511" w14:textId="77777777" w:rsidR="001B1961" w:rsidRDefault="007A22AA" w:rsidP="001B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Индикатор</w:t>
      </w:r>
      <w:r w:rsidR="001B1961" w:rsidRPr="001B19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B1961" w:rsidRPr="001B196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1B1961" w:rsidRPr="001B1961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Население, обхваното от изпълнени мерки за подобряване състоянието на водите и за защита от наводнения</w:t>
      </w:r>
      <w:r w:rsidR="001B1961" w:rsidRPr="001B196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 подобрено водоснабдяване, подобрено пречистване на отпадъчни води</w:t>
      </w:r>
      <w:r w:rsidR="001B1961" w:rsidRPr="001B19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B1961" w:rsidRPr="001B1961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защита от наводнения</w:t>
      </w:r>
      <w:r w:rsidR="001B1961" w:rsidRPr="001B196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” </w:t>
      </w:r>
      <w:r w:rsidR="001B1961" w:rsidRPr="001B196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измерва постигнат ефект от подкрепени проекти, насочени към повишаване на ефективността на ползване на водите чрез намаляване на загубите на вода във водопреносните мрежи, подобряване на качеството на питейната вода и предотвратяване или намаляване на неблагоприятните последици от вредното въздействие на водите.</w:t>
      </w:r>
    </w:p>
    <w:p w14:paraId="50EB58A2" w14:textId="77777777" w:rsidR="001B1961" w:rsidRPr="001B1961" w:rsidRDefault="007A22AA" w:rsidP="00D752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Индикатор</w:t>
      </w:r>
      <w:r w:rsidR="001B1961" w:rsidRPr="001B19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B1961" w:rsidRPr="001B196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„</w:t>
      </w:r>
      <w:r w:rsidR="001B1961" w:rsidRPr="001B196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Допълнителен капацитет за оползотворяване/рециклиране на отпадъци</w:t>
      </w:r>
      <w:r w:rsidR="001B1961" w:rsidRPr="001B196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“ </w:t>
      </w:r>
      <w:r w:rsidR="001B1961" w:rsidRPr="001B196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измерва постигнат ефект от осъществени проекти, свързани с предотвратяване, намаляване или ограничаване на вредното въздействие на отпадъците върху човешкото здраве и околната среда и използването им като ресурс за икономиката.</w:t>
      </w:r>
    </w:p>
    <w:p w14:paraId="6FB4262D" w14:textId="77777777" w:rsidR="001B1961" w:rsidRPr="001B1961" w:rsidRDefault="007A22AA" w:rsidP="00D752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Индикатор</w:t>
      </w:r>
      <w:r w:rsidR="001B1961" w:rsidRPr="001B19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B1961" w:rsidRPr="001B196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„Управление и защита на природни местообитания и видове чрез приети планове за управление на защитени територии и защитени зони и планове за действие за </w:t>
      </w:r>
      <w:r w:rsidR="00C14A09" w:rsidRPr="00C14A0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растителни и животински видове </w:t>
      </w:r>
      <w:r w:rsidR="001B1961" w:rsidRPr="001B196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 осигуряване на екологосъобразно и контролирано ползване на природни ресурси в националните паркове (паша, дървесина, сенокос, лечебни растения, гъби и диворастящи плодове)“</w:t>
      </w:r>
      <w:r w:rsidR="001B1961" w:rsidRPr="001B19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ключовия механизъм за ефективно управление и защита на природни местообитания и видове с европейско и национално значение, който способства за измерване на постигнатия напредък в стратегическото планиране на мерките, необходими за подобряване на </w:t>
      </w:r>
      <w:r w:rsidR="001B1961" w:rsidRPr="001B196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природозащитното състояние </w:t>
      </w:r>
      <w:r w:rsidR="001B1961" w:rsidRPr="001B196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 контролирано ползване на природни ресурси в националните паркове</w:t>
      </w:r>
      <w:r w:rsidR="001B1961" w:rsidRPr="001B196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12541D6" w14:textId="35B95663" w:rsidR="00923957" w:rsidRDefault="001611EF" w:rsidP="00D752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Индикатор</w:t>
      </w:r>
      <w:r w:rsidR="001B1961" w:rsidRPr="001B19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B1961" w:rsidRPr="001B196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„Население с подобрено качество на атмосферния въздух (за замърсител ФПЧ</w:t>
      </w:r>
      <w:r w:rsidR="001B1961" w:rsidRPr="001B196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bg-BG"/>
        </w:rPr>
        <w:t>10</w:t>
      </w:r>
      <w:r w:rsidR="001B1961" w:rsidRPr="001B196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)“</w:t>
      </w:r>
      <w:r w:rsidR="001B1961" w:rsidRPr="001B19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индикатор</w:t>
      </w:r>
      <w:r w:rsidR="001B1961" w:rsidRPr="001B19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изпълнение на целта за подобряване качеството на атмосферния въздух на територията на цялата страна. </w:t>
      </w:r>
      <w:r w:rsidR="00923957" w:rsidRPr="00923957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Основните показатели, характеризиращи качеството на атмосферния въздух (КАВ), са 12 замърсителя, които са обект на нормиране и чиито нива в атмосферния въздух подлежат на задължителна текуща оценка (мониторинг). Замърсителите са: прахови частици – ФПЧ</w:t>
      </w:r>
      <w:r w:rsidR="00923957" w:rsidRPr="00923957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10</w:t>
      </w:r>
      <w:r w:rsidR="00923957" w:rsidRPr="009239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ФПЧ</w:t>
      </w:r>
      <w:r w:rsidR="00923957" w:rsidRPr="00923957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2,5</w:t>
      </w:r>
      <w:r w:rsidR="00923957" w:rsidRPr="00923957">
        <w:rPr>
          <w:rFonts w:ascii="Times New Roman" w:eastAsia="Times New Roman" w:hAnsi="Times New Roman" w:cs="Times New Roman"/>
          <w:sz w:val="24"/>
          <w:szCs w:val="24"/>
          <w:lang w:eastAsia="bg-BG"/>
        </w:rPr>
        <w:t>, серен диоксид, азотни оксиди, олово, озон, въглероден оксид, бензен, кадмий и никел (тежки метали), арсен и полициклични ароматни въглеводороди. Ключов приоритет на национално ниво е подобряване на КАВ за населението с наднормено замърсяване с ФПЧ</w:t>
      </w:r>
      <w:r w:rsidR="00923957" w:rsidRPr="00923957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10</w:t>
      </w:r>
      <w:r w:rsidR="00923957" w:rsidRPr="0092395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6DA3" w:rsidRPr="00B76DA3">
        <w:t xml:space="preserve"> </w:t>
      </w:r>
      <w:r w:rsidR="00B76DA3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Индикаторът</w:t>
      </w:r>
      <w:r w:rsidR="00B76DA3" w:rsidRPr="00B76D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измерва постигнатия ефект от прилагането на мерки, като показва населението в определени градове с подобрено КАВ </w:t>
      </w:r>
    </w:p>
    <w:p w14:paraId="6B081150" w14:textId="77777777" w:rsidR="001B1961" w:rsidRPr="001B1961" w:rsidRDefault="00C14A09" w:rsidP="00D752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Индикатор</w:t>
      </w:r>
      <w:r w:rsidR="001B1961" w:rsidRPr="001B19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B1961" w:rsidRPr="001B196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„Спестени емисии на парникови газове от подкрепени проекти, подпомагащи смекчаването на неблагоприятните климатични промени“</w:t>
      </w:r>
      <w:r w:rsidR="001B1961" w:rsidRPr="001B19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измерва постигнат ефект от подкрепени проекти, насочени към намаляване на емисиите на парникови газове. </w:t>
      </w:r>
    </w:p>
    <w:p w14:paraId="2F8D235F" w14:textId="77777777" w:rsidR="00AD1C83" w:rsidRDefault="00FA7B0E" w:rsidP="00D752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866A3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ключови индикатори измерват степента на изпълн</w:t>
      </w:r>
      <w:r w:rsidR="00B803D9">
        <w:rPr>
          <w:rFonts w:ascii="Times New Roman" w:eastAsia="Times New Roman" w:hAnsi="Times New Roman" w:cs="Times New Roman"/>
          <w:sz w:val="24"/>
          <w:szCs w:val="24"/>
          <w:lang w:eastAsia="bg-BG"/>
        </w:rPr>
        <w:t>ение на стратегическата цел на п</w:t>
      </w:r>
      <w:r w:rsidRPr="002866A3">
        <w:rPr>
          <w:rFonts w:ascii="Times New Roman" w:eastAsia="Times New Roman" w:hAnsi="Times New Roman" w:cs="Times New Roman"/>
          <w:sz w:val="24"/>
          <w:szCs w:val="24"/>
          <w:lang w:eastAsia="bg-BG"/>
        </w:rPr>
        <w:t>олитика</w:t>
      </w:r>
      <w:r w:rsidR="00B803D9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2866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областта на опазването и ползването на компонентите на околната среда: </w:t>
      </w:r>
      <w:r w:rsidR="009B46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„о</w:t>
      </w:r>
      <w:r w:rsidRPr="002866A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пазване, съхранение и увеличаване на природния капитал, подобряване на управлението на отпадъците, преход към ефективна кръгова и конкурентоспособна нисковъглеродна икономика от гледна точка на използването на ресурсите и провеждане на устойчива политика за постигане на здравословна околна среда и защита на населението от свърза</w:t>
      </w:r>
      <w:r w:rsidR="002710B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ни с околната среда въздействия</w:t>
      </w:r>
      <w:r w:rsidRPr="002866A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  <w:r w:rsidR="002710B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5492D059" w14:textId="77777777" w:rsidR="00D752C6" w:rsidRDefault="00D752C6" w:rsidP="00D752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4FC232" w14:textId="77777777" w:rsidR="00D20DF8" w:rsidRPr="00032D2A" w:rsidRDefault="00D20DF8" w:rsidP="00D7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32D2A">
        <w:rPr>
          <w:rFonts w:ascii="Times New Roman" w:hAnsi="Times New Roman" w:cs="Times New Roman"/>
          <w:b/>
          <w:i/>
          <w:sz w:val="24"/>
          <w:szCs w:val="24"/>
        </w:rPr>
        <w:t xml:space="preserve">Област на политика: </w:t>
      </w:r>
      <w:r w:rsidRPr="00032D2A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1D9C62A" w14:textId="77777777" w:rsidR="00C92B65" w:rsidRPr="0090438C" w:rsidRDefault="009B46C5" w:rsidP="00D752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Политика в областта на Н</w:t>
      </w:r>
      <w:r w:rsidR="00C92B65" w:rsidRPr="009043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ационалната система за мониторинг на околната среда и информационна обезпеченост</w:t>
      </w:r>
    </w:p>
    <w:p w14:paraId="2A941678" w14:textId="77777777" w:rsidR="00D20DF8" w:rsidRPr="00032D2A" w:rsidRDefault="00D20DF8" w:rsidP="00D752C6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2D2A">
        <w:rPr>
          <w:rFonts w:ascii="Times New Roman" w:hAnsi="Times New Roman" w:cs="Times New Roman"/>
          <w:b/>
          <w:i/>
          <w:sz w:val="24"/>
          <w:szCs w:val="24"/>
        </w:rPr>
        <w:t>Кратко описание на обхвата на областта на политиката, за която ПРБ отговаря</w:t>
      </w:r>
    </w:p>
    <w:p w14:paraId="0E2ED1F0" w14:textId="363FB63B" w:rsidR="00551202" w:rsidRDefault="009B46C5" w:rsidP="005512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Политиката в областта на Н</w:t>
      </w:r>
      <w:r w:rsidR="00E324B7" w:rsidRPr="005538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ационалната система за мониторинг на околната среда и информационна обезпеченост е насочена към </w:t>
      </w:r>
      <w:r w:rsidR="0017333C" w:rsidRPr="005538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осигуряване на мониторинг на околната среда, анализ и оценка на състоянието на компонентите и факторите на околната среда </w:t>
      </w:r>
      <w:r w:rsidR="005449F3">
        <w:rPr>
          <w:rFonts w:ascii="Times New Roman" w:eastAsia="Times New Roman" w:hAnsi="Times New Roman" w:cs="Times New Roman"/>
          <w:sz w:val="24"/>
          <w:szCs w:val="24"/>
          <w:lang w:eastAsia="bg-BG"/>
        </w:rPr>
        <w:t>с цел</w:t>
      </w:r>
      <w:r w:rsidR="0017333C" w:rsidRPr="005538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изготвяне и предоставяне на информация, която да служи за основа за вземане на решения относно ефективността и целесъобразността на провежданите политики в областта на околната среда.</w:t>
      </w:r>
      <w:r w:rsidR="0017333C" w:rsidRPr="005512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51202" w:rsidRPr="00551202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Основен инструмент на политиката е Националната система за мониторинг на околната среда,</w:t>
      </w:r>
      <w:r w:rsidR="005512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чието развитие е </w:t>
      </w:r>
      <w:r w:rsidR="00551202" w:rsidRPr="0055120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насочено към цялостно осигуряване на актуална и достоверна информация за състоянието на околната среда, с което да се гарантира вземането на навременни и ефективни управленски решения, както и към непрекъснато разширяване на обхвата на предоставяната публична информация.</w:t>
      </w:r>
    </w:p>
    <w:p w14:paraId="453EC11C" w14:textId="13833A8C" w:rsidR="001C74F4" w:rsidRDefault="001C74F4" w:rsidP="005512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C69CB80" w14:textId="71B0C1A4" w:rsidR="001C74F4" w:rsidRDefault="001C74F4" w:rsidP="005512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501B01C" w14:textId="4CCDDBA4" w:rsidR="001C74F4" w:rsidRDefault="001C74F4" w:rsidP="005512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07008A2" w14:textId="3507F177" w:rsidR="001C74F4" w:rsidRDefault="001C74F4" w:rsidP="005512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C72811" w14:textId="77777777" w:rsidR="001C74F4" w:rsidRPr="00551202" w:rsidRDefault="001C74F4" w:rsidP="005512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389D95" w14:textId="32C3E8C8" w:rsidR="00D20DF8" w:rsidRDefault="00D20DF8" w:rsidP="00661D04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669">
        <w:rPr>
          <w:rFonts w:ascii="Times New Roman" w:hAnsi="Times New Roman" w:cs="Times New Roman"/>
          <w:b/>
          <w:i/>
          <w:sz w:val="24"/>
          <w:szCs w:val="24"/>
        </w:rPr>
        <w:t>Отговорност за разпределението на публичните разходи за политиката</w:t>
      </w:r>
    </w:p>
    <w:p w14:paraId="20C600B6" w14:textId="77777777" w:rsidR="004109C3" w:rsidRDefault="004109C3" w:rsidP="004109C3">
      <w:pPr>
        <w:pStyle w:val="ListParagraph"/>
        <w:spacing w:before="120" w:after="120" w:line="240" w:lineRule="auto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540"/>
        <w:gridCol w:w="1840"/>
        <w:gridCol w:w="1660"/>
        <w:gridCol w:w="1660"/>
      </w:tblGrid>
      <w:tr w:rsidR="004109C3" w:rsidRPr="004109C3" w14:paraId="7E717E5E" w14:textId="77777777" w:rsidTr="004109C3">
        <w:trPr>
          <w:trHeight w:val="34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14:paraId="0A54B980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6F5D164C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12D67A8" w14:textId="556F4E2E" w:rsidR="004109C3" w:rsidRPr="004109C3" w:rsidRDefault="008D7B80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Бюджет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5EE7039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Прогноза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7540C87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Прогноза</w:t>
            </w:r>
          </w:p>
        </w:tc>
      </w:tr>
      <w:tr w:rsidR="004109C3" w:rsidRPr="004109C3" w14:paraId="05E178DC" w14:textId="77777777" w:rsidTr="004109C3">
        <w:trPr>
          <w:trHeight w:val="585"/>
        </w:trPr>
        <w:tc>
          <w:tcPr>
            <w:tcW w:w="520" w:type="dxa"/>
            <w:vMerge/>
            <w:vAlign w:val="center"/>
            <w:hideMark/>
          </w:tcPr>
          <w:p w14:paraId="6309C87E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095D7CCB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1900 МИНИСТЕРСТВО НА ОКОЛНАТА СРЕДА И ВОДИТЕ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2892440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2023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240A768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2024 г.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56319CC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2025 г.</w:t>
            </w:r>
          </w:p>
        </w:tc>
      </w:tr>
      <w:tr w:rsidR="004109C3" w:rsidRPr="004109C3" w14:paraId="2D1BFF4C" w14:textId="77777777" w:rsidTr="004109C3">
        <w:trPr>
          <w:trHeight w:val="255"/>
        </w:trPr>
        <w:tc>
          <w:tcPr>
            <w:tcW w:w="520" w:type="dxa"/>
            <w:vMerge/>
            <w:vAlign w:val="center"/>
            <w:hideMark/>
          </w:tcPr>
          <w:p w14:paraId="35E649EB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5EAE8679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869C272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C557E3C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6D89013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109C3" w:rsidRPr="004109C3" w14:paraId="0CC525B3" w14:textId="77777777" w:rsidTr="004109C3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61DCAA5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5FF3F315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CC14FFC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F264AD8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B120135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</w:t>
            </w:r>
          </w:p>
        </w:tc>
      </w:tr>
      <w:tr w:rsidR="004109C3" w:rsidRPr="004109C3" w14:paraId="5E2E88E4" w14:textId="77777777" w:rsidTr="004109C3">
        <w:trPr>
          <w:trHeight w:val="12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243F688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1.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04558338" w14:textId="77777777" w:rsidR="004109C3" w:rsidRPr="004109C3" w:rsidRDefault="004109C3" w:rsidP="0041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Консолидирани разходи в област на политиката на Националната система за мониторинг на околната среда, които МОСВ разходва пряко чрез бюджета и отговаря за разпределението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F97BD95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12997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B50DD7A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12 565,9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84D7281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12 592,6</w:t>
            </w:r>
          </w:p>
        </w:tc>
      </w:tr>
      <w:tr w:rsidR="004109C3" w:rsidRPr="004109C3" w14:paraId="0DDBD13D" w14:textId="77777777" w:rsidTr="004109C3">
        <w:trPr>
          <w:trHeight w:val="24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A467E5A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3D6A0F46" w14:textId="77777777" w:rsidR="004109C3" w:rsidRPr="004109C3" w:rsidRDefault="004109C3" w:rsidP="0041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ОБЩО ПО ПОЛИТИКАТА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8D8BC55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12997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DBDE2CC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12 565,9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8B25E64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12 592,6</w:t>
            </w:r>
          </w:p>
        </w:tc>
      </w:tr>
    </w:tbl>
    <w:p w14:paraId="6545EDDD" w14:textId="77777777" w:rsidR="001C74F4" w:rsidRPr="001C74F4" w:rsidRDefault="001C74F4" w:rsidP="001C74F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ECD891" w14:textId="38F1FE67" w:rsidR="00223AC9" w:rsidRDefault="00223AC9" w:rsidP="00223AC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24D3">
        <w:rPr>
          <w:rFonts w:ascii="Times New Roman" w:hAnsi="Times New Roman" w:cs="Times New Roman"/>
          <w:b/>
          <w:i/>
          <w:sz w:val="24"/>
          <w:szCs w:val="24"/>
        </w:rPr>
        <w:t xml:space="preserve">Ключови индикатори и целеви стойности </w:t>
      </w:r>
    </w:p>
    <w:p w14:paraId="36B99879" w14:textId="77777777" w:rsidR="00995E63" w:rsidRPr="00E124D3" w:rsidRDefault="00995E63" w:rsidP="00995E63">
      <w:pPr>
        <w:pStyle w:val="ListParagraph"/>
        <w:spacing w:before="120" w:after="120" w:line="240" w:lineRule="auto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4"/>
        <w:gridCol w:w="956"/>
        <w:gridCol w:w="955"/>
        <w:gridCol w:w="956"/>
        <w:gridCol w:w="1276"/>
      </w:tblGrid>
      <w:tr w:rsidR="00C3792B" w:rsidRPr="00345526" w14:paraId="4E716EF5" w14:textId="77777777" w:rsidTr="00C76BB4">
        <w:trPr>
          <w:trHeight w:val="401"/>
        </w:trPr>
        <w:tc>
          <w:tcPr>
            <w:tcW w:w="9257" w:type="dxa"/>
            <w:gridSpan w:val="5"/>
            <w:shd w:val="clear" w:color="auto" w:fill="FFCC99"/>
            <w:vAlign w:val="center"/>
          </w:tcPr>
          <w:p w14:paraId="123D22EC" w14:textId="12D6A380" w:rsidR="00C3792B" w:rsidRPr="00345526" w:rsidRDefault="00C3792B" w:rsidP="0034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D614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КЛЮЧОВИ ИНДИКАТОРИ ЗА ИЗПЪЛНЕНИЕ И ЦЕЛЕВИ СТОЙНОСТИ</w:t>
            </w:r>
          </w:p>
        </w:tc>
      </w:tr>
      <w:tr w:rsidR="00C3792B" w:rsidRPr="00345526" w14:paraId="2A3C801B" w14:textId="77777777" w:rsidTr="00C76BB4">
        <w:trPr>
          <w:trHeight w:val="243"/>
        </w:trPr>
        <w:tc>
          <w:tcPr>
            <w:tcW w:w="5114" w:type="dxa"/>
            <w:shd w:val="clear" w:color="auto" w:fill="FFCC99"/>
            <w:vAlign w:val="center"/>
          </w:tcPr>
          <w:p w14:paraId="3E1346CE" w14:textId="68569DD4" w:rsidR="00C3792B" w:rsidRPr="00D614F9" w:rsidRDefault="00C3792B" w:rsidP="00C3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bg-BG"/>
              </w:rPr>
              <w:t>Политика в областта на Н</w:t>
            </w:r>
            <w:r w:rsidRPr="00D614F9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bg-BG"/>
              </w:rPr>
              <w:t>ационалната система за мониторинг на околната среда и информационна обезпеченост</w:t>
            </w:r>
          </w:p>
        </w:tc>
        <w:tc>
          <w:tcPr>
            <w:tcW w:w="4142" w:type="dxa"/>
            <w:gridSpan w:val="4"/>
            <w:shd w:val="clear" w:color="auto" w:fill="FFCC99"/>
            <w:vAlign w:val="center"/>
          </w:tcPr>
          <w:p w14:paraId="04902DDF" w14:textId="119F22C0" w:rsidR="00C3792B" w:rsidRPr="00345526" w:rsidRDefault="00C3792B" w:rsidP="0074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45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Целева стойност</w:t>
            </w:r>
          </w:p>
        </w:tc>
      </w:tr>
      <w:tr w:rsidR="00C76BB4" w:rsidRPr="00345526" w14:paraId="67139537" w14:textId="77777777" w:rsidTr="00C76BB4">
        <w:trPr>
          <w:trHeight w:val="429"/>
        </w:trPr>
        <w:tc>
          <w:tcPr>
            <w:tcW w:w="5114" w:type="dxa"/>
            <w:shd w:val="clear" w:color="auto" w:fill="FFCC99"/>
            <w:vAlign w:val="center"/>
          </w:tcPr>
          <w:p w14:paraId="6E0B5935" w14:textId="77777777" w:rsidR="00C76BB4" w:rsidRPr="00345526" w:rsidRDefault="00C76BB4" w:rsidP="003B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D614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Наименование на индикатора</w:t>
            </w:r>
          </w:p>
        </w:tc>
        <w:tc>
          <w:tcPr>
            <w:tcW w:w="956" w:type="dxa"/>
            <w:shd w:val="clear" w:color="auto" w:fill="FFCC99"/>
            <w:vAlign w:val="center"/>
          </w:tcPr>
          <w:p w14:paraId="446A3872" w14:textId="77777777" w:rsidR="00C76BB4" w:rsidRPr="00345526" w:rsidRDefault="00C76BB4" w:rsidP="003B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45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Мерна единица</w:t>
            </w:r>
          </w:p>
        </w:tc>
        <w:tc>
          <w:tcPr>
            <w:tcW w:w="955" w:type="dxa"/>
            <w:shd w:val="clear" w:color="auto" w:fill="FFCC99"/>
            <w:vAlign w:val="center"/>
          </w:tcPr>
          <w:p w14:paraId="1471C7AC" w14:textId="7418EABF" w:rsidR="00C76BB4" w:rsidRPr="004F6515" w:rsidRDefault="008D7B80" w:rsidP="003B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Бюджет</w:t>
            </w:r>
            <w:r w:rsidR="00C76BB4" w:rsidRPr="00C3792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20</w:t>
            </w:r>
            <w:r w:rsidR="00C76BB4" w:rsidRPr="00C3792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2</w:t>
            </w:r>
            <w:r w:rsidR="00C76BB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</w:t>
            </w:r>
            <w:r w:rsidR="00C76BB4" w:rsidRPr="00C3792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56" w:type="dxa"/>
            <w:shd w:val="clear" w:color="auto" w:fill="FFCC99"/>
            <w:vAlign w:val="center"/>
          </w:tcPr>
          <w:p w14:paraId="3A04405C" w14:textId="4F3F3114" w:rsidR="00C76BB4" w:rsidRPr="004F6515" w:rsidRDefault="00C76BB4" w:rsidP="00C3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bg-BG"/>
              </w:rPr>
            </w:pPr>
            <w:r w:rsidRPr="004F65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гноза</w:t>
            </w:r>
            <w:r w:rsidRPr="004F65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20</w:t>
            </w:r>
            <w:r w:rsidRPr="004F65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2</w:t>
            </w:r>
            <w:r w:rsidRPr="004F65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г.</w:t>
            </w:r>
          </w:p>
        </w:tc>
        <w:tc>
          <w:tcPr>
            <w:tcW w:w="1274" w:type="dxa"/>
            <w:shd w:val="clear" w:color="auto" w:fill="FFCC99"/>
            <w:vAlign w:val="center"/>
          </w:tcPr>
          <w:p w14:paraId="5025E62F" w14:textId="23CB9C5A" w:rsidR="00C76BB4" w:rsidRPr="004F6515" w:rsidRDefault="00C76BB4" w:rsidP="003B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bg-BG"/>
              </w:rPr>
            </w:pPr>
            <w:r w:rsidRPr="004F65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Прогноза 2025 г.</w:t>
            </w:r>
          </w:p>
        </w:tc>
      </w:tr>
      <w:tr w:rsidR="00C76BB4" w:rsidRPr="00345526" w14:paraId="29A9DC29" w14:textId="77777777" w:rsidTr="00C76BB4">
        <w:trPr>
          <w:trHeight w:val="243"/>
        </w:trPr>
        <w:tc>
          <w:tcPr>
            <w:tcW w:w="5114" w:type="dxa"/>
            <w:shd w:val="clear" w:color="auto" w:fill="auto"/>
          </w:tcPr>
          <w:p w14:paraId="75503BD0" w14:textId="5C1502CC" w:rsidR="00C76BB4" w:rsidRPr="000C26CD" w:rsidRDefault="00C76BB4" w:rsidP="00C3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C26CD">
              <w:rPr>
                <w:rFonts w:ascii="Times New Roman" w:hAnsi="Times New Roman" w:cs="Times New Roman"/>
                <w:sz w:val="16"/>
                <w:szCs w:val="16"/>
              </w:rPr>
              <w:t>1. Изпълнени програми за мониторинг на компонентите и факторите на околната среда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2139CCA" w14:textId="77777777" w:rsidR="00C76BB4" w:rsidRPr="00345526" w:rsidRDefault="00C76BB4" w:rsidP="00C3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45526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брой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4FA3C30" w14:textId="025DA0A7" w:rsidR="00C76BB4" w:rsidRPr="004F6515" w:rsidRDefault="00C76BB4" w:rsidP="00C3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51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572BF88" w14:textId="6C05C8EE" w:rsidR="00C76BB4" w:rsidRPr="004F6515" w:rsidRDefault="00C76BB4" w:rsidP="00C3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F651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E2AAF8D" w14:textId="19BCEA4E" w:rsidR="00C76BB4" w:rsidRPr="004F6515" w:rsidRDefault="00C76BB4" w:rsidP="00C3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F651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76BB4" w:rsidRPr="00345526" w14:paraId="49BF4797" w14:textId="77777777" w:rsidTr="00C76BB4">
        <w:trPr>
          <w:trHeight w:val="243"/>
        </w:trPr>
        <w:tc>
          <w:tcPr>
            <w:tcW w:w="5114" w:type="dxa"/>
            <w:shd w:val="clear" w:color="auto" w:fill="auto"/>
            <w:vAlign w:val="center"/>
          </w:tcPr>
          <w:p w14:paraId="746FC98A" w14:textId="3B63EF56" w:rsidR="00C76BB4" w:rsidRPr="000C26CD" w:rsidRDefault="00C76BB4" w:rsidP="00C3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0C26CD">
              <w:rPr>
                <w:rFonts w:ascii="Times New Roman" w:hAnsi="Times New Roman" w:cs="Times New Roman"/>
                <w:sz w:val="16"/>
                <w:szCs w:val="16"/>
              </w:rPr>
              <w:t>2. Поддържани информационни системи/ системи с публичен достъп на НСМОС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F939942" w14:textId="77777777" w:rsidR="00C76BB4" w:rsidRPr="00345526" w:rsidRDefault="00C76BB4" w:rsidP="00C3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45526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брой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1BBBF07" w14:textId="5CE8C83C" w:rsidR="00C76BB4" w:rsidRPr="004F6515" w:rsidRDefault="00C76BB4" w:rsidP="00C3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515">
              <w:rPr>
                <w:rFonts w:ascii="Times New Roman" w:hAnsi="Times New Roman" w:cs="Times New Roman"/>
                <w:sz w:val="16"/>
                <w:szCs w:val="16"/>
              </w:rPr>
              <w:t>20/12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C6B68FE" w14:textId="7EE3BC4C" w:rsidR="00C76BB4" w:rsidRPr="004F6515" w:rsidRDefault="00C76BB4" w:rsidP="00C3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4F6515">
              <w:rPr>
                <w:rFonts w:ascii="Times New Roman" w:hAnsi="Times New Roman" w:cs="Times New Roman"/>
                <w:sz w:val="16"/>
                <w:szCs w:val="16"/>
              </w:rPr>
              <w:t>20/12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FA7C765" w14:textId="7FD2E44F" w:rsidR="00C76BB4" w:rsidRPr="004F6515" w:rsidRDefault="00C76BB4" w:rsidP="00C3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4F6515">
              <w:rPr>
                <w:rFonts w:ascii="Times New Roman" w:hAnsi="Times New Roman" w:cs="Times New Roman"/>
                <w:sz w:val="16"/>
                <w:szCs w:val="16"/>
              </w:rPr>
              <w:t>20/12</w:t>
            </w:r>
          </w:p>
        </w:tc>
      </w:tr>
      <w:tr w:rsidR="00C76BB4" w:rsidRPr="00345526" w14:paraId="3DD0759A" w14:textId="77777777" w:rsidTr="00C76BB4">
        <w:trPr>
          <w:trHeight w:val="243"/>
        </w:trPr>
        <w:tc>
          <w:tcPr>
            <w:tcW w:w="5114" w:type="dxa"/>
            <w:shd w:val="clear" w:color="auto" w:fill="auto"/>
            <w:vAlign w:val="center"/>
          </w:tcPr>
          <w:p w14:paraId="4A2A57C1" w14:textId="57DBF09D" w:rsidR="00C76BB4" w:rsidRPr="000C26CD" w:rsidRDefault="00C76BB4" w:rsidP="00215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 w:rsidRPr="000C26CD">
              <w:rPr>
                <w:rFonts w:ascii="Times New Roman" w:hAnsi="Times New Roman" w:cs="Times New Roman"/>
                <w:sz w:val="16"/>
                <w:szCs w:val="16"/>
              </w:rPr>
              <w:t>3. Поддържани регистри с публичен достъп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575672C" w14:textId="77777777" w:rsidR="00C76BB4" w:rsidRPr="00345526" w:rsidRDefault="00C76BB4" w:rsidP="00C3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45526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брой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109DEBB" w14:textId="4B8A473A" w:rsidR="00C76BB4" w:rsidRPr="004F6515" w:rsidRDefault="00C76BB4" w:rsidP="00C3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403D795" w14:textId="2BAA936C" w:rsidR="00C76BB4" w:rsidRPr="004F6515" w:rsidRDefault="00C76BB4" w:rsidP="00C3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4F651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2722560" w14:textId="49E66EA6" w:rsidR="00C76BB4" w:rsidRPr="004F6515" w:rsidRDefault="00C76BB4" w:rsidP="00C3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F651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C76BB4" w:rsidRPr="00345526" w14:paraId="21A7149B" w14:textId="77777777" w:rsidTr="00C76BB4">
        <w:trPr>
          <w:trHeight w:val="257"/>
        </w:trPr>
        <w:tc>
          <w:tcPr>
            <w:tcW w:w="5114" w:type="dxa"/>
            <w:shd w:val="clear" w:color="auto" w:fill="auto"/>
            <w:vAlign w:val="center"/>
          </w:tcPr>
          <w:p w14:paraId="013C7801" w14:textId="5726648B" w:rsidR="00C76BB4" w:rsidRPr="000C26CD" w:rsidRDefault="00C76BB4" w:rsidP="00C3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C26CD">
              <w:rPr>
                <w:rFonts w:ascii="Times New Roman" w:hAnsi="Times New Roman" w:cs="Times New Roman"/>
                <w:sz w:val="16"/>
                <w:szCs w:val="16"/>
              </w:rPr>
              <w:t>4. Изготвени доклади за състоянието на околната среда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7D476CA" w14:textId="77777777" w:rsidR="00C76BB4" w:rsidRPr="00345526" w:rsidRDefault="00C76BB4" w:rsidP="00C3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45526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брой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BE1681F" w14:textId="3893600F" w:rsidR="00C76BB4" w:rsidRPr="004F6515" w:rsidRDefault="00C76BB4" w:rsidP="00C3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51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CDDCE3D" w14:textId="22B2AE9C" w:rsidR="00C76BB4" w:rsidRPr="004F6515" w:rsidRDefault="00C76BB4" w:rsidP="00C3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F651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43E01F7" w14:textId="36ADD23F" w:rsidR="00C76BB4" w:rsidRPr="004F6515" w:rsidRDefault="00C76BB4" w:rsidP="00C3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F651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76BB4" w:rsidRPr="00345526" w14:paraId="594BBAAB" w14:textId="77777777" w:rsidTr="00C76BB4">
        <w:trPr>
          <w:trHeight w:val="257"/>
        </w:trPr>
        <w:tc>
          <w:tcPr>
            <w:tcW w:w="5114" w:type="dxa"/>
            <w:shd w:val="clear" w:color="auto" w:fill="auto"/>
            <w:vAlign w:val="center"/>
          </w:tcPr>
          <w:p w14:paraId="21CE32D6" w14:textId="593ED699" w:rsidR="00C76BB4" w:rsidRPr="000C26CD" w:rsidRDefault="00C76BB4" w:rsidP="00C3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C26CD">
              <w:rPr>
                <w:rFonts w:ascii="Times New Roman" w:hAnsi="Times New Roman" w:cs="Times New Roman"/>
                <w:sz w:val="16"/>
                <w:szCs w:val="16"/>
              </w:rPr>
              <w:t>5. Докладвания до международни институции**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E80FBE1" w14:textId="77777777" w:rsidR="00C76BB4" w:rsidRPr="00345526" w:rsidRDefault="00C76BB4" w:rsidP="00C3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45526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брой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BD546FB" w14:textId="08D8FE2A" w:rsidR="00C76BB4" w:rsidRPr="004F6515" w:rsidRDefault="00C76BB4" w:rsidP="00C3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51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54BD329" w14:textId="516431BF" w:rsidR="00C76BB4" w:rsidRPr="004F6515" w:rsidRDefault="00C76BB4" w:rsidP="00C3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F651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8F09F71" w14:textId="3593205D" w:rsidR="00C76BB4" w:rsidRPr="004F6515" w:rsidRDefault="00C76BB4" w:rsidP="00C3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4F651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</w:tbl>
    <w:p w14:paraId="39D8162E" w14:textId="77777777" w:rsidR="00D70CB1" w:rsidRPr="00D70CB1" w:rsidRDefault="00D70CB1" w:rsidP="00D70C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D70CB1">
        <w:rPr>
          <w:rFonts w:ascii="Times New Roman" w:eastAsia="Times New Roman" w:hAnsi="Times New Roman" w:cs="Times New Roman"/>
          <w:bCs/>
          <w:i/>
          <w:sz w:val="20"/>
          <w:szCs w:val="20"/>
        </w:rPr>
        <w:t>* Прекратена е поддръжката на Таксономичния регистър на видовете и местообитанията, тъй като не отговаря на понятието „регистър“ по смисъла на Наредбата за общите изисквания към информационните системи, регистрите и електронните административни услуги, поради което целевата стойност на индикатора е намалена.</w:t>
      </w:r>
    </w:p>
    <w:p w14:paraId="7833AD30" w14:textId="31D7AF24" w:rsidR="00184549" w:rsidRDefault="00D70CB1" w:rsidP="00D70C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D70CB1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** Докладванията по някои международни програми, директиви и конвенции не е ежегодно, а на период от няколко години. </w:t>
      </w:r>
      <w:r w:rsidR="00184549" w:rsidRPr="00184549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</w:p>
    <w:p w14:paraId="7187F834" w14:textId="14D5A65F" w:rsidR="00184549" w:rsidRDefault="00184549" w:rsidP="0018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49E725" w14:textId="77777777" w:rsidR="00223AC9" w:rsidRPr="006A52D3" w:rsidRDefault="00184549" w:rsidP="00184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Индикаторите</w:t>
      </w:r>
      <w:r w:rsidR="00223AC9" w:rsidRPr="006A52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с основна роля по отношение на оценката на мерките за гарантиране на информационна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обезпеченост на процесите на взе</w:t>
      </w:r>
      <w:r w:rsidR="00223AC9" w:rsidRPr="006A52D3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мане на решения за околната среда на политическо и оперативно ниво чрез: осигуряване на актуална и достатъчна по обхват информация; анализ и оценка на състоянието на компонентите на околната среда и факторите, влияещи върху тях; предоставяне на достъп до информацията; предоставяне на необходимата информация на държавните институции за целите на управлението на околната среда и докладване в изпълнение на изискванията на международното екологично законодателство.</w:t>
      </w:r>
    </w:p>
    <w:p w14:paraId="16351A7C" w14:textId="49652542" w:rsidR="00EE39F2" w:rsidRDefault="00223AC9" w:rsidP="004157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6A52D3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ключови индикатори измерват степента на изпълн</w:t>
      </w:r>
      <w:r w:rsidR="006A52D3">
        <w:rPr>
          <w:rFonts w:ascii="Times New Roman" w:eastAsia="Times New Roman" w:hAnsi="Times New Roman" w:cs="Times New Roman"/>
          <w:sz w:val="24"/>
          <w:szCs w:val="24"/>
          <w:lang w:eastAsia="bg-BG"/>
        </w:rPr>
        <w:t>ение на стратегическата цел на п</w:t>
      </w:r>
      <w:r w:rsidRPr="006A52D3">
        <w:rPr>
          <w:rFonts w:ascii="Times New Roman" w:eastAsia="Times New Roman" w:hAnsi="Times New Roman" w:cs="Times New Roman"/>
          <w:sz w:val="24"/>
          <w:szCs w:val="24"/>
          <w:lang w:eastAsia="bg-BG"/>
        </w:rPr>
        <w:t>олитика</w:t>
      </w:r>
      <w:r w:rsidR="006A52D3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6A52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областта на</w:t>
      </w:r>
      <w:r w:rsidRPr="006A52D3">
        <w:t xml:space="preserve"> </w:t>
      </w:r>
      <w:r w:rsidR="006A52D3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6A52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ационалната система за мониторинг на околната среда и информационна обезпеченост: </w:t>
      </w:r>
      <w:r w:rsidR="00DD10D7" w:rsidRPr="006A52D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6A52D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</w:t>
      </w:r>
      <w:r w:rsidR="00DD10D7" w:rsidRPr="006A52D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ониторинг на околната среда, анализ и оценка на състоянието на компонентите и факторите на околната среда за изготвяне и предоставяне на информация, която да служи за основа за вземане на решения </w:t>
      </w:r>
      <w:r w:rsidR="00DD10D7" w:rsidRPr="006A52D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относно ефективността и целесъобразността на провежданите полити</w:t>
      </w:r>
      <w:r w:rsidR="004157F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ки в областта на околната среда</w:t>
      </w:r>
      <w:r w:rsidR="00DD10D7" w:rsidRPr="006A52D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“.</w:t>
      </w:r>
    </w:p>
    <w:p w14:paraId="0BA39BFA" w14:textId="77777777" w:rsidR="00C76BB4" w:rsidRPr="00DD10D7" w:rsidRDefault="00C76BB4" w:rsidP="004157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5CE07D90" w14:textId="6399709F" w:rsidR="00394B16" w:rsidRDefault="00394B16" w:rsidP="00394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Политика в областта на Други бюджетни програми</w:t>
      </w:r>
    </w:p>
    <w:p w14:paraId="39AB8D0F" w14:textId="77777777" w:rsidR="004B5CEE" w:rsidRDefault="004B5CEE" w:rsidP="00394B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3DE457" w14:textId="67161C52" w:rsidR="00394B16" w:rsidRDefault="00394B16" w:rsidP="00394B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3390">
        <w:rPr>
          <w:rFonts w:ascii="Times New Roman" w:hAnsi="Times New Roman" w:cs="Times New Roman"/>
          <w:b/>
          <w:i/>
          <w:sz w:val="24"/>
          <w:szCs w:val="24"/>
        </w:rPr>
        <w:t>Бюджетна програма „</w:t>
      </w:r>
      <w:r>
        <w:rPr>
          <w:rFonts w:ascii="Times New Roman" w:hAnsi="Times New Roman" w:cs="Times New Roman"/>
          <w:b/>
          <w:i/>
          <w:sz w:val="24"/>
          <w:szCs w:val="24"/>
        </w:rPr>
        <w:t>Дейности по метеорология, хидрология и агрометеорология</w:t>
      </w:r>
      <w:r w:rsidRPr="00353390">
        <w:rPr>
          <w:rFonts w:ascii="Times New Roman" w:hAnsi="Times New Roman" w:cs="Times New Roman"/>
          <w:b/>
          <w:i/>
          <w:sz w:val="24"/>
          <w:szCs w:val="24"/>
        </w:rPr>
        <w:t>“:</w:t>
      </w:r>
    </w:p>
    <w:p w14:paraId="564961F2" w14:textId="583F7580" w:rsidR="004109C3" w:rsidRDefault="004109C3" w:rsidP="00394B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540"/>
        <w:gridCol w:w="1840"/>
        <w:gridCol w:w="1660"/>
        <w:gridCol w:w="1660"/>
      </w:tblGrid>
      <w:tr w:rsidR="004109C3" w:rsidRPr="004109C3" w14:paraId="08BEB957" w14:textId="77777777" w:rsidTr="004109C3">
        <w:trPr>
          <w:trHeight w:val="34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3DA70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FF8F0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E11F0" w14:textId="60D0590A" w:rsidR="004109C3" w:rsidRPr="004109C3" w:rsidRDefault="008D7B80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Бюджет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FCAD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Прогноза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668B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Прогноза</w:t>
            </w:r>
          </w:p>
        </w:tc>
      </w:tr>
      <w:tr w:rsidR="004109C3" w:rsidRPr="004109C3" w14:paraId="24E94678" w14:textId="77777777" w:rsidTr="004109C3">
        <w:trPr>
          <w:trHeight w:val="58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90617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5EC4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1900 МИНИСТЕРСТВО НА ОКОЛНАТА СРЕДА И ВОДИТЕ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912B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0426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2024 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9045E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2025 г.</w:t>
            </w:r>
          </w:p>
        </w:tc>
      </w:tr>
      <w:tr w:rsidR="004109C3" w:rsidRPr="004109C3" w14:paraId="64E972E0" w14:textId="77777777" w:rsidTr="004109C3">
        <w:trPr>
          <w:trHeight w:val="25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1258A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DE98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D67A8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4404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18D5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109C3" w:rsidRPr="004109C3" w14:paraId="14927D9B" w14:textId="77777777" w:rsidTr="004109C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F0DC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20EF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31C9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D85D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5AA6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</w:t>
            </w:r>
          </w:p>
        </w:tc>
      </w:tr>
      <w:tr w:rsidR="004109C3" w:rsidRPr="004109C3" w14:paraId="57199776" w14:textId="77777777" w:rsidTr="004109C3">
        <w:trPr>
          <w:trHeight w:val="9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95AFB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2773" w14:textId="77777777" w:rsidR="004109C3" w:rsidRPr="004109C3" w:rsidRDefault="004109C3" w:rsidP="0041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Консолидирани разходи в област на бюджетна програма "Дейности по метеорология, хидрология и агрометеорология"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A3F92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27386,1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580E1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26 691,1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2476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26 921,8</w:t>
            </w:r>
          </w:p>
        </w:tc>
      </w:tr>
      <w:tr w:rsidR="004109C3" w:rsidRPr="004109C3" w14:paraId="578FAEE4" w14:textId="77777777" w:rsidTr="004109C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4667B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C43A3" w14:textId="77777777" w:rsidR="004109C3" w:rsidRPr="004109C3" w:rsidRDefault="004109C3" w:rsidP="0041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ОБЩО ПО ПОЛИТИКАТА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C4F1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27386,1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F2DCA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26 691,1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68DC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26 921,8</w:t>
            </w:r>
          </w:p>
        </w:tc>
      </w:tr>
    </w:tbl>
    <w:p w14:paraId="158BA19E" w14:textId="77777777" w:rsidR="004109C3" w:rsidRDefault="004109C3" w:rsidP="00394B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7A0B3C" w14:textId="77777777" w:rsidR="00394B16" w:rsidRDefault="00394B16" w:rsidP="00415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30BFE9" w14:textId="77777777" w:rsidR="00FB2C29" w:rsidRPr="00353390" w:rsidRDefault="00FB2C29" w:rsidP="00415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3390">
        <w:rPr>
          <w:rFonts w:ascii="Times New Roman" w:hAnsi="Times New Roman" w:cs="Times New Roman"/>
          <w:b/>
          <w:i/>
          <w:sz w:val="24"/>
          <w:szCs w:val="24"/>
        </w:rPr>
        <w:t>Бюджетна програма „Администрация“:</w:t>
      </w:r>
    </w:p>
    <w:p w14:paraId="1BF7B4DF" w14:textId="3E353B1E" w:rsidR="00A630BD" w:rsidRDefault="00F83CE9" w:rsidP="004157FF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3C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програмата са включени </w:t>
      </w:r>
      <w:r w:rsidR="00A630BD" w:rsidRPr="00A630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дейностите, които съдействат за работата на специализираната администрация, и дейностите по административното обслужване на гражданите и юридическите лица. Всички тези дейности подпомагат изпълнението на програмите по </w:t>
      </w:r>
      <w:r w:rsidRPr="00F83CE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провежданите от МОСВ политики</w:t>
      </w:r>
      <w:r w:rsidR="00A630BD" w:rsidRPr="00A630B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29C305" w14:textId="2C2B577B" w:rsidR="004109C3" w:rsidRDefault="004109C3" w:rsidP="004157FF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2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540"/>
        <w:gridCol w:w="1840"/>
        <w:gridCol w:w="1660"/>
        <w:gridCol w:w="1660"/>
      </w:tblGrid>
      <w:tr w:rsidR="004109C3" w:rsidRPr="004109C3" w14:paraId="612724A4" w14:textId="77777777" w:rsidTr="004109C3">
        <w:trPr>
          <w:trHeight w:val="37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67BC0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4598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D80B" w14:textId="086ACC5D" w:rsidR="004109C3" w:rsidRPr="004109C3" w:rsidRDefault="008D7B80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Бюджет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5198D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Прогноза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244B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Прогноза</w:t>
            </w:r>
          </w:p>
        </w:tc>
      </w:tr>
      <w:tr w:rsidR="004109C3" w:rsidRPr="004109C3" w14:paraId="0D1D901D" w14:textId="77777777" w:rsidTr="004109C3">
        <w:trPr>
          <w:trHeight w:val="76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587C9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70C8E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1900 МИНИСТЕРСТВО НА ОКОЛНАТА СРЕДА И ВОДИТЕ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5198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FBEC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2024 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C866C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2025 г.</w:t>
            </w:r>
          </w:p>
        </w:tc>
      </w:tr>
      <w:tr w:rsidR="004109C3" w:rsidRPr="004109C3" w14:paraId="573208C8" w14:textId="77777777" w:rsidTr="004109C3">
        <w:trPr>
          <w:trHeight w:val="25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E68D3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83AA7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BD88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F256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7E40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109C3" w:rsidRPr="004109C3" w14:paraId="4F583A09" w14:textId="77777777" w:rsidTr="004109C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7CEF4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B2881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Администрация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DA9BD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59F70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551D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109C3" w:rsidRPr="004109C3" w14:paraId="6A447F39" w14:textId="77777777" w:rsidTr="004109C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758E5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9F2B4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0AEFE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62AAD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017FA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</w:t>
            </w:r>
          </w:p>
        </w:tc>
      </w:tr>
      <w:tr w:rsidR="004109C3" w:rsidRPr="004109C3" w14:paraId="105E8715" w14:textId="77777777" w:rsidTr="004109C3">
        <w:trPr>
          <w:trHeight w:val="9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1B0C2" w14:textId="77777777" w:rsidR="004109C3" w:rsidRPr="004109C3" w:rsidRDefault="004109C3" w:rsidP="004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DEC9" w14:textId="77777777" w:rsidR="004109C3" w:rsidRPr="004109C3" w:rsidRDefault="004109C3" w:rsidP="0041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Консолидирани разходи в област на бюджетна програма „Администрация“, които МОСВ разходва пряко чрез бюджета и отговаря за разпределението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DBCD4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31706,1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1FBDC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28 549,3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827E1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29 307,7</w:t>
            </w:r>
          </w:p>
        </w:tc>
      </w:tr>
      <w:tr w:rsidR="004109C3" w:rsidRPr="004109C3" w14:paraId="5F4FC46A" w14:textId="77777777" w:rsidTr="004109C3">
        <w:trPr>
          <w:trHeight w:val="9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0E7C7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8B25" w14:textId="77777777" w:rsidR="004109C3" w:rsidRPr="004109C3" w:rsidRDefault="004109C3" w:rsidP="0041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Консолидирани разходи в област на бюджетна програма „Администрация“ финансирани по други бюджети и сметки за средства от ЕС, в т.ч.: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ED9B7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14533,1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32210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9 991,8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9ED2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15 287,0</w:t>
            </w:r>
          </w:p>
        </w:tc>
      </w:tr>
      <w:tr w:rsidR="004109C3" w:rsidRPr="004109C3" w14:paraId="570D2FC8" w14:textId="77777777" w:rsidTr="004109C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F0687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31BA" w14:textId="77777777" w:rsidR="004109C3" w:rsidRPr="004109C3" w:rsidRDefault="004109C3" w:rsidP="0041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·          </w:t>
            </w: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ПУДООС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26763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5415,4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5315B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5 415,4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5B95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5 415,4</w:t>
            </w:r>
          </w:p>
        </w:tc>
      </w:tr>
      <w:tr w:rsidR="004109C3" w:rsidRPr="004109C3" w14:paraId="1C3E4127" w14:textId="77777777" w:rsidTr="004109C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EDE87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BB6D5" w14:textId="77777777" w:rsidR="004109C3" w:rsidRPr="004109C3" w:rsidRDefault="004109C3" w:rsidP="0041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·          </w:t>
            </w: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ОП „Околна среда“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208C1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8959,7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6CC39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4 438,8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8724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9 754,4</w:t>
            </w:r>
          </w:p>
        </w:tc>
      </w:tr>
      <w:tr w:rsidR="004109C3" w:rsidRPr="004109C3" w14:paraId="74981DF0" w14:textId="77777777" w:rsidTr="004109C3">
        <w:trPr>
          <w:trHeight w:val="7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63D2D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5B02D" w14:textId="77777777" w:rsidR="004109C3" w:rsidRPr="004109C3" w:rsidRDefault="004109C3" w:rsidP="0041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·          </w:t>
            </w: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Околна среда и климатични промени - финансирани от ФМ на ЕИП 2014-2021 г.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49D77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C661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63AA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0,0</w:t>
            </w:r>
          </w:p>
        </w:tc>
      </w:tr>
      <w:tr w:rsidR="004109C3" w:rsidRPr="004109C3" w14:paraId="79BDF3DE" w14:textId="77777777" w:rsidTr="004109C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16E56" w14:textId="77777777" w:rsidR="004109C3" w:rsidRPr="004109C3" w:rsidRDefault="004109C3" w:rsidP="0041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28D51" w14:textId="77777777" w:rsidR="004109C3" w:rsidRPr="004109C3" w:rsidRDefault="004109C3" w:rsidP="0041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ОБЩО ПО ПОЛИТИКАТА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3F7C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46239,2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3077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38 541,1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3CD1" w14:textId="77777777" w:rsidR="004109C3" w:rsidRPr="004109C3" w:rsidRDefault="004109C3" w:rsidP="00410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44 594,7</w:t>
            </w:r>
          </w:p>
        </w:tc>
      </w:tr>
    </w:tbl>
    <w:p w14:paraId="15C7DA29" w14:textId="77777777" w:rsidR="004109C3" w:rsidRDefault="004109C3" w:rsidP="004157FF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1AEFF95" w14:textId="018FA9A2" w:rsidR="001C74F4" w:rsidRDefault="001C74F4" w:rsidP="004157FF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1C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2AA2E" w14:textId="77777777" w:rsidR="00FD4CB3" w:rsidRDefault="00FD4CB3" w:rsidP="00050E55">
      <w:pPr>
        <w:spacing w:after="0" w:line="240" w:lineRule="auto"/>
      </w:pPr>
      <w:r>
        <w:separator/>
      </w:r>
    </w:p>
  </w:endnote>
  <w:endnote w:type="continuationSeparator" w:id="0">
    <w:p w14:paraId="55BB687E" w14:textId="77777777" w:rsidR="00FD4CB3" w:rsidRDefault="00FD4CB3" w:rsidP="0005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B8B66" w14:textId="77777777" w:rsidR="00FD4CB3" w:rsidRDefault="00FD4CB3" w:rsidP="00050E55">
      <w:pPr>
        <w:spacing w:after="0" w:line="240" w:lineRule="auto"/>
      </w:pPr>
      <w:r>
        <w:separator/>
      </w:r>
    </w:p>
  </w:footnote>
  <w:footnote w:type="continuationSeparator" w:id="0">
    <w:p w14:paraId="2A912053" w14:textId="77777777" w:rsidR="00FD4CB3" w:rsidRDefault="00FD4CB3" w:rsidP="00050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DB4"/>
    <w:multiLevelType w:val="hybridMultilevel"/>
    <w:tmpl w:val="92289BA4"/>
    <w:lvl w:ilvl="0" w:tplc="0402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" w15:restartNumberingAfterBreak="0">
    <w:nsid w:val="06D53880"/>
    <w:multiLevelType w:val="hybridMultilevel"/>
    <w:tmpl w:val="174E86F0"/>
    <w:lvl w:ilvl="0" w:tplc="515810D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63D"/>
    <w:multiLevelType w:val="hybridMultilevel"/>
    <w:tmpl w:val="94B45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35B6"/>
    <w:multiLevelType w:val="hybridMultilevel"/>
    <w:tmpl w:val="B658C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30C6"/>
    <w:multiLevelType w:val="hybridMultilevel"/>
    <w:tmpl w:val="BB82D9C2"/>
    <w:lvl w:ilvl="0" w:tplc="11262E8A">
      <w:start w:val="3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8716E"/>
    <w:multiLevelType w:val="hybridMultilevel"/>
    <w:tmpl w:val="7EB43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7710E"/>
    <w:multiLevelType w:val="hybridMultilevel"/>
    <w:tmpl w:val="A16C2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47AF"/>
    <w:multiLevelType w:val="hybridMultilevel"/>
    <w:tmpl w:val="A7DE9B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6D58"/>
    <w:multiLevelType w:val="hybridMultilevel"/>
    <w:tmpl w:val="2CE6D4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3B14"/>
    <w:multiLevelType w:val="hybridMultilevel"/>
    <w:tmpl w:val="5F3846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04D9"/>
    <w:multiLevelType w:val="hybridMultilevel"/>
    <w:tmpl w:val="553EB13A"/>
    <w:lvl w:ilvl="0" w:tplc="436271AC">
      <w:start w:val="3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1087D"/>
    <w:multiLevelType w:val="hybridMultilevel"/>
    <w:tmpl w:val="F440F75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AA7C7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CB079A"/>
    <w:multiLevelType w:val="hybridMultilevel"/>
    <w:tmpl w:val="794E1D8C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D339B"/>
    <w:multiLevelType w:val="hybridMultilevel"/>
    <w:tmpl w:val="660E91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43ABC"/>
    <w:multiLevelType w:val="hybridMultilevel"/>
    <w:tmpl w:val="F9082B0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0"/>
  </w:num>
  <w:num w:numId="11">
    <w:abstractNumId w:val="11"/>
  </w:num>
  <w:num w:numId="12">
    <w:abstractNumId w:val="3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82"/>
    <w:rsid w:val="000003B3"/>
    <w:rsid w:val="00010DDB"/>
    <w:rsid w:val="00011822"/>
    <w:rsid w:val="000138CE"/>
    <w:rsid w:val="00022705"/>
    <w:rsid w:val="00022757"/>
    <w:rsid w:val="00031A0E"/>
    <w:rsid w:val="00032D2A"/>
    <w:rsid w:val="00040924"/>
    <w:rsid w:val="00043D32"/>
    <w:rsid w:val="000456CF"/>
    <w:rsid w:val="00050E55"/>
    <w:rsid w:val="000634BB"/>
    <w:rsid w:val="00091C5B"/>
    <w:rsid w:val="000A695A"/>
    <w:rsid w:val="000B2BE5"/>
    <w:rsid w:val="000B5C96"/>
    <w:rsid w:val="000C2356"/>
    <w:rsid w:val="000C26CD"/>
    <w:rsid w:val="000C58F8"/>
    <w:rsid w:val="000C755E"/>
    <w:rsid w:val="00101970"/>
    <w:rsid w:val="00104B79"/>
    <w:rsid w:val="00113B4E"/>
    <w:rsid w:val="001179EB"/>
    <w:rsid w:val="001210D8"/>
    <w:rsid w:val="001221E4"/>
    <w:rsid w:val="00123935"/>
    <w:rsid w:val="0012661A"/>
    <w:rsid w:val="00130579"/>
    <w:rsid w:val="00137F88"/>
    <w:rsid w:val="001611EF"/>
    <w:rsid w:val="00170510"/>
    <w:rsid w:val="0017333C"/>
    <w:rsid w:val="00177DC2"/>
    <w:rsid w:val="00184549"/>
    <w:rsid w:val="00196A79"/>
    <w:rsid w:val="001A1FE8"/>
    <w:rsid w:val="001A6EE1"/>
    <w:rsid w:val="001A7FDE"/>
    <w:rsid w:val="001B1961"/>
    <w:rsid w:val="001B2212"/>
    <w:rsid w:val="001C1C90"/>
    <w:rsid w:val="001C74F4"/>
    <w:rsid w:val="001D64C1"/>
    <w:rsid w:val="001E3AFB"/>
    <w:rsid w:val="001E5012"/>
    <w:rsid w:val="00201684"/>
    <w:rsid w:val="00203B29"/>
    <w:rsid w:val="0020792F"/>
    <w:rsid w:val="00214ADF"/>
    <w:rsid w:val="0021534C"/>
    <w:rsid w:val="00223AC9"/>
    <w:rsid w:val="00223EEC"/>
    <w:rsid w:val="00230093"/>
    <w:rsid w:val="00235BF0"/>
    <w:rsid w:val="00251209"/>
    <w:rsid w:val="00257B46"/>
    <w:rsid w:val="00270F16"/>
    <w:rsid w:val="002710B6"/>
    <w:rsid w:val="002814EC"/>
    <w:rsid w:val="00285DE6"/>
    <w:rsid w:val="002866A3"/>
    <w:rsid w:val="00295879"/>
    <w:rsid w:val="002A03EB"/>
    <w:rsid w:val="002A086B"/>
    <w:rsid w:val="002B40D5"/>
    <w:rsid w:val="002C3FA0"/>
    <w:rsid w:val="002D12D1"/>
    <w:rsid w:val="002E272E"/>
    <w:rsid w:val="00307D4D"/>
    <w:rsid w:val="003125F7"/>
    <w:rsid w:val="00313BD8"/>
    <w:rsid w:val="00315065"/>
    <w:rsid w:val="003211BA"/>
    <w:rsid w:val="0032516B"/>
    <w:rsid w:val="0032625C"/>
    <w:rsid w:val="00333762"/>
    <w:rsid w:val="00334727"/>
    <w:rsid w:val="00345526"/>
    <w:rsid w:val="00353390"/>
    <w:rsid w:val="003554DF"/>
    <w:rsid w:val="00373B66"/>
    <w:rsid w:val="00380286"/>
    <w:rsid w:val="00391C8B"/>
    <w:rsid w:val="00394B16"/>
    <w:rsid w:val="003B1F6F"/>
    <w:rsid w:val="003C769E"/>
    <w:rsid w:val="003E669A"/>
    <w:rsid w:val="004109C3"/>
    <w:rsid w:val="0041196A"/>
    <w:rsid w:val="004157FF"/>
    <w:rsid w:val="00444D7F"/>
    <w:rsid w:val="00460373"/>
    <w:rsid w:val="004669A4"/>
    <w:rsid w:val="004718D8"/>
    <w:rsid w:val="00472583"/>
    <w:rsid w:val="0048279F"/>
    <w:rsid w:val="004851B9"/>
    <w:rsid w:val="00486511"/>
    <w:rsid w:val="0049632E"/>
    <w:rsid w:val="004A62CA"/>
    <w:rsid w:val="004B1C41"/>
    <w:rsid w:val="004B5CEE"/>
    <w:rsid w:val="004C4309"/>
    <w:rsid w:val="004C7706"/>
    <w:rsid w:val="004D1145"/>
    <w:rsid w:val="004F06C3"/>
    <w:rsid w:val="004F3FFD"/>
    <w:rsid w:val="004F6515"/>
    <w:rsid w:val="0050131E"/>
    <w:rsid w:val="00504378"/>
    <w:rsid w:val="0051757E"/>
    <w:rsid w:val="005259B7"/>
    <w:rsid w:val="005261FB"/>
    <w:rsid w:val="00531B55"/>
    <w:rsid w:val="00540535"/>
    <w:rsid w:val="005449F3"/>
    <w:rsid w:val="00545D1F"/>
    <w:rsid w:val="00551202"/>
    <w:rsid w:val="00553848"/>
    <w:rsid w:val="0056154C"/>
    <w:rsid w:val="005678F7"/>
    <w:rsid w:val="005945AB"/>
    <w:rsid w:val="005B02C8"/>
    <w:rsid w:val="005B405C"/>
    <w:rsid w:val="005B425D"/>
    <w:rsid w:val="005B58E2"/>
    <w:rsid w:val="005E27CE"/>
    <w:rsid w:val="005E672A"/>
    <w:rsid w:val="005F35B2"/>
    <w:rsid w:val="00606093"/>
    <w:rsid w:val="00610467"/>
    <w:rsid w:val="0063356A"/>
    <w:rsid w:val="00636F1F"/>
    <w:rsid w:val="006418E6"/>
    <w:rsid w:val="00657F36"/>
    <w:rsid w:val="00661D04"/>
    <w:rsid w:val="0066565F"/>
    <w:rsid w:val="00687E53"/>
    <w:rsid w:val="006A52D3"/>
    <w:rsid w:val="006C345B"/>
    <w:rsid w:val="006E68C4"/>
    <w:rsid w:val="006F09B6"/>
    <w:rsid w:val="006F3195"/>
    <w:rsid w:val="006F343B"/>
    <w:rsid w:val="006F54D8"/>
    <w:rsid w:val="00703B68"/>
    <w:rsid w:val="00705F9D"/>
    <w:rsid w:val="007212F6"/>
    <w:rsid w:val="007220E8"/>
    <w:rsid w:val="0072299A"/>
    <w:rsid w:val="007233D0"/>
    <w:rsid w:val="00730788"/>
    <w:rsid w:val="00744B4C"/>
    <w:rsid w:val="00745BAF"/>
    <w:rsid w:val="0074752F"/>
    <w:rsid w:val="00747B9D"/>
    <w:rsid w:val="00755470"/>
    <w:rsid w:val="00762778"/>
    <w:rsid w:val="00763214"/>
    <w:rsid w:val="00766A55"/>
    <w:rsid w:val="00785182"/>
    <w:rsid w:val="00790DE8"/>
    <w:rsid w:val="007A22AA"/>
    <w:rsid w:val="007B400D"/>
    <w:rsid w:val="007C628B"/>
    <w:rsid w:val="007E135B"/>
    <w:rsid w:val="007E6DB5"/>
    <w:rsid w:val="00846D10"/>
    <w:rsid w:val="00862B10"/>
    <w:rsid w:val="00874B16"/>
    <w:rsid w:val="00875B9B"/>
    <w:rsid w:val="00876BE9"/>
    <w:rsid w:val="00877856"/>
    <w:rsid w:val="00884560"/>
    <w:rsid w:val="0089022D"/>
    <w:rsid w:val="008A3492"/>
    <w:rsid w:val="008A784D"/>
    <w:rsid w:val="008B1FF1"/>
    <w:rsid w:val="008C027D"/>
    <w:rsid w:val="008C0864"/>
    <w:rsid w:val="008D14E8"/>
    <w:rsid w:val="008D7B80"/>
    <w:rsid w:val="008E3B3E"/>
    <w:rsid w:val="008F1DD5"/>
    <w:rsid w:val="008F76C3"/>
    <w:rsid w:val="009032DF"/>
    <w:rsid w:val="0090438C"/>
    <w:rsid w:val="009051D6"/>
    <w:rsid w:val="00912E47"/>
    <w:rsid w:val="00923957"/>
    <w:rsid w:val="0094150C"/>
    <w:rsid w:val="009451BE"/>
    <w:rsid w:val="009477AD"/>
    <w:rsid w:val="00957073"/>
    <w:rsid w:val="00960E7B"/>
    <w:rsid w:val="009754CB"/>
    <w:rsid w:val="009836B8"/>
    <w:rsid w:val="00991C2D"/>
    <w:rsid w:val="00995E63"/>
    <w:rsid w:val="009A7122"/>
    <w:rsid w:val="009B0E11"/>
    <w:rsid w:val="009B46C5"/>
    <w:rsid w:val="009C32AB"/>
    <w:rsid w:val="009C4CA8"/>
    <w:rsid w:val="009D0456"/>
    <w:rsid w:val="009D07EB"/>
    <w:rsid w:val="009D196F"/>
    <w:rsid w:val="009F1731"/>
    <w:rsid w:val="00A21989"/>
    <w:rsid w:val="00A317F6"/>
    <w:rsid w:val="00A409E1"/>
    <w:rsid w:val="00A45EDE"/>
    <w:rsid w:val="00A570DC"/>
    <w:rsid w:val="00A630BD"/>
    <w:rsid w:val="00A6549D"/>
    <w:rsid w:val="00A765FE"/>
    <w:rsid w:val="00A80870"/>
    <w:rsid w:val="00A81DD4"/>
    <w:rsid w:val="00A840DF"/>
    <w:rsid w:val="00A9072E"/>
    <w:rsid w:val="00AA0D72"/>
    <w:rsid w:val="00AB387F"/>
    <w:rsid w:val="00AD1C83"/>
    <w:rsid w:val="00AD6F15"/>
    <w:rsid w:val="00AE0B4B"/>
    <w:rsid w:val="00AE0FB7"/>
    <w:rsid w:val="00AF3926"/>
    <w:rsid w:val="00AF3AB3"/>
    <w:rsid w:val="00B24746"/>
    <w:rsid w:val="00B420D0"/>
    <w:rsid w:val="00B610AD"/>
    <w:rsid w:val="00B632A9"/>
    <w:rsid w:val="00B65AB5"/>
    <w:rsid w:val="00B72962"/>
    <w:rsid w:val="00B76DA3"/>
    <w:rsid w:val="00B76FD3"/>
    <w:rsid w:val="00B803D9"/>
    <w:rsid w:val="00BA0712"/>
    <w:rsid w:val="00BA6476"/>
    <w:rsid w:val="00BB04B0"/>
    <w:rsid w:val="00BB28AF"/>
    <w:rsid w:val="00BB4041"/>
    <w:rsid w:val="00BB5ACB"/>
    <w:rsid w:val="00BB68F4"/>
    <w:rsid w:val="00BC2F8C"/>
    <w:rsid w:val="00BD4679"/>
    <w:rsid w:val="00BD7669"/>
    <w:rsid w:val="00BE22C2"/>
    <w:rsid w:val="00BE402D"/>
    <w:rsid w:val="00BF7D56"/>
    <w:rsid w:val="00C031A7"/>
    <w:rsid w:val="00C05D6F"/>
    <w:rsid w:val="00C14A09"/>
    <w:rsid w:val="00C16D94"/>
    <w:rsid w:val="00C217D2"/>
    <w:rsid w:val="00C3792B"/>
    <w:rsid w:val="00C704F3"/>
    <w:rsid w:val="00C76BB4"/>
    <w:rsid w:val="00C77D1F"/>
    <w:rsid w:val="00C92B65"/>
    <w:rsid w:val="00C94ED6"/>
    <w:rsid w:val="00CA2B5A"/>
    <w:rsid w:val="00CA7431"/>
    <w:rsid w:val="00CD2840"/>
    <w:rsid w:val="00CE1A6E"/>
    <w:rsid w:val="00CE1E09"/>
    <w:rsid w:val="00CF1831"/>
    <w:rsid w:val="00CF2B13"/>
    <w:rsid w:val="00D006EA"/>
    <w:rsid w:val="00D01DD5"/>
    <w:rsid w:val="00D05232"/>
    <w:rsid w:val="00D12910"/>
    <w:rsid w:val="00D14359"/>
    <w:rsid w:val="00D200EF"/>
    <w:rsid w:val="00D20DF8"/>
    <w:rsid w:val="00D24DE3"/>
    <w:rsid w:val="00D36EA5"/>
    <w:rsid w:val="00D457D6"/>
    <w:rsid w:val="00D545AA"/>
    <w:rsid w:val="00D614F9"/>
    <w:rsid w:val="00D6429E"/>
    <w:rsid w:val="00D70CB1"/>
    <w:rsid w:val="00D7312D"/>
    <w:rsid w:val="00D752C6"/>
    <w:rsid w:val="00D94E7B"/>
    <w:rsid w:val="00DA4843"/>
    <w:rsid w:val="00DB1488"/>
    <w:rsid w:val="00DB3D6D"/>
    <w:rsid w:val="00DD10D7"/>
    <w:rsid w:val="00DD2ABE"/>
    <w:rsid w:val="00DD3B14"/>
    <w:rsid w:val="00DE710D"/>
    <w:rsid w:val="00E0240B"/>
    <w:rsid w:val="00E124D3"/>
    <w:rsid w:val="00E26534"/>
    <w:rsid w:val="00E324B7"/>
    <w:rsid w:val="00E632A6"/>
    <w:rsid w:val="00E84B37"/>
    <w:rsid w:val="00E84F91"/>
    <w:rsid w:val="00E86677"/>
    <w:rsid w:val="00E94350"/>
    <w:rsid w:val="00EA532E"/>
    <w:rsid w:val="00EC5884"/>
    <w:rsid w:val="00ED37B9"/>
    <w:rsid w:val="00EE1440"/>
    <w:rsid w:val="00EE39F2"/>
    <w:rsid w:val="00EF5C62"/>
    <w:rsid w:val="00F154A7"/>
    <w:rsid w:val="00F22144"/>
    <w:rsid w:val="00F22561"/>
    <w:rsid w:val="00F27432"/>
    <w:rsid w:val="00F314CE"/>
    <w:rsid w:val="00F46B43"/>
    <w:rsid w:val="00F67202"/>
    <w:rsid w:val="00F67809"/>
    <w:rsid w:val="00F71765"/>
    <w:rsid w:val="00F76947"/>
    <w:rsid w:val="00F83CE9"/>
    <w:rsid w:val="00F84923"/>
    <w:rsid w:val="00F924D6"/>
    <w:rsid w:val="00F93315"/>
    <w:rsid w:val="00F9392D"/>
    <w:rsid w:val="00FA7B0E"/>
    <w:rsid w:val="00FB2C29"/>
    <w:rsid w:val="00FB2FA4"/>
    <w:rsid w:val="00FB4D41"/>
    <w:rsid w:val="00FB4D6C"/>
    <w:rsid w:val="00FD4CB3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39D7"/>
  <w15:docId w15:val="{7356C400-C7CF-42BE-92FA-92E3C66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8AF"/>
  </w:style>
  <w:style w:type="paragraph" w:styleId="Heading1">
    <w:name w:val="heading 1"/>
    <w:basedOn w:val="Normal"/>
    <w:next w:val="Normal"/>
    <w:link w:val="Heading1Char"/>
    <w:qFormat/>
    <w:rsid w:val="0023009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30093"/>
    <w:rPr>
      <w:rFonts w:ascii="Times New Roman" w:eastAsia="Times New Roman" w:hAnsi="Times New Roman" w:cs="Times New Roman"/>
      <w:b/>
      <w:caps/>
      <w:sz w:val="24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E55"/>
  </w:style>
  <w:style w:type="paragraph" w:styleId="Footer">
    <w:name w:val="footer"/>
    <w:basedOn w:val="Normal"/>
    <w:link w:val="FooterChar"/>
    <w:uiPriority w:val="99"/>
    <w:unhideWhenUsed/>
    <w:rsid w:val="00050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E55"/>
  </w:style>
  <w:style w:type="paragraph" w:styleId="CommentText">
    <w:name w:val="annotation text"/>
    <w:basedOn w:val="Normal"/>
    <w:link w:val="CommentTextChar"/>
    <w:rsid w:val="001B1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rsid w:val="001B196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CommentReference">
    <w:name w:val="annotation reference"/>
    <w:rsid w:val="001B19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5298-87D5-4F96-974E-06908DA2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5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 Нургалиев</dc:creator>
  <cp:lastModifiedBy>Milena Grigorova</cp:lastModifiedBy>
  <cp:revision>101</cp:revision>
  <cp:lastPrinted>2022-03-08T10:09:00Z</cp:lastPrinted>
  <dcterms:created xsi:type="dcterms:W3CDTF">2021-03-02T12:16:00Z</dcterms:created>
  <dcterms:modified xsi:type="dcterms:W3CDTF">2023-08-25T06:15:00Z</dcterms:modified>
</cp:coreProperties>
</file>