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036BE7">
        <w:rPr>
          <w:b/>
        </w:rPr>
        <w:t>BG0001040</w:t>
      </w:r>
      <w:r w:rsidR="00036BE7" w:rsidRPr="003856B4">
        <w:rPr>
          <w:b/>
        </w:rPr>
        <w:t xml:space="preserve"> </w:t>
      </w:r>
      <w:r w:rsidR="00036BE7">
        <w:rPr>
          <w:b/>
        </w:rPr>
        <w:t>„</w:t>
      </w:r>
      <w:r w:rsidR="00036BE7" w:rsidRPr="000B0EC8">
        <w:rPr>
          <w:b/>
        </w:rPr>
        <w:t>Западна Стара планина и Предбалкан</w:t>
      </w:r>
      <w:r w:rsidR="00036BE7">
        <w:rPr>
          <w:b/>
        </w:rPr>
        <w:t>“</w:t>
      </w:r>
      <w:r w:rsidR="009B3D30" w:rsidRPr="004A5A0D">
        <w:t xml:space="preserve">. </w:t>
      </w:r>
    </w:p>
    <w:p w:rsidR="009829CD" w:rsidRPr="00D104EC" w:rsidRDefault="00046BE2" w:rsidP="009829CD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9829CD">
        <w:t xml:space="preserve">гр. </w:t>
      </w:r>
      <w:r w:rsidR="009829CD" w:rsidRPr="00D104EC">
        <w:t>Белоградчик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Боровица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Вещица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Гранитово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Граничак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Дъбравка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Крачимир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Ошане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Праужда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Пролазница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Раяновци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Салаш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Сливовник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Стакевци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Струиндол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Чифлик</w:t>
      </w:r>
      <w:r w:rsidR="009829CD">
        <w:t xml:space="preserve">, </w:t>
      </w:r>
      <w:r w:rsidR="009829CD" w:rsidRPr="00D104EC">
        <w:rPr>
          <w:b/>
        </w:rPr>
        <w:t>община</w:t>
      </w:r>
      <w:r w:rsidR="009829CD" w:rsidRPr="00D104EC">
        <w:t xml:space="preserve"> </w:t>
      </w:r>
      <w:r w:rsidR="009829CD" w:rsidRPr="00D104EC">
        <w:rPr>
          <w:b/>
        </w:rPr>
        <w:t>Белоградчик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Видин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Върбовчец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Орешец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Яньовец</w:t>
      </w:r>
      <w:r w:rsidR="009829CD">
        <w:t xml:space="preserve">, </w:t>
      </w:r>
      <w:r w:rsidR="009829CD" w:rsidRPr="00D104EC">
        <w:rPr>
          <w:b/>
        </w:rPr>
        <w:t>община Димово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Видин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Подгоре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Раковица</w:t>
      </w:r>
      <w:r w:rsidR="009829CD">
        <w:t xml:space="preserve">, </w:t>
      </w:r>
      <w:r w:rsidR="009829CD" w:rsidRPr="00D104EC">
        <w:rPr>
          <w:b/>
        </w:rPr>
        <w:t>община Макреш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Видин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Гюргич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Плешивец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Ружинци</w:t>
      </w:r>
      <w:r w:rsidR="009829CD">
        <w:t xml:space="preserve">, </w:t>
      </w:r>
      <w:r w:rsidR="009829CD" w:rsidRPr="00D104EC">
        <w:rPr>
          <w:b/>
        </w:rPr>
        <w:t>община Ружинци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Видин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Върбово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Горни Лом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Долни Лом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Протопопинци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Репляна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Средогрив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Търговище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Чупрене</w:t>
      </w:r>
      <w:r w:rsidR="009829CD">
        <w:t xml:space="preserve">, </w:t>
      </w:r>
      <w:r w:rsidR="009829CD" w:rsidRPr="00D104EC">
        <w:rPr>
          <w:b/>
        </w:rPr>
        <w:t>община Чупрене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Видин</w:t>
      </w:r>
      <w:r w:rsidR="009829CD" w:rsidRPr="00D104EC">
        <w:t xml:space="preserve">, </w:t>
      </w:r>
      <w:r w:rsidR="009829CD">
        <w:t xml:space="preserve">гр. </w:t>
      </w:r>
      <w:r w:rsidR="009829CD" w:rsidRPr="00D104EC">
        <w:t>Берковица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Бистрилица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Боровци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Бързия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Гаганица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Комарево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Костенци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Котеновци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Лесковец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Цветкова бара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Черешовица</w:t>
      </w:r>
      <w:r w:rsidR="009829CD">
        <w:t xml:space="preserve">, </w:t>
      </w:r>
      <w:r w:rsidR="009829CD" w:rsidRPr="00D104EC">
        <w:rPr>
          <w:b/>
        </w:rPr>
        <w:t>община Берковица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Монтана</w:t>
      </w:r>
      <w:r w:rsidR="009829CD" w:rsidRPr="00D104EC">
        <w:t xml:space="preserve">, </w:t>
      </w:r>
      <w:r w:rsidR="009829CD">
        <w:t xml:space="preserve">гр. </w:t>
      </w:r>
      <w:r w:rsidR="009829CD" w:rsidRPr="00D104EC">
        <w:t>Вършец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Долна Бела речка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Долно Озирово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Спанчевци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Стояново</w:t>
      </w:r>
      <w:r w:rsidR="009829CD">
        <w:t xml:space="preserve">, </w:t>
      </w:r>
      <w:r w:rsidR="009829CD" w:rsidRPr="00D104EC">
        <w:rPr>
          <w:b/>
        </w:rPr>
        <w:t>община Вършец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Монтана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Видлица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Гаврил Геново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Георги Дамяново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Главановци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Говежда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Дива Слатина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Дълги дел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Еловица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Каменна Рикса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Копиловци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Меляне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Помеждин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Чемиш</w:t>
      </w:r>
      <w:r w:rsidR="009829CD">
        <w:t xml:space="preserve">, </w:t>
      </w:r>
      <w:r w:rsidR="009829CD" w:rsidRPr="00D104EC">
        <w:rPr>
          <w:b/>
        </w:rPr>
        <w:t>община</w:t>
      </w:r>
      <w:r w:rsidR="009829CD" w:rsidRPr="00D104EC">
        <w:t xml:space="preserve"> </w:t>
      </w:r>
      <w:r w:rsidR="009829CD" w:rsidRPr="00D104EC">
        <w:rPr>
          <w:b/>
        </w:rPr>
        <w:t>Георги Дамяново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Монтана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Белотинци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Винище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Горна Вереница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Горно Церовене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Долна Вереница</w:t>
      </w:r>
      <w:r w:rsidR="009829CD">
        <w:t>,</w:t>
      </w:r>
      <w:r w:rsidR="009829CD" w:rsidRPr="00D104EC">
        <w:t xml:space="preserve"> </w:t>
      </w:r>
      <w:r w:rsidR="009829CD">
        <w:t xml:space="preserve">гр. </w:t>
      </w:r>
      <w:r w:rsidR="009829CD" w:rsidRPr="00D104EC">
        <w:t>Монтана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Смоляновци</w:t>
      </w:r>
      <w:r w:rsidR="009829CD">
        <w:t xml:space="preserve">, </w:t>
      </w:r>
      <w:r w:rsidR="009829CD" w:rsidRPr="00D104EC">
        <w:rPr>
          <w:b/>
        </w:rPr>
        <w:t>община Монтана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Монтана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Белимел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Горна Ковачица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Горна Лука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Железна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Мартиново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Митровци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Превала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Равна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Челюстница</w:t>
      </w:r>
      <w:r w:rsidR="009829CD">
        <w:t>,</w:t>
      </w:r>
      <w:r w:rsidR="009829CD" w:rsidRPr="00D104EC">
        <w:t xml:space="preserve"> </w:t>
      </w:r>
      <w:r w:rsidR="009829CD">
        <w:t xml:space="preserve">гр. </w:t>
      </w:r>
      <w:r w:rsidR="009829CD" w:rsidRPr="00D104EC">
        <w:t>Чипровци</w:t>
      </w:r>
      <w:r w:rsidR="009829CD">
        <w:t xml:space="preserve">, </w:t>
      </w:r>
      <w:r w:rsidR="009829CD" w:rsidRPr="00D104EC">
        <w:rPr>
          <w:b/>
        </w:rPr>
        <w:t>община Чипровци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Монтана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Бракьовци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Букоровци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Бърля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Връдловци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Върбница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Гинци</w:t>
      </w:r>
      <w:r w:rsidR="009829CD">
        <w:t>,</w:t>
      </w:r>
      <w:r w:rsidR="009829CD" w:rsidRPr="00D104EC">
        <w:t xml:space="preserve"> </w:t>
      </w:r>
      <w:r w:rsidR="009829CD">
        <w:t xml:space="preserve">гр. </w:t>
      </w:r>
      <w:r w:rsidR="009829CD" w:rsidRPr="00D104EC">
        <w:t>Годеч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Голеш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Губеш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Каленовци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Комщица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Мургаш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Равна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Разбоище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Ропот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Смолча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Станинци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Туден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Шума</w:t>
      </w:r>
      <w:r w:rsidR="009829CD">
        <w:t xml:space="preserve">, </w:t>
      </w:r>
      <w:r w:rsidR="009829CD" w:rsidRPr="00D104EC">
        <w:rPr>
          <w:b/>
        </w:rPr>
        <w:t>община Годеч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София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Беренде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Беренде извор</w:t>
      </w:r>
      <w:r w:rsidR="009829CD">
        <w:t>,</w:t>
      </w:r>
      <w:r w:rsidR="009829CD" w:rsidRPr="00D104EC">
        <w:t xml:space="preserve"> </w:t>
      </w:r>
      <w:r w:rsidR="009829CD">
        <w:t xml:space="preserve">гр. </w:t>
      </w:r>
      <w:r w:rsidR="009829CD" w:rsidRPr="00D104EC">
        <w:t>Драгоман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Калотина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Липинци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Прекръсте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Чепърлинци</w:t>
      </w:r>
      <w:r w:rsidR="009829CD">
        <w:t xml:space="preserve">, </w:t>
      </w:r>
      <w:r w:rsidR="009829CD" w:rsidRPr="00D104EC">
        <w:rPr>
          <w:b/>
        </w:rPr>
        <w:t>община Драгоман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София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Бучин проход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Дреново</w:t>
      </w:r>
      <w:r w:rsidR="009829CD">
        <w:t xml:space="preserve">, </w:t>
      </w:r>
      <w:r w:rsidR="009829CD" w:rsidRPr="00D104EC">
        <w:rPr>
          <w:b/>
        </w:rPr>
        <w:t>община Костинброд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София</w:t>
      </w:r>
      <w:r w:rsidR="009829CD" w:rsidRPr="00D104EC">
        <w:t xml:space="preserve">, </w:t>
      </w:r>
      <w:r w:rsidR="009829CD">
        <w:t xml:space="preserve">с. </w:t>
      </w:r>
      <w:r w:rsidR="009829CD" w:rsidRPr="00D104EC">
        <w:t>Бов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Брезе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Губислав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Добравица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Добърчин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Дружево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Завидовци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Заноге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Заселе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Зимевица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Искрец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Лакатник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Манастирище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Миланово</w:t>
      </w:r>
      <w:r w:rsidR="009829CD">
        <w:t>,</w:t>
      </w:r>
      <w:r w:rsidR="009829CD" w:rsidRPr="00D104EC">
        <w:t xml:space="preserve"> </w:t>
      </w:r>
      <w:r w:rsidR="009829CD">
        <w:t xml:space="preserve">с. </w:t>
      </w:r>
      <w:r w:rsidR="009829CD" w:rsidRPr="00D104EC">
        <w:t>Церово</w:t>
      </w:r>
      <w:r w:rsidR="009829CD">
        <w:t xml:space="preserve">, </w:t>
      </w:r>
      <w:r w:rsidR="009829CD" w:rsidRPr="00D104EC">
        <w:rPr>
          <w:b/>
        </w:rPr>
        <w:t>община Своге</w:t>
      </w:r>
      <w:r w:rsidR="009829CD">
        <w:rPr>
          <w:b/>
        </w:rPr>
        <w:t xml:space="preserve">, </w:t>
      </w:r>
      <w:r w:rsidR="009829CD" w:rsidRPr="00D104EC">
        <w:rPr>
          <w:b/>
        </w:rPr>
        <w:t>област София</w:t>
      </w:r>
      <w:r w:rsidR="009829CD">
        <w:t>.</w:t>
      </w:r>
      <w:r w:rsidR="009829CD" w:rsidRPr="00D104EC">
        <w:t xml:space="preserve"> 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bookmarkStart w:id="0" w:name="_GoBack"/>
      <w:bookmarkEnd w:id="0"/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D22CEF">
        <w:t>ите</w:t>
      </w:r>
      <w:r w:rsidRPr="00C47C42">
        <w:t xml:space="preserve"> сград</w:t>
      </w:r>
      <w:r w:rsidR="00D22CEF">
        <w:t>и</w:t>
      </w:r>
      <w:r w:rsidRPr="00C47C42">
        <w:t xml:space="preserve"> на Регионалн</w:t>
      </w:r>
      <w:r w:rsidR="00D22CEF">
        <w:t>и</w:t>
      </w:r>
      <w:r w:rsidRPr="00C47C42">
        <w:t xml:space="preserve"> инспе</w:t>
      </w:r>
      <w:r w:rsidR="00F6257E">
        <w:t>кци</w:t>
      </w:r>
      <w:r w:rsidR="00D22CEF">
        <w:t>и</w:t>
      </w:r>
      <w:r w:rsidR="00F6257E">
        <w:t xml:space="preserve"> по околната среда и водите </w:t>
      </w:r>
      <w:r w:rsidR="00D22CEF" w:rsidRPr="00D22CEF">
        <w:t>Монтана (гр. Монтана, ул. „</w:t>
      </w:r>
      <w:proofErr w:type="spellStart"/>
      <w:r w:rsidR="00D22CEF" w:rsidRPr="00D22CEF">
        <w:t>Юлиус</w:t>
      </w:r>
      <w:proofErr w:type="spellEnd"/>
      <w:r w:rsidR="00D22CEF" w:rsidRPr="00D22CEF">
        <w:t xml:space="preserve"> </w:t>
      </w:r>
      <w:proofErr w:type="spellStart"/>
      <w:r w:rsidR="00D22CEF" w:rsidRPr="00D22CEF">
        <w:t>Ирасек</w:t>
      </w:r>
      <w:proofErr w:type="spellEnd"/>
      <w:r w:rsidR="00D22CEF" w:rsidRPr="00D22CEF">
        <w:t>“ 4, ПК 55, етаж 3)</w:t>
      </w:r>
      <w:r w:rsidR="00D22CEF" w:rsidRPr="00D22CEF">
        <w:t xml:space="preserve"> и </w:t>
      </w:r>
      <w:r w:rsidR="00D22CEF" w:rsidRPr="00D22CEF">
        <w:t xml:space="preserve">София (гр. София, </w:t>
      </w:r>
      <w:proofErr w:type="spellStart"/>
      <w:r w:rsidR="00D22CEF" w:rsidRPr="00D22CEF">
        <w:t>п.к</w:t>
      </w:r>
      <w:proofErr w:type="spellEnd"/>
      <w:r w:rsidR="00D22CEF" w:rsidRPr="00D22CEF">
        <w:t>. 1618, бул. „Цар Борис ІІІ“ № 136, ет. 10)</w:t>
      </w:r>
      <w:r w:rsidR="00F6257E" w:rsidRPr="00D22CEF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36BE7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829CD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22CEF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1207C7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2021-02-11T15:09:00Z</dcterms:modified>
</cp:coreProperties>
</file>