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83D5D" w14:textId="77777777" w:rsidR="009B50E9" w:rsidRPr="00D71531" w:rsidRDefault="009B50E9" w:rsidP="009B50E9">
      <w:pPr>
        <w:spacing w:before="100" w:beforeAutospacing="1" w:after="100" w:afterAutospacing="1"/>
        <w:jc w:val="center"/>
        <w:outlineLvl w:val="4"/>
        <w:rPr>
          <w:b/>
          <w:bCs/>
          <w:sz w:val="19"/>
          <w:szCs w:val="19"/>
        </w:rPr>
      </w:pPr>
      <w:r>
        <w:t xml:space="preserve">NOTIFICATION TO AN AFFECTED PARTY OF A PROPOSED ACTIVITY UNDER ARTICLE 3 OF THE CONVENTION </w:t>
      </w:r>
    </w:p>
    <w:tbl>
      <w:tblPr>
        <w:tblW w:w="517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87"/>
        <w:gridCol w:w="5982"/>
      </w:tblGrid>
      <w:tr w:rsidR="00583790" w:rsidRPr="00D71531" w14:paraId="6493F708"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B66DF5E" w14:textId="77777777" w:rsidR="000D674D" w:rsidRDefault="00000000">
            <w:r>
              <w:t>1. INFORMATION ON THE PROPOSED ACTIVITY</w:t>
            </w:r>
          </w:p>
        </w:tc>
      </w:tr>
      <w:tr w:rsidR="00583790" w:rsidRPr="00D71531" w14:paraId="0703547D"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78DEAD" w14:textId="77777777" w:rsidR="000D674D" w:rsidRDefault="00000000">
            <w:r>
              <w:t>(i) Information on the nature of the proposed activity</w:t>
            </w:r>
          </w:p>
        </w:tc>
      </w:tr>
      <w:tr w:rsidR="00583790" w:rsidRPr="00197438" w14:paraId="51EEA98B"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25CCF762" w14:textId="77777777" w:rsidR="000D674D" w:rsidRDefault="00000000">
            <w:r>
              <w:t>Type of proposed activity/document</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33B3861" w14:textId="4C12ED86" w:rsidR="00583790" w:rsidRPr="00685246" w:rsidRDefault="00685246" w:rsidP="00490EC1">
            <w:pPr>
              <w:rPr>
                <w:sz w:val="23"/>
                <w:szCs w:val="23"/>
                <w:lang w:val="sr-Latn-RS"/>
              </w:rPr>
            </w:pPr>
            <w:r w:rsidRPr="00685246">
              <w:rPr>
                <w:sz w:val="23"/>
                <w:szCs w:val="23"/>
                <w:lang w:val="sr-Latn-RS"/>
              </w:rPr>
              <w:t>Strategy for the Management of Mineral and Other Geological Resources of the Republic of Serbia for the period from 2025 to 2040, with projections to 2050 (hereinafter: the Strategy)</w:t>
            </w:r>
          </w:p>
        </w:tc>
      </w:tr>
      <w:tr w:rsidR="00583790" w:rsidRPr="00D71531" w14:paraId="0FB9338C"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4BEB1E33" w14:textId="77777777" w:rsidR="000D674D" w:rsidRDefault="00000000">
            <w:r>
              <w:t>Is the activity listed in Appendix I to the Convention?</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15F2692A" w14:textId="5AB9877A" w:rsidR="00583790" w:rsidRPr="00685246" w:rsidRDefault="00685246" w:rsidP="00132A4D">
            <w:pPr>
              <w:spacing w:before="100" w:beforeAutospacing="1" w:after="100" w:afterAutospacing="1"/>
              <w:rPr>
                <w:sz w:val="23"/>
                <w:szCs w:val="23"/>
                <w:lang w:val="sr-Latn-RS"/>
              </w:rPr>
            </w:pPr>
            <w:r w:rsidRPr="00685246">
              <w:rPr>
                <w:sz w:val="23"/>
                <w:szCs w:val="23"/>
                <w:lang w:val="sr-Latn-RS"/>
              </w:rPr>
              <w:t>Some activities are listed</w:t>
            </w:r>
          </w:p>
        </w:tc>
      </w:tr>
      <w:tr w:rsidR="00583790" w:rsidRPr="00D71531" w14:paraId="5FECA20A"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4EFB39AE" w14:textId="77777777" w:rsidR="000D674D" w:rsidRDefault="00000000">
            <w:r>
              <w:t>Scope of the proposed activity/document</w:t>
            </w:r>
            <w:r>
              <w:br/>
              <w:t xml:space="preserve"> </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48FE90E" w14:textId="2E6B31F6" w:rsidR="00CD038E" w:rsidRPr="00685246" w:rsidRDefault="00685246" w:rsidP="00685246">
            <w:pPr>
              <w:pStyle w:val="Default"/>
              <w:rPr>
                <w:lang w:val="sr-Latn-RS" w:eastAsia="x-none"/>
              </w:rPr>
            </w:pPr>
            <w:r w:rsidRPr="00685246">
              <w:rPr>
                <w:lang w:val="sr-Latn-RS" w:eastAsia="x-none"/>
              </w:rPr>
              <w:t>The development of the Strategy is defined by Articles 11–13 of the Law on Mining and Geological Research (“Official Gazette of RS”, Nos. 101/15, 95/18 – other law, and 40/21).</w:t>
            </w:r>
          </w:p>
        </w:tc>
      </w:tr>
      <w:tr w:rsidR="00583790" w:rsidRPr="00723880" w14:paraId="1E12A69B"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14113F50" w14:textId="77777777" w:rsidR="000D674D" w:rsidRDefault="00000000">
            <w:r>
              <w:t>Scale of the proposed activity/document</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74B6A631" w14:textId="7352C8F2" w:rsidR="00FE337A" w:rsidRPr="00685246" w:rsidRDefault="00685246" w:rsidP="003C1247">
            <w:pPr>
              <w:rPr>
                <w:sz w:val="23"/>
                <w:szCs w:val="23"/>
                <w:lang w:val="sr-Latn-RS"/>
              </w:rPr>
            </w:pPr>
            <w:r w:rsidRPr="00685246">
              <w:rPr>
                <w:sz w:val="23"/>
                <w:szCs w:val="23"/>
                <w:lang w:val="sr-Latn-RS"/>
              </w:rPr>
              <w:t>The Strategy aims to contribute in the long term to a stable and sustainable supply of the Republic of Serbia with mineral and other geological resources (especially strategic and critical mineral resources), providing a dynamic development plan for the mining sector over the next 15 years, with projections to 2050. It includes visions, principles, and strategic guidelines intended to promote more efficient and prosperous operations for faster development of the mining sector while respecting all environmental protection standards.</w:t>
            </w:r>
          </w:p>
        </w:tc>
      </w:tr>
      <w:tr w:rsidR="00583790" w:rsidRPr="00BF51ED" w14:paraId="65B72D21"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4C8E4513" w14:textId="77777777" w:rsidR="000D674D" w:rsidRDefault="00000000">
            <w:r>
              <w:t>Description of the proposed activity/document</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08FCCFA9" w14:textId="747DCC41" w:rsidR="00837D4D" w:rsidRPr="00685246" w:rsidRDefault="00685246" w:rsidP="00553C0D">
            <w:pPr>
              <w:rPr>
                <w:sz w:val="23"/>
                <w:szCs w:val="23"/>
                <w:lang w:val="sr-Latn-RS"/>
              </w:rPr>
            </w:pPr>
            <w:r w:rsidRPr="00685246">
              <w:rPr>
                <w:sz w:val="23"/>
                <w:szCs w:val="23"/>
                <w:lang w:val="sr-Latn-RS"/>
              </w:rPr>
              <w:t>The Strategy reviews and defines goals to be achieved, as well as measures necessary to achieve long-term strategic objectives in the field of geological research, exploitation, and valorization of mineral and other geological resources. The vision proposed by this Strategy is that by 2040 and looking ahead to 2050, the Republic of Serbia will be an institutionally and economically developed country committed to the sustainable use of mineral resources. The mineral-raw materials complex of the Republic of Serbia will be one of the foundations of the national economy, compatible with EU standards, with a knowledge-based mineral sector, efficient use of resources, minimized environmental impacts, and a focus on ensuring that the final product remains predominantly within Serbia.</w:t>
            </w:r>
          </w:p>
        </w:tc>
      </w:tr>
      <w:tr w:rsidR="00583790" w:rsidRPr="00226246" w14:paraId="6E17527C"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3F4B47AB" w14:textId="77777777" w:rsidR="000D674D" w:rsidRDefault="00000000">
            <w:r>
              <w:t>Purpose of the proposed activity/document</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6094E8D" w14:textId="20F73974" w:rsidR="00583790" w:rsidRPr="00685246" w:rsidRDefault="00685246" w:rsidP="00E03A75">
            <w:pPr>
              <w:jc w:val="both"/>
              <w:rPr>
                <w:sz w:val="23"/>
                <w:szCs w:val="23"/>
                <w:lang w:val="sr-Latn-RS"/>
              </w:rPr>
            </w:pPr>
            <w:r w:rsidRPr="00685246">
              <w:rPr>
                <w:sz w:val="23"/>
                <w:szCs w:val="23"/>
                <w:lang w:val="sr-Latn-RS"/>
              </w:rPr>
              <w:t>The proposed priorities of the Strategy are primarily defined through securing the present and future needs of the country for mineral and other geological resources and their sustainable use. This includes expansion of the mineral raw materials base, with a special emphasis on resources of strategic importance to the Republic of Serbia.</w:t>
            </w:r>
          </w:p>
        </w:tc>
      </w:tr>
      <w:tr w:rsidR="00583790" w:rsidRPr="00F95273" w14:paraId="15E686AB"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0FC44208" w14:textId="77777777" w:rsidR="000D674D" w:rsidRDefault="00000000">
            <w:r>
              <w:t>Justification for the proposed activity/document</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3540D347" w14:textId="52D685EC" w:rsidR="00685246" w:rsidRPr="00685246" w:rsidRDefault="00685246" w:rsidP="00685246">
            <w:pPr>
              <w:spacing w:before="100" w:beforeAutospacing="1" w:after="100" w:afterAutospacing="1"/>
              <w:rPr>
                <w:szCs w:val="24"/>
                <w:lang w:val="sr-Latn-RS" w:eastAsia="sr-Latn-RS"/>
              </w:rPr>
            </w:pPr>
            <w:r w:rsidRPr="00685246">
              <w:rPr>
                <w:szCs w:val="24"/>
                <w:lang w:val="sr-Latn-RS" w:eastAsia="sr-Latn-RS"/>
              </w:rPr>
              <w:t>Ensuring the present and future needs of the country for mineral and other geological resources through the use of modern technologies, good practices, and compliance with domestic and EU standards, especially in the area of research and exploitation, is key to further economic development. In this sense, it is necessary to:</w:t>
            </w:r>
          </w:p>
          <w:p w14:paraId="0930BFB7" w14:textId="41CA0B96" w:rsidR="00685246" w:rsidRPr="00685246" w:rsidRDefault="00685246" w:rsidP="00685246">
            <w:pPr>
              <w:pStyle w:val="Default"/>
              <w:numPr>
                <w:ilvl w:val="0"/>
                <w:numId w:val="11"/>
              </w:numPr>
              <w:rPr>
                <w:sz w:val="23"/>
                <w:szCs w:val="23"/>
                <w:lang w:val="sr-Latn-RS"/>
              </w:rPr>
            </w:pPr>
            <w:r w:rsidRPr="00685246">
              <w:rPr>
                <w:sz w:val="23"/>
                <w:szCs w:val="23"/>
                <w:lang w:val="sr-Latn-RS"/>
              </w:rPr>
              <w:lastRenderedPageBreak/>
              <w:t>Integrated and sustainable management of mineral and other resources with continuous innovation in processes and improved state and corporate control in geological research and mining processes, including health and safety;</w:t>
            </w:r>
          </w:p>
          <w:p w14:paraId="2E378342" w14:textId="14E6AA4A" w:rsidR="00685246" w:rsidRPr="00685246" w:rsidRDefault="00685246" w:rsidP="00685246">
            <w:pPr>
              <w:pStyle w:val="Default"/>
              <w:numPr>
                <w:ilvl w:val="0"/>
                <w:numId w:val="11"/>
              </w:numPr>
              <w:rPr>
                <w:sz w:val="23"/>
                <w:szCs w:val="23"/>
                <w:lang w:val="sr-Latn-RS"/>
              </w:rPr>
            </w:pPr>
            <w:r w:rsidRPr="00685246">
              <w:rPr>
                <w:sz w:val="23"/>
                <w:szCs w:val="23"/>
                <w:lang w:val="sr-Latn-RS"/>
              </w:rPr>
              <w:t>Ensure access to mineral raw materials and other geological resources;</w:t>
            </w:r>
          </w:p>
          <w:p w14:paraId="22B34229" w14:textId="03DC0907" w:rsidR="00685246" w:rsidRPr="00685246" w:rsidRDefault="00685246" w:rsidP="00685246">
            <w:pPr>
              <w:pStyle w:val="Default"/>
              <w:numPr>
                <w:ilvl w:val="0"/>
                <w:numId w:val="11"/>
              </w:numPr>
              <w:rPr>
                <w:sz w:val="23"/>
                <w:szCs w:val="23"/>
                <w:lang w:val="sr-Latn-RS"/>
              </w:rPr>
            </w:pPr>
            <w:r w:rsidRPr="00685246">
              <w:rPr>
                <w:sz w:val="23"/>
                <w:szCs w:val="23"/>
                <w:lang w:val="sr-Latn-RS"/>
              </w:rPr>
              <w:t>Intensify exploration and geological documentation of resources and mineral deposits and other geological resources;</w:t>
            </w:r>
          </w:p>
          <w:p w14:paraId="51FDE7CD" w14:textId="4EE1FCBA" w:rsidR="00685246" w:rsidRPr="00685246" w:rsidRDefault="00685246" w:rsidP="00685246">
            <w:pPr>
              <w:pStyle w:val="Default"/>
              <w:numPr>
                <w:ilvl w:val="0"/>
                <w:numId w:val="11"/>
              </w:numPr>
              <w:rPr>
                <w:sz w:val="23"/>
                <w:szCs w:val="23"/>
                <w:lang w:val="sr-Latn-RS"/>
              </w:rPr>
            </w:pPr>
            <w:r w:rsidRPr="00685246">
              <w:rPr>
                <w:sz w:val="23"/>
                <w:szCs w:val="23"/>
                <w:lang w:val="sr-Latn-RS"/>
              </w:rPr>
              <w:t>Create a favorable legal environment for development, modernization, and investment in geological exploration and sustainable mining with a service-oriented approach;</w:t>
            </w:r>
          </w:p>
          <w:p w14:paraId="14B27333" w14:textId="3205B1E2" w:rsidR="00685246" w:rsidRPr="00685246" w:rsidRDefault="00685246" w:rsidP="00685246">
            <w:pPr>
              <w:pStyle w:val="Default"/>
              <w:numPr>
                <w:ilvl w:val="0"/>
                <w:numId w:val="11"/>
              </w:numPr>
              <w:rPr>
                <w:sz w:val="23"/>
                <w:szCs w:val="23"/>
                <w:lang w:val="sr-Latn-RS"/>
              </w:rPr>
            </w:pPr>
            <w:r w:rsidRPr="00685246">
              <w:rPr>
                <w:sz w:val="23"/>
                <w:szCs w:val="23"/>
                <w:lang w:val="sr-Latn-RS"/>
              </w:rPr>
              <w:t>Ensure strategic spatial protection of mineral deposits and other geological resources through spatial planning from the national to the local level;</w:t>
            </w:r>
          </w:p>
          <w:p w14:paraId="1CFA2932" w14:textId="109218DA" w:rsidR="00685246" w:rsidRPr="00685246" w:rsidRDefault="00685246" w:rsidP="00685246">
            <w:pPr>
              <w:pStyle w:val="Default"/>
              <w:numPr>
                <w:ilvl w:val="0"/>
                <w:numId w:val="11"/>
              </w:numPr>
              <w:rPr>
                <w:sz w:val="23"/>
                <w:szCs w:val="23"/>
                <w:lang w:val="sr-Latn-RS"/>
              </w:rPr>
            </w:pPr>
            <w:r w:rsidRPr="00685246">
              <w:rPr>
                <w:sz w:val="23"/>
                <w:szCs w:val="23"/>
                <w:lang w:val="sr-Latn-RS"/>
              </w:rPr>
              <w:t>Ensure access to and exploitation of anthropogenic raw materials and support the development of a circular economy;</w:t>
            </w:r>
          </w:p>
          <w:p w14:paraId="35A1A93E" w14:textId="60E3F26B" w:rsidR="00F95273" w:rsidRPr="00685246" w:rsidRDefault="00685246" w:rsidP="00685246">
            <w:pPr>
              <w:pStyle w:val="Default"/>
              <w:numPr>
                <w:ilvl w:val="0"/>
                <w:numId w:val="11"/>
              </w:numPr>
              <w:rPr>
                <w:sz w:val="23"/>
                <w:szCs w:val="23"/>
                <w:lang w:val="sr-Latn-RS"/>
              </w:rPr>
            </w:pPr>
            <w:r w:rsidRPr="00685246">
              <w:rPr>
                <w:sz w:val="23"/>
                <w:szCs w:val="23"/>
                <w:lang w:val="sr-Latn-RS"/>
              </w:rPr>
              <w:t>Expand knowledge and continuously strengthen key competencies and staff capabilities, along with broad public education.</w:t>
            </w:r>
          </w:p>
        </w:tc>
      </w:tr>
      <w:tr w:rsidR="00583790" w:rsidRPr="00D71531" w14:paraId="7BEA4B1D"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47C90B1D" w14:textId="77777777" w:rsidR="000D674D" w:rsidRDefault="00000000">
            <w:r>
              <w:lastRenderedPageBreak/>
              <w:t>Additional information/comments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06BC2BD5" w14:textId="77777777" w:rsidR="00583790" w:rsidRPr="00723880" w:rsidRDefault="00583790" w:rsidP="00583790">
            <w:pPr>
              <w:rPr>
                <w:sz w:val="23"/>
                <w:szCs w:val="23"/>
                <w:lang w:val="sr-Cyrl-CS"/>
              </w:rPr>
            </w:pPr>
          </w:p>
        </w:tc>
      </w:tr>
      <w:tr w:rsidR="00583790" w:rsidRPr="00D71531" w14:paraId="3C7E038C"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509556" w14:textId="77777777" w:rsidR="00583790" w:rsidRPr="00D71531" w:rsidRDefault="00583790" w:rsidP="00583790">
            <w:pPr>
              <w:rPr>
                <w:sz w:val="23"/>
                <w:szCs w:val="23"/>
              </w:rPr>
            </w:pPr>
          </w:p>
        </w:tc>
      </w:tr>
      <w:tr w:rsidR="00583790" w:rsidRPr="00D71531" w14:paraId="527E9F65"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495ADCA3" w14:textId="77777777" w:rsidR="000D674D" w:rsidRDefault="00000000">
            <w:r>
              <w:t>Location/spatial scope</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3DCF3DB2" w14:textId="1C7BFBD0" w:rsidR="00310726" w:rsidRPr="00310726" w:rsidRDefault="00310726" w:rsidP="008E73E8">
            <w:pPr>
              <w:rPr>
                <w:sz w:val="23"/>
                <w:szCs w:val="23"/>
                <w:lang w:val="sr-Latn-RS"/>
              </w:rPr>
            </w:pPr>
            <w:r w:rsidRPr="00310726">
              <w:rPr>
                <w:sz w:val="23"/>
                <w:szCs w:val="23"/>
                <w:lang w:val="sr-Latn-RS"/>
              </w:rPr>
              <w:t>Territory of the Republic of Serbia</w:t>
            </w:r>
          </w:p>
        </w:tc>
      </w:tr>
      <w:tr w:rsidR="00583790" w:rsidRPr="00D71531" w14:paraId="59FF1586"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5EB5B557" w14:textId="77777777" w:rsidR="000D674D" w:rsidRDefault="00000000">
            <w:r>
              <w:t>Description of location/spatial scope</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7BFAA7AA" w14:textId="77777777" w:rsidR="00583790" w:rsidRPr="00D71531" w:rsidRDefault="00583790" w:rsidP="00583790">
            <w:pPr>
              <w:rPr>
                <w:sz w:val="23"/>
                <w:szCs w:val="23"/>
              </w:rPr>
            </w:pPr>
          </w:p>
        </w:tc>
      </w:tr>
      <w:tr w:rsidR="00583790" w:rsidRPr="00D71531" w14:paraId="32A90487"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29E99DC2" w14:textId="77777777" w:rsidR="000D674D" w:rsidRDefault="00000000">
            <w:r>
              <w:t>Justification for the proposed location/spatial scope</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0255DA6C" w14:textId="77777777" w:rsidR="00583790" w:rsidRPr="00D71531" w:rsidRDefault="00583790" w:rsidP="00D605F8">
            <w:pPr>
              <w:rPr>
                <w:sz w:val="23"/>
                <w:szCs w:val="23"/>
              </w:rPr>
            </w:pPr>
          </w:p>
        </w:tc>
      </w:tr>
      <w:tr w:rsidR="00583790" w:rsidRPr="000017C1" w14:paraId="40B99FA8"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191F77BA" w14:textId="77777777" w:rsidR="000D674D" w:rsidRDefault="00000000">
            <w:r>
              <w:t>Time horizon of the proposed activities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6740EC64" w14:textId="1604E0AB" w:rsidR="00583790" w:rsidRPr="00310726" w:rsidRDefault="00310726" w:rsidP="001626CA">
            <w:pPr>
              <w:rPr>
                <w:sz w:val="23"/>
                <w:szCs w:val="23"/>
                <w:lang w:val="sr-Latn-RS"/>
              </w:rPr>
            </w:pPr>
            <w:r w:rsidRPr="00310726">
              <w:rPr>
                <w:sz w:val="23"/>
                <w:szCs w:val="23"/>
                <w:lang w:val="sr-Latn-RS"/>
              </w:rPr>
              <w:t>Until 2040, with projections to 2050</w:t>
            </w:r>
          </w:p>
        </w:tc>
      </w:tr>
      <w:tr w:rsidR="00583790" w:rsidRPr="00D71531" w14:paraId="631812F0"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2C2EB604" w14:textId="77777777" w:rsidR="00583790" w:rsidRPr="00D71531" w:rsidRDefault="00583790" w:rsidP="00583790">
            <w:pPr>
              <w:rPr>
                <w:sz w:val="23"/>
                <w:szCs w:val="23"/>
              </w:rPr>
            </w:pPr>
            <w:r w:rsidRPr="00D71531">
              <w:rPr>
                <w:sz w:val="23"/>
                <w:szCs w:val="23"/>
              </w:rPr>
              <w:t>Maps and other pictorial documents connected with the information on the proposed activity</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170983F5" w14:textId="77777777" w:rsidR="00583790" w:rsidRPr="00D71531" w:rsidRDefault="00583790" w:rsidP="00583790">
            <w:pPr>
              <w:rPr>
                <w:sz w:val="23"/>
                <w:szCs w:val="23"/>
              </w:rPr>
            </w:pPr>
          </w:p>
        </w:tc>
      </w:tr>
      <w:tr w:rsidR="00583790" w:rsidRPr="00D71531" w14:paraId="03A35A40"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2D9B5F39" w14:textId="77777777" w:rsidR="000D674D" w:rsidRDefault="00000000">
            <w:r>
              <w:t>Additional information/comments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3CA0E5F9" w14:textId="77777777" w:rsidR="00583790" w:rsidRPr="00D71531" w:rsidRDefault="00583790" w:rsidP="00583790">
            <w:pPr>
              <w:rPr>
                <w:sz w:val="23"/>
                <w:szCs w:val="23"/>
              </w:rPr>
            </w:pPr>
          </w:p>
        </w:tc>
      </w:tr>
      <w:tr w:rsidR="00583790" w:rsidRPr="000C6AD4" w14:paraId="5D588D13"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A0618" w14:textId="77777777" w:rsidR="00583790" w:rsidRPr="00197438" w:rsidRDefault="00140394" w:rsidP="005064AD">
            <w:pPr>
              <w:spacing w:before="100" w:beforeAutospacing="1" w:after="100" w:afterAutospacing="1"/>
              <w:rPr>
                <w:sz w:val="23"/>
                <w:szCs w:val="23"/>
                <w:lang w:val="ru-RU"/>
              </w:rPr>
            </w:pPr>
            <w:r w:rsidRPr="00197438">
              <w:rPr>
                <w:b/>
                <w:bCs/>
                <w:sz w:val="23"/>
                <w:szCs w:val="23"/>
                <w:lang w:val="ru-RU"/>
              </w:rPr>
              <w:t>(</w:t>
            </w:r>
            <w:r w:rsidRPr="00140394">
              <w:rPr>
                <w:b/>
                <w:bCs/>
                <w:sz w:val="23"/>
                <w:szCs w:val="23"/>
              </w:rPr>
              <w:t>iii</w:t>
            </w:r>
            <w:r w:rsidRPr="00197438">
              <w:rPr>
                <w:b/>
                <w:bCs/>
                <w:sz w:val="23"/>
                <w:szCs w:val="23"/>
                <w:lang w:val="ru-RU"/>
              </w:rPr>
              <w:t xml:space="preserve">) </w:t>
            </w:r>
            <w:proofErr w:type="spellStart"/>
            <w:r w:rsidRPr="00197438">
              <w:rPr>
                <w:b/>
                <w:bCs/>
                <w:sz w:val="23"/>
                <w:szCs w:val="23"/>
                <w:lang w:val="ru-RU"/>
              </w:rPr>
              <w:t>Информације</w:t>
            </w:r>
            <w:proofErr w:type="spellEnd"/>
            <w:r w:rsidRPr="00197438">
              <w:rPr>
                <w:b/>
                <w:bCs/>
                <w:sz w:val="23"/>
                <w:szCs w:val="23"/>
                <w:lang w:val="ru-RU"/>
              </w:rPr>
              <w:t xml:space="preserve"> о </w:t>
            </w:r>
            <w:proofErr w:type="spellStart"/>
            <w:r w:rsidRPr="00197438">
              <w:rPr>
                <w:b/>
                <w:bCs/>
                <w:sz w:val="23"/>
                <w:szCs w:val="23"/>
                <w:lang w:val="ru-RU"/>
              </w:rPr>
              <w:t>очекиваним</w:t>
            </w:r>
            <w:proofErr w:type="spellEnd"/>
            <w:r w:rsidRPr="00197438">
              <w:rPr>
                <w:b/>
                <w:bCs/>
                <w:sz w:val="23"/>
                <w:szCs w:val="23"/>
                <w:lang w:val="ru-RU"/>
              </w:rPr>
              <w:t xml:space="preserve"> </w:t>
            </w:r>
            <w:proofErr w:type="spellStart"/>
            <w:r w:rsidRPr="00197438">
              <w:rPr>
                <w:b/>
                <w:bCs/>
                <w:sz w:val="23"/>
                <w:szCs w:val="23"/>
                <w:lang w:val="ru-RU"/>
              </w:rPr>
              <w:t>утицајима</w:t>
            </w:r>
            <w:proofErr w:type="spellEnd"/>
            <w:r w:rsidRPr="00197438">
              <w:rPr>
                <w:b/>
                <w:bCs/>
                <w:sz w:val="23"/>
                <w:szCs w:val="23"/>
                <w:lang w:val="ru-RU"/>
              </w:rPr>
              <w:t xml:space="preserve"> на </w:t>
            </w:r>
            <w:proofErr w:type="spellStart"/>
            <w:r w:rsidRPr="00197438">
              <w:rPr>
                <w:b/>
                <w:bCs/>
                <w:sz w:val="23"/>
                <w:szCs w:val="23"/>
                <w:lang w:val="ru-RU"/>
              </w:rPr>
              <w:t>животну</w:t>
            </w:r>
            <w:proofErr w:type="spellEnd"/>
            <w:r w:rsidRPr="00197438">
              <w:rPr>
                <w:b/>
                <w:bCs/>
                <w:sz w:val="23"/>
                <w:szCs w:val="23"/>
                <w:lang w:val="ru-RU"/>
              </w:rPr>
              <w:t xml:space="preserve"> средину и </w:t>
            </w:r>
            <w:proofErr w:type="spellStart"/>
            <w:r w:rsidRPr="00197438">
              <w:rPr>
                <w:b/>
                <w:bCs/>
                <w:sz w:val="23"/>
                <w:szCs w:val="23"/>
                <w:lang w:val="ru-RU"/>
              </w:rPr>
              <w:t>предложеним</w:t>
            </w:r>
            <w:proofErr w:type="spellEnd"/>
            <w:r w:rsidRPr="00197438">
              <w:rPr>
                <w:b/>
                <w:bCs/>
                <w:sz w:val="23"/>
                <w:szCs w:val="23"/>
                <w:lang w:val="ru-RU"/>
              </w:rPr>
              <w:t xml:space="preserve"> </w:t>
            </w:r>
            <w:proofErr w:type="spellStart"/>
            <w:r w:rsidRPr="00197438">
              <w:rPr>
                <w:b/>
                <w:bCs/>
                <w:sz w:val="23"/>
                <w:szCs w:val="23"/>
                <w:lang w:val="ru-RU"/>
              </w:rPr>
              <w:t>мерама</w:t>
            </w:r>
            <w:proofErr w:type="spellEnd"/>
            <w:r w:rsidRPr="00197438">
              <w:rPr>
                <w:b/>
                <w:bCs/>
                <w:sz w:val="23"/>
                <w:szCs w:val="23"/>
                <w:lang w:val="ru-RU"/>
              </w:rPr>
              <w:t xml:space="preserve"> за </w:t>
            </w:r>
            <w:proofErr w:type="spellStart"/>
            <w:r w:rsidRPr="00197438">
              <w:rPr>
                <w:b/>
                <w:bCs/>
                <w:sz w:val="23"/>
                <w:szCs w:val="23"/>
                <w:lang w:val="ru-RU"/>
              </w:rPr>
              <w:t>ублажавање</w:t>
            </w:r>
            <w:proofErr w:type="spellEnd"/>
          </w:p>
        </w:tc>
      </w:tr>
      <w:tr w:rsidR="00583790" w:rsidRPr="00D71531" w14:paraId="16B3A1AD"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2929013F" w14:textId="77777777" w:rsidR="000D674D" w:rsidRDefault="00000000">
            <w:r>
              <w:t xml:space="preserve">Scope of impact </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2521A495" w14:textId="77777777" w:rsidR="00583790" w:rsidRPr="00D71531" w:rsidRDefault="00583790" w:rsidP="00BD2DE9">
            <w:pPr>
              <w:spacing w:before="100" w:beforeAutospacing="1" w:after="100" w:afterAutospacing="1"/>
              <w:jc w:val="both"/>
              <w:rPr>
                <w:sz w:val="23"/>
                <w:szCs w:val="23"/>
              </w:rPr>
            </w:pPr>
          </w:p>
        </w:tc>
      </w:tr>
      <w:tr w:rsidR="00583790" w:rsidRPr="00197438" w14:paraId="2926BE0E"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044E3082" w14:textId="77777777" w:rsidR="000D674D" w:rsidRDefault="00000000">
            <w:r>
              <w:t>Expected environmental impact</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6A7A9B7" w14:textId="0A60481A" w:rsidR="00457624" w:rsidRPr="00310726" w:rsidRDefault="00310726" w:rsidP="00510F3F">
            <w:pPr>
              <w:autoSpaceDE w:val="0"/>
              <w:autoSpaceDN w:val="0"/>
              <w:adjustRightInd w:val="0"/>
              <w:jc w:val="both"/>
              <w:rPr>
                <w:lang w:val="sr-Latn-RS"/>
              </w:rPr>
            </w:pPr>
            <w:r w:rsidRPr="00310726">
              <w:rPr>
                <w:lang w:val="sr-Latn-RS"/>
              </w:rPr>
              <w:t xml:space="preserve">The expected impacts of the proposed activity on the environment (e.g., types, locations, scale) suggest that the Strategy for the Management of Mineral and Other Geological Resources defines measures and policies that contribute to minimizing the impact of the mining sector on </w:t>
            </w:r>
            <w:r w:rsidRPr="00310726">
              <w:rPr>
                <w:lang w:val="sr-Latn-RS"/>
              </w:rPr>
              <w:lastRenderedPageBreak/>
              <w:t>the environment and to the sustainable use of mineral and other geological resources</w:t>
            </w:r>
            <w:r>
              <w:rPr>
                <w:lang w:val="sr-Latn-RS"/>
              </w:rPr>
              <w:t>.</w:t>
            </w:r>
          </w:p>
        </w:tc>
      </w:tr>
      <w:tr w:rsidR="00583790" w:rsidRPr="00D71531" w14:paraId="1EE2F6E5"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4E55DA21" w14:textId="77777777" w:rsidR="000D674D" w:rsidRDefault="00000000">
            <w:r>
              <w:lastRenderedPageBreak/>
              <w:t>Input data</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E9E02EC" w14:textId="77777777" w:rsidR="00583790" w:rsidRPr="00D71531" w:rsidRDefault="00583790" w:rsidP="00583790">
            <w:pPr>
              <w:spacing w:before="100" w:beforeAutospacing="1" w:after="100" w:afterAutospacing="1"/>
              <w:rPr>
                <w:sz w:val="23"/>
                <w:szCs w:val="23"/>
              </w:rPr>
            </w:pPr>
            <w:r w:rsidRPr="00D71531">
              <w:rPr>
                <w:sz w:val="23"/>
                <w:szCs w:val="23"/>
              </w:rPr>
              <w:t> </w:t>
            </w:r>
            <w:r w:rsidR="00602E39" w:rsidRPr="00D71531">
              <w:rPr>
                <w:sz w:val="23"/>
                <w:szCs w:val="23"/>
              </w:rPr>
              <w:t>/</w:t>
            </w:r>
          </w:p>
        </w:tc>
      </w:tr>
      <w:tr w:rsidR="00583790" w:rsidRPr="00D71531" w14:paraId="27AA09DF"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04267CE5" w14:textId="77777777" w:rsidR="000D674D" w:rsidRDefault="00000000">
            <w:r>
              <w:t>Output data</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53921E87" w14:textId="77777777" w:rsidR="00583790" w:rsidRPr="00D71531" w:rsidRDefault="00583790" w:rsidP="00583790">
            <w:pPr>
              <w:spacing w:before="100" w:beforeAutospacing="1" w:after="100" w:afterAutospacing="1"/>
              <w:rPr>
                <w:sz w:val="23"/>
                <w:szCs w:val="23"/>
              </w:rPr>
            </w:pPr>
            <w:r w:rsidRPr="00D71531">
              <w:rPr>
                <w:sz w:val="23"/>
                <w:szCs w:val="23"/>
              </w:rPr>
              <w:t> </w:t>
            </w:r>
            <w:r w:rsidR="00602E39" w:rsidRPr="00D71531">
              <w:rPr>
                <w:sz w:val="23"/>
                <w:szCs w:val="23"/>
              </w:rPr>
              <w:t>/</w:t>
            </w:r>
          </w:p>
        </w:tc>
      </w:tr>
      <w:tr w:rsidR="00583790" w:rsidRPr="00D71531" w14:paraId="5C645A91"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414967E9" w14:textId="77777777" w:rsidR="000D674D" w:rsidRDefault="00000000">
            <w:r>
              <w:t>Transboundary impacts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38241C74" w14:textId="7ADB1DF1" w:rsidR="004215BE" w:rsidRPr="00310726" w:rsidRDefault="00310726" w:rsidP="00310726">
            <w:pPr>
              <w:spacing w:before="120" w:after="120"/>
              <w:ind w:left="45"/>
              <w:contextualSpacing/>
              <w:jc w:val="both"/>
              <w:rPr>
                <w:rFonts w:eastAsia="Aptos"/>
                <w:kern w:val="2"/>
                <w:szCs w:val="24"/>
                <w:lang w:val="sr-Latn-RS" w:eastAsia="en-US"/>
              </w:rPr>
            </w:pPr>
            <w:r w:rsidRPr="00310726">
              <w:rPr>
                <w:rFonts w:eastAsia="Aptos"/>
                <w:kern w:val="2"/>
                <w:szCs w:val="24"/>
                <w:lang w:val="sr-Latn-RS" w:eastAsia="en-US"/>
              </w:rPr>
              <w:t>The Republic of Serbia is a party to the Espoo Convention on Environmental Impact Assessment in a Transboundary Context and the SEA Protocol to the Espoo Convention, thereby committing to notify other countries regarding the preparation of plans, programs, and projects that may have transboundary impacts. According to the SEA Protocol, if it is determined that the implementation of plans and programs could cause significant negative transboundary impacts, the "Party of origin" must undertake actions to ensure timely and effective intervention by notifying any potentially affected party (country) that may be impacted by the planned activities. This notification must occur as early as possible and no later than the time the domestic public is notified of the activity. In this context, it is concluded that the proposed activities and measures in the Strategy may have negative environmental impacts on other countries, especially considering that there are plans and projects located in border zones with neighboring countries, or whose operation may cause transboundary effects, which require consultations in accordance with the Espoo Convention and the SEA Protocol.</w:t>
            </w:r>
          </w:p>
        </w:tc>
      </w:tr>
      <w:tr w:rsidR="005064AD" w:rsidRPr="00197438" w14:paraId="09C7FCEC"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10F35102" w14:textId="77777777" w:rsidR="000D674D" w:rsidRDefault="00000000">
            <w:r>
              <w:t>Recommended mitigation measures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66ADFC32" w14:textId="77777777" w:rsidR="00310726" w:rsidRPr="003D62B2" w:rsidRDefault="00310726" w:rsidP="00310726">
            <w:pPr>
              <w:pStyle w:val="Default"/>
              <w:jc w:val="both"/>
              <w:rPr>
                <w:sz w:val="23"/>
                <w:szCs w:val="23"/>
              </w:rPr>
            </w:pPr>
            <w:r w:rsidRPr="003D62B2">
              <w:rPr>
                <w:sz w:val="23"/>
                <w:szCs w:val="23"/>
              </w:rPr>
              <w:t>Most of the measures and means presented in the Strategy relate to actions that will contribute to reducing emissions of pollutants into the air, preserving the hydrological regime of underground and surface waters, and protecting forest and agricultural land, among others. Compliance with national and EU environmental protection standards will contribute to the sustainable use of mineral and other geological resources.</w:t>
            </w:r>
          </w:p>
          <w:p w14:paraId="3A17F82E" w14:textId="77777777" w:rsidR="00310726" w:rsidRPr="00310726" w:rsidRDefault="00310726" w:rsidP="00310726">
            <w:pPr>
              <w:jc w:val="both"/>
              <w:rPr>
                <w:sz w:val="23"/>
                <w:szCs w:val="23"/>
                <w:lang w:val="sr-Latn-RS"/>
              </w:rPr>
            </w:pPr>
            <w:r w:rsidRPr="00310726">
              <w:rPr>
                <w:sz w:val="23"/>
                <w:szCs w:val="23"/>
                <w:lang w:val="sr-Latn-RS"/>
              </w:rPr>
              <w:t>Special attention is given to environmental protection and measures that will minimize environmental impacts, particularly through:</w:t>
            </w:r>
          </w:p>
          <w:p w14:paraId="31E2CDB2" w14:textId="25FF9DBE" w:rsidR="00310726" w:rsidRPr="00310726" w:rsidRDefault="00310726" w:rsidP="00310726">
            <w:pPr>
              <w:pStyle w:val="Default"/>
              <w:numPr>
                <w:ilvl w:val="0"/>
                <w:numId w:val="11"/>
              </w:numPr>
              <w:rPr>
                <w:sz w:val="23"/>
                <w:szCs w:val="23"/>
                <w:lang w:val="sr-Latn-RS"/>
              </w:rPr>
            </w:pPr>
            <w:r w:rsidRPr="00310726">
              <w:rPr>
                <w:sz w:val="23"/>
                <w:szCs w:val="23"/>
                <w:lang w:val="sr-Latn-RS"/>
              </w:rPr>
              <w:t>Protection of key environmental elements (air, water, soil);</w:t>
            </w:r>
          </w:p>
          <w:p w14:paraId="64F9E820" w14:textId="060C1FC7" w:rsidR="00310726" w:rsidRPr="00310726" w:rsidRDefault="00310726" w:rsidP="00310726">
            <w:pPr>
              <w:pStyle w:val="Default"/>
              <w:numPr>
                <w:ilvl w:val="0"/>
                <w:numId w:val="11"/>
              </w:numPr>
              <w:rPr>
                <w:sz w:val="23"/>
                <w:szCs w:val="23"/>
                <w:lang w:val="sr-Latn-RS"/>
              </w:rPr>
            </w:pPr>
            <w:r w:rsidRPr="00310726">
              <w:rPr>
                <w:sz w:val="23"/>
                <w:szCs w:val="23"/>
                <w:lang w:val="sr-Latn-RS"/>
              </w:rPr>
              <w:t>Sustainable use of natural values;</w:t>
            </w:r>
          </w:p>
          <w:p w14:paraId="624AFD62" w14:textId="168F4A75" w:rsidR="00310726" w:rsidRPr="00310726" w:rsidRDefault="00310726" w:rsidP="00310726">
            <w:pPr>
              <w:pStyle w:val="Default"/>
              <w:numPr>
                <w:ilvl w:val="0"/>
                <w:numId w:val="11"/>
              </w:numPr>
              <w:rPr>
                <w:sz w:val="23"/>
                <w:szCs w:val="23"/>
                <w:lang w:val="sr-Latn-RS"/>
              </w:rPr>
            </w:pPr>
            <w:r w:rsidRPr="00310726">
              <w:rPr>
                <w:sz w:val="23"/>
                <w:szCs w:val="23"/>
                <w:lang w:val="sr-Latn-RS"/>
              </w:rPr>
              <w:t>Conservation of biodiversity, geodiversity, and landscape enhancement;</w:t>
            </w:r>
          </w:p>
          <w:p w14:paraId="71E79461" w14:textId="74A9626F" w:rsidR="00310726" w:rsidRPr="00310726" w:rsidRDefault="00310726" w:rsidP="00310726">
            <w:pPr>
              <w:pStyle w:val="Default"/>
              <w:numPr>
                <w:ilvl w:val="0"/>
                <w:numId w:val="11"/>
              </w:numPr>
              <w:rPr>
                <w:sz w:val="23"/>
                <w:szCs w:val="23"/>
                <w:lang w:val="sr-Latn-RS"/>
              </w:rPr>
            </w:pPr>
            <w:r w:rsidRPr="00310726">
              <w:rPr>
                <w:sz w:val="23"/>
                <w:szCs w:val="23"/>
                <w:lang w:val="sr-Latn-RS"/>
              </w:rPr>
              <w:t>Rational use of mineral and other geological resources;</w:t>
            </w:r>
          </w:p>
          <w:p w14:paraId="43400336" w14:textId="58E1A71B" w:rsidR="000C13BF" w:rsidRPr="00310726" w:rsidRDefault="00310726" w:rsidP="00310726">
            <w:pPr>
              <w:pStyle w:val="Default"/>
              <w:numPr>
                <w:ilvl w:val="0"/>
                <w:numId w:val="11"/>
              </w:numPr>
              <w:rPr>
                <w:color w:val="auto"/>
                <w:sz w:val="23"/>
                <w:szCs w:val="23"/>
                <w:lang w:val="sr-Latn-RS"/>
              </w:rPr>
            </w:pPr>
            <w:r w:rsidRPr="00310726">
              <w:rPr>
                <w:sz w:val="23"/>
                <w:szCs w:val="23"/>
                <w:lang w:val="sr-Latn-RS"/>
              </w:rPr>
              <w:t>Improvement of waste management</w:t>
            </w:r>
          </w:p>
        </w:tc>
      </w:tr>
      <w:tr w:rsidR="00583790" w:rsidRPr="00D71531" w14:paraId="46378EA9"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583E9617" w14:textId="77777777" w:rsidR="000D674D" w:rsidRDefault="00000000">
            <w:r>
              <w:t>Additional information/comments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7410DE92" w14:textId="77777777" w:rsidR="00583790" w:rsidRPr="00D71531" w:rsidRDefault="00583790" w:rsidP="00583790">
            <w:pPr>
              <w:spacing w:before="100" w:beforeAutospacing="1" w:after="100" w:afterAutospacing="1"/>
              <w:rPr>
                <w:sz w:val="23"/>
                <w:szCs w:val="23"/>
              </w:rPr>
            </w:pPr>
            <w:r w:rsidRPr="00D71531">
              <w:rPr>
                <w:sz w:val="23"/>
                <w:szCs w:val="23"/>
              </w:rPr>
              <w:t> </w:t>
            </w:r>
            <w:r w:rsidR="00602E39" w:rsidRPr="00D71531">
              <w:rPr>
                <w:sz w:val="23"/>
                <w:szCs w:val="23"/>
              </w:rPr>
              <w:t>/</w:t>
            </w:r>
          </w:p>
        </w:tc>
      </w:tr>
      <w:tr w:rsidR="00583790" w:rsidRPr="00D71531" w14:paraId="38C93579"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68BA8A" w14:textId="77777777" w:rsidR="000D674D" w:rsidRDefault="00000000">
            <w:r>
              <w:t>(iv) Processor</w:t>
            </w:r>
          </w:p>
        </w:tc>
      </w:tr>
      <w:tr w:rsidR="00F241E6" w:rsidRPr="00197438" w14:paraId="5C730BB7"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1A1527AB" w14:textId="77777777" w:rsidR="000D674D" w:rsidRDefault="00000000">
            <w:r>
              <w:t>Name, address, telephone, fax</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0A6EEC7C" w14:textId="378864D3" w:rsidR="00F241E6" w:rsidRPr="003D62B2" w:rsidRDefault="00310726" w:rsidP="00D53850">
            <w:pPr>
              <w:rPr>
                <w:sz w:val="23"/>
                <w:szCs w:val="23"/>
              </w:rPr>
            </w:pPr>
            <w:r w:rsidRPr="00310726">
              <w:rPr>
                <w:sz w:val="23"/>
                <w:szCs w:val="23"/>
              </w:rPr>
              <w:t>Ministry of Mining and Energy</w:t>
            </w:r>
            <w:r w:rsidRPr="00310726">
              <w:rPr>
                <w:sz w:val="23"/>
                <w:szCs w:val="23"/>
              </w:rPr>
              <w:br/>
            </w:r>
            <w:proofErr w:type="spellStart"/>
            <w:r w:rsidRPr="00310726">
              <w:rPr>
                <w:sz w:val="23"/>
                <w:szCs w:val="23"/>
              </w:rPr>
              <w:t>Nemanjina</w:t>
            </w:r>
            <w:proofErr w:type="spellEnd"/>
            <w:r w:rsidRPr="00310726">
              <w:rPr>
                <w:sz w:val="23"/>
                <w:szCs w:val="23"/>
              </w:rPr>
              <w:t xml:space="preserve"> 22-26, 11000 Belgrade</w:t>
            </w:r>
            <w:r w:rsidRPr="00310726">
              <w:rPr>
                <w:sz w:val="23"/>
                <w:szCs w:val="23"/>
              </w:rPr>
              <w:br/>
            </w:r>
            <w:r w:rsidRPr="00310726">
              <w:rPr>
                <w:sz w:val="23"/>
                <w:szCs w:val="23"/>
              </w:rPr>
              <w:lastRenderedPageBreak/>
              <w:t>Republic of Serbia</w:t>
            </w:r>
            <w:r w:rsidRPr="00310726">
              <w:rPr>
                <w:sz w:val="23"/>
                <w:szCs w:val="23"/>
              </w:rPr>
              <w:br/>
              <w:t>Phone: +381 11 33 46 755</w:t>
            </w:r>
            <w:r w:rsidRPr="00310726">
              <w:rPr>
                <w:sz w:val="23"/>
                <w:szCs w:val="23"/>
              </w:rPr>
              <w:br/>
              <w:t>Fax: +381 11 3625 055</w:t>
            </w:r>
            <w:r w:rsidRPr="00310726">
              <w:rPr>
                <w:sz w:val="23"/>
                <w:szCs w:val="23"/>
              </w:rPr>
              <w:br/>
              <w:t>Email: kabinet@mre.gov.rs</w:t>
            </w:r>
          </w:p>
        </w:tc>
      </w:tr>
      <w:tr w:rsidR="00F241E6" w:rsidRPr="00197438" w14:paraId="2EDBBD97"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954DF0" w14:textId="77777777" w:rsidR="000D674D" w:rsidRDefault="00000000">
            <w:r>
              <w:lastRenderedPageBreak/>
              <w:t>(v) Strategic Environmental Assessment Report</w:t>
            </w:r>
          </w:p>
        </w:tc>
      </w:tr>
      <w:tr w:rsidR="00F241E6" w:rsidRPr="00D71531" w14:paraId="2A96A414"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3F0515AF" w14:textId="77777777" w:rsidR="000D674D" w:rsidRDefault="00000000">
            <w:r>
              <w:t>Is the Report part of this notification?</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11DAD85" w14:textId="1874B779" w:rsidR="00F241E6" w:rsidRPr="00D53850" w:rsidRDefault="00310726" w:rsidP="00583790">
            <w:pPr>
              <w:spacing w:before="100" w:beforeAutospacing="1" w:after="100" w:afterAutospacing="1"/>
              <w:jc w:val="center"/>
              <w:rPr>
                <w:sz w:val="23"/>
                <w:szCs w:val="23"/>
                <w:lang w:val="sr-Cyrl-RS"/>
              </w:rPr>
            </w:pPr>
            <w:r w:rsidRPr="00310726">
              <w:rPr>
                <w:sz w:val="23"/>
                <w:szCs w:val="23"/>
              </w:rPr>
              <w:t>Yes</w:t>
            </w:r>
          </w:p>
        </w:tc>
      </w:tr>
      <w:tr w:rsidR="00F241E6" w:rsidRPr="00D71531" w14:paraId="0D9DD94B"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70216828" w14:textId="77777777" w:rsidR="000D674D" w:rsidRDefault="00000000">
            <w:r>
              <w:t xml:space="preserve">If not, description of documents to be delivered or available </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CA5BF04" w14:textId="77777777" w:rsidR="00F241E6" w:rsidRPr="00D71531" w:rsidRDefault="007B45AE" w:rsidP="00583790">
            <w:pPr>
              <w:spacing w:before="100" w:beforeAutospacing="1" w:after="100" w:afterAutospacing="1"/>
              <w:rPr>
                <w:sz w:val="23"/>
                <w:szCs w:val="23"/>
              </w:rPr>
            </w:pPr>
            <w:r w:rsidRPr="00D71531">
              <w:rPr>
                <w:sz w:val="23"/>
                <w:szCs w:val="23"/>
              </w:rPr>
              <w:t>/</w:t>
            </w:r>
          </w:p>
        </w:tc>
      </w:tr>
      <w:tr w:rsidR="00F241E6" w:rsidRPr="00D71531" w14:paraId="116A8B41"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7BA5C7BE" w14:textId="77777777" w:rsidR="000D674D" w:rsidRDefault="00000000">
            <w:r>
              <w:t>Additional information/comments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21ECB864" w14:textId="77777777" w:rsidR="00F241E6" w:rsidRPr="00D71531" w:rsidRDefault="007D6D4C" w:rsidP="00583790">
            <w:pPr>
              <w:spacing w:before="100" w:beforeAutospacing="1" w:after="100" w:afterAutospacing="1"/>
              <w:rPr>
                <w:sz w:val="23"/>
                <w:szCs w:val="23"/>
              </w:rPr>
            </w:pPr>
            <w:r w:rsidRPr="00D71531">
              <w:rPr>
                <w:sz w:val="23"/>
                <w:szCs w:val="23"/>
              </w:rPr>
              <w:t>/</w:t>
            </w:r>
          </w:p>
        </w:tc>
      </w:tr>
      <w:tr w:rsidR="00F241E6" w:rsidRPr="00D71531" w14:paraId="52154A96"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6CF58F" w14:textId="77777777" w:rsidR="000D674D" w:rsidRDefault="00000000">
            <w:r>
              <w:t>2. CONTACTS</w:t>
            </w:r>
          </w:p>
        </w:tc>
      </w:tr>
      <w:tr w:rsidR="00D71531" w:rsidRPr="00D71531" w14:paraId="1697C2DB"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DB3BF4" w14:textId="77777777" w:rsidR="000D674D" w:rsidRDefault="00000000">
            <w:r>
              <w:t xml:space="preserve">(i) Contacts of affected parties </w:t>
            </w:r>
          </w:p>
        </w:tc>
      </w:tr>
      <w:tr w:rsidR="00F241E6" w:rsidRPr="00D71531" w14:paraId="6F9DB221"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571AFC69" w14:textId="77777777" w:rsidR="000D674D" w:rsidRDefault="00000000">
            <w:r>
              <w:t xml:space="preserve">Authority responsible for coordinating activities </w:t>
            </w:r>
            <w:r>
              <w:br/>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4DEF47AE" w14:textId="6707F335" w:rsidR="00602E39" w:rsidRPr="00310726" w:rsidRDefault="00310726" w:rsidP="00310726">
            <w:pPr>
              <w:pStyle w:val="NormalWeb"/>
              <w:spacing w:before="0" w:beforeAutospacing="0" w:after="0" w:afterAutospacing="0"/>
              <w:rPr>
                <w:lang w:val="sr-Latn-RS"/>
              </w:rPr>
            </w:pPr>
            <w:r w:rsidRPr="00310726">
              <w:rPr>
                <w:lang w:val="sr-Latn-RS"/>
              </w:rPr>
              <w:t>To be delivered via diplomatic mail</w:t>
            </w:r>
          </w:p>
        </w:tc>
      </w:tr>
      <w:tr w:rsidR="00F241E6" w:rsidRPr="00197438" w14:paraId="06391BB6"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0FC7869D" w14:textId="77777777" w:rsidR="000D674D" w:rsidRDefault="00000000">
            <w:r>
              <w:t>List of affected parties to which notification was sent</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7483FACA" w14:textId="5E322ABB" w:rsidR="00F241E6" w:rsidRPr="00310726" w:rsidRDefault="00310726" w:rsidP="00A96A12">
            <w:pPr>
              <w:rPr>
                <w:sz w:val="23"/>
                <w:szCs w:val="23"/>
                <w:lang w:val="sr-Latn-RS"/>
              </w:rPr>
            </w:pPr>
            <w:r w:rsidRPr="00310726">
              <w:rPr>
                <w:sz w:val="23"/>
                <w:szCs w:val="23"/>
                <w:lang w:val="sr-Latn-RS"/>
              </w:rPr>
              <w:t>Republic of Hungary, Republic of Croatia, Romania, Bulgaria, North Macedonia, Bosnia and Herzegovina, Albania, and Montenegro</w:t>
            </w:r>
          </w:p>
        </w:tc>
      </w:tr>
      <w:tr w:rsidR="00F241E6" w:rsidRPr="00D71531" w14:paraId="17224F61"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E8C033" w14:textId="77777777" w:rsidR="000D674D" w:rsidRDefault="00000000">
            <w:r>
              <w:t>(ii) Contacts of the party of origin</w:t>
            </w:r>
          </w:p>
        </w:tc>
      </w:tr>
      <w:tr w:rsidR="00F241E6" w:rsidRPr="00D71531" w14:paraId="2036B29C"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1A4BF077" w14:textId="77777777" w:rsidR="000D674D" w:rsidRDefault="00000000">
            <w:r>
              <w:t xml:space="preserve">Authority responsible for coordinating activities </w:t>
            </w:r>
            <w:r>
              <w:br/>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215A4C88" w14:textId="3043186D" w:rsidR="00F241E6" w:rsidRPr="00D71531" w:rsidRDefault="00310726" w:rsidP="00D53850">
            <w:pPr>
              <w:rPr>
                <w:sz w:val="23"/>
                <w:szCs w:val="23"/>
              </w:rPr>
            </w:pPr>
            <w:r w:rsidRPr="00310726">
              <w:rPr>
                <w:sz w:val="23"/>
                <w:szCs w:val="23"/>
              </w:rPr>
              <w:t>Ministry of Environmental Protection</w:t>
            </w:r>
            <w:r w:rsidRPr="00310726">
              <w:rPr>
                <w:sz w:val="23"/>
                <w:szCs w:val="23"/>
              </w:rPr>
              <w:br/>
              <w:t>Slobodan Sremčević</w:t>
            </w:r>
            <w:r w:rsidRPr="00310726">
              <w:rPr>
                <w:sz w:val="23"/>
                <w:szCs w:val="23"/>
              </w:rPr>
              <w:br/>
            </w:r>
            <w:proofErr w:type="spellStart"/>
            <w:r w:rsidRPr="00310726">
              <w:rPr>
                <w:sz w:val="23"/>
                <w:szCs w:val="23"/>
              </w:rPr>
              <w:t>Omladinskih</w:t>
            </w:r>
            <w:proofErr w:type="spellEnd"/>
            <w:r w:rsidRPr="00310726">
              <w:rPr>
                <w:sz w:val="23"/>
                <w:szCs w:val="23"/>
              </w:rPr>
              <w:t xml:space="preserve"> </w:t>
            </w:r>
            <w:proofErr w:type="spellStart"/>
            <w:r w:rsidRPr="00310726">
              <w:rPr>
                <w:sz w:val="23"/>
                <w:szCs w:val="23"/>
              </w:rPr>
              <w:t>brigada</w:t>
            </w:r>
            <w:proofErr w:type="spellEnd"/>
            <w:r w:rsidRPr="00310726">
              <w:rPr>
                <w:sz w:val="23"/>
                <w:szCs w:val="23"/>
              </w:rPr>
              <w:t xml:space="preserve"> 1</w:t>
            </w:r>
            <w:r w:rsidRPr="00310726">
              <w:rPr>
                <w:sz w:val="23"/>
                <w:szCs w:val="23"/>
              </w:rPr>
              <w:br/>
              <w:t>Phone: +381 11 2690977</w:t>
            </w:r>
            <w:r w:rsidRPr="00310726">
              <w:rPr>
                <w:sz w:val="23"/>
                <w:szCs w:val="23"/>
              </w:rPr>
              <w:br/>
              <w:t>Fax: +381 11 3132574</w:t>
            </w:r>
          </w:p>
        </w:tc>
      </w:tr>
      <w:tr w:rsidR="00F241E6" w:rsidRPr="00197438" w14:paraId="2FCE41F7"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6D6EBCCC" w14:textId="77777777" w:rsidR="000D674D" w:rsidRDefault="00000000">
            <w:r>
              <w:t xml:space="preserve">Body responsible for preparation and decision-making </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629957E8" w14:textId="09EF07F1" w:rsidR="003C1247" w:rsidRPr="003D62B2" w:rsidRDefault="00310726" w:rsidP="00D53850">
            <w:pPr>
              <w:pStyle w:val="Heading1"/>
              <w:numPr>
                <w:ilvl w:val="0"/>
                <w:numId w:val="0"/>
              </w:numPr>
              <w:spacing w:before="0" w:after="0"/>
              <w:rPr>
                <w:sz w:val="23"/>
                <w:szCs w:val="23"/>
              </w:rPr>
            </w:pPr>
            <w:r w:rsidRPr="00310726">
              <w:rPr>
                <w:sz w:val="23"/>
                <w:szCs w:val="23"/>
              </w:rPr>
              <w:t>Ms. Dubravka Đedović Handanović, Minister</w:t>
            </w:r>
            <w:r w:rsidRPr="00310726">
              <w:rPr>
                <w:sz w:val="23"/>
                <w:szCs w:val="23"/>
              </w:rPr>
              <w:br/>
              <w:t>Ministry of Mining and Energy</w:t>
            </w:r>
            <w:r w:rsidRPr="00310726">
              <w:rPr>
                <w:sz w:val="23"/>
                <w:szCs w:val="23"/>
              </w:rPr>
              <w:br/>
            </w:r>
            <w:proofErr w:type="spellStart"/>
            <w:r w:rsidRPr="00310726">
              <w:rPr>
                <w:sz w:val="23"/>
                <w:szCs w:val="23"/>
              </w:rPr>
              <w:t>Nemanjina</w:t>
            </w:r>
            <w:proofErr w:type="spellEnd"/>
            <w:r w:rsidRPr="00310726">
              <w:rPr>
                <w:sz w:val="23"/>
                <w:szCs w:val="23"/>
              </w:rPr>
              <w:t xml:space="preserve"> 22-26, 11000 Belgrade</w:t>
            </w:r>
            <w:r w:rsidRPr="00310726">
              <w:rPr>
                <w:sz w:val="23"/>
                <w:szCs w:val="23"/>
              </w:rPr>
              <w:br/>
              <w:t>Republic of Serbia</w:t>
            </w:r>
            <w:r w:rsidRPr="00310726">
              <w:rPr>
                <w:sz w:val="23"/>
                <w:szCs w:val="23"/>
              </w:rPr>
              <w:br/>
              <w:t>Phone: +381 11 33 46 755</w:t>
            </w:r>
            <w:r w:rsidRPr="00310726">
              <w:rPr>
                <w:sz w:val="23"/>
                <w:szCs w:val="23"/>
              </w:rPr>
              <w:br/>
              <w:t>Fax: +381 11 3625 055</w:t>
            </w:r>
            <w:r w:rsidRPr="00310726">
              <w:rPr>
                <w:sz w:val="23"/>
                <w:szCs w:val="23"/>
              </w:rPr>
              <w:br/>
              <w:t>Email: kabinet@mre.gov.rs</w:t>
            </w:r>
          </w:p>
        </w:tc>
      </w:tr>
      <w:tr w:rsidR="00F241E6" w:rsidRPr="00D71531" w14:paraId="2C811850"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C55CAD" w14:textId="77777777" w:rsidR="000D674D" w:rsidRDefault="00000000">
            <w:r>
              <w:t xml:space="preserve">3. INFORMATION ON THE PROCEDURE RELATED TO STRATEGIC ENVIRONMENTAL ASSESSMENT IN THE REPUBLIC OF SERBIA </w:t>
            </w:r>
          </w:p>
        </w:tc>
      </w:tr>
      <w:tr w:rsidR="00D71531" w:rsidRPr="00D71531" w14:paraId="4A2FAF8C"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8E8921" w14:textId="77777777" w:rsidR="000D674D" w:rsidRDefault="00000000">
            <w:r>
              <w:t xml:space="preserve">(i) Information on the procedure to be implemented </w:t>
            </w:r>
          </w:p>
        </w:tc>
      </w:tr>
      <w:tr w:rsidR="00F241E6" w:rsidRPr="00D71531" w14:paraId="777B8CC3"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226E71BE" w14:textId="77777777" w:rsidR="000D674D" w:rsidRDefault="00000000">
            <w:r>
              <w:t>Schedule</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020E3E60" w14:textId="77777777" w:rsidR="00F241E6" w:rsidRPr="00D53850" w:rsidRDefault="00D53850" w:rsidP="003C1247">
            <w:pPr>
              <w:rPr>
                <w:sz w:val="23"/>
                <w:szCs w:val="23"/>
                <w:lang w:val="sr-Cyrl-RS"/>
              </w:rPr>
            </w:pPr>
            <w:r>
              <w:rPr>
                <w:sz w:val="23"/>
                <w:szCs w:val="23"/>
                <w:lang w:val="sr-Cyrl-RS"/>
              </w:rPr>
              <w:t>2025</w:t>
            </w:r>
          </w:p>
        </w:tc>
      </w:tr>
      <w:tr w:rsidR="00D71531" w:rsidRPr="00723880" w14:paraId="295FC75A"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59D41545" w14:textId="77777777" w:rsidR="000D674D" w:rsidRDefault="00000000">
            <w:proofErr w:type="gramStart"/>
            <w:r>
              <w:t>Timeframe</w:t>
            </w:r>
            <w:proofErr w:type="gramEnd"/>
            <w:r>
              <w:t xml:space="preserve"> during which affected parties may participate in the process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3840CF5C" w14:textId="67E60E2C" w:rsidR="00F241E6" w:rsidRPr="000C6AD4" w:rsidRDefault="00310726" w:rsidP="00D53850">
            <w:pPr>
              <w:rPr>
                <w:sz w:val="23"/>
                <w:szCs w:val="23"/>
                <w:lang w:val="sr-Latn-CS"/>
              </w:rPr>
            </w:pPr>
            <w:r w:rsidRPr="000C6AD4">
              <w:rPr>
                <w:sz w:val="23"/>
                <w:szCs w:val="23"/>
                <w:lang w:val="sr-Latn-RS"/>
              </w:rPr>
              <w:t xml:space="preserve">Draft Strategy for the Management of Mineral and Other Geological Resources of the Republic of Serbia for the period 2025–2040, with projections to 2050 and the SEA Report, consultation period </w:t>
            </w:r>
            <w:r w:rsidR="000C6AD4" w:rsidRPr="000C6AD4">
              <w:rPr>
                <w:sz w:val="23"/>
                <w:szCs w:val="23"/>
                <w:lang w:val="sr-Cyrl-CS"/>
              </w:rPr>
              <w:t>3</w:t>
            </w:r>
            <w:r w:rsidR="000C6AD4" w:rsidRPr="000C6AD4">
              <w:rPr>
                <w:sz w:val="23"/>
                <w:szCs w:val="23"/>
                <w:lang w:val="sr-Latn-CS"/>
              </w:rPr>
              <w:t>0 days from the day of the receipt of the notification.</w:t>
            </w:r>
          </w:p>
        </w:tc>
      </w:tr>
      <w:tr w:rsidR="00310726" w:rsidRPr="00723880" w14:paraId="31576A8F"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5A6F93BF" w14:textId="77777777" w:rsidR="00310726" w:rsidRDefault="00310726" w:rsidP="00310726">
            <w:proofErr w:type="gramStart"/>
            <w:r>
              <w:t>Timeframe</w:t>
            </w:r>
            <w:proofErr w:type="gramEnd"/>
            <w:r>
              <w:t xml:space="preserve"> during which affected parties may submit comments on the delivered documentation (Notification and SEA Report)</w:t>
            </w:r>
          </w:p>
        </w:tc>
        <w:tc>
          <w:tcPr>
            <w:tcW w:w="3163" w:type="pct"/>
            <w:tcBorders>
              <w:top w:val="outset" w:sz="6" w:space="0" w:color="auto"/>
              <w:left w:val="outset" w:sz="6" w:space="0" w:color="auto"/>
              <w:bottom w:val="outset" w:sz="6" w:space="0" w:color="auto"/>
              <w:right w:val="outset" w:sz="6" w:space="0" w:color="auto"/>
            </w:tcBorders>
            <w:shd w:val="clear" w:color="auto" w:fill="auto"/>
          </w:tcPr>
          <w:p w14:paraId="0583EE3E" w14:textId="4DCAE011" w:rsidR="00310726" w:rsidRPr="000C6AD4" w:rsidRDefault="00310726" w:rsidP="000C6AD4">
            <w:pPr>
              <w:rPr>
                <w:sz w:val="23"/>
                <w:szCs w:val="23"/>
              </w:rPr>
            </w:pPr>
            <w:r w:rsidRPr="000C6AD4">
              <w:t xml:space="preserve">Draft Strategy for the Management of Mineral and Other Geological Resources of the Republic of Serbia for 2025–2040 with projections until 2050 and the SEA Report – consultation period </w:t>
            </w:r>
            <w:r w:rsidR="000C6AD4" w:rsidRPr="000C6AD4">
              <w:rPr>
                <w:sz w:val="23"/>
                <w:szCs w:val="23"/>
                <w:lang w:val="sr-Cyrl-CS"/>
              </w:rPr>
              <w:t>3</w:t>
            </w:r>
            <w:r w:rsidR="000C6AD4" w:rsidRPr="000C6AD4">
              <w:rPr>
                <w:sz w:val="23"/>
                <w:szCs w:val="23"/>
                <w:lang w:val="sr-Latn-CS"/>
              </w:rPr>
              <w:t>0 days from the day of the receipt of the notification.</w:t>
            </w:r>
          </w:p>
        </w:tc>
      </w:tr>
      <w:tr w:rsidR="00F241E6" w:rsidRPr="00723880" w14:paraId="1BF3060E"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019FC5F9" w14:textId="77777777" w:rsidR="00F241E6" w:rsidRPr="003D62B2" w:rsidRDefault="00F241E6" w:rsidP="00583790">
            <w:pPr>
              <w:rPr>
                <w:sz w:val="23"/>
                <w:szCs w:val="23"/>
              </w:rPr>
            </w:pP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697A82A6" w14:textId="77777777" w:rsidR="00F241E6" w:rsidRPr="003D62B2" w:rsidRDefault="00F241E6" w:rsidP="001626CA">
            <w:pPr>
              <w:rPr>
                <w:sz w:val="23"/>
                <w:szCs w:val="23"/>
              </w:rPr>
            </w:pPr>
            <w:r w:rsidRPr="003D62B2">
              <w:rPr>
                <w:sz w:val="23"/>
                <w:szCs w:val="23"/>
              </w:rPr>
              <w:t> </w:t>
            </w:r>
          </w:p>
        </w:tc>
      </w:tr>
      <w:tr w:rsidR="00310726" w:rsidRPr="00197438" w14:paraId="237C120F"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553C0DAB" w14:textId="77777777" w:rsidR="00310726" w:rsidRDefault="00310726" w:rsidP="00310726">
            <w:r>
              <w:t>Adoption procedure</w:t>
            </w:r>
          </w:p>
        </w:tc>
        <w:tc>
          <w:tcPr>
            <w:tcW w:w="3163" w:type="pct"/>
            <w:tcBorders>
              <w:top w:val="outset" w:sz="6" w:space="0" w:color="auto"/>
              <w:left w:val="outset" w:sz="6" w:space="0" w:color="auto"/>
              <w:bottom w:val="outset" w:sz="6" w:space="0" w:color="auto"/>
              <w:right w:val="outset" w:sz="6" w:space="0" w:color="auto"/>
            </w:tcBorders>
            <w:shd w:val="clear" w:color="auto" w:fill="auto"/>
          </w:tcPr>
          <w:p w14:paraId="7BE53701" w14:textId="0F6AB02A" w:rsidR="00310726" w:rsidRPr="007D473B" w:rsidRDefault="00310726" w:rsidP="00310726">
            <w:pPr>
              <w:rPr>
                <w:sz w:val="23"/>
                <w:szCs w:val="23"/>
                <w:lang w:val="sr-Cyrl-RS"/>
              </w:rPr>
            </w:pPr>
            <w:r>
              <w:t>August–September 2025 – Adoption by the Government and Parliament of the Republic of Serbia</w:t>
            </w:r>
          </w:p>
        </w:tc>
      </w:tr>
      <w:tr w:rsidR="00F241E6" w:rsidRPr="00D71531" w14:paraId="4DA15176"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69CD841E" w14:textId="77777777" w:rsidR="000D674D" w:rsidRDefault="00000000">
            <w:r>
              <w:t>Additional information/comments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0C52555C" w14:textId="77777777" w:rsidR="00F241E6" w:rsidRPr="00D71531" w:rsidRDefault="00F241E6" w:rsidP="00583790">
            <w:pPr>
              <w:rPr>
                <w:sz w:val="23"/>
                <w:szCs w:val="23"/>
              </w:rPr>
            </w:pPr>
            <w:r w:rsidRPr="00D71531">
              <w:rPr>
                <w:sz w:val="23"/>
                <w:szCs w:val="23"/>
              </w:rPr>
              <w:t> </w:t>
            </w:r>
            <w:r w:rsidR="00E54E26" w:rsidRPr="00D71531">
              <w:rPr>
                <w:sz w:val="23"/>
                <w:szCs w:val="23"/>
              </w:rPr>
              <w:t>/</w:t>
            </w:r>
          </w:p>
        </w:tc>
      </w:tr>
      <w:tr w:rsidR="00F241E6" w:rsidRPr="00D71531" w14:paraId="76CB6A9B"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BEE7B2" w14:textId="77777777" w:rsidR="000D674D" w:rsidRDefault="00000000">
            <w:r>
              <w:t>4. INFORMATION ON THE PUBLIC PARTICIPATION PROCESS IN THE COUNTRY OF ORIGIN</w:t>
            </w:r>
          </w:p>
        </w:tc>
      </w:tr>
      <w:tr w:rsidR="00D71531" w:rsidRPr="00197438" w14:paraId="7A792DB7"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74C5BF6E" w14:textId="77777777" w:rsidR="000D674D" w:rsidRDefault="00000000">
            <w:r>
              <w:t>Public participation</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02BF2849" w14:textId="428AB65E" w:rsidR="00F241E6" w:rsidRPr="00D71531" w:rsidRDefault="00310726" w:rsidP="007D473B">
            <w:pPr>
              <w:rPr>
                <w:sz w:val="23"/>
                <w:szCs w:val="23"/>
                <w:lang w:val="sr-Latn-CS"/>
              </w:rPr>
            </w:pPr>
            <w:r w:rsidRPr="00310726">
              <w:rPr>
                <w:sz w:val="23"/>
                <w:szCs w:val="23"/>
              </w:rPr>
              <w:t>The public consultation on the draft Energy Sector Development Strategy and the draft Report on STR will include the publication of the text on the website (</w:t>
            </w:r>
            <w:hyperlink r:id="rId5" w:tgtFrame="_new" w:history="1">
              <w:r w:rsidRPr="00310726">
                <w:rPr>
                  <w:rStyle w:val="Hyperlink"/>
                  <w:sz w:val="23"/>
                  <w:szCs w:val="23"/>
                </w:rPr>
                <w:t>www.mre.gov.rs</w:t>
              </w:r>
            </w:hyperlink>
            <w:r w:rsidRPr="00310726">
              <w:rPr>
                <w:sz w:val="23"/>
                <w:szCs w:val="23"/>
              </w:rPr>
              <w:t xml:space="preserve">) of the Ministry of Mining and Energy and the </w:t>
            </w:r>
            <w:proofErr w:type="spellStart"/>
            <w:r w:rsidRPr="00310726">
              <w:rPr>
                <w:sz w:val="23"/>
                <w:szCs w:val="23"/>
              </w:rPr>
              <w:t>eConsultation</w:t>
            </w:r>
            <w:proofErr w:type="spellEnd"/>
            <w:r w:rsidRPr="00310726">
              <w:rPr>
                <w:sz w:val="23"/>
                <w:szCs w:val="23"/>
              </w:rPr>
              <w:t xml:space="preserve"> Portal. The public consultation will also include public discussions.</w:t>
            </w:r>
            <w:r w:rsidRPr="00310726">
              <w:rPr>
                <w:sz w:val="23"/>
                <w:szCs w:val="23"/>
              </w:rPr>
              <w:br/>
              <w:t xml:space="preserve">All information and documentation can be found at the link </w:t>
            </w:r>
            <w:hyperlink r:id="rId6" w:tgtFrame="_new" w:history="1">
              <w:r w:rsidRPr="00310726">
                <w:rPr>
                  <w:rStyle w:val="Hyperlink"/>
                  <w:sz w:val="23"/>
                  <w:szCs w:val="23"/>
                </w:rPr>
                <w:t>https://www.mre.gov.rs</w:t>
              </w:r>
            </w:hyperlink>
            <w:r w:rsidRPr="00310726">
              <w:rPr>
                <w:sz w:val="23"/>
                <w:szCs w:val="23"/>
              </w:rPr>
              <w:t xml:space="preserve"> and on the </w:t>
            </w:r>
            <w:proofErr w:type="spellStart"/>
            <w:r w:rsidRPr="00310726">
              <w:rPr>
                <w:sz w:val="23"/>
                <w:szCs w:val="23"/>
              </w:rPr>
              <w:t>eConsultation</w:t>
            </w:r>
            <w:proofErr w:type="spellEnd"/>
            <w:r w:rsidRPr="00310726">
              <w:rPr>
                <w:sz w:val="23"/>
                <w:szCs w:val="23"/>
              </w:rPr>
              <w:t xml:space="preserve"> Portal.</w:t>
            </w:r>
          </w:p>
        </w:tc>
      </w:tr>
      <w:tr w:rsidR="00F241E6" w:rsidRPr="00197438" w14:paraId="6B64FC8A"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15DBC457" w14:textId="77777777" w:rsidR="000D674D" w:rsidRDefault="00000000">
            <w:r>
              <w:t>Start and duration of public inspection</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2B07F594" w14:textId="13743E68" w:rsidR="00E474D2" w:rsidRPr="00310726" w:rsidRDefault="00310726" w:rsidP="003C3277">
            <w:pPr>
              <w:rPr>
                <w:sz w:val="23"/>
                <w:szCs w:val="23"/>
                <w:lang w:val="sr-Latn-RS"/>
              </w:rPr>
            </w:pPr>
            <w:r w:rsidRPr="00310726">
              <w:rPr>
                <w:sz w:val="23"/>
                <w:szCs w:val="23"/>
                <w:lang w:val="sr-Latn-RS"/>
              </w:rPr>
              <w:t xml:space="preserve">The public discussion on the draft Strategy for the Management of Mineral and Other Geological Resources of the Republic of Serbia with the Report on SPU will be </w:t>
            </w:r>
            <w:r w:rsidRPr="003C3277">
              <w:rPr>
                <w:sz w:val="23"/>
                <w:szCs w:val="23"/>
                <w:lang w:val="sr-Latn-RS"/>
              </w:rPr>
              <w:t xml:space="preserve">held from </w:t>
            </w:r>
            <w:r w:rsidR="003C3277" w:rsidRPr="003C3277">
              <w:rPr>
                <w:sz w:val="23"/>
                <w:szCs w:val="23"/>
                <w:lang w:val="sr-Latn-RS"/>
              </w:rPr>
              <w:t>30 May – 18 June  2025.</w:t>
            </w:r>
            <w:r w:rsidRPr="003C3277">
              <w:rPr>
                <w:sz w:val="23"/>
                <w:szCs w:val="23"/>
                <w:lang w:val="sr-Latn-RS"/>
              </w:rPr>
              <w:t xml:space="preserve"> </w:t>
            </w:r>
            <w:r w:rsidR="003C3277" w:rsidRPr="003C3277">
              <w:rPr>
                <w:sz w:val="23"/>
                <w:szCs w:val="23"/>
                <w:lang w:val="sr-Latn-RS"/>
              </w:rPr>
              <w:t>During t</w:t>
            </w:r>
            <w:r w:rsidRPr="003C3277">
              <w:rPr>
                <w:sz w:val="23"/>
                <w:szCs w:val="23"/>
                <w:lang w:val="sr-Latn-RS"/>
              </w:rPr>
              <w:t>he public discussion presentation and discussion</w:t>
            </w:r>
            <w:r w:rsidR="003C3277" w:rsidRPr="003C3277">
              <w:rPr>
                <w:sz w:val="23"/>
                <w:szCs w:val="23"/>
                <w:lang w:val="sr-Latn-RS"/>
              </w:rPr>
              <w:t xml:space="preserve"> </w:t>
            </w:r>
            <w:r w:rsidRPr="003C3277">
              <w:rPr>
                <w:sz w:val="23"/>
                <w:szCs w:val="23"/>
                <w:lang w:val="sr-Latn-RS"/>
              </w:rPr>
              <w:t>will take place during the period planned for the public</w:t>
            </w:r>
            <w:r w:rsidR="003C3277" w:rsidRPr="003C3277">
              <w:rPr>
                <w:sz w:val="23"/>
                <w:szCs w:val="23"/>
                <w:lang w:val="sr-Latn-RS"/>
              </w:rPr>
              <w:t xml:space="preserve"> discussion, specifficaly on 16 June 2025 in Belgrade </w:t>
            </w:r>
            <w:r w:rsidRPr="003C3277">
              <w:rPr>
                <w:sz w:val="23"/>
                <w:szCs w:val="23"/>
                <w:lang w:val="sr-Latn-RS"/>
              </w:rPr>
              <w:t xml:space="preserve">, </w:t>
            </w:r>
            <w:r w:rsidRPr="00310726">
              <w:rPr>
                <w:sz w:val="23"/>
                <w:szCs w:val="23"/>
                <w:lang w:val="sr-Latn-RS"/>
              </w:rPr>
              <w:t>in accordance with the program available at the aforementioned link.</w:t>
            </w:r>
          </w:p>
        </w:tc>
      </w:tr>
      <w:tr w:rsidR="00F241E6" w:rsidRPr="00D71531" w14:paraId="26A4EDDB"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1C3928CE" w14:textId="77777777" w:rsidR="000D674D" w:rsidRDefault="00000000">
            <w:r>
              <w:t>Additional information/comments</w:t>
            </w:r>
          </w:p>
        </w:tc>
        <w:tc>
          <w:tcPr>
            <w:tcW w:w="3163" w:type="pct"/>
            <w:tcBorders>
              <w:top w:val="outset" w:sz="6" w:space="0" w:color="auto"/>
              <w:left w:val="outset" w:sz="6" w:space="0" w:color="auto"/>
              <w:bottom w:val="outset" w:sz="6" w:space="0" w:color="auto"/>
              <w:right w:val="outset" w:sz="6" w:space="0" w:color="auto"/>
            </w:tcBorders>
            <w:shd w:val="clear" w:color="auto" w:fill="auto"/>
            <w:vAlign w:val="center"/>
          </w:tcPr>
          <w:p w14:paraId="57DF2540" w14:textId="77777777" w:rsidR="00F241E6" w:rsidRPr="00D71531" w:rsidRDefault="00602E39" w:rsidP="00583790">
            <w:pPr>
              <w:rPr>
                <w:sz w:val="23"/>
                <w:szCs w:val="23"/>
              </w:rPr>
            </w:pPr>
            <w:r w:rsidRPr="00D71531">
              <w:rPr>
                <w:sz w:val="23"/>
                <w:szCs w:val="23"/>
              </w:rPr>
              <w:t>/</w:t>
            </w:r>
          </w:p>
        </w:tc>
      </w:tr>
      <w:tr w:rsidR="00F241E6" w:rsidRPr="00D71531" w14:paraId="2B8CFCC5" w14:textId="77777777" w:rsidTr="00B841FC">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45A9BA" w14:textId="77777777" w:rsidR="000D674D" w:rsidRDefault="00000000">
            <w:r>
              <w:t>5. DEADLINE FOR RESPONSE</w:t>
            </w:r>
          </w:p>
        </w:tc>
      </w:tr>
      <w:tr w:rsidR="00F241E6" w:rsidRPr="00197438" w14:paraId="2363309C" w14:textId="77777777" w:rsidTr="00310726">
        <w:trPr>
          <w:tblCellSpacing w:w="15" w:type="dxa"/>
          <w:jc w:val="center"/>
        </w:trPr>
        <w:tc>
          <w:tcPr>
            <w:tcW w:w="1789" w:type="pct"/>
            <w:tcBorders>
              <w:top w:val="outset" w:sz="6" w:space="0" w:color="auto"/>
              <w:left w:val="outset" w:sz="6" w:space="0" w:color="auto"/>
              <w:bottom w:val="outset" w:sz="6" w:space="0" w:color="auto"/>
              <w:right w:val="outset" w:sz="6" w:space="0" w:color="auto"/>
            </w:tcBorders>
            <w:shd w:val="clear" w:color="auto" w:fill="auto"/>
            <w:vAlign w:val="center"/>
          </w:tcPr>
          <w:p w14:paraId="5AC9CDE2" w14:textId="77777777" w:rsidR="000D674D" w:rsidRDefault="00000000">
            <w:r>
              <w:t>Deadline</w:t>
            </w:r>
          </w:p>
        </w:tc>
        <w:tc>
          <w:tcPr>
            <w:tcW w:w="3163" w:type="pct"/>
            <w:shd w:val="clear" w:color="auto" w:fill="auto"/>
            <w:vAlign w:val="center"/>
          </w:tcPr>
          <w:p w14:paraId="0AEC3969" w14:textId="4950BDB6" w:rsidR="00F241E6" w:rsidRPr="00F01FED" w:rsidRDefault="00980176" w:rsidP="00583790">
            <w:pPr>
              <w:rPr>
                <w:sz w:val="19"/>
                <w:szCs w:val="19"/>
                <w:lang w:val="sr-Latn-RS"/>
              </w:rPr>
            </w:pPr>
            <w:r w:rsidRPr="00980176">
              <w:t>According to the date of receipt of the notification, within 30 days.</w:t>
            </w:r>
          </w:p>
        </w:tc>
      </w:tr>
    </w:tbl>
    <w:p w14:paraId="2F4CA4BE" w14:textId="77777777" w:rsidR="00E03A12" w:rsidRPr="003D62B2" w:rsidRDefault="00E03A12">
      <w:pPr>
        <w:rPr>
          <w:sz w:val="23"/>
          <w:szCs w:val="23"/>
        </w:rPr>
      </w:pPr>
    </w:p>
    <w:sectPr w:rsidR="00E03A12" w:rsidRPr="003D62B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357F"/>
    <w:multiLevelType w:val="hybridMultilevel"/>
    <w:tmpl w:val="D938FA06"/>
    <w:lvl w:ilvl="0" w:tplc="FFFFFFFF">
      <w:start w:val="1"/>
      <w:numFmt w:val="bullet"/>
      <w:lvlText w:val=""/>
      <w:lvlJc w:val="left"/>
      <w:pPr>
        <w:tabs>
          <w:tab w:val="num" w:pos="883"/>
        </w:tabs>
        <w:ind w:left="883"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883"/>
        </w:tabs>
        <w:ind w:left="883"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F5B44"/>
    <w:multiLevelType w:val="multilevel"/>
    <w:tmpl w:val="24D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BFF"/>
    <w:multiLevelType w:val="hybridMultilevel"/>
    <w:tmpl w:val="39BE8D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F7BB0"/>
    <w:multiLevelType w:val="multilevel"/>
    <w:tmpl w:val="B822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C6A0C"/>
    <w:multiLevelType w:val="multilevel"/>
    <w:tmpl w:val="D1A2F43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A476973"/>
    <w:multiLevelType w:val="hybridMultilevel"/>
    <w:tmpl w:val="E50A4C40"/>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Times New Roman" w:hint="default"/>
      </w:rPr>
    </w:lvl>
    <w:lvl w:ilvl="3" w:tplc="04240001">
      <w:start w:val="1"/>
      <w:numFmt w:val="bullet"/>
      <w:lvlText w:val=""/>
      <w:lvlJc w:val="left"/>
      <w:pPr>
        <w:ind w:left="2880" w:hanging="360"/>
      </w:pPr>
      <w:rPr>
        <w:rFonts w:ascii="Symbol" w:hAnsi="Symbol" w:cs="Times New Roman"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Times New Roman" w:hint="default"/>
      </w:rPr>
    </w:lvl>
    <w:lvl w:ilvl="6" w:tplc="04240001">
      <w:start w:val="1"/>
      <w:numFmt w:val="bullet"/>
      <w:lvlText w:val=""/>
      <w:lvlJc w:val="left"/>
      <w:pPr>
        <w:ind w:left="5040" w:hanging="360"/>
      </w:pPr>
      <w:rPr>
        <w:rFonts w:ascii="Symbol" w:hAnsi="Symbol" w:cs="Times New Roman"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Times New Roman" w:hint="default"/>
      </w:rPr>
    </w:lvl>
  </w:abstractNum>
  <w:abstractNum w:abstractNumId="6" w15:restartNumberingAfterBreak="0">
    <w:nsid w:val="3EA636B5"/>
    <w:multiLevelType w:val="hybridMultilevel"/>
    <w:tmpl w:val="E9E0F8B6"/>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 w15:restartNumberingAfterBreak="0">
    <w:nsid w:val="441D59E0"/>
    <w:multiLevelType w:val="hybridMultilevel"/>
    <w:tmpl w:val="5024CA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9B20C0"/>
    <w:multiLevelType w:val="hybridMultilevel"/>
    <w:tmpl w:val="4DE0EA1E"/>
    <w:lvl w:ilvl="0" w:tplc="C224796C">
      <w:start w:val="1"/>
      <w:numFmt w:val="decimal"/>
      <w:lvlText w:val="%1."/>
      <w:lvlJc w:val="left"/>
      <w:pPr>
        <w:ind w:left="720" w:hanging="360"/>
      </w:pPr>
      <w:rPr>
        <w:rFonts w:ascii="Times New Roman" w:hAnsi="Times New Roman" w:hint="default"/>
        <w:b w:val="0"/>
        <w:i w:val="0"/>
        <w:sz w:val="24"/>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C7083C5E">
      <w:start w:val="1"/>
      <w:numFmt w:val="decimal"/>
      <w:lvlText w:val="%5)"/>
      <w:lvlJc w:val="left"/>
      <w:pPr>
        <w:ind w:left="3600" w:hanging="360"/>
      </w:pPr>
      <w:rPr>
        <w:rFonts w:ascii="Times New Roman Bold" w:hAnsi="Times New Roman Bold" w:hint="default"/>
        <w:b/>
        <w:i w:val="0"/>
        <w:sz w:val="24"/>
      </w:rPr>
    </w:lvl>
    <w:lvl w:ilvl="5" w:tplc="3684D764">
      <w:start w:val="1"/>
      <w:numFmt w:val="decimal"/>
      <w:lvlText w:val="(%6)"/>
      <w:lvlJc w:val="left"/>
      <w:pPr>
        <w:ind w:left="4545" w:hanging="405"/>
      </w:pPr>
      <w:rPr>
        <w:rFonts w:ascii="Times New Roman Bold" w:hAnsi="Times New Roman Bold" w:hint="default"/>
        <w:b/>
        <w:i w:val="0"/>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D5810"/>
    <w:multiLevelType w:val="hybridMultilevel"/>
    <w:tmpl w:val="72221ACC"/>
    <w:lvl w:ilvl="0" w:tplc="FFFFFFFF">
      <w:numFmt w:val="bullet"/>
      <w:pStyle w:val="Bodyalineja1a"/>
      <w:lvlText w:val="-"/>
      <w:lvlJc w:val="left"/>
      <w:pPr>
        <w:ind w:left="740" w:hanging="360"/>
      </w:pPr>
      <w:rPr>
        <w:rFonts w:ascii="Times New Roman" w:eastAsia="Times New Roman" w:hAnsi="Times New Roman" w:hint="default"/>
      </w:rPr>
    </w:lvl>
    <w:lvl w:ilvl="1" w:tplc="FFFFFFFF" w:tentative="1">
      <w:start w:val="1"/>
      <w:numFmt w:val="bullet"/>
      <w:lvlText w:val="o"/>
      <w:lvlJc w:val="left"/>
      <w:pPr>
        <w:ind w:left="1460" w:hanging="360"/>
      </w:pPr>
      <w:rPr>
        <w:rFonts w:ascii="Courier New" w:hAnsi="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10" w15:restartNumberingAfterBreak="0">
    <w:nsid w:val="571761E0"/>
    <w:multiLevelType w:val="hybridMultilevel"/>
    <w:tmpl w:val="29DA04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C7DBF"/>
    <w:multiLevelType w:val="multilevel"/>
    <w:tmpl w:val="B9FA64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E1D08"/>
    <w:multiLevelType w:val="hybridMultilevel"/>
    <w:tmpl w:val="FD2C09C8"/>
    <w:lvl w:ilvl="0" w:tplc="8E721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A0E11"/>
    <w:multiLevelType w:val="hybridMultilevel"/>
    <w:tmpl w:val="C4A699A6"/>
    <w:lvl w:ilvl="0" w:tplc="ABC41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751901">
    <w:abstractNumId w:val="4"/>
  </w:num>
  <w:num w:numId="2" w16cid:durableId="1816486140">
    <w:abstractNumId w:val="7"/>
  </w:num>
  <w:num w:numId="3" w16cid:durableId="1756971011">
    <w:abstractNumId w:val="2"/>
  </w:num>
  <w:num w:numId="4" w16cid:durableId="1871263497">
    <w:abstractNumId w:val="9"/>
  </w:num>
  <w:num w:numId="5" w16cid:durableId="295960612">
    <w:abstractNumId w:val="0"/>
  </w:num>
  <w:num w:numId="6" w16cid:durableId="565452501">
    <w:abstractNumId w:val="5"/>
  </w:num>
  <w:num w:numId="7" w16cid:durableId="2031907484">
    <w:abstractNumId w:val="11"/>
  </w:num>
  <w:num w:numId="8" w16cid:durableId="752899044">
    <w:abstractNumId w:val="6"/>
  </w:num>
  <w:num w:numId="9" w16cid:durableId="421144487">
    <w:abstractNumId w:val="8"/>
  </w:num>
  <w:num w:numId="10" w16cid:durableId="1562520155">
    <w:abstractNumId w:val="10"/>
  </w:num>
  <w:num w:numId="11" w16cid:durableId="830683849">
    <w:abstractNumId w:val="13"/>
  </w:num>
  <w:num w:numId="12" w16cid:durableId="1832215457">
    <w:abstractNumId w:val="12"/>
  </w:num>
  <w:num w:numId="13" w16cid:durableId="240795297">
    <w:abstractNumId w:val="1"/>
  </w:num>
  <w:num w:numId="14" w16cid:durableId="1625455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FF"/>
    <w:rsid w:val="000017C1"/>
    <w:rsid w:val="00037E9F"/>
    <w:rsid w:val="000A4EE9"/>
    <w:rsid w:val="000B339E"/>
    <w:rsid w:val="000B5B6B"/>
    <w:rsid w:val="000C13BF"/>
    <w:rsid w:val="000C36E7"/>
    <w:rsid w:val="000C62C3"/>
    <w:rsid w:val="000C6AD4"/>
    <w:rsid w:val="000D674D"/>
    <w:rsid w:val="00115262"/>
    <w:rsid w:val="00115C0B"/>
    <w:rsid w:val="00126985"/>
    <w:rsid w:val="0012730B"/>
    <w:rsid w:val="00132A4D"/>
    <w:rsid w:val="00132C81"/>
    <w:rsid w:val="00140394"/>
    <w:rsid w:val="00155890"/>
    <w:rsid w:val="001626CA"/>
    <w:rsid w:val="00174262"/>
    <w:rsid w:val="00174702"/>
    <w:rsid w:val="00197438"/>
    <w:rsid w:val="001A2AFF"/>
    <w:rsid w:val="001B7983"/>
    <w:rsid w:val="002109E1"/>
    <w:rsid w:val="00226246"/>
    <w:rsid w:val="00234DF7"/>
    <w:rsid w:val="00263662"/>
    <w:rsid w:val="002A3E33"/>
    <w:rsid w:val="002C6B45"/>
    <w:rsid w:val="002D454A"/>
    <w:rsid w:val="002E2CC3"/>
    <w:rsid w:val="002F327B"/>
    <w:rsid w:val="00310726"/>
    <w:rsid w:val="003135E1"/>
    <w:rsid w:val="00327F25"/>
    <w:rsid w:val="00330B3C"/>
    <w:rsid w:val="003449C4"/>
    <w:rsid w:val="003454EC"/>
    <w:rsid w:val="0034789C"/>
    <w:rsid w:val="00351C76"/>
    <w:rsid w:val="0036648A"/>
    <w:rsid w:val="003701F4"/>
    <w:rsid w:val="00386E98"/>
    <w:rsid w:val="003B6257"/>
    <w:rsid w:val="003C1247"/>
    <w:rsid w:val="003C3277"/>
    <w:rsid w:val="003D62B2"/>
    <w:rsid w:val="003D77A8"/>
    <w:rsid w:val="003F1056"/>
    <w:rsid w:val="003F711E"/>
    <w:rsid w:val="00403779"/>
    <w:rsid w:val="004215BE"/>
    <w:rsid w:val="00432A89"/>
    <w:rsid w:val="00457624"/>
    <w:rsid w:val="00490EC1"/>
    <w:rsid w:val="004D65AF"/>
    <w:rsid w:val="005064AD"/>
    <w:rsid w:val="00510F3F"/>
    <w:rsid w:val="00553C0D"/>
    <w:rsid w:val="005703DB"/>
    <w:rsid w:val="00583790"/>
    <w:rsid w:val="0059632F"/>
    <w:rsid w:val="005966FC"/>
    <w:rsid w:val="00597008"/>
    <w:rsid w:val="005B13E5"/>
    <w:rsid w:val="005F41E7"/>
    <w:rsid w:val="0060110B"/>
    <w:rsid w:val="00602E39"/>
    <w:rsid w:val="0060726A"/>
    <w:rsid w:val="00614623"/>
    <w:rsid w:val="0061703E"/>
    <w:rsid w:val="00631A5F"/>
    <w:rsid w:val="00645071"/>
    <w:rsid w:val="00652D6B"/>
    <w:rsid w:val="00672A32"/>
    <w:rsid w:val="006739E1"/>
    <w:rsid w:val="00682B43"/>
    <w:rsid w:val="00685246"/>
    <w:rsid w:val="00687A1A"/>
    <w:rsid w:val="006A1330"/>
    <w:rsid w:val="006A24C2"/>
    <w:rsid w:val="006B6E69"/>
    <w:rsid w:val="006D7388"/>
    <w:rsid w:val="0072219C"/>
    <w:rsid w:val="00723880"/>
    <w:rsid w:val="00745290"/>
    <w:rsid w:val="00776FC2"/>
    <w:rsid w:val="007A3465"/>
    <w:rsid w:val="007B45AE"/>
    <w:rsid w:val="007D473B"/>
    <w:rsid w:val="007D5650"/>
    <w:rsid w:val="007D6D4C"/>
    <w:rsid w:val="007E48A9"/>
    <w:rsid w:val="007F6A7E"/>
    <w:rsid w:val="007F6F24"/>
    <w:rsid w:val="00803C0C"/>
    <w:rsid w:val="0082768C"/>
    <w:rsid w:val="00837D4D"/>
    <w:rsid w:val="008E4240"/>
    <w:rsid w:val="008E73E8"/>
    <w:rsid w:val="00911F06"/>
    <w:rsid w:val="00917EA6"/>
    <w:rsid w:val="00936162"/>
    <w:rsid w:val="00946E71"/>
    <w:rsid w:val="00952A16"/>
    <w:rsid w:val="00962A6A"/>
    <w:rsid w:val="00980176"/>
    <w:rsid w:val="00993314"/>
    <w:rsid w:val="009B0A49"/>
    <w:rsid w:val="009B50E9"/>
    <w:rsid w:val="009C3AB0"/>
    <w:rsid w:val="009C6E3C"/>
    <w:rsid w:val="009E2876"/>
    <w:rsid w:val="009F32F7"/>
    <w:rsid w:val="00A21952"/>
    <w:rsid w:val="00A5097D"/>
    <w:rsid w:val="00A563B4"/>
    <w:rsid w:val="00A776BA"/>
    <w:rsid w:val="00A84D79"/>
    <w:rsid w:val="00A92F35"/>
    <w:rsid w:val="00A96A12"/>
    <w:rsid w:val="00AA448A"/>
    <w:rsid w:val="00AB1093"/>
    <w:rsid w:val="00B333B9"/>
    <w:rsid w:val="00B34F44"/>
    <w:rsid w:val="00B4240D"/>
    <w:rsid w:val="00B46493"/>
    <w:rsid w:val="00B841FC"/>
    <w:rsid w:val="00BA551F"/>
    <w:rsid w:val="00BB28CE"/>
    <w:rsid w:val="00BD2DE9"/>
    <w:rsid w:val="00BF51ED"/>
    <w:rsid w:val="00BF618F"/>
    <w:rsid w:val="00C048D0"/>
    <w:rsid w:val="00C06189"/>
    <w:rsid w:val="00C4119C"/>
    <w:rsid w:val="00C47AF9"/>
    <w:rsid w:val="00C61BEE"/>
    <w:rsid w:val="00C72E01"/>
    <w:rsid w:val="00CD038E"/>
    <w:rsid w:val="00CD30BC"/>
    <w:rsid w:val="00CD79FF"/>
    <w:rsid w:val="00CD7D7D"/>
    <w:rsid w:val="00CE443D"/>
    <w:rsid w:val="00CE659B"/>
    <w:rsid w:val="00D016B8"/>
    <w:rsid w:val="00D0476F"/>
    <w:rsid w:val="00D166D0"/>
    <w:rsid w:val="00D2312D"/>
    <w:rsid w:val="00D237EB"/>
    <w:rsid w:val="00D42856"/>
    <w:rsid w:val="00D53850"/>
    <w:rsid w:val="00D605F8"/>
    <w:rsid w:val="00D71531"/>
    <w:rsid w:val="00D943AD"/>
    <w:rsid w:val="00D948BE"/>
    <w:rsid w:val="00DB6471"/>
    <w:rsid w:val="00DB67EB"/>
    <w:rsid w:val="00DC0082"/>
    <w:rsid w:val="00DC4EBF"/>
    <w:rsid w:val="00DD3926"/>
    <w:rsid w:val="00DE0999"/>
    <w:rsid w:val="00E035BA"/>
    <w:rsid w:val="00E03A12"/>
    <w:rsid w:val="00E03A75"/>
    <w:rsid w:val="00E11278"/>
    <w:rsid w:val="00E127B0"/>
    <w:rsid w:val="00E43F02"/>
    <w:rsid w:val="00E4526E"/>
    <w:rsid w:val="00E46526"/>
    <w:rsid w:val="00E474D2"/>
    <w:rsid w:val="00E54E26"/>
    <w:rsid w:val="00E5667A"/>
    <w:rsid w:val="00E86E5F"/>
    <w:rsid w:val="00EA1913"/>
    <w:rsid w:val="00EC0900"/>
    <w:rsid w:val="00EC1FEE"/>
    <w:rsid w:val="00EC60D1"/>
    <w:rsid w:val="00EF047F"/>
    <w:rsid w:val="00EF4718"/>
    <w:rsid w:val="00F01FED"/>
    <w:rsid w:val="00F04801"/>
    <w:rsid w:val="00F241E6"/>
    <w:rsid w:val="00F53281"/>
    <w:rsid w:val="00F62314"/>
    <w:rsid w:val="00F62BD0"/>
    <w:rsid w:val="00F76843"/>
    <w:rsid w:val="00F856B7"/>
    <w:rsid w:val="00F86A39"/>
    <w:rsid w:val="00F879ED"/>
    <w:rsid w:val="00F95273"/>
    <w:rsid w:val="00FB6DE8"/>
    <w:rsid w:val="00FC62DA"/>
    <w:rsid w:val="00FD1AEB"/>
    <w:rsid w:val="00FD751E"/>
    <w:rsid w:val="00FE337A"/>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7C88B"/>
  <w15:chartTrackingRefBased/>
  <w15:docId w15:val="{B2101A89-9A26-46A1-9723-669D6BE6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sl-SI"/>
    </w:rPr>
  </w:style>
  <w:style w:type="paragraph" w:styleId="Heading1">
    <w:name w:val="heading 1"/>
    <w:basedOn w:val="Normal"/>
    <w:next w:val="Normal"/>
    <w:qFormat/>
    <w:pPr>
      <w:keepNext/>
      <w:numPr>
        <w:numId w:val="1"/>
      </w:numPr>
      <w:spacing w:before="240" w:after="60"/>
      <w:outlineLvl w:val="0"/>
    </w:pPr>
  </w:style>
  <w:style w:type="paragraph" w:styleId="Heading2">
    <w:name w:val="heading 2"/>
    <w:basedOn w:val="Normal"/>
    <w:next w:val="Normal"/>
    <w:qFormat/>
    <w:pPr>
      <w:keepNext/>
      <w:spacing w:before="240" w:after="60" w:line="360" w:lineRule="auto"/>
      <w:outlineLvl w:val="1"/>
    </w:pPr>
    <w:rPr>
      <w:b/>
      <w:i/>
    </w:rPr>
  </w:style>
  <w:style w:type="paragraph" w:styleId="Heading3">
    <w:name w:val="heading 3"/>
    <w:basedOn w:val="Normal"/>
    <w:next w:val="Normal"/>
    <w:qFormat/>
    <w:pPr>
      <w:keepNext/>
      <w:spacing w:before="240" w:after="60"/>
      <w:jc w:val="both"/>
      <w:outlineLvl w:val="2"/>
    </w:pPr>
    <w:rPr>
      <w:b/>
    </w:rPr>
  </w:style>
  <w:style w:type="paragraph" w:styleId="Heading5">
    <w:name w:val="heading 5"/>
    <w:basedOn w:val="Normal"/>
    <w:qFormat/>
    <w:rsid w:val="00583790"/>
    <w:pPr>
      <w:spacing w:before="100" w:beforeAutospacing="1" w:after="100" w:afterAutospacing="1"/>
      <w:outlineLvl w:val="4"/>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83790"/>
    <w:rPr>
      <w:b/>
      <w:bCs/>
    </w:rPr>
  </w:style>
  <w:style w:type="paragraph" w:styleId="NormalWeb">
    <w:name w:val="Normal (Web)"/>
    <w:basedOn w:val="Normal"/>
    <w:rsid w:val="00583790"/>
    <w:pPr>
      <w:spacing w:before="100" w:beforeAutospacing="1" w:after="100" w:afterAutospacing="1"/>
    </w:pPr>
    <w:rPr>
      <w:szCs w:val="24"/>
    </w:rPr>
  </w:style>
  <w:style w:type="paragraph" w:customStyle="1" w:styleId="Bodyalineja1a">
    <w:name w:val="Body alineja1a"/>
    <w:basedOn w:val="Normal"/>
    <w:rsid w:val="0082768C"/>
    <w:pPr>
      <w:numPr>
        <w:numId w:val="4"/>
      </w:numPr>
      <w:tabs>
        <w:tab w:val="left" w:pos="720"/>
      </w:tabs>
      <w:spacing w:line="320" w:lineRule="exact"/>
      <w:jc w:val="both"/>
    </w:pPr>
    <w:rPr>
      <w:rFonts w:ascii="Palatino Linotype" w:hAnsi="Palatino Linotype"/>
      <w:snapToGrid w:val="0"/>
      <w:sz w:val="22"/>
      <w:szCs w:val="24"/>
      <w:lang w:val="sl-SI"/>
    </w:rPr>
  </w:style>
  <w:style w:type="character" w:styleId="Hyperlink">
    <w:name w:val="Hyperlink"/>
    <w:rsid w:val="006A1330"/>
    <w:rPr>
      <w:color w:val="0000FF"/>
      <w:u w:val="single"/>
    </w:rPr>
  </w:style>
  <w:style w:type="paragraph" w:styleId="ListParagraph">
    <w:name w:val="List Paragraph"/>
    <w:basedOn w:val="Normal"/>
    <w:link w:val="ListParagraphChar"/>
    <w:uiPriority w:val="34"/>
    <w:qFormat/>
    <w:rsid w:val="00CD30BC"/>
    <w:pPr>
      <w:spacing w:before="240" w:after="120"/>
      <w:ind w:left="720"/>
      <w:contextualSpacing/>
      <w:jc w:val="both"/>
    </w:pPr>
    <w:rPr>
      <w:rFonts w:eastAsia="Calibri"/>
      <w:szCs w:val="22"/>
      <w:lang w:eastAsia="en-US"/>
    </w:rPr>
  </w:style>
  <w:style w:type="character" w:customStyle="1" w:styleId="ListParagraphChar">
    <w:name w:val="List Paragraph Char"/>
    <w:link w:val="ListParagraph"/>
    <w:uiPriority w:val="34"/>
    <w:rsid w:val="00CD30BC"/>
    <w:rPr>
      <w:rFonts w:eastAsia="Calibri"/>
      <w:sz w:val="24"/>
      <w:szCs w:val="22"/>
    </w:rPr>
  </w:style>
  <w:style w:type="character" w:customStyle="1" w:styleId="hps">
    <w:name w:val="hps"/>
    <w:rsid w:val="00E474D2"/>
  </w:style>
  <w:style w:type="paragraph" w:customStyle="1" w:styleId="Default">
    <w:name w:val="Default"/>
    <w:rsid w:val="001A2AFF"/>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776FC2"/>
    <w:rPr>
      <w:rFonts w:ascii="Segoe UI" w:hAnsi="Segoe UI" w:cs="Segoe UI"/>
      <w:sz w:val="18"/>
      <w:szCs w:val="18"/>
    </w:rPr>
  </w:style>
  <w:style w:type="character" w:customStyle="1" w:styleId="BalloonTextChar">
    <w:name w:val="Balloon Text Char"/>
    <w:link w:val="BalloonText"/>
    <w:rsid w:val="00776FC2"/>
    <w:rPr>
      <w:rFonts w:ascii="Segoe UI" w:hAnsi="Segoe UI" w:cs="Segoe UI"/>
      <w:sz w:val="18"/>
      <w:szCs w:val="18"/>
      <w:lang w:eastAsia="sl-SI"/>
    </w:rPr>
  </w:style>
  <w:style w:type="character" w:customStyle="1" w:styleId="rynqvb">
    <w:name w:val="rynqvb"/>
    <w:rsid w:val="00DB6471"/>
  </w:style>
  <w:style w:type="character" w:styleId="CommentReference">
    <w:name w:val="annotation reference"/>
    <w:rsid w:val="00B841FC"/>
    <w:rPr>
      <w:sz w:val="16"/>
      <w:szCs w:val="16"/>
    </w:rPr>
  </w:style>
  <w:style w:type="paragraph" w:styleId="CommentText">
    <w:name w:val="annotation text"/>
    <w:basedOn w:val="Normal"/>
    <w:link w:val="CommentTextChar"/>
    <w:rsid w:val="00B841FC"/>
    <w:rPr>
      <w:sz w:val="20"/>
    </w:rPr>
  </w:style>
  <w:style w:type="character" w:customStyle="1" w:styleId="CommentTextChar">
    <w:name w:val="Comment Text Char"/>
    <w:link w:val="CommentText"/>
    <w:rsid w:val="00B841FC"/>
    <w:rPr>
      <w:lang w:val="en-US" w:eastAsia="sl-SI"/>
    </w:rPr>
  </w:style>
  <w:style w:type="paragraph" w:styleId="CommentSubject">
    <w:name w:val="annotation subject"/>
    <w:basedOn w:val="CommentText"/>
    <w:next w:val="CommentText"/>
    <w:link w:val="CommentSubjectChar"/>
    <w:rsid w:val="00B841FC"/>
    <w:rPr>
      <w:b/>
      <w:bCs/>
    </w:rPr>
  </w:style>
  <w:style w:type="character" w:customStyle="1" w:styleId="CommentSubjectChar">
    <w:name w:val="Comment Subject Char"/>
    <w:link w:val="CommentSubject"/>
    <w:rsid w:val="00B841FC"/>
    <w:rPr>
      <w:b/>
      <w:bCs/>
      <w:lang w:val="en-US" w:eastAsia="sl-SI"/>
    </w:rPr>
  </w:style>
  <w:style w:type="character" w:styleId="UnresolvedMention">
    <w:name w:val="Unresolved Mention"/>
    <w:basedOn w:val="DefaultParagraphFont"/>
    <w:uiPriority w:val="99"/>
    <w:semiHidden/>
    <w:unhideWhenUsed/>
    <w:rsid w:val="0031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3613">
      <w:bodyDiv w:val="1"/>
      <w:marLeft w:val="0"/>
      <w:marRight w:val="0"/>
      <w:marTop w:val="0"/>
      <w:marBottom w:val="0"/>
      <w:divBdr>
        <w:top w:val="none" w:sz="0" w:space="0" w:color="auto"/>
        <w:left w:val="none" w:sz="0" w:space="0" w:color="auto"/>
        <w:bottom w:val="none" w:sz="0" w:space="0" w:color="auto"/>
        <w:right w:val="none" w:sz="0" w:space="0" w:color="auto"/>
      </w:divBdr>
    </w:div>
    <w:div w:id="141626182">
      <w:bodyDiv w:val="1"/>
      <w:marLeft w:val="0"/>
      <w:marRight w:val="0"/>
      <w:marTop w:val="0"/>
      <w:marBottom w:val="0"/>
      <w:divBdr>
        <w:top w:val="none" w:sz="0" w:space="0" w:color="auto"/>
        <w:left w:val="none" w:sz="0" w:space="0" w:color="auto"/>
        <w:bottom w:val="none" w:sz="0" w:space="0" w:color="auto"/>
        <w:right w:val="none" w:sz="0" w:space="0" w:color="auto"/>
      </w:divBdr>
    </w:div>
    <w:div w:id="162204837">
      <w:bodyDiv w:val="1"/>
      <w:marLeft w:val="0"/>
      <w:marRight w:val="0"/>
      <w:marTop w:val="0"/>
      <w:marBottom w:val="0"/>
      <w:divBdr>
        <w:top w:val="none" w:sz="0" w:space="0" w:color="auto"/>
        <w:left w:val="none" w:sz="0" w:space="0" w:color="auto"/>
        <w:bottom w:val="none" w:sz="0" w:space="0" w:color="auto"/>
        <w:right w:val="none" w:sz="0" w:space="0" w:color="auto"/>
      </w:divBdr>
    </w:div>
    <w:div w:id="198133732">
      <w:bodyDiv w:val="1"/>
      <w:marLeft w:val="0"/>
      <w:marRight w:val="0"/>
      <w:marTop w:val="0"/>
      <w:marBottom w:val="0"/>
      <w:divBdr>
        <w:top w:val="none" w:sz="0" w:space="0" w:color="auto"/>
        <w:left w:val="none" w:sz="0" w:space="0" w:color="auto"/>
        <w:bottom w:val="none" w:sz="0" w:space="0" w:color="auto"/>
        <w:right w:val="none" w:sz="0" w:space="0" w:color="auto"/>
      </w:divBdr>
    </w:div>
    <w:div w:id="219633068">
      <w:bodyDiv w:val="1"/>
      <w:marLeft w:val="0"/>
      <w:marRight w:val="0"/>
      <w:marTop w:val="0"/>
      <w:marBottom w:val="0"/>
      <w:divBdr>
        <w:top w:val="none" w:sz="0" w:space="0" w:color="auto"/>
        <w:left w:val="none" w:sz="0" w:space="0" w:color="auto"/>
        <w:bottom w:val="none" w:sz="0" w:space="0" w:color="auto"/>
        <w:right w:val="none" w:sz="0" w:space="0" w:color="auto"/>
      </w:divBdr>
    </w:div>
    <w:div w:id="231085683">
      <w:bodyDiv w:val="1"/>
      <w:marLeft w:val="0"/>
      <w:marRight w:val="0"/>
      <w:marTop w:val="0"/>
      <w:marBottom w:val="0"/>
      <w:divBdr>
        <w:top w:val="none" w:sz="0" w:space="0" w:color="auto"/>
        <w:left w:val="none" w:sz="0" w:space="0" w:color="auto"/>
        <w:bottom w:val="none" w:sz="0" w:space="0" w:color="auto"/>
        <w:right w:val="none" w:sz="0" w:space="0" w:color="auto"/>
      </w:divBdr>
    </w:div>
    <w:div w:id="315570045">
      <w:bodyDiv w:val="1"/>
      <w:marLeft w:val="0"/>
      <w:marRight w:val="0"/>
      <w:marTop w:val="0"/>
      <w:marBottom w:val="0"/>
      <w:divBdr>
        <w:top w:val="none" w:sz="0" w:space="0" w:color="auto"/>
        <w:left w:val="none" w:sz="0" w:space="0" w:color="auto"/>
        <w:bottom w:val="none" w:sz="0" w:space="0" w:color="auto"/>
        <w:right w:val="none" w:sz="0" w:space="0" w:color="auto"/>
      </w:divBdr>
    </w:div>
    <w:div w:id="335965318">
      <w:bodyDiv w:val="1"/>
      <w:marLeft w:val="0"/>
      <w:marRight w:val="0"/>
      <w:marTop w:val="0"/>
      <w:marBottom w:val="0"/>
      <w:divBdr>
        <w:top w:val="none" w:sz="0" w:space="0" w:color="auto"/>
        <w:left w:val="none" w:sz="0" w:space="0" w:color="auto"/>
        <w:bottom w:val="none" w:sz="0" w:space="0" w:color="auto"/>
        <w:right w:val="none" w:sz="0" w:space="0" w:color="auto"/>
      </w:divBdr>
    </w:div>
    <w:div w:id="403797397">
      <w:bodyDiv w:val="1"/>
      <w:marLeft w:val="0"/>
      <w:marRight w:val="0"/>
      <w:marTop w:val="0"/>
      <w:marBottom w:val="0"/>
      <w:divBdr>
        <w:top w:val="none" w:sz="0" w:space="0" w:color="auto"/>
        <w:left w:val="none" w:sz="0" w:space="0" w:color="auto"/>
        <w:bottom w:val="none" w:sz="0" w:space="0" w:color="auto"/>
        <w:right w:val="none" w:sz="0" w:space="0" w:color="auto"/>
      </w:divBdr>
    </w:div>
    <w:div w:id="458915231">
      <w:bodyDiv w:val="1"/>
      <w:marLeft w:val="0"/>
      <w:marRight w:val="0"/>
      <w:marTop w:val="0"/>
      <w:marBottom w:val="0"/>
      <w:divBdr>
        <w:top w:val="none" w:sz="0" w:space="0" w:color="auto"/>
        <w:left w:val="none" w:sz="0" w:space="0" w:color="auto"/>
        <w:bottom w:val="none" w:sz="0" w:space="0" w:color="auto"/>
        <w:right w:val="none" w:sz="0" w:space="0" w:color="auto"/>
      </w:divBdr>
    </w:div>
    <w:div w:id="535122745">
      <w:bodyDiv w:val="1"/>
      <w:marLeft w:val="0"/>
      <w:marRight w:val="0"/>
      <w:marTop w:val="0"/>
      <w:marBottom w:val="0"/>
      <w:divBdr>
        <w:top w:val="none" w:sz="0" w:space="0" w:color="auto"/>
        <w:left w:val="none" w:sz="0" w:space="0" w:color="auto"/>
        <w:bottom w:val="none" w:sz="0" w:space="0" w:color="auto"/>
        <w:right w:val="none" w:sz="0" w:space="0" w:color="auto"/>
      </w:divBdr>
    </w:div>
    <w:div w:id="639925824">
      <w:bodyDiv w:val="1"/>
      <w:marLeft w:val="0"/>
      <w:marRight w:val="0"/>
      <w:marTop w:val="0"/>
      <w:marBottom w:val="0"/>
      <w:divBdr>
        <w:top w:val="none" w:sz="0" w:space="0" w:color="auto"/>
        <w:left w:val="none" w:sz="0" w:space="0" w:color="auto"/>
        <w:bottom w:val="none" w:sz="0" w:space="0" w:color="auto"/>
        <w:right w:val="none" w:sz="0" w:space="0" w:color="auto"/>
      </w:divBdr>
    </w:div>
    <w:div w:id="730234137">
      <w:bodyDiv w:val="1"/>
      <w:marLeft w:val="0"/>
      <w:marRight w:val="0"/>
      <w:marTop w:val="0"/>
      <w:marBottom w:val="0"/>
      <w:divBdr>
        <w:top w:val="none" w:sz="0" w:space="0" w:color="auto"/>
        <w:left w:val="none" w:sz="0" w:space="0" w:color="auto"/>
        <w:bottom w:val="none" w:sz="0" w:space="0" w:color="auto"/>
        <w:right w:val="none" w:sz="0" w:space="0" w:color="auto"/>
      </w:divBdr>
      <w:divsChild>
        <w:div w:id="1024597005">
          <w:marLeft w:val="0"/>
          <w:marRight w:val="0"/>
          <w:marTop w:val="0"/>
          <w:marBottom w:val="0"/>
          <w:divBdr>
            <w:top w:val="none" w:sz="0" w:space="0" w:color="auto"/>
            <w:left w:val="none" w:sz="0" w:space="0" w:color="auto"/>
            <w:bottom w:val="none" w:sz="0" w:space="0" w:color="auto"/>
            <w:right w:val="none" w:sz="0" w:space="0" w:color="auto"/>
          </w:divBdr>
        </w:div>
      </w:divsChild>
    </w:div>
    <w:div w:id="753359007">
      <w:bodyDiv w:val="1"/>
      <w:marLeft w:val="0"/>
      <w:marRight w:val="0"/>
      <w:marTop w:val="0"/>
      <w:marBottom w:val="0"/>
      <w:divBdr>
        <w:top w:val="none" w:sz="0" w:space="0" w:color="auto"/>
        <w:left w:val="none" w:sz="0" w:space="0" w:color="auto"/>
        <w:bottom w:val="none" w:sz="0" w:space="0" w:color="auto"/>
        <w:right w:val="none" w:sz="0" w:space="0" w:color="auto"/>
      </w:divBdr>
      <w:divsChild>
        <w:div w:id="457184482">
          <w:marLeft w:val="0"/>
          <w:marRight w:val="0"/>
          <w:marTop w:val="0"/>
          <w:marBottom w:val="0"/>
          <w:divBdr>
            <w:top w:val="none" w:sz="0" w:space="0" w:color="auto"/>
            <w:left w:val="none" w:sz="0" w:space="0" w:color="auto"/>
            <w:bottom w:val="none" w:sz="0" w:space="0" w:color="auto"/>
            <w:right w:val="none" w:sz="0" w:space="0" w:color="auto"/>
          </w:divBdr>
          <w:divsChild>
            <w:div w:id="914557593">
              <w:marLeft w:val="0"/>
              <w:marRight w:val="0"/>
              <w:marTop w:val="0"/>
              <w:marBottom w:val="0"/>
              <w:divBdr>
                <w:top w:val="none" w:sz="0" w:space="0" w:color="auto"/>
                <w:left w:val="none" w:sz="0" w:space="0" w:color="auto"/>
                <w:bottom w:val="none" w:sz="0" w:space="0" w:color="auto"/>
                <w:right w:val="none" w:sz="0" w:space="0" w:color="auto"/>
              </w:divBdr>
              <w:divsChild>
                <w:div w:id="6638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835223241">
      <w:bodyDiv w:val="1"/>
      <w:marLeft w:val="0"/>
      <w:marRight w:val="0"/>
      <w:marTop w:val="0"/>
      <w:marBottom w:val="0"/>
      <w:divBdr>
        <w:top w:val="none" w:sz="0" w:space="0" w:color="auto"/>
        <w:left w:val="none" w:sz="0" w:space="0" w:color="auto"/>
        <w:bottom w:val="none" w:sz="0" w:space="0" w:color="auto"/>
        <w:right w:val="none" w:sz="0" w:space="0" w:color="auto"/>
      </w:divBdr>
    </w:div>
    <w:div w:id="867572327">
      <w:bodyDiv w:val="1"/>
      <w:marLeft w:val="0"/>
      <w:marRight w:val="0"/>
      <w:marTop w:val="0"/>
      <w:marBottom w:val="0"/>
      <w:divBdr>
        <w:top w:val="none" w:sz="0" w:space="0" w:color="auto"/>
        <w:left w:val="none" w:sz="0" w:space="0" w:color="auto"/>
        <w:bottom w:val="none" w:sz="0" w:space="0" w:color="auto"/>
        <w:right w:val="none" w:sz="0" w:space="0" w:color="auto"/>
      </w:divBdr>
    </w:div>
    <w:div w:id="900481548">
      <w:bodyDiv w:val="1"/>
      <w:marLeft w:val="0"/>
      <w:marRight w:val="0"/>
      <w:marTop w:val="0"/>
      <w:marBottom w:val="0"/>
      <w:divBdr>
        <w:top w:val="none" w:sz="0" w:space="0" w:color="auto"/>
        <w:left w:val="none" w:sz="0" w:space="0" w:color="auto"/>
        <w:bottom w:val="none" w:sz="0" w:space="0" w:color="auto"/>
        <w:right w:val="none" w:sz="0" w:space="0" w:color="auto"/>
      </w:divBdr>
    </w:div>
    <w:div w:id="976036060">
      <w:bodyDiv w:val="1"/>
      <w:marLeft w:val="0"/>
      <w:marRight w:val="0"/>
      <w:marTop w:val="0"/>
      <w:marBottom w:val="0"/>
      <w:divBdr>
        <w:top w:val="none" w:sz="0" w:space="0" w:color="auto"/>
        <w:left w:val="none" w:sz="0" w:space="0" w:color="auto"/>
        <w:bottom w:val="none" w:sz="0" w:space="0" w:color="auto"/>
        <w:right w:val="none" w:sz="0" w:space="0" w:color="auto"/>
      </w:divBdr>
    </w:div>
    <w:div w:id="1004623471">
      <w:bodyDiv w:val="1"/>
      <w:marLeft w:val="0"/>
      <w:marRight w:val="0"/>
      <w:marTop w:val="0"/>
      <w:marBottom w:val="0"/>
      <w:divBdr>
        <w:top w:val="none" w:sz="0" w:space="0" w:color="auto"/>
        <w:left w:val="none" w:sz="0" w:space="0" w:color="auto"/>
        <w:bottom w:val="none" w:sz="0" w:space="0" w:color="auto"/>
        <w:right w:val="none" w:sz="0" w:space="0" w:color="auto"/>
      </w:divBdr>
      <w:divsChild>
        <w:div w:id="2092584533">
          <w:marLeft w:val="0"/>
          <w:marRight w:val="0"/>
          <w:marTop w:val="0"/>
          <w:marBottom w:val="0"/>
          <w:divBdr>
            <w:top w:val="none" w:sz="0" w:space="0" w:color="auto"/>
            <w:left w:val="none" w:sz="0" w:space="0" w:color="auto"/>
            <w:bottom w:val="none" w:sz="0" w:space="0" w:color="auto"/>
            <w:right w:val="none" w:sz="0" w:space="0" w:color="auto"/>
          </w:divBdr>
          <w:divsChild>
            <w:div w:id="1153637578">
              <w:marLeft w:val="0"/>
              <w:marRight w:val="0"/>
              <w:marTop w:val="0"/>
              <w:marBottom w:val="0"/>
              <w:divBdr>
                <w:top w:val="none" w:sz="0" w:space="0" w:color="auto"/>
                <w:left w:val="none" w:sz="0" w:space="0" w:color="auto"/>
                <w:bottom w:val="none" w:sz="0" w:space="0" w:color="auto"/>
                <w:right w:val="none" w:sz="0" w:space="0" w:color="auto"/>
              </w:divBdr>
              <w:divsChild>
                <w:div w:id="2071271647">
                  <w:marLeft w:val="0"/>
                  <w:marRight w:val="0"/>
                  <w:marTop w:val="0"/>
                  <w:marBottom w:val="0"/>
                  <w:divBdr>
                    <w:top w:val="none" w:sz="0" w:space="0" w:color="auto"/>
                    <w:left w:val="none" w:sz="0" w:space="0" w:color="auto"/>
                    <w:bottom w:val="none" w:sz="0" w:space="0" w:color="auto"/>
                    <w:right w:val="none" w:sz="0" w:space="0" w:color="auto"/>
                  </w:divBdr>
                  <w:divsChild>
                    <w:div w:id="1613895688">
                      <w:marLeft w:val="0"/>
                      <w:marRight w:val="0"/>
                      <w:marTop w:val="0"/>
                      <w:marBottom w:val="0"/>
                      <w:divBdr>
                        <w:top w:val="none" w:sz="0" w:space="0" w:color="auto"/>
                        <w:left w:val="none" w:sz="0" w:space="0" w:color="auto"/>
                        <w:bottom w:val="none" w:sz="0" w:space="0" w:color="auto"/>
                        <w:right w:val="none" w:sz="0" w:space="0" w:color="auto"/>
                      </w:divBdr>
                      <w:divsChild>
                        <w:div w:id="804392773">
                          <w:marLeft w:val="0"/>
                          <w:marRight w:val="0"/>
                          <w:marTop w:val="0"/>
                          <w:marBottom w:val="0"/>
                          <w:divBdr>
                            <w:top w:val="none" w:sz="0" w:space="0" w:color="auto"/>
                            <w:left w:val="none" w:sz="0" w:space="0" w:color="auto"/>
                            <w:bottom w:val="none" w:sz="0" w:space="0" w:color="auto"/>
                            <w:right w:val="none" w:sz="0" w:space="0" w:color="auto"/>
                          </w:divBdr>
                          <w:divsChild>
                            <w:div w:id="303779743">
                              <w:marLeft w:val="0"/>
                              <w:marRight w:val="0"/>
                              <w:marTop w:val="0"/>
                              <w:marBottom w:val="0"/>
                              <w:divBdr>
                                <w:top w:val="none" w:sz="0" w:space="0" w:color="auto"/>
                                <w:left w:val="none" w:sz="0" w:space="0" w:color="auto"/>
                                <w:bottom w:val="none" w:sz="0" w:space="0" w:color="auto"/>
                                <w:right w:val="none" w:sz="0" w:space="0" w:color="auto"/>
                              </w:divBdr>
                              <w:divsChild>
                                <w:div w:id="1727869569">
                                  <w:marLeft w:val="0"/>
                                  <w:marRight w:val="0"/>
                                  <w:marTop w:val="0"/>
                                  <w:marBottom w:val="0"/>
                                  <w:divBdr>
                                    <w:top w:val="none" w:sz="0" w:space="0" w:color="auto"/>
                                    <w:left w:val="none" w:sz="0" w:space="0" w:color="auto"/>
                                    <w:bottom w:val="none" w:sz="0" w:space="0" w:color="auto"/>
                                    <w:right w:val="none" w:sz="0" w:space="0" w:color="auto"/>
                                  </w:divBdr>
                                  <w:divsChild>
                                    <w:div w:id="15633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3292">
                          <w:marLeft w:val="0"/>
                          <w:marRight w:val="0"/>
                          <w:marTop w:val="0"/>
                          <w:marBottom w:val="0"/>
                          <w:divBdr>
                            <w:top w:val="none" w:sz="0" w:space="0" w:color="auto"/>
                            <w:left w:val="none" w:sz="0" w:space="0" w:color="auto"/>
                            <w:bottom w:val="none" w:sz="0" w:space="0" w:color="auto"/>
                            <w:right w:val="none" w:sz="0" w:space="0" w:color="auto"/>
                          </w:divBdr>
                          <w:divsChild>
                            <w:div w:id="2107194646">
                              <w:marLeft w:val="0"/>
                              <w:marRight w:val="0"/>
                              <w:marTop w:val="0"/>
                              <w:marBottom w:val="0"/>
                              <w:divBdr>
                                <w:top w:val="none" w:sz="0" w:space="0" w:color="auto"/>
                                <w:left w:val="none" w:sz="0" w:space="0" w:color="auto"/>
                                <w:bottom w:val="none" w:sz="0" w:space="0" w:color="auto"/>
                                <w:right w:val="none" w:sz="0" w:space="0" w:color="auto"/>
                              </w:divBdr>
                              <w:divsChild>
                                <w:div w:id="12256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01938">
      <w:bodyDiv w:val="1"/>
      <w:marLeft w:val="0"/>
      <w:marRight w:val="0"/>
      <w:marTop w:val="0"/>
      <w:marBottom w:val="0"/>
      <w:divBdr>
        <w:top w:val="none" w:sz="0" w:space="0" w:color="auto"/>
        <w:left w:val="none" w:sz="0" w:space="0" w:color="auto"/>
        <w:bottom w:val="none" w:sz="0" w:space="0" w:color="auto"/>
        <w:right w:val="none" w:sz="0" w:space="0" w:color="auto"/>
      </w:divBdr>
    </w:div>
    <w:div w:id="1158306505">
      <w:bodyDiv w:val="1"/>
      <w:marLeft w:val="0"/>
      <w:marRight w:val="0"/>
      <w:marTop w:val="0"/>
      <w:marBottom w:val="0"/>
      <w:divBdr>
        <w:top w:val="none" w:sz="0" w:space="0" w:color="auto"/>
        <w:left w:val="none" w:sz="0" w:space="0" w:color="auto"/>
        <w:bottom w:val="none" w:sz="0" w:space="0" w:color="auto"/>
        <w:right w:val="none" w:sz="0" w:space="0" w:color="auto"/>
      </w:divBdr>
    </w:div>
    <w:div w:id="1177574261">
      <w:bodyDiv w:val="1"/>
      <w:marLeft w:val="0"/>
      <w:marRight w:val="0"/>
      <w:marTop w:val="0"/>
      <w:marBottom w:val="0"/>
      <w:divBdr>
        <w:top w:val="none" w:sz="0" w:space="0" w:color="auto"/>
        <w:left w:val="none" w:sz="0" w:space="0" w:color="auto"/>
        <w:bottom w:val="none" w:sz="0" w:space="0" w:color="auto"/>
        <w:right w:val="none" w:sz="0" w:space="0" w:color="auto"/>
      </w:divBdr>
    </w:div>
    <w:div w:id="1203518012">
      <w:bodyDiv w:val="1"/>
      <w:marLeft w:val="0"/>
      <w:marRight w:val="0"/>
      <w:marTop w:val="0"/>
      <w:marBottom w:val="0"/>
      <w:divBdr>
        <w:top w:val="none" w:sz="0" w:space="0" w:color="auto"/>
        <w:left w:val="none" w:sz="0" w:space="0" w:color="auto"/>
        <w:bottom w:val="none" w:sz="0" w:space="0" w:color="auto"/>
        <w:right w:val="none" w:sz="0" w:space="0" w:color="auto"/>
      </w:divBdr>
      <w:divsChild>
        <w:div w:id="1349715103">
          <w:marLeft w:val="0"/>
          <w:marRight w:val="0"/>
          <w:marTop w:val="0"/>
          <w:marBottom w:val="0"/>
          <w:divBdr>
            <w:top w:val="none" w:sz="0" w:space="0" w:color="auto"/>
            <w:left w:val="none" w:sz="0" w:space="0" w:color="auto"/>
            <w:bottom w:val="none" w:sz="0" w:space="0" w:color="auto"/>
            <w:right w:val="none" w:sz="0" w:space="0" w:color="auto"/>
          </w:divBdr>
          <w:divsChild>
            <w:div w:id="1158764622">
              <w:marLeft w:val="0"/>
              <w:marRight w:val="0"/>
              <w:marTop w:val="0"/>
              <w:marBottom w:val="0"/>
              <w:divBdr>
                <w:top w:val="none" w:sz="0" w:space="0" w:color="auto"/>
                <w:left w:val="none" w:sz="0" w:space="0" w:color="auto"/>
                <w:bottom w:val="none" w:sz="0" w:space="0" w:color="auto"/>
                <w:right w:val="none" w:sz="0" w:space="0" w:color="auto"/>
              </w:divBdr>
              <w:divsChild>
                <w:div w:id="1867139903">
                  <w:marLeft w:val="0"/>
                  <w:marRight w:val="0"/>
                  <w:marTop w:val="0"/>
                  <w:marBottom w:val="0"/>
                  <w:divBdr>
                    <w:top w:val="none" w:sz="0" w:space="0" w:color="auto"/>
                    <w:left w:val="none" w:sz="0" w:space="0" w:color="auto"/>
                    <w:bottom w:val="none" w:sz="0" w:space="0" w:color="auto"/>
                    <w:right w:val="none" w:sz="0" w:space="0" w:color="auto"/>
                  </w:divBdr>
                  <w:divsChild>
                    <w:div w:id="1475101884">
                      <w:marLeft w:val="0"/>
                      <w:marRight w:val="0"/>
                      <w:marTop w:val="0"/>
                      <w:marBottom w:val="0"/>
                      <w:divBdr>
                        <w:top w:val="none" w:sz="0" w:space="0" w:color="auto"/>
                        <w:left w:val="none" w:sz="0" w:space="0" w:color="auto"/>
                        <w:bottom w:val="none" w:sz="0" w:space="0" w:color="auto"/>
                        <w:right w:val="none" w:sz="0" w:space="0" w:color="auto"/>
                      </w:divBdr>
                      <w:divsChild>
                        <w:div w:id="1558321609">
                          <w:marLeft w:val="0"/>
                          <w:marRight w:val="0"/>
                          <w:marTop w:val="0"/>
                          <w:marBottom w:val="0"/>
                          <w:divBdr>
                            <w:top w:val="none" w:sz="0" w:space="0" w:color="auto"/>
                            <w:left w:val="none" w:sz="0" w:space="0" w:color="auto"/>
                            <w:bottom w:val="none" w:sz="0" w:space="0" w:color="auto"/>
                            <w:right w:val="none" w:sz="0" w:space="0" w:color="auto"/>
                          </w:divBdr>
                          <w:divsChild>
                            <w:div w:id="1637952027">
                              <w:marLeft w:val="0"/>
                              <w:marRight w:val="0"/>
                              <w:marTop w:val="0"/>
                              <w:marBottom w:val="0"/>
                              <w:divBdr>
                                <w:top w:val="none" w:sz="0" w:space="0" w:color="auto"/>
                                <w:left w:val="none" w:sz="0" w:space="0" w:color="auto"/>
                                <w:bottom w:val="none" w:sz="0" w:space="0" w:color="auto"/>
                                <w:right w:val="none" w:sz="0" w:space="0" w:color="auto"/>
                              </w:divBdr>
                              <w:divsChild>
                                <w:div w:id="1786846433">
                                  <w:marLeft w:val="0"/>
                                  <w:marRight w:val="0"/>
                                  <w:marTop w:val="0"/>
                                  <w:marBottom w:val="0"/>
                                  <w:divBdr>
                                    <w:top w:val="none" w:sz="0" w:space="0" w:color="auto"/>
                                    <w:left w:val="none" w:sz="0" w:space="0" w:color="auto"/>
                                    <w:bottom w:val="none" w:sz="0" w:space="0" w:color="auto"/>
                                    <w:right w:val="none" w:sz="0" w:space="0" w:color="auto"/>
                                  </w:divBdr>
                                  <w:divsChild>
                                    <w:div w:id="11719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8934">
                          <w:marLeft w:val="0"/>
                          <w:marRight w:val="0"/>
                          <w:marTop w:val="0"/>
                          <w:marBottom w:val="0"/>
                          <w:divBdr>
                            <w:top w:val="none" w:sz="0" w:space="0" w:color="auto"/>
                            <w:left w:val="none" w:sz="0" w:space="0" w:color="auto"/>
                            <w:bottom w:val="none" w:sz="0" w:space="0" w:color="auto"/>
                            <w:right w:val="none" w:sz="0" w:space="0" w:color="auto"/>
                          </w:divBdr>
                          <w:divsChild>
                            <w:div w:id="1522666110">
                              <w:marLeft w:val="0"/>
                              <w:marRight w:val="0"/>
                              <w:marTop w:val="0"/>
                              <w:marBottom w:val="0"/>
                              <w:divBdr>
                                <w:top w:val="none" w:sz="0" w:space="0" w:color="auto"/>
                                <w:left w:val="none" w:sz="0" w:space="0" w:color="auto"/>
                                <w:bottom w:val="none" w:sz="0" w:space="0" w:color="auto"/>
                                <w:right w:val="none" w:sz="0" w:space="0" w:color="auto"/>
                              </w:divBdr>
                              <w:divsChild>
                                <w:div w:id="1099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748572">
      <w:bodyDiv w:val="1"/>
      <w:marLeft w:val="0"/>
      <w:marRight w:val="0"/>
      <w:marTop w:val="0"/>
      <w:marBottom w:val="0"/>
      <w:divBdr>
        <w:top w:val="none" w:sz="0" w:space="0" w:color="auto"/>
        <w:left w:val="none" w:sz="0" w:space="0" w:color="auto"/>
        <w:bottom w:val="none" w:sz="0" w:space="0" w:color="auto"/>
        <w:right w:val="none" w:sz="0" w:space="0" w:color="auto"/>
      </w:divBdr>
    </w:div>
    <w:div w:id="1262907555">
      <w:bodyDiv w:val="1"/>
      <w:marLeft w:val="0"/>
      <w:marRight w:val="0"/>
      <w:marTop w:val="0"/>
      <w:marBottom w:val="0"/>
      <w:divBdr>
        <w:top w:val="none" w:sz="0" w:space="0" w:color="auto"/>
        <w:left w:val="none" w:sz="0" w:space="0" w:color="auto"/>
        <w:bottom w:val="none" w:sz="0" w:space="0" w:color="auto"/>
        <w:right w:val="none" w:sz="0" w:space="0" w:color="auto"/>
      </w:divBdr>
    </w:div>
    <w:div w:id="1267467624">
      <w:bodyDiv w:val="1"/>
      <w:marLeft w:val="0"/>
      <w:marRight w:val="0"/>
      <w:marTop w:val="0"/>
      <w:marBottom w:val="0"/>
      <w:divBdr>
        <w:top w:val="none" w:sz="0" w:space="0" w:color="auto"/>
        <w:left w:val="none" w:sz="0" w:space="0" w:color="auto"/>
        <w:bottom w:val="none" w:sz="0" w:space="0" w:color="auto"/>
        <w:right w:val="none" w:sz="0" w:space="0" w:color="auto"/>
      </w:divBdr>
    </w:div>
    <w:div w:id="1329207794">
      <w:bodyDiv w:val="1"/>
      <w:marLeft w:val="0"/>
      <w:marRight w:val="0"/>
      <w:marTop w:val="0"/>
      <w:marBottom w:val="0"/>
      <w:divBdr>
        <w:top w:val="none" w:sz="0" w:space="0" w:color="auto"/>
        <w:left w:val="none" w:sz="0" w:space="0" w:color="auto"/>
        <w:bottom w:val="none" w:sz="0" w:space="0" w:color="auto"/>
        <w:right w:val="none" w:sz="0" w:space="0" w:color="auto"/>
      </w:divBdr>
    </w:div>
    <w:div w:id="1585333600">
      <w:bodyDiv w:val="1"/>
      <w:marLeft w:val="0"/>
      <w:marRight w:val="0"/>
      <w:marTop w:val="0"/>
      <w:marBottom w:val="0"/>
      <w:divBdr>
        <w:top w:val="none" w:sz="0" w:space="0" w:color="auto"/>
        <w:left w:val="none" w:sz="0" w:space="0" w:color="auto"/>
        <w:bottom w:val="none" w:sz="0" w:space="0" w:color="auto"/>
        <w:right w:val="none" w:sz="0" w:space="0" w:color="auto"/>
      </w:divBdr>
    </w:div>
    <w:div w:id="1608613400">
      <w:bodyDiv w:val="1"/>
      <w:marLeft w:val="0"/>
      <w:marRight w:val="0"/>
      <w:marTop w:val="0"/>
      <w:marBottom w:val="0"/>
      <w:divBdr>
        <w:top w:val="none" w:sz="0" w:space="0" w:color="auto"/>
        <w:left w:val="none" w:sz="0" w:space="0" w:color="auto"/>
        <w:bottom w:val="none" w:sz="0" w:space="0" w:color="auto"/>
        <w:right w:val="none" w:sz="0" w:space="0" w:color="auto"/>
      </w:divBdr>
      <w:divsChild>
        <w:div w:id="1232614119">
          <w:marLeft w:val="0"/>
          <w:marRight w:val="0"/>
          <w:marTop w:val="0"/>
          <w:marBottom w:val="0"/>
          <w:divBdr>
            <w:top w:val="none" w:sz="0" w:space="0" w:color="auto"/>
            <w:left w:val="none" w:sz="0" w:space="0" w:color="auto"/>
            <w:bottom w:val="none" w:sz="0" w:space="0" w:color="auto"/>
            <w:right w:val="none" w:sz="0" w:space="0" w:color="auto"/>
          </w:divBdr>
          <w:divsChild>
            <w:div w:id="1466123894">
              <w:marLeft w:val="0"/>
              <w:marRight w:val="0"/>
              <w:marTop w:val="0"/>
              <w:marBottom w:val="0"/>
              <w:divBdr>
                <w:top w:val="none" w:sz="0" w:space="0" w:color="auto"/>
                <w:left w:val="none" w:sz="0" w:space="0" w:color="auto"/>
                <w:bottom w:val="none" w:sz="0" w:space="0" w:color="auto"/>
                <w:right w:val="none" w:sz="0" w:space="0" w:color="auto"/>
              </w:divBdr>
              <w:divsChild>
                <w:div w:id="2091190088">
                  <w:marLeft w:val="0"/>
                  <w:marRight w:val="0"/>
                  <w:marTop w:val="0"/>
                  <w:marBottom w:val="0"/>
                  <w:divBdr>
                    <w:top w:val="none" w:sz="0" w:space="0" w:color="auto"/>
                    <w:left w:val="none" w:sz="0" w:space="0" w:color="auto"/>
                    <w:bottom w:val="none" w:sz="0" w:space="0" w:color="auto"/>
                    <w:right w:val="none" w:sz="0" w:space="0" w:color="auto"/>
                  </w:divBdr>
                  <w:divsChild>
                    <w:div w:id="1954315870">
                      <w:marLeft w:val="0"/>
                      <w:marRight w:val="0"/>
                      <w:marTop w:val="0"/>
                      <w:marBottom w:val="0"/>
                      <w:divBdr>
                        <w:top w:val="none" w:sz="0" w:space="0" w:color="auto"/>
                        <w:left w:val="none" w:sz="0" w:space="0" w:color="auto"/>
                        <w:bottom w:val="none" w:sz="0" w:space="0" w:color="auto"/>
                        <w:right w:val="none" w:sz="0" w:space="0" w:color="auto"/>
                      </w:divBdr>
                      <w:divsChild>
                        <w:div w:id="2081370064">
                          <w:marLeft w:val="0"/>
                          <w:marRight w:val="0"/>
                          <w:marTop w:val="0"/>
                          <w:marBottom w:val="0"/>
                          <w:divBdr>
                            <w:top w:val="none" w:sz="0" w:space="0" w:color="auto"/>
                            <w:left w:val="none" w:sz="0" w:space="0" w:color="auto"/>
                            <w:bottom w:val="none" w:sz="0" w:space="0" w:color="auto"/>
                            <w:right w:val="none" w:sz="0" w:space="0" w:color="auto"/>
                          </w:divBdr>
                          <w:divsChild>
                            <w:div w:id="247344978">
                              <w:marLeft w:val="0"/>
                              <w:marRight w:val="0"/>
                              <w:marTop w:val="0"/>
                              <w:marBottom w:val="0"/>
                              <w:divBdr>
                                <w:top w:val="none" w:sz="0" w:space="0" w:color="auto"/>
                                <w:left w:val="none" w:sz="0" w:space="0" w:color="auto"/>
                                <w:bottom w:val="none" w:sz="0" w:space="0" w:color="auto"/>
                                <w:right w:val="none" w:sz="0" w:space="0" w:color="auto"/>
                              </w:divBdr>
                              <w:divsChild>
                                <w:div w:id="1403212402">
                                  <w:marLeft w:val="0"/>
                                  <w:marRight w:val="0"/>
                                  <w:marTop w:val="0"/>
                                  <w:marBottom w:val="0"/>
                                  <w:divBdr>
                                    <w:top w:val="none" w:sz="0" w:space="0" w:color="auto"/>
                                    <w:left w:val="none" w:sz="0" w:space="0" w:color="auto"/>
                                    <w:bottom w:val="none" w:sz="0" w:space="0" w:color="auto"/>
                                    <w:right w:val="none" w:sz="0" w:space="0" w:color="auto"/>
                                  </w:divBdr>
                                  <w:divsChild>
                                    <w:div w:id="2431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4087">
                          <w:marLeft w:val="0"/>
                          <w:marRight w:val="0"/>
                          <w:marTop w:val="0"/>
                          <w:marBottom w:val="0"/>
                          <w:divBdr>
                            <w:top w:val="none" w:sz="0" w:space="0" w:color="auto"/>
                            <w:left w:val="none" w:sz="0" w:space="0" w:color="auto"/>
                            <w:bottom w:val="none" w:sz="0" w:space="0" w:color="auto"/>
                            <w:right w:val="none" w:sz="0" w:space="0" w:color="auto"/>
                          </w:divBdr>
                          <w:divsChild>
                            <w:div w:id="279145020">
                              <w:marLeft w:val="0"/>
                              <w:marRight w:val="0"/>
                              <w:marTop w:val="0"/>
                              <w:marBottom w:val="0"/>
                              <w:divBdr>
                                <w:top w:val="none" w:sz="0" w:space="0" w:color="auto"/>
                                <w:left w:val="none" w:sz="0" w:space="0" w:color="auto"/>
                                <w:bottom w:val="none" w:sz="0" w:space="0" w:color="auto"/>
                                <w:right w:val="none" w:sz="0" w:space="0" w:color="auto"/>
                              </w:divBdr>
                              <w:divsChild>
                                <w:div w:id="1737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739990">
      <w:bodyDiv w:val="1"/>
      <w:marLeft w:val="0"/>
      <w:marRight w:val="0"/>
      <w:marTop w:val="0"/>
      <w:marBottom w:val="0"/>
      <w:divBdr>
        <w:top w:val="none" w:sz="0" w:space="0" w:color="auto"/>
        <w:left w:val="none" w:sz="0" w:space="0" w:color="auto"/>
        <w:bottom w:val="none" w:sz="0" w:space="0" w:color="auto"/>
        <w:right w:val="none" w:sz="0" w:space="0" w:color="auto"/>
      </w:divBdr>
    </w:div>
    <w:div w:id="1727416896">
      <w:bodyDiv w:val="1"/>
      <w:marLeft w:val="0"/>
      <w:marRight w:val="0"/>
      <w:marTop w:val="0"/>
      <w:marBottom w:val="0"/>
      <w:divBdr>
        <w:top w:val="none" w:sz="0" w:space="0" w:color="auto"/>
        <w:left w:val="none" w:sz="0" w:space="0" w:color="auto"/>
        <w:bottom w:val="none" w:sz="0" w:space="0" w:color="auto"/>
        <w:right w:val="none" w:sz="0" w:space="0" w:color="auto"/>
      </w:divBdr>
    </w:div>
    <w:div w:id="1758794020">
      <w:bodyDiv w:val="1"/>
      <w:marLeft w:val="0"/>
      <w:marRight w:val="0"/>
      <w:marTop w:val="0"/>
      <w:marBottom w:val="0"/>
      <w:divBdr>
        <w:top w:val="none" w:sz="0" w:space="0" w:color="auto"/>
        <w:left w:val="none" w:sz="0" w:space="0" w:color="auto"/>
        <w:bottom w:val="none" w:sz="0" w:space="0" w:color="auto"/>
        <w:right w:val="none" w:sz="0" w:space="0" w:color="auto"/>
      </w:divBdr>
    </w:div>
    <w:div w:id="1777600204">
      <w:bodyDiv w:val="1"/>
      <w:marLeft w:val="0"/>
      <w:marRight w:val="0"/>
      <w:marTop w:val="0"/>
      <w:marBottom w:val="0"/>
      <w:divBdr>
        <w:top w:val="none" w:sz="0" w:space="0" w:color="auto"/>
        <w:left w:val="none" w:sz="0" w:space="0" w:color="auto"/>
        <w:bottom w:val="none" w:sz="0" w:space="0" w:color="auto"/>
        <w:right w:val="none" w:sz="0" w:space="0" w:color="auto"/>
      </w:divBdr>
    </w:div>
    <w:div w:id="1841313796">
      <w:bodyDiv w:val="1"/>
      <w:marLeft w:val="0"/>
      <w:marRight w:val="0"/>
      <w:marTop w:val="0"/>
      <w:marBottom w:val="0"/>
      <w:divBdr>
        <w:top w:val="none" w:sz="0" w:space="0" w:color="auto"/>
        <w:left w:val="none" w:sz="0" w:space="0" w:color="auto"/>
        <w:bottom w:val="none" w:sz="0" w:space="0" w:color="auto"/>
        <w:right w:val="none" w:sz="0" w:space="0" w:color="auto"/>
      </w:divBdr>
    </w:div>
    <w:div w:id="1857309967">
      <w:bodyDiv w:val="1"/>
      <w:marLeft w:val="0"/>
      <w:marRight w:val="0"/>
      <w:marTop w:val="0"/>
      <w:marBottom w:val="0"/>
      <w:divBdr>
        <w:top w:val="none" w:sz="0" w:space="0" w:color="auto"/>
        <w:left w:val="none" w:sz="0" w:space="0" w:color="auto"/>
        <w:bottom w:val="none" w:sz="0" w:space="0" w:color="auto"/>
        <w:right w:val="none" w:sz="0" w:space="0" w:color="auto"/>
      </w:divBdr>
    </w:div>
    <w:div w:id="1889562385">
      <w:bodyDiv w:val="1"/>
      <w:marLeft w:val="0"/>
      <w:marRight w:val="0"/>
      <w:marTop w:val="0"/>
      <w:marBottom w:val="0"/>
      <w:divBdr>
        <w:top w:val="none" w:sz="0" w:space="0" w:color="auto"/>
        <w:left w:val="none" w:sz="0" w:space="0" w:color="auto"/>
        <w:bottom w:val="none" w:sz="0" w:space="0" w:color="auto"/>
        <w:right w:val="none" w:sz="0" w:space="0" w:color="auto"/>
      </w:divBdr>
    </w:div>
    <w:div w:id="1986155853">
      <w:bodyDiv w:val="1"/>
      <w:marLeft w:val="0"/>
      <w:marRight w:val="0"/>
      <w:marTop w:val="0"/>
      <w:marBottom w:val="0"/>
      <w:divBdr>
        <w:top w:val="none" w:sz="0" w:space="0" w:color="auto"/>
        <w:left w:val="none" w:sz="0" w:space="0" w:color="auto"/>
        <w:bottom w:val="none" w:sz="0" w:space="0" w:color="auto"/>
        <w:right w:val="none" w:sz="0" w:space="0" w:color="auto"/>
      </w:divBdr>
    </w:div>
    <w:div w:id="2011637341">
      <w:bodyDiv w:val="1"/>
      <w:marLeft w:val="0"/>
      <w:marRight w:val="0"/>
      <w:marTop w:val="0"/>
      <w:marBottom w:val="0"/>
      <w:divBdr>
        <w:top w:val="none" w:sz="0" w:space="0" w:color="auto"/>
        <w:left w:val="none" w:sz="0" w:space="0" w:color="auto"/>
        <w:bottom w:val="none" w:sz="0" w:space="0" w:color="auto"/>
        <w:right w:val="none" w:sz="0" w:space="0" w:color="auto"/>
      </w:divBdr>
    </w:div>
    <w:div w:id="2031177985">
      <w:bodyDiv w:val="1"/>
      <w:marLeft w:val="0"/>
      <w:marRight w:val="0"/>
      <w:marTop w:val="0"/>
      <w:marBottom w:val="0"/>
      <w:divBdr>
        <w:top w:val="none" w:sz="0" w:space="0" w:color="auto"/>
        <w:left w:val="none" w:sz="0" w:space="0" w:color="auto"/>
        <w:bottom w:val="none" w:sz="0" w:space="0" w:color="auto"/>
        <w:right w:val="none" w:sz="0" w:space="0" w:color="auto"/>
      </w:divBdr>
      <w:divsChild>
        <w:div w:id="149488987">
          <w:marLeft w:val="0"/>
          <w:marRight w:val="0"/>
          <w:marTop w:val="0"/>
          <w:marBottom w:val="0"/>
          <w:divBdr>
            <w:top w:val="none" w:sz="0" w:space="0" w:color="auto"/>
            <w:left w:val="none" w:sz="0" w:space="0" w:color="auto"/>
            <w:bottom w:val="none" w:sz="0" w:space="0" w:color="auto"/>
            <w:right w:val="none" w:sz="0" w:space="0" w:color="auto"/>
          </w:divBdr>
          <w:divsChild>
            <w:div w:id="1361974884">
              <w:marLeft w:val="0"/>
              <w:marRight w:val="0"/>
              <w:marTop w:val="0"/>
              <w:marBottom w:val="0"/>
              <w:divBdr>
                <w:top w:val="none" w:sz="0" w:space="0" w:color="auto"/>
                <w:left w:val="none" w:sz="0" w:space="0" w:color="auto"/>
                <w:bottom w:val="none" w:sz="0" w:space="0" w:color="auto"/>
                <w:right w:val="none" w:sz="0" w:space="0" w:color="auto"/>
              </w:divBdr>
              <w:divsChild>
                <w:div w:id="693386116">
                  <w:marLeft w:val="0"/>
                  <w:marRight w:val="0"/>
                  <w:marTop w:val="0"/>
                  <w:marBottom w:val="0"/>
                  <w:divBdr>
                    <w:top w:val="none" w:sz="0" w:space="0" w:color="auto"/>
                    <w:left w:val="none" w:sz="0" w:space="0" w:color="auto"/>
                    <w:bottom w:val="none" w:sz="0" w:space="0" w:color="auto"/>
                    <w:right w:val="none" w:sz="0" w:space="0" w:color="auto"/>
                  </w:divBdr>
                  <w:divsChild>
                    <w:div w:id="2127701166">
                      <w:marLeft w:val="0"/>
                      <w:marRight w:val="0"/>
                      <w:marTop w:val="0"/>
                      <w:marBottom w:val="0"/>
                      <w:divBdr>
                        <w:top w:val="none" w:sz="0" w:space="0" w:color="auto"/>
                        <w:left w:val="none" w:sz="0" w:space="0" w:color="auto"/>
                        <w:bottom w:val="none" w:sz="0" w:space="0" w:color="auto"/>
                        <w:right w:val="none" w:sz="0" w:space="0" w:color="auto"/>
                      </w:divBdr>
                      <w:divsChild>
                        <w:div w:id="924416394">
                          <w:marLeft w:val="0"/>
                          <w:marRight w:val="0"/>
                          <w:marTop w:val="0"/>
                          <w:marBottom w:val="0"/>
                          <w:divBdr>
                            <w:top w:val="none" w:sz="0" w:space="0" w:color="auto"/>
                            <w:left w:val="none" w:sz="0" w:space="0" w:color="auto"/>
                            <w:bottom w:val="none" w:sz="0" w:space="0" w:color="auto"/>
                            <w:right w:val="none" w:sz="0" w:space="0" w:color="auto"/>
                          </w:divBdr>
                          <w:divsChild>
                            <w:div w:id="1693218218">
                              <w:marLeft w:val="0"/>
                              <w:marRight w:val="0"/>
                              <w:marTop w:val="0"/>
                              <w:marBottom w:val="0"/>
                              <w:divBdr>
                                <w:top w:val="none" w:sz="0" w:space="0" w:color="auto"/>
                                <w:left w:val="none" w:sz="0" w:space="0" w:color="auto"/>
                                <w:bottom w:val="none" w:sz="0" w:space="0" w:color="auto"/>
                                <w:right w:val="none" w:sz="0" w:space="0" w:color="auto"/>
                              </w:divBdr>
                              <w:divsChild>
                                <w:div w:id="2033408489">
                                  <w:marLeft w:val="0"/>
                                  <w:marRight w:val="0"/>
                                  <w:marTop w:val="0"/>
                                  <w:marBottom w:val="0"/>
                                  <w:divBdr>
                                    <w:top w:val="none" w:sz="0" w:space="0" w:color="auto"/>
                                    <w:left w:val="none" w:sz="0" w:space="0" w:color="auto"/>
                                    <w:bottom w:val="none" w:sz="0" w:space="0" w:color="auto"/>
                                    <w:right w:val="none" w:sz="0" w:space="0" w:color="auto"/>
                                  </w:divBdr>
                                  <w:divsChild>
                                    <w:div w:id="15378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7057">
                          <w:marLeft w:val="0"/>
                          <w:marRight w:val="0"/>
                          <w:marTop w:val="0"/>
                          <w:marBottom w:val="0"/>
                          <w:divBdr>
                            <w:top w:val="none" w:sz="0" w:space="0" w:color="auto"/>
                            <w:left w:val="none" w:sz="0" w:space="0" w:color="auto"/>
                            <w:bottom w:val="none" w:sz="0" w:space="0" w:color="auto"/>
                            <w:right w:val="none" w:sz="0" w:space="0" w:color="auto"/>
                          </w:divBdr>
                          <w:divsChild>
                            <w:div w:id="239799570">
                              <w:marLeft w:val="0"/>
                              <w:marRight w:val="0"/>
                              <w:marTop w:val="0"/>
                              <w:marBottom w:val="0"/>
                              <w:divBdr>
                                <w:top w:val="none" w:sz="0" w:space="0" w:color="auto"/>
                                <w:left w:val="none" w:sz="0" w:space="0" w:color="auto"/>
                                <w:bottom w:val="none" w:sz="0" w:space="0" w:color="auto"/>
                                <w:right w:val="none" w:sz="0" w:space="0" w:color="auto"/>
                              </w:divBdr>
                              <w:divsChild>
                                <w:div w:id="13927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re.gov.rs" TargetMode="External"/><Relationship Id="rId5" Type="http://schemas.openxmlformats.org/officeDocument/2006/relationships/hyperlink" Target="http://www.mre.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1536</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NOTIFICATION TO AN AFFECTED PARTY OF A PROPOSED ACTIVITY UNDER ARTICLE 3 OF THE CONVENTION</vt:lpstr>
      <vt:lpstr>NOTIFICATION TO AN AFFECTED PARTY OF A PROPOSED ACTIVITY UNDER ARTICLE 3 OF THE CONVENTION</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AN AFFECTED PARTY OF A PROPOSED ACTIVITY UNDER ARTICLE 3 OF THE CONVENTION</dc:title>
  <dc:subject/>
  <dc:creator>MOP</dc:creator>
  <cp:keywords/>
  <dc:description/>
  <cp:lastModifiedBy>user</cp:lastModifiedBy>
  <cp:revision>4</cp:revision>
  <cp:lastPrinted>2017-07-10T11:54:00Z</cp:lastPrinted>
  <dcterms:created xsi:type="dcterms:W3CDTF">2025-05-22T16:09:00Z</dcterms:created>
  <dcterms:modified xsi:type="dcterms:W3CDTF">2025-05-23T07:34:00Z</dcterms:modified>
</cp:coreProperties>
</file>