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16" w:rsidRPr="00352F16" w:rsidRDefault="00F96DB9" w:rsidP="00352F16">
      <w:pPr>
        <w:pStyle w:val="Heading3"/>
        <w:rPr>
          <w:rFonts w:ascii="Times New Roman" w:eastAsia="Times New Roman" w:hAnsi="Times New Roman" w:cs="Times New Roman"/>
          <w:b w:val="0"/>
          <w:color w:val="000000"/>
          <w:sz w:val="24"/>
          <w:szCs w:val="24"/>
          <w:lang w:val="bg-BG"/>
        </w:rPr>
      </w:pPr>
      <w:r w:rsidRPr="00F96DB9">
        <w:rPr>
          <w:rFonts w:ascii="Times New Roman" w:eastAsia="Times New Roman" w:hAnsi="Times New Roman" w:cs="Times New Roman"/>
          <w:color w:val="auto"/>
          <w:sz w:val="24"/>
          <w:szCs w:val="24"/>
          <w:lang w:val="bg-BG"/>
        </w:rPr>
        <w:t xml:space="preserve">Приложение № 1 </w:t>
      </w:r>
      <w:r w:rsidRPr="00F96DB9">
        <w:rPr>
          <w:rFonts w:ascii="Times New Roman" w:eastAsia="Times New Roman" w:hAnsi="Times New Roman" w:cs="Times New Roman"/>
          <w:b w:val="0"/>
          <w:color w:val="auto"/>
          <w:sz w:val="24"/>
          <w:szCs w:val="24"/>
          <w:lang w:val="bg-BG"/>
        </w:rPr>
        <w:t xml:space="preserve">към чл. 16 </w:t>
      </w:r>
      <w:bookmarkStart w:id="0" w:name="to_paragraph_id31740376"/>
      <w:bookmarkEnd w:id="0"/>
      <w:r w:rsidR="00352F16" w:rsidRPr="00352F16">
        <w:rPr>
          <w:rFonts w:ascii="Times New Roman" w:eastAsia="Times New Roman" w:hAnsi="Times New Roman" w:cs="Times New Roman"/>
          <w:b w:val="0"/>
          <w:color w:val="auto"/>
          <w:sz w:val="24"/>
          <w:szCs w:val="24"/>
          <w:lang w:val="bg-BG"/>
        </w:rPr>
        <w:t>от</w:t>
      </w:r>
      <w:r w:rsidR="00352F16" w:rsidRPr="00352F16">
        <w:rPr>
          <w:rFonts w:ascii="Times New Roman" w:eastAsia="Times New Roman" w:hAnsi="Times New Roman" w:cs="Times New Roman"/>
          <w:color w:val="auto"/>
          <w:sz w:val="24"/>
          <w:szCs w:val="24"/>
          <w:lang w:val="bg-BG"/>
        </w:rPr>
        <w:t xml:space="preserve"> </w:t>
      </w:r>
      <w:r w:rsidR="00352F16" w:rsidRPr="00352F16">
        <w:rPr>
          <w:rFonts w:ascii="Times New Roman" w:eastAsia="Times New Roman" w:hAnsi="Times New Roman" w:cs="Times New Roman"/>
          <w:b w:val="0"/>
          <w:color w:val="000000"/>
          <w:sz w:val="24"/>
          <w:szCs w:val="24"/>
          <w:lang w:val="bg-BG"/>
        </w:rPr>
        <w:t xml:space="preserve">Наредбата за обхвата и методологията за извършване на оценка на </w:t>
      </w:r>
      <w:r w:rsidR="00352F16" w:rsidRPr="00352F16">
        <w:rPr>
          <w:rFonts w:ascii="Times New Roman" w:eastAsia="Times New Roman" w:hAnsi="Times New Roman" w:cs="Times New Roman"/>
          <w:b w:val="0"/>
          <w:color w:val="000000"/>
          <w:sz w:val="24"/>
          <w:szCs w:val="24"/>
          <w:bdr w:val="none" w:sz="0" w:space="0" w:color="auto" w:frame="1"/>
          <w:shd w:val="clear" w:color="auto" w:fill="FFFFFF"/>
          <w:lang w:val="bg-BG"/>
        </w:rPr>
        <w:t>въздействието</w:t>
      </w:r>
    </w:p>
    <w:p w:rsidR="00F96DB9" w:rsidRPr="00F96DB9" w:rsidRDefault="00F96DB9" w:rsidP="00F96DB9">
      <w:pPr>
        <w:spacing w:after="0" w:line="240" w:lineRule="auto"/>
        <w:rPr>
          <w:rFonts w:ascii="Times New Roman" w:eastAsia="Times New Roman" w:hAnsi="Times New Roman" w:cs="Times New Roman"/>
          <w:sz w:val="24"/>
          <w:szCs w:val="24"/>
          <w:lang w:val="bg-BG"/>
        </w:rPr>
      </w:pPr>
    </w:p>
    <w:p w:rsidR="00F96DB9" w:rsidRPr="00F96DB9" w:rsidRDefault="00F96DB9" w:rsidP="00F96DB9">
      <w:pPr>
        <w:spacing w:after="0" w:line="240" w:lineRule="auto"/>
        <w:rPr>
          <w:rFonts w:ascii="Times New Roman" w:eastAsia="Times New Roman" w:hAnsi="Times New Roman" w:cs="Times New Roman"/>
          <w:sz w:val="24"/>
          <w:szCs w:val="24"/>
          <w:lang w:val="bg-BG"/>
        </w:rPr>
      </w:pPr>
    </w:p>
    <w:tbl>
      <w:tblPr>
        <w:tblW w:w="9782" w:type="dxa"/>
        <w:tblInd w:w="-274" w:type="dxa"/>
        <w:tblLayout w:type="fixed"/>
        <w:tblCellMar>
          <w:left w:w="0" w:type="dxa"/>
          <w:right w:w="0" w:type="dxa"/>
        </w:tblCellMar>
        <w:tblLook w:val="04A0" w:firstRow="1" w:lastRow="0" w:firstColumn="1" w:lastColumn="0" w:noHBand="0" w:noVBand="1"/>
      </w:tblPr>
      <w:tblGrid>
        <w:gridCol w:w="4670"/>
        <w:gridCol w:w="5112"/>
      </w:tblGrid>
      <w:tr w:rsidR="00F96DB9" w:rsidRPr="00DF3C5F" w:rsidTr="00496399">
        <w:trPr>
          <w:trHeight w:val="60"/>
        </w:trPr>
        <w:tc>
          <w:tcPr>
            <w:tcW w:w="9782"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0" w:type="dxa"/>
              <w:bottom w:w="80" w:type="dxa"/>
              <w:right w:w="0" w:type="dxa"/>
            </w:tcMar>
            <w:vAlign w:val="center"/>
            <w:hideMark/>
          </w:tcPr>
          <w:p w:rsidR="00F96DB9" w:rsidRPr="00F821DA" w:rsidRDefault="00F96DB9" w:rsidP="00F821DA">
            <w:pPr>
              <w:spacing w:before="120" w:after="120" w:line="240" w:lineRule="auto"/>
              <w:jc w:val="center"/>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color w:val="000000"/>
                <w:sz w:val="24"/>
                <w:szCs w:val="24"/>
                <w:lang w:val="bg-BG"/>
              </w:rPr>
              <w:t>Формуляр за частична предварителна оценка на въздействието*</w:t>
            </w:r>
          </w:p>
          <w:p w:rsidR="00F96DB9" w:rsidRPr="00F821DA" w:rsidRDefault="00F96DB9" w:rsidP="00F821DA">
            <w:pPr>
              <w:spacing w:before="120" w:after="120" w:line="240" w:lineRule="auto"/>
              <w:jc w:val="center"/>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color w:val="000000"/>
                <w:sz w:val="24"/>
                <w:szCs w:val="24"/>
                <w:lang w:val="bg-BG"/>
              </w:rPr>
              <w:t>(Приложете към формуляра допълнителна информация/документи)</w:t>
            </w:r>
          </w:p>
        </w:tc>
      </w:tr>
      <w:tr w:rsidR="00F96DB9" w:rsidRPr="00DF3C5F" w:rsidTr="00496399">
        <w:trPr>
          <w:trHeight w:val="60"/>
        </w:trPr>
        <w:tc>
          <w:tcPr>
            <w:tcW w:w="4670"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F821DA">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 xml:space="preserve">Институция: </w:t>
            </w:r>
            <w:r w:rsidR="006371B1" w:rsidRPr="00F821DA">
              <w:rPr>
                <w:rFonts w:ascii="Times New Roman" w:eastAsia="Times New Roman" w:hAnsi="Times New Roman" w:cs="Times New Roman"/>
                <w:b/>
                <w:bCs/>
                <w:color w:val="000000"/>
                <w:sz w:val="24"/>
                <w:szCs w:val="24"/>
                <w:lang w:val="bg-BG"/>
              </w:rPr>
              <w:t>Министерство на околната среда и водите</w:t>
            </w:r>
          </w:p>
        </w:tc>
        <w:tc>
          <w:tcPr>
            <w:tcW w:w="5112" w:type="dxa"/>
            <w:tcBorders>
              <w:top w:val="nil"/>
              <w:left w:val="nil"/>
              <w:bottom w:val="single" w:sz="8" w:space="0" w:color="auto"/>
              <w:right w:val="single" w:sz="8" w:space="0" w:color="auto"/>
            </w:tcBorders>
            <w:tcMar>
              <w:top w:w="57" w:type="dxa"/>
              <w:left w:w="57" w:type="dxa"/>
              <w:bottom w:w="57" w:type="dxa"/>
              <w:right w:w="57" w:type="dxa"/>
            </w:tcMar>
            <w:vAlign w:val="center"/>
            <w:hideMark/>
          </w:tcPr>
          <w:p w:rsidR="006371B1" w:rsidRPr="00F821DA" w:rsidRDefault="00F96DB9" w:rsidP="00F821DA">
            <w:pPr>
              <w:spacing w:before="120" w:after="120" w:line="240" w:lineRule="auto"/>
              <w:textAlignment w:val="center"/>
              <w:rPr>
                <w:rFonts w:ascii="Times New Roman" w:eastAsia="Times New Roman" w:hAnsi="Times New Roman" w:cs="Times New Roman"/>
                <w:b/>
                <w:bCs/>
                <w:color w:val="000000"/>
                <w:sz w:val="24"/>
                <w:szCs w:val="24"/>
                <w:lang w:val="bg-BG"/>
              </w:rPr>
            </w:pPr>
            <w:r w:rsidRPr="00F821DA">
              <w:rPr>
                <w:rFonts w:ascii="Times New Roman" w:eastAsia="Times New Roman" w:hAnsi="Times New Roman" w:cs="Times New Roman"/>
                <w:b/>
                <w:bCs/>
                <w:color w:val="000000"/>
                <w:sz w:val="24"/>
                <w:szCs w:val="24"/>
                <w:lang w:val="bg-BG"/>
              </w:rPr>
              <w:t xml:space="preserve">Нормативен акт: </w:t>
            </w:r>
          </w:p>
          <w:p w:rsidR="006371B1" w:rsidRPr="00F821DA" w:rsidRDefault="000F6221" w:rsidP="00F821DA">
            <w:pPr>
              <w:spacing w:before="120" w:after="120" w:line="240" w:lineRule="auto"/>
              <w:ind w:left="21"/>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ЗАКОН ЗА ИЗМЕНЕНИЕ И ДОПЪЛНЕНИЕ НА </w:t>
            </w:r>
            <w:r w:rsidR="00E572C7" w:rsidRPr="00F821DA">
              <w:rPr>
                <w:rFonts w:ascii="Times New Roman" w:eastAsia="Times New Roman" w:hAnsi="Times New Roman" w:cs="Times New Roman"/>
                <w:sz w:val="24"/>
                <w:szCs w:val="24"/>
                <w:lang w:val="bg-BG"/>
              </w:rPr>
              <w:t>ЗАКОН</w:t>
            </w:r>
            <w:r w:rsidRPr="00F821DA">
              <w:rPr>
                <w:rFonts w:ascii="Times New Roman" w:eastAsia="Times New Roman" w:hAnsi="Times New Roman" w:cs="Times New Roman"/>
                <w:sz w:val="24"/>
                <w:szCs w:val="24"/>
                <w:lang w:val="bg-BG"/>
              </w:rPr>
              <w:t>А</w:t>
            </w:r>
            <w:r w:rsidR="00EA150F" w:rsidRPr="00F821DA">
              <w:rPr>
                <w:rFonts w:ascii="Times New Roman" w:eastAsia="Times New Roman" w:hAnsi="Times New Roman" w:cs="Times New Roman"/>
                <w:sz w:val="24"/>
                <w:szCs w:val="24"/>
                <w:lang w:val="bg-BG"/>
              </w:rPr>
              <w:t xml:space="preserve"> ЗА БИОЛОГИЧНОТО РАЗНООБРАЗИЕ</w:t>
            </w:r>
          </w:p>
        </w:tc>
      </w:tr>
      <w:tr w:rsidR="00F96DB9" w:rsidRPr="00F821DA" w:rsidTr="00496399">
        <w:trPr>
          <w:trHeight w:val="60"/>
        </w:trPr>
        <w:tc>
          <w:tcPr>
            <w:tcW w:w="4670"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A35737" w:rsidRDefault="00F96DB9" w:rsidP="003A26D7">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За включване в законодателната/</w:t>
            </w:r>
            <w:r w:rsidR="00F821DA">
              <w:rPr>
                <w:rFonts w:ascii="Times New Roman" w:eastAsia="Times New Roman" w:hAnsi="Times New Roman" w:cs="Times New Roman"/>
                <w:b/>
                <w:bCs/>
                <w:color w:val="000000"/>
                <w:sz w:val="24"/>
                <w:szCs w:val="24"/>
                <w:lang w:val="bg-BG"/>
              </w:rPr>
              <w:t xml:space="preserve"> </w:t>
            </w:r>
            <w:r w:rsidRPr="00F821DA">
              <w:rPr>
                <w:rFonts w:ascii="Times New Roman" w:eastAsia="Times New Roman" w:hAnsi="Times New Roman" w:cs="Times New Roman"/>
                <w:b/>
                <w:bCs/>
                <w:color w:val="000000"/>
                <w:sz w:val="24"/>
                <w:szCs w:val="24"/>
                <w:lang w:val="bg-BG"/>
              </w:rPr>
              <w:t xml:space="preserve">оперативната програма на Министерския съвет за периода: </w:t>
            </w:r>
            <w:r w:rsidR="003A26D7">
              <w:rPr>
                <w:rFonts w:ascii="Times New Roman" w:eastAsia="Times New Roman" w:hAnsi="Times New Roman" w:cs="Times New Roman"/>
                <w:b/>
                <w:bCs/>
                <w:color w:val="000000"/>
                <w:sz w:val="24"/>
                <w:szCs w:val="24"/>
                <w:lang w:val="bg-BG"/>
              </w:rPr>
              <w:t>януари-март 2019 г.</w:t>
            </w:r>
          </w:p>
        </w:tc>
        <w:tc>
          <w:tcPr>
            <w:tcW w:w="5112" w:type="dxa"/>
            <w:tcBorders>
              <w:top w:val="nil"/>
              <w:left w:val="nil"/>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F821DA">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Дата:</w:t>
            </w:r>
            <w:r w:rsidR="00A35737" w:rsidRPr="00341998">
              <w:rPr>
                <w:rFonts w:ascii="Times New Roman" w:eastAsia="Times New Roman" w:hAnsi="Times New Roman"/>
                <w:sz w:val="24"/>
                <w:szCs w:val="24"/>
                <w:lang w:val="bg-BG"/>
              </w:rPr>
              <w:t xml:space="preserve"> 1 януари – 30 юни 2019 г.</w:t>
            </w:r>
          </w:p>
        </w:tc>
      </w:tr>
      <w:tr w:rsidR="00F96DB9" w:rsidRPr="00F821DA" w:rsidTr="00496399">
        <w:trPr>
          <w:trHeight w:val="60"/>
        </w:trPr>
        <w:tc>
          <w:tcPr>
            <w:tcW w:w="4670"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A35737" w:rsidRDefault="00F96DB9" w:rsidP="00F821DA">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Контакт за въпроси:</w:t>
            </w:r>
            <w:r w:rsidR="006371B1" w:rsidRPr="00F821DA">
              <w:rPr>
                <w:rFonts w:ascii="Times New Roman" w:eastAsia="Times New Roman" w:hAnsi="Times New Roman" w:cs="Times New Roman"/>
                <w:b/>
                <w:bCs/>
                <w:color w:val="000000"/>
                <w:sz w:val="24"/>
                <w:szCs w:val="24"/>
                <w:lang w:val="bg-BG"/>
              </w:rPr>
              <w:t xml:space="preserve"> </w:t>
            </w:r>
            <w:r w:rsidR="00A35737" w:rsidRPr="00A35737">
              <w:rPr>
                <w:rFonts w:ascii="Times New Roman" w:eastAsia="Times New Roman" w:hAnsi="Times New Roman" w:cs="Times New Roman"/>
                <w:bCs/>
                <w:color w:val="000000"/>
                <w:sz w:val="24"/>
                <w:szCs w:val="24"/>
                <w:lang w:val="bg-BG"/>
              </w:rPr>
              <w:t>Геновева Господинова, държавен експерт в отдел „Защитени територии и Натура 2000“</w:t>
            </w:r>
          </w:p>
        </w:tc>
        <w:tc>
          <w:tcPr>
            <w:tcW w:w="5112" w:type="dxa"/>
            <w:tcBorders>
              <w:top w:val="nil"/>
              <w:left w:val="nil"/>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F821DA">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Телефон:</w:t>
            </w:r>
            <w:r w:rsidR="00A35737" w:rsidRPr="00FB0E53">
              <w:rPr>
                <w:rFonts w:ascii="Times New Roman" w:eastAsia="Times New Roman" w:hAnsi="Times New Roman" w:cs="Times New Roman"/>
                <w:bCs/>
                <w:color w:val="000000"/>
                <w:sz w:val="24"/>
                <w:szCs w:val="24"/>
                <w:lang w:val="bg-BG"/>
              </w:rPr>
              <w:t>02/ 940 6696</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EA150F" w:rsidRPr="00F821DA" w:rsidRDefault="00EA150F" w:rsidP="00F821DA">
            <w:pPr>
              <w:spacing w:before="120" w:after="120" w:line="240" w:lineRule="auto"/>
              <w:textAlignment w:val="center"/>
              <w:rPr>
                <w:rFonts w:ascii="Times New Roman" w:eastAsia="Times New Roman" w:hAnsi="Times New Roman" w:cs="Times New Roman"/>
                <w:b/>
                <w:bCs/>
                <w:color w:val="000000"/>
                <w:sz w:val="24"/>
                <w:szCs w:val="24"/>
                <w:lang w:val="bg-BG"/>
              </w:rPr>
            </w:pPr>
            <w:r w:rsidRPr="00F821DA">
              <w:rPr>
                <w:rFonts w:ascii="Times New Roman" w:eastAsia="Times New Roman" w:hAnsi="Times New Roman" w:cs="Times New Roman"/>
                <w:b/>
                <w:bCs/>
                <w:color w:val="000000"/>
                <w:sz w:val="24"/>
                <w:szCs w:val="24"/>
                <w:lang w:val="bg-BG"/>
              </w:rPr>
              <w:t>1. Дефиниране на проблема</w:t>
            </w:r>
          </w:p>
          <w:p w:rsidR="00327928" w:rsidRPr="00F821DA" w:rsidRDefault="00327928" w:rsidP="00F821DA">
            <w:pPr>
              <w:spacing w:before="120" w:after="120" w:line="240" w:lineRule="auto"/>
              <w:textAlignment w:val="center"/>
              <w:rPr>
                <w:rFonts w:ascii="Times New Roman" w:eastAsia="Times New Roman" w:hAnsi="Times New Roman" w:cs="Times New Roman"/>
                <w:b/>
                <w:sz w:val="24"/>
                <w:szCs w:val="24"/>
                <w:lang w:val="bg-BG"/>
              </w:rPr>
            </w:pPr>
            <w:r w:rsidRPr="00F821DA">
              <w:rPr>
                <w:rFonts w:ascii="Times New Roman" w:eastAsia="Times New Roman" w:hAnsi="Times New Roman" w:cs="Times New Roman"/>
                <w:b/>
                <w:sz w:val="24"/>
                <w:szCs w:val="24"/>
                <w:lang w:val="bg-BG"/>
              </w:rPr>
              <w:t xml:space="preserve">Дефинирани са три проблема, представени в </w:t>
            </w:r>
            <w:r w:rsidR="00A35737" w:rsidRPr="00F821DA">
              <w:rPr>
                <w:rFonts w:ascii="Times New Roman" w:eastAsia="Times New Roman" w:hAnsi="Times New Roman" w:cs="Times New Roman"/>
                <w:b/>
                <w:sz w:val="24"/>
                <w:szCs w:val="24"/>
                <w:lang w:val="bg-BG"/>
              </w:rPr>
              <w:t>детайли</w:t>
            </w:r>
            <w:r w:rsidR="00A35737">
              <w:rPr>
                <w:rFonts w:ascii="Times New Roman" w:eastAsia="Times New Roman" w:hAnsi="Times New Roman" w:cs="Times New Roman"/>
                <w:b/>
                <w:sz w:val="24"/>
                <w:szCs w:val="24"/>
                <w:lang w:val="bg-BG"/>
              </w:rPr>
              <w:t xml:space="preserve"> по-дол</w:t>
            </w:r>
            <w:r w:rsidRPr="00F821DA">
              <w:rPr>
                <w:rFonts w:ascii="Times New Roman" w:eastAsia="Times New Roman" w:hAnsi="Times New Roman" w:cs="Times New Roman"/>
                <w:b/>
                <w:sz w:val="24"/>
                <w:szCs w:val="24"/>
                <w:lang w:val="bg-BG"/>
              </w:rPr>
              <w:t>у:</w:t>
            </w:r>
          </w:p>
          <w:p w:rsidR="006F7396" w:rsidRPr="00F821DA" w:rsidRDefault="00327928" w:rsidP="00F821DA">
            <w:pPr>
              <w:pStyle w:val="ListParagraph"/>
              <w:numPr>
                <w:ilvl w:val="0"/>
                <w:numId w:val="30"/>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sz w:val="24"/>
                <w:szCs w:val="24"/>
                <w:lang w:val="bg-BG"/>
              </w:rPr>
              <w:t>Проблем 1:</w:t>
            </w:r>
            <w:r w:rsidRPr="00F821DA">
              <w:rPr>
                <w:rFonts w:ascii="Times New Roman" w:eastAsia="Times New Roman" w:hAnsi="Times New Roman" w:cs="Times New Roman"/>
                <w:sz w:val="24"/>
                <w:szCs w:val="24"/>
                <w:lang w:val="bg-BG"/>
              </w:rPr>
              <w:t xml:space="preserve"> </w:t>
            </w:r>
            <w:r w:rsidR="006F7396" w:rsidRPr="00F821DA">
              <w:rPr>
                <w:rFonts w:ascii="Times New Roman" w:eastAsia="Times New Roman" w:hAnsi="Times New Roman" w:cs="Times New Roman"/>
                <w:sz w:val="24"/>
                <w:szCs w:val="24"/>
                <w:lang w:val="bg-BG"/>
              </w:rPr>
              <w:t>Липса на механизъм за ефективно управление на мрежата Натура 2000 в България</w:t>
            </w:r>
          </w:p>
          <w:p w:rsidR="007E104E" w:rsidRPr="00D351EE" w:rsidRDefault="00327928" w:rsidP="00F821DA">
            <w:pPr>
              <w:pStyle w:val="ListParagraph"/>
              <w:numPr>
                <w:ilvl w:val="0"/>
                <w:numId w:val="30"/>
              </w:numPr>
              <w:spacing w:before="120" w:after="120" w:line="240" w:lineRule="auto"/>
              <w:jc w:val="both"/>
              <w:textAlignment w:val="center"/>
              <w:rPr>
                <w:rFonts w:ascii="Times New Roman" w:eastAsia="Times New Roman" w:hAnsi="Times New Roman" w:cs="Times New Roman"/>
                <w:sz w:val="24"/>
                <w:szCs w:val="24"/>
                <w:lang w:val="bg-BG"/>
              </w:rPr>
            </w:pPr>
            <w:r w:rsidRPr="00D351EE">
              <w:rPr>
                <w:rFonts w:ascii="Times New Roman" w:eastAsia="Times New Roman" w:hAnsi="Times New Roman" w:cs="Times New Roman"/>
                <w:b/>
                <w:sz w:val="24"/>
                <w:szCs w:val="24"/>
                <w:lang w:val="bg-BG"/>
              </w:rPr>
              <w:t>Проблем 2:</w:t>
            </w:r>
            <w:r w:rsidRPr="00D351EE">
              <w:rPr>
                <w:rFonts w:ascii="Times New Roman" w:eastAsia="Times New Roman" w:hAnsi="Times New Roman" w:cs="Times New Roman"/>
                <w:sz w:val="24"/>
                <w:szCs w:val="24"/>
                <w:lang w:val="bg-BG"/>
              </w:rPr>
              <w:t xml:space="preserve"> </w:t>
            </w:r>
            <w:r w:rsidR="00A80236" w:rsidRPr="00D351EE">
              <w:rPr>
                <w:rFonts w:ascii="Times New Roman" w:eastAsia="Times New Roman" w:hAnsi="Times New Roman" w:cs="Times New Roman"/>
                <w:sz w:val="24"/>
                <w:szCs w:val="24"/>
                <w:lang w:val="bg-BG"/>
              </w:rPr>
              <w:t>Необходимост от доразвиване на разпоредбите</w:t>
            </w:r>
            <w:r w:rsidR="009F6C3D" w:rsidRPr="00D351EE">
              <w:rPr>
                <w:rFonts w:ascii="Times New Roman" w:eastAsia="Times New Roman" w:hAnsi="Times New Roman" w:cs="Times New Roman"/>
                <w:sz w:val="24"/>
                <w:szCs w:val="24"/>
                <w:lang w:val="bg-BG"/>
              </w:rPr>
              <w:t>,</w:t>
            </w:r>
            <w:r w:rsidR="00A80236" w:rsidRPr="00D351EE">
              <w:rPr>
                <w:rFonts w:ascii="Times New Roman" w:eastAsia="Times New Roman" w:hAnsi="Times New Roman" w:cs="Times New Roman"/>
                <w:sz w:val="24"/>
                <w:szCs w:val="24"/>
                <w:lang w:val="bg-BG"/>
              </w:rPr>
              <w:t xml:space="preserve"> касаещи достъпа до генетични ресурси</w:t>
            </w:r>
            <w:r w:rsidR="00A80236" w:rsidRPr="00D351EE">
              <w:rPr>
                <w:rFonts w:ascii="Times New Roman" w:eastAsia="Times New Roman" w:hAnsi="Times New Roman" w:cs="Times New Roman"/>
                <w:b/>
                <w:sz w:val="24"/>
                <w:szCs w:val="24"/>
                <w:lang w:val="bg-BG"/>
              </w:rPr>
              <w:t xml:space="preserve"> </w:t>
            </w:r>
          </w:p>
          <w:p w:rsidR="007E104E" w:rsidRPr="00D351EE" w:rsidRDefault="00327928" w:rsidP="00F821DA">
            <w:pPr>
              <w:pStyle w:val="ListParagraph"/>
              <w:numPr>
                <w:ilvl w:val="0"/>
                <w:numId w:val="30"/>
              </w:numPr>
              <w:spacing w:before="120" w:after="120" w:line="240" w:lineRule="auto"/>
              <w:jc w:val="both"/>
              <w:textAlignment w:val="center"/>
              <w:rPr>
                <w:rFonts w:ascii="Times New Roman" w:eastAsia="Times New Roman" w:hAnsi="Times New Roman" w:cs="Times New Roman"/>
                <w:sz w:val="24"/>
                <w:szCs w:val="24"/>
                <w:lang w:val="bg-BG"/>
              </w:rPr>
            </w:pPr>
            <w:r w:rsidRPr="00D351EE">
              <w:rPr>
                <w:rFonts w:ascii="Times New Roman" w:eastAsia="Times New Roman" w:hAnsi="Times New Roman" w:cs="Times New Roman"/>
                <w:b/>
                <w:sz w:val="24"/>
                <w:szCs w:val="24"/>
                <w:lang w:val="bg-BG"/>
              </w:rPr>
              <w:t>Проблем 3:</w:t>
            </w:r>
            <w:r w:rsidRPr="00D351EE">
              <w:rPr>
                <w:rFonts w:ascii="Times New Roman" w:eastAsia="Times New Roman" w:hAnsi="Times New Roman" w:cs="Times New Roman"/>
                <w:sz w:val="24"/>
                <w:szCs w:val="24"/>
                <w:lang w:val="bg-BG"/>
              </w:rPr>
              <w:t xml:space="preserve"> </w:t>
            </w:r>
            <w:r w:rsidR="00644237" w:rsidRPr="00D351EE">
              <w:rPr>
                <w:rFonts w:ascii="Times New Roman" w:eastAsia="Times New Roman" w:hAnsi="Times New Roman" w:cs="Times New Roman"/>
                <w:sz w:val="24"/>
                <w:szCs w:val="24"/>
                <w:lang w:val="bg-BG"/>
              </w:rPr>
              <w:t xml:space="preserve">Липса на съответствие в  част от </w:t>
            </w:r>
            <w:r w:rsidR="007E104E" w:rsidRPr="00D351EE">
              <w:rPr>
                <w:rFonts w:ascii="Times New Roman" w:eastAsia="Times New Roman" w:hAnsi="Times New Roman" w:cs="Times New Roman"/>
                <w:sz w:val="24"/>
                <w:szCs w:val="24"/>
                <w:lang w:val="bg-BG"/>
              </w:rPr>
              <w:t>терминологията в Директи</w:t>
            </w:r>
            <w:r w:rsidR="00644237" w:rsidRPr="00D351EE">
              <w:rPr>
                <w:rFonts w:ascii="Times New Roman" w:eastAsia="Times New Roman" w:hAnsi="Times New Roman" w:cs="Times New Roman"/>
                <w:sz w:val="24"/>
                <w:szCs w:val="24"/>
                <w:lang w:val="bg-BG"/>
              </w:rPr>
              <w:t>вата за опазване на дивите птици и Закона за биологичното разработване</w:t>
            </w:r>
          </w:p>
          <w:p w:rsidR="00644237" w:rsidRPr="00D351EE" w:rsidRDefault="00644237" w:rsidP="00F821DA">
            <w:pPr>
              <w:pStyle w:val="ListParagraph"/>
              <w:numPr>
                <w:ilvl w:val="0"/>
                <w:numId w:val="30"/>
              </w:numPr>
              <w:spacing w:before="120" w:after="120" w:line="240" w:lineRule="auto"/>
              <w:jc w:val="both"/>
              <w:textAlignment w:val="center"/>
              <w:rPr>
                <w:rFonts w:ascii="Times New Roman" w:eastAsia="Times New Roman" w:hAnsi="Times New Roman" w:cs="Times New Roman"/>
                <w:sz w:val="24"/>
                <w:szCs w:val="24"/>
                <w:lang w:val="bg-BG"/>
              </w:rPr>
            </w:pPr>
            <w:r w:rsidRPr="00D351EE">
              <w:rPr>
                <w:rFonts w:ascii="Times New Roman" w:eastAsia="Times New Roman" w:hAnsi="Times New Roman" w:cs="Times New Roman"/>
                <w:b/>
                <w:sz w:val="24"/>
                <w:szCs w:val="24"/>
                <w:lang w:val="bg-BG"/>
              </w:rPr>
              <w:t xml:space="preserve">Проблем 4: </w:t>
            </w:r>
            <w:r w:rsidRPr="00D351EE">
              <w:rPr>
                <w:rFonts w:ascii="Times New Roman" w:eastAsia="Times New Roman" w:hAnsi="Times New Roman" w:cs="Times New Roman"/>
                <w:sz w:val="24"/>
                <w:szCs w:val="24"/>
                <w:lang w:val="bg-BG"/>
              </w:rPr>
              <w:t xml:space="preserve">Липса на процедури, осигуряващи прилагането на Регламент </w:t>
            </w:r>
            <w:r w:rsidR="001C2F40" w:rsidRPr="00D351EE">
              <w:rPr>
                <w:rFonts w:ascii="Times New Roman" w:eastAsia="Times New Roman" w:hAnsi="Times New Roman" w:cs="Times New Roman"/>
                <w:sz w:val="24"/>
                <w:szCs w:val="24"/>
                <w:lang w:val="bg-BG"/>
              </w:rPr>
              <w:t xml:space="preserve">(ЕС) </w:t>
            </w:r>
            <w:r w:rsidRPr="00D351EE">
              <w:rPr>
                <w:rFonts w:ascii="Times New Roman" w:eastAsia="Times New Roman" w:hAnsi="Times New Roman" w:cs="Times New Roman"/>
                <w:sz w:val="24"/>
                <w:szCs w:val="24"/>
                <w:lang w:val="bg-BG"/>
              </w:rPr>
              <w:t>338/97</w:t>
            </w:r>
            <w:r w:rsidR="001C2F40" w:rsidRPr="00D351EE">
              <w:rPr>
                <w:rFonts w:ascii="Times New Roman" w:eastAsia="Times New Roman" w:hAnsi="Times New Roman" w:cs="Times New Roman"/>
                <w:sz w:val="24"/>
                <w:szCs w:val="24"/>
                <w:lang w:val="bg-BG"/>
              </w:rPr>
              <w:t xml:space="preserve"> за опазване на застрашени видове от дивата фауна и флора</w:t>
            </w:r>
          </w:p>
          <w:p w:rsidR="001C2F40" w:rsidRPr="00D351EE" w:rsidRDefault="00644237" w:rsidP="00F821DA">
            <w:pPr>
              <w:pStyle w:val="ListParagraph"/>
              <w:numPr>
                <w:ilvl w:val="0"/>
                <w:numId w:val="30"/>
              </w:numPr>
              <w:spacing w:before="120" w:after="120" w:line="240" w:lineRule="auto"/>
              <w:jc w:val="both"/>
              <w:textAlignment w:val="center"/>
              <w:rPr>
                <w:rFonts w:ascii="Times New Roman" w:eastAsia="Times New Roman" w:hAnsi="Times New Roman" w:cs="Times New Roman"/>
                <w:sz w:val="24"/>
                <w:szCs w:val="24"/>
                <w:lang w:val="bg-BG"/>
              </w:rPr>
            </w:pPr>
            <w:r w:rsidRPr="00D351EE">
              <w:rPr>
                <w:rFonts w:ascii="Times New Roman" w:eastAsia="Times New Roman" w:hAnsi="Times New Roman" w:cs="Times New Roman"/>
                <w:b/>
                <w:sz w:val="24"/>
                <w:szCs w:val="24"/>
                <w:lang w:val="bg-BG"/>
              </w:rPr>
              <w:t xml:space="preserve">Проблем 5: </w:t>
            </w:r>
            <w:r w:rsidR="00971EA5" w:rsidRPr="00D351EE">
              <w:rPr>
                <w:rFonts w:ascii="Times New Roman" w:eastAsia="Times New Roman" w:hAnsi="Times New Roman" w:cs="Times New Roman"/>
                <w:sz w:val="24"/>
                <w:szCs w:val="24"/>
                <w:lang w:val="bg-BG"/>
              </w:rPr>
              <w:t>Некоригирани разпоредби</w:t>
            </w:r>
            <w:r w:rsidR="001C2F40" w:rsidRPr="00D351EE">
              <w:rPr>
                <w:rFonts w:ascii="Times New Roman" w:eastAsia="Times New Roman" w:hAnsi="Times New Roman" w:cs="Times New Roman"/>
                <w:sz w:val="24"/>
                <w:szCs w:val="24"/>
                <w:lang w:val="bg-BG"/>
              </w:rPr>
              <w:t>,</w:t>
            </w:r>
            <w:r w:rsidR="00971EA5" w:rsidRPr="00D351EE">
              <w:rPr>
                <w:rFonts w:ascii="Times New Roman" w:eastAsia="Times New Roman" w:hAnsi="Times New Roman" w:cs="Times New Roman"/>
                <w:sz w:val="24"/>
                <w:szCs w:val="24"/>
                <w:lang w:val="bg-BG"/>
              </w:rPr>
              <w:t xml:space="preserve"> </w:t>
            </w:r>
            <w:r w:rsidR="001C2F40" w:rsidRPr="00D351EE">
              <w:rPr>
                <w:rFonts w:ascii="Times New Roman" w:eastAsia="Times New Roman" w:hAnsi="Times New Roman" w:cs="Times New Roman"/>
                <w:sz w:val="24"/>
                <w:szCs w:val="24"/>
                <w:lang w:val="bg-BG"/>
              </w:rPr>
              <w:t>касаещи административната тежест за гражданите</w:t>
            </w:r>
          </w:p>
          <w:p w:rsidR="00327928" w:rsidRPr="00F821DA" w:rsidRDefault="00327928" w:rsidP="00F821DA">
            <w:pPr>
              <w:spacing w:before="120" w:after="120" w:line="240" w:lineRule="auto"/>
              <w:textAlignment w:val="center"/>
              <w:rPr>
                <w:rFonts w:ascii="Times New Roman" w:eastAsia="Times New Roman" w:hAnsi="Times New Roman" w:cs="Times New Roman"/>
                <w:b/>
                <w:sz w:val="24"/>
                <w:szCs w:val="24"/>
                <w:lang w:val="bg-BG"/>
              </w:rPr>
            </w:pPr>
          </w:p>
          <w:p w:rsidR="006F7396" w:rsidRPr="00F821DA" w:rsidRDefault="00327928" w:rsidP="00F821DA">
            <w:pPr>
              <w:spacing w:before="120" w:after="120" w:line="240" w:lineRule="auto"/>
              <w:jc w:val="both"/>
              <w:textAlignment w:val="center"/>
              <w:rPr>
                <w:rFonts w:ascii="Times New Roman" w:eastAsia="Times New Roman" w:hAnsi="Times New Roman" w:cs="Times New Roman"/>
                <w:b/>
                <w:sz w:val="24"/>
                <w:szCs w:val="24"/>
                <w:u w:val="single"/>
                <w:lang w:val="bg-BG"/>
              </w:rPr>
            </w:pPr>
            <w:r w:rsidRPr="00F821DA">
              <w:rPr>
                <w:rFonts w:ascii="Times New Roman" w:eastAsia="Times New Roman" w:hAnsi="Times New Roman" w:cs="Times New Roman"/>
                <w:b/>
                <w:sz w:val="24"/>
                <w:szCs w:val="24"/>
                <w:u w:val="single"/>
                <w:lang w:val="bg-BG"/>
              </w:rPr>
              <w:t>Проблем 1: Липса на механизъм за ефективно управление на мрежата Натура 2000 в България</w:t>
            </w:r>
          </w:p>
          <w:p w:rsidR="006371B1" w:rsidRPr="00F821DA" w:rsidRDefault="00F96DB9" w:rsidP="00F821DA">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t>1.</w:t>
            </w:r>
            <w:proofErr w:type="spellStart"/>
            <w:r w:rsidRPr="00F821DA">
              <w:rPr>
                <w:rFonts w:ascii="Times New Roman" w:eastAsia="Times New Roman" w:hAnsi="Times New Roman" w:cs="Times New Roman"/>
                <w:i/>
                <w:iCs/>
                <w:color w:val="000000"/>
                <w:sz w:val="24"/>
                <w:szCs w:val="24"/>
                <w:lang w:val="bg-BG"/>
              </w:rPr>
              <w:t>1</w:t>
            </w:r>
            <w:proofErr w:type="spellEnd"/>
            <w:r w:rsidRPr="00F821DA">
              <w:rPr>
                <w:rFonts w:ascii="Times New Roman" w:eastAsia="Times New Roman" w:hAnsi="Times New Roman" w:cs="Times New Roman"/>
                <w:i/>
                <w:iCs/>
                <w:color w:val="000000"/>
                <w:sz w:val="24"/>
                <w:szCs w:val="24"/>
                <w:lang w:val="bg-BG"/>
              </w:rPr>
              <w:t>. Кратко опишете проблема и причините за неговото възникване. Посочете аргументите, които обосновават нормативната промяна.</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Натура 2000 е общоевропейска мрежа от защитени места в Европа, с която се цели осигуряване дългосрочното запазване на най-ценните и застрашени видове и природни </w:t>
            </w:r>
            <w:r w:rsidRPr="00F821DA">
              <w:rPr>
                <w:rFonts w:ascii="Times New Roman" w:eastAsia="Times New Roman" w:hAnsi="Times New Roman" w:cs="Times New Roman"/>
                <w:sz w:val="24"/>
                <w:szCs w:val="24"/>
                <w:lang w:val="bg-BG"/>
              </w:rPr>
              <w:lastRenderedPageBreak/>
              <w:t xml:space="preserve">типове местообитания. Местата, попадащи в екологичната мрежа се определят в съответствие с Директива 92/43/ЕИО за опазване на природните местообитания и на дивата флора и фауна (Директива за местообитанията) и Директива 2009/147/ЕО относно опазването на дивите птици (Директива за птиците). Директивата за местообитанията задължава държавите-членки да определят необходимите </w:t>
            </w:r>
            <w:proofErr w:type="spellStart"/>
            <w:r w:rsidRPr="00F821DA">
              <w:rPr>
                <w:rFonts w:ascii="Times New Roman" w:eastAsia="Times New Roman" w:hAnsi="Times New Roman" w:cs="Times New Roman"/>
                <w:sz w:val="24"/>
                <w:szCs w:val="24"/>
                <w:lang w:val="bg-BG"/>
              </w:rPr>
              <w:t>консервационни</w:t>
            </w:r>
            <w:proofErr w:type="spellEnd"/>
            <w:r w:rsidRPr="00F821DA">
              <w:rPr>
                <w:rFonts w:ascii="Times New Roman" w:eastAsia="Times New Roman" w:hAnsi="Times New Roman" w:cs="Times New Roman"/>
                <w:sz w:val="24"/>
                <w:szCs w:val="24"/>
                <w:lang w:val="bg-BG"/>
              </w:rPr>
              <w:t xml:space="preserve"> мерки, които при необходимост включват подходящи планове за управление, специално разработени за териториите или включени в други развойни планове, и подходящи мерки от правно, административно и договорно естество, които да отговарят на екологичните изисквания на типовете естествени местообитания и видовете, срещащи се в тези райони.</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За постигане на устойчиво опазване на видове и местообитания от мрежата Натура 2000 се изисква прилагане и на мерки по активното им опазване, освен стандартните</w:t>
            </w:r>
            <w:r w:rsidR="00D351EE" w:rsidRPr="00A35737">
              <w:rPr>
                <w:rFonts w:ascii="Times New Roman" w:eastAsia="Times New Roman" w:hAnsi="Times New Roman" w:cs="Times New Roman"/>
                <w:sz w:val="24"/>
                <w:szCs w:val="24"/>
                <w:lang w:val="bg-BG"/>
              </w:rPr>
              <w:t xml:space="preserve"> </w:t>
            </w:r>
            <w:r w:rsidR="00D351EE">
              <w:rPr>
                <w:rFonts w:ascii="Times New Roman" w:eastAsia="Times New Roman" w:hAnsi="Times New Roman" w:cs="Times New Roman"/>
                <w:sz w:val="24"/>
                <w:szCs w:val="24"/>
                <w:lang w:val="bg-BG"/>
              </w:rPr>
              <w:t>административни</w:t>
            </w:r>
            <w:r w:rsidRPr="00F821DA">
              <w:rPr>
                <w:rFonts w:ascii="Times New Roman" w:eastAsia="Times New Roman" w:hAnsi="Times New Roman" w:cs="Times New Roman"/>
                <w:sz w:val="24"/>
                <w:szCs w:val="24"/>
                <w:lang w:val="bg-BG"/>
              </w:rPr>
              <w:t xml:space="preserve"> мерки, като забрани в заповедите за обявяване на защитените зони. Необходимо е навременно, адекватно и </w:t>
            </w:r>
            <w:proofErr w:type="spellStart"/>
            <w:r w:rsidRPr="00F821DA">
              <w:rPr>
                <w:rFonts w:ascii="Times New Roman" w:eastAsia="Times New Roman" w:hAnsi="Times New Roman" w:cs="Times New Roman"/>
                <w:sz w:val="24"/>
                <w:szCs w:val="24"/>
                <w:lang w:val="bg-BG"/>
              </w:rPr>
              <w:t>ресурсо-ефективно</w:t>
            </w:r>
            <w:proofErr w:type="spellEnd"/>
            <w:r w:rsidRPr="00F821DA">
              <w:rPr>
                <w:rFonts w:ascii="Times New Roman" w:eastAsia="Times New Roman" w:hAnsi="Times New Roman" w:cs="Times New Roman"/>
                <w:sz w:val="24"/>
                <w:szCs w:val="24"/>
                <w:lang w:val="bg-BG"/>
              </w:rPr>
              <w:t xml:space="preserve"> изпълнение на </w:t>
            </w:r>
            <w:proofErr w:type="spellStart"/>
            <w:r w:rsidRPr="00F821DA">
              <w:rPr>
                <w:rFonts w:ascii="Times New Roman" w:eastAsia="Times New Roman" w:hAnsi="Times New Roman" w:cs="Times New Roman"/>
                <w:sz w:val="24"/>
                <w:szCs w:val="24"/>
                <w:lang w:val="bg-BG"/>
              </w:rPr>
              <w:t>консервационни</w:t>
            </w:r>
            <w:proofErr w:type="spellEnd"/>
            <w:r w:rsidRPr="00F821DA">
              <w:rPr>
                <w:rFonts w:ascii="Times New Roman" w:eastAsia="Times New Roman" w:hAnsi="Times New Roman" w:cs="Times New Roman"/>
                <w:sz w:val="24"/>
                <w:szCs w:val="24"/>
                <w:lang w:val="bg-BG"/>
              </w:rPr>
              <w:t xml:space="preserve"> мерки, тяхното проследяване, оценка и докладване на изпълнението им, както и регулярна и активна комуникация със заинтересованите страни. Това изисква ясни и сериозни отговорности от държавите-членки, чрез установяване на ефективна структура за управление на мрежата Натура 2000.</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В България, съгласно Закона за биологичното разнообразие (ЗБР), отговорността за изграждането и поддържането на националната екологична мрежа (НЕМ-включваща защитени зони и защитени територии), както и координирането и контролирането на дейностите на заинтересованите страни (министерства, общини, научни и академични институти, собственици и ползватели на зами и др.) е на министъра на околната среда и водите. Той носи отговорността и за възлагане разработването на планове за управление на защитени зони, и за утвърждаването им.</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Министерство на околната среда и водите може да предоставя на неправителствените организации и други организации, и сдружения правото за организиране на природозащитни дейности в защитени зони. Министерство на земеделието и храните (МЗХ), Министерство на регионалното развитие и благоустройството (МРРБ) и другите държавни органи и техните поделения, както и общините, в сферата на тяхната компетентност, осъществяват дейности за опазване на биологичното разнообразие, за интегрирането му в планове, проекти, програми, политики и стратегии в съответния сектор. Контролът по спазването на изискванията за опазване на биологичното разнообразие, вкл. прилагането на плановете за управление, е възложен на дирекциите на националните паркове и на директорите на регионалните инспекции по околната среда и водите. Другите изброени по-горе ведомства осъществяват контрол върху дейностите, извършвани от заинтересованите страни в рамките на националната екологична мрежа и си сътрудничат.</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Понастоящем не e ясно разпределението на отговорностите между органите на централната и регионалните власти по отношение на мрежата Натура 2000, което води до неефективно управление на защитените зони. За да бъде преодоляна тази слабост бе необходимо да бъде избран национален подход, който да гарантира устойчивото управление на мрежата, чрез създаване на структура/и за управление. Структурата следва да бъде отговорна за: планиране, изпълнение (възлагане или пряко изпълнение) на мерки в защитените зони, координиране на заинтересованите страни и взаимодействие с тях, вкл. информиране и обучение, анализиране и докладване на състоянието на процесите в защитените зони от мрежата Натура 2000.</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lastRenderedPageBreak/>
              <w:t>Необходимостта от национално решение за създаване на структура за управление на Натура 2000 произтича и от фактори, като сравнително голямото покритие на мрежата –</w:t>
            </w:r>
            <w:r w:rsidR="0075721B" w:rsidRPr="00A35737">
              <w:rPr>
                <w:rFonts w:ascii="Times New Roman" w:eastAsia="Times New Roman" w:hAnsi="Times New Roman" w:cs="Times New Roman"/>
                <w:sz w:val="24"/>
                <w:szCs w:val="24"/>
                <w:lang w:val="bg-BG"/>
              </w:rPr>
              <w:t xml:space="preserve"> </w:t>
            </w:r>
            <w:r w:rsidR="0075721B">
              <w:rPr>
                <w:rFonts w:ascii="Times New Roman" w:eastAsia="Times New Roman" w:hAnsi="Times New Roman" w:cs="Times New Roman"/>
                <w:sz w:val="24"/>
                <w:szCs w:val="24"/>
                <w:lang w:val="bg-BG"/>
              </w:rPr>
              <w:t xml:space="preserve">около </w:t>
            </w:r>
            <w:r w:rsidRPr="00F821DA">
              <w:rPr>
                <w:rFonts w:ascii="Times New Roman" w:eastAsia="Times New Roman" w:hAnsi="Times New Roman" w:cs="Times New Roman"/>
                <w:sz w:val="24"/>
                <w:szCs w:val="24"/>
                <w:lang w:val="bg-BG"/>
              </w:rPr>
              <w:t>1/3 от територията на страната, голямата площ на повечето от защитените зони и разнообразната собственост на земите в тях и инвестиции, които биха оказали неблагоприятно въздействие върху дългосрочното опазване и съхраняване на местообитанията и видовете. Разпределението на отговорностите между органите на централната и регионалните власти по отношение на защитените зони, липсата на активн</w:t>
            </w:r>
            <w:r w:rsidR="009703B7">
              <w:rPr>
                <w:rFonts w:ascii="Times New Roman" w:eastAsia="Times New Roman" w:hAnsi="Times New Roman" w:cs="Times New Roman"/>
                <w:sz w:val="24"/>
                <w:szCs w:val="24"/>
                <w:lang w:val="bg-BG"/>
              </w:rPr>
              <w:t>о</w:t>
            </w:r>
            <w:r w:rsidRPr="00F821DA">
              <w:rPr>
                <w:rFonts w:ascii="Times New Roman" w:eastAsia="Times New Roman" w:hAnsi="Times New Roman" w:cs="Times New Roman"/>
                <w:sz w:val="24"/>
                <w:szCs w:val="24"/>
                <w:lang w:val="bg-BG"/>
              </w:rPr>
              <w:t xml:space="preserve"> управление, с изключение на тези, които се припокриват със защитени територии, са съществени фактори, които предполагат определяне на отговорна/и структура/и.</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Друга </w:t>
            </w:r>
            <w:proofErr w:type="spellStart"/>
            <w:r w:rsidRPr="00F821DA">
              <w:rPr>
                <w:rFonts w:ascii="Times New Roman" w:eastAsia="Times New Roman" w:hAnsi="Times New Roman" w:cs="Times New Roman"/>
                <w:sz w:val="24"/>
                <w:szCs w:val="24"/>
                <w:lang w:val="bg-BG"/>
              </w:rPr>
              <w:t>проактивна</w:t>
            </w:r>
            <w:proofErr w:type="spellEnd"/>
            <w:r w:rsidRPr="00F821DA">
              <w:rPr>
                <w:rFonts w:ascii="Times New Roman" w:eastAsia="Times New Roman" w:hAnsi="Times New Roman" w:cs="Times New Roman"/>
                <w:sz w:val="24"/>
                <w:szCs w:val="24"/>
                <w:lang w:val="bg-BG"/>
              </w:rPr>
              <w:t xml:space="preserve"> мярка за опазване на видовете и местообитанията от мрежата Натура 2000 е изготвянето на планове за управление. В плановете за управление се разписват подробно необходимите мерки за предотвратяване влошаването на условията в типовете местообитания и в местообитанията на видовете и действията за постигане на целите, включително необходимостта от поддържащи и/или възстановителни дейности. Съгласно чл. 117, т. 2 от ЗБР, директорите на регионалните инспекции по околната среда и водите и директорите на дирекции на националните паркове координират и контролират прилагането на плановете за управление.</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На европейско ниво плановете за управление се разработват съгласно различни подходи – един план за управление на национално ниво, за всяка защитена зона, за група от защитени зони или за определен сектор (горско стопанство, земеделие, и т.н.). Към настоящия момент в България се прилага подход за изготвяне на планове за управление на ниво индивидуална защитена зона или група от защитени зони. Опитът показва, че утвърждаването на план за управление е процес, който протича за сравнително дълъг период от време и не винаги утвърждаването му е възможно поради непостигнато съгласие между заинтересованите страни и други фактори. Също така не всички защитени зони са „атрактивни“ за изготвяне на планове за управление. С цел да се направи процесът по изготвяне, утвърждаване на планове за управление на защитени зони и активно изпълнение на мерки от плановете по-ефективен, бе необходимо да се предложи национален подход за изготвянето им.</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През 2014 г. бе разработена и одобрена </w:t>
            </w:r>
            <w:r w:rsidR="004332BB" w:rsidRPr="00F821DA">
              <w:rPr>
                <w:rFonts w:ascii="Times New Roman" w:eastAsia="Times New Roman" w:hAnsi="Times New Roman" w:cs="Times New Roman"/>
                <w:sz w:val="24"/>
                <w:szCs w:val="24"/>
                <w:lang w:val="bg-BG"/>
              </w:rPr>
              <w:t>Национална приоритетна рамка за действие по Натура 2000 (</w:t>
            </w:r>
            <w:r w:rsidRPr="00F821DA">
              <w:rPr>
                <w:rFonts w:ascii="Times New Roman" w:eastAsia="Times New Roman" w:hAnsi="Times New Roman" w:cs="Times New Roman"/>
                <w:sz w:val="24"/>
                <w:szCs w:val="24"/>
                <w:lang w:val="bg-BG"/>
              </w:rPr>
              <w:t>НПРД</w:t>
            </w:r>
            <w:r w:rsidR="004332BB" w:rsidRPr="00F821DA">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Рамката определи приоритетите за действие за мрежата Натура 2000 в България, както и необходимото финансиране за изпълнението им в размер на приблизително 1 584 636 583 евро. НПРД е националният документ, който има хоризонтален характер по отношение на мрежата Натура 2000. Документът посочва конкретни мерки за опазване и поддържане на видовете и местообитанията от мрежата Натура 2000 и потенциалните източници за финансирането им за периода 2014 – 2020 г. Интегрирането на мерките от НПРД в обхвата на програмите, </w:t>
            </w:r>
            <w:proofErr w:type="spellStart"/>
            <w:r w:rsidRPr="00F821DA">
              <w:rPr>
                <w:rFonts w:ascii="Times New Roman" w:eastAsia="Times New Roman" w:hAnsi="Times New Roman" w:cs="Times New Roman"/>
                <w:sz w:val="24"/>
                <w:szCs w:val="24"/>
                <w:lang w:val="bg-BG"/>
              </w:rPr>
              <w:t>съфинансирани</w:t>
            </w:r>
            <w:proofErr w:type="spellEnd"/>
            <w:r w:rsidRPr="00F821DA">
              <w:rPr>
                <w:rFonts w:ascii="Times New Roman" w:eastAsia="Times New Roman" w:hAnsi="Times New Roman" w:cs="Times New Roman"/>
                <w:sz w:val="24"/>
                <w:szCs w:val="24"/>
                <w:lang w:val="bg-BG"/>
              </w:rPr>
              <w:t xml:space="preserve"> от ЕСИФ за периода 2014 – 2020 г. приключи, въпреки, че липсата на изрични отговорности, ангажименти и капацитет затрудни процеса.</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Предвид разнообразието на мерките в НПРД, тяхната взаимозависимост и необходимостта от постигане на координирани и целенасочени действия между финансиращите организации с цел постигане на определено природозащитно състояние на видове и местообитания от мрежата Натура 2000, от изключително значение се явява приемането на управленски подход за НПРД на национално ниво и </w:t>
            </w:r>
            <w:proofErr w:type="spellStart"/>
            <w:r w:rsidRPr="00F821DA">
              <w:rPr>
                <w:rFonts w:ascii="Times New Roman" w:eastAsia="Times New Roman" w:hAnsi="Times New Roman" w:cs="Times New Roman"/>
                <w:sz w:val="24"/>
                <w:szCs w:val="24"/>
                <w:lang w:val="bg-BG"/>
              </w:rPr>
              <w:t>последващо</w:t>
            </w:r>
            <w:proofErr w:type="spellEnd"/>
            <w:r w:rsidRPr="00F821DA">
              <w:rPr>
                <w:rFonts w:ascii="Times New Roman" w:eastAsia="Times New Roman" w:hAnsi="Times New Roman" w:cs="Times New Roman"/>
                <w:sz w:val="24"/>
                <w:szCs w:val="24"/>
                <w:lang w:val="bg-BG"/>
              </w:rPr>
              <w:t xml:space="preserve"> определяне на отговорна структура. Към настоящия момент Министерство на околната среда и водите е отговорното ведомство по </w:t>
            </w:r>
            <w:r w:rsidRPr="00F821DA">
              <w:rPr>
                <w:rFonts w:ascii="Times New Roman" w:eastAsia="Times New Roman" w:hAnsi="Times New Roman" w:cs="Times New Roman"/>
                <w:sz w:val="24"/>
                <w:szCs w:val="24"/>
                <w:lang w:val="bg-BG"/>
              </w:rPr>
              <w:lastRenderedPageBreak/>
              <w:t xml:space="preserve">отношение на мрежата Натура 2000. Наличният административен капацитет на министерството, както и функционалните му отговорности не са достатъчни и не са свързани с координиране и проследяване изпълнението на НПРД. В тази връзка бе необходимо да се приеме национален подход за </w:t>
            </w:r>
            <w:r w:rsidR="00DB7C0A">
              <w:rPr>
                <w:rFonts w:ascii="Times New Roman" w:eastAsia="Times New Roman" w:hAnsi="Times New Roman" w:cs="Times New Roman"/>
                <w:sz w:val="24"/>
                <w:szCs w:val="24"/>
                <w:lang w:val="bg-BG"/>
              </w:rPr>
              <w:t xml:space="preserve">управлението </w:t>
            </w:r>
            <w:r w:rsidRPr="00F821DA">
              <w:rPr>
                <w:rFonts w:ascii="Times New Roman" w:eastAsia="Times New Roman" w:hAnsi="Times New Roman" w:cs="Times New Roman"/>
                <w:sz w:val="24"/>
                <w:szCs w:val="24"/>
                <w:lang w:val="bg-BG"/>
              </w:rPr>
              <w:t>на НПРД</w:t>
            </w:r>
            <w:r w:rsidR="00025654" w:rsidRPr="00A35737">
              <w:rPr>
                <w:rFonts w:ascii="Times New Roman" w:eastAsia="Times New Roman" w:hAnsi="Times New Roman" w:cs="Times New Roman"/>
                <w:sz w:val="24"/>
                <w:szCs w:val="24"/>
                <w:lang w:val="bg-BG"/>
              </w:rPr>
              <w:t xml:space="preserve"> </w:t>
            </w:r>
            <w:r w:rsidR="00025654">
              <w:rPr>
                <w:rFonts w:ascii="Times New Roman" w:eastAsia="Times New Roman" w:hAnsi="Times New Roman" w:cs="Times New Roman"/>
                <w:sz w:val="24"/>
                <w:szCs w:val="24"/>
                <w:lang w:val="bg-BG"/>
              </w:rPr>
              <w:t>и да бъде създаден орган за нейното управление вкл. и проследяване на напредъка по изпълнение на заложените в нея мерки</w:t>
            </w:r>
            <w:r w:rsidRPr="00F821DA">
              <w:rPr>
                <w:rFonts w:ascii="Times New Roman" w:eastAsia="Times New Roman" w:hAnsi="Times New Roman" w:cs="Times New Roman"/>
                <w:sz w:val="24"/>
                <w:szCs w:val="24"/>
                <w:lang w:val="bg-BG"/>
              </w:rPr>
              <w:t>.</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За да бъдат преодолени посочените по-горе проблеми и предизвикателства, през 2017 г. в България бе разработен и съгласуван нов подход за управление на мрежата Натура 2000 в България. Подходът предвижда изграждане на нови структури за управление на мрежата на национално и регионално ниво. Това включва създаването на нови органи, както следва:</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Национален орган за управление на мрежата Натура 2000;</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Национален консултативен съвет за Натура 2000, към министъра на околната среда и водите;</w:t>
            </w:r>
          </w:p>
          <w:p w:rsidR="00EA150F" w:rsidRPr="00F821DA" w:rsidRDefault="00EA150F" w:rsidP="00101EC1">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Органи за управление на мрежата Натура 2000 на </w:t>
            </w:r>
            <w:r w:rsidR="00101EC1" w:rsidRPr="00101EC1">
              <w:rPr>
                <w:rFonts w:ascii="Times New Roman" w:eastAsia="Times New Roman" w:hAnsi="Times New Roman" w:cs="Times New Roman"/>
                <w:sz w:val="24"/>
                <w:szCs w:val="24"/>
                <w:lang w:val="bg-BG"/>
              </w:rPr>
              <w:t xml:space="preserve">регионално </w:t>
            </w:r>
            <w:r w:rsidRPr="00F821DA">
              <w:rPr>
                <w:rFonts w:ascii="Times New Roman" w:eastAsia="Times New Roman" w:hAnsi="Times New Roman" w:cs="Times New Roman"/>
                <w:sz w:val="24"/>
                <w:szCs w:val="24"/>
                <w:lang w:val="bg-BG"/>
              </w:rPr>
              <w:t>ниво;</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Комитети на заинтересованите страни към Органите за управление на мрежата Натура 2000 на регионално ниво.</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Създаването на тези органи и техните функции следва да бъде нормативно уредено.</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В допълнение, съгласно новия подход за управление на мрежата Натура 2000, се въвежда задължението за разработване на Национална приоритетна рамка за действие и </w:t>
            </w:r>
            <w:r w:rsidR="00555BA2">
              <w:rPr>
                <w:rFonts w:ascii="Times New Roman" w:eastAsia="Times New Roman" w:hAnsi="Times New Roman" w:cs="Times New Roman"/>
                <w:sz w:val="24"/>
                <w:szCs w:val="24"/>
                <w:lang w:val="bg-BG"/>
              </w:rPr>
              <w:t>териториални</w:t>
            </w:r>
            <w:r w:rsidR="00101EC1" w:rsidRPr="00101EC1">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планове за управление на мрежата, което също следва да бъде нормативно уредено.</w:t>
            </w:r>
          </w:p>
          <w:p w:rsidR="00EA150F" w:rsidRPr="00F821DA" w:rsidRDefault="00EA150F"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Прилагането на подхода е съпътствано и с промяна във функциите на Националния съвет за биологично разнообразие </w:t>
            </w:r>
            <w:r w:rsidRPr="00BA26B5">
              <w:rPr>
                <w:rFonts w:ascii="Times New Roman" w:eastAsia="Times New Roman" w:hAnsi="Times New Roman" w:cs="Times New Roman"/>
                <w:sz w:val="24"/>
                <w:szCs w:val="24"/>
                <w:lang w:val="bg-BG"/>
              </w:rPr>
              <w:t>и РИОСВ</w:t>
            </w:r>
            <w:r w:rsidRPr="00F821DA">
              <w:rPr>
                <w:rFonts w:ascii="Times New Roman" w:eastAsia="Times New Roman" w:hAnsi="Times New Roman" w:cs="Times New Roman"/>
                <w:sz w:val="24"/>
                <w:szCs w:val="24"/>
                <w:lang w:val="bg-BG"/>
              </w:rPr>
              <w:t xml:space="preserve">. Създава се и задължение за предаване в МОСВ на първични данни и информация, за местообитанията и видовете, което да допринесе за подобряване на процеса на управление на Натура 2000 в България. </w:t>
            </w:r>
          </w:p>
          <w:p w:rsidR="009E7B9C" w:rsidRPr="00A35737" w:rsidRDefault="00EA150F" w:rsidP="00F821DA">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Посочените нови моменти в управлението на мрежата Натура 2000 следва да бъдат отразени в ЗБР. В противен случай не е възможно новият подход за управление на мрежата Натура 2000 да бъде приложен, а от там не би могло ефективно да се изпълнят изискванията на Директива за местообитанията. </w:t>
            </w:r>
          </w:p>
          <w:p w:rsidR="00E81FC2" w:rsidRPr="00F821DA" w:rsidRDefault="00E81FC2" w:rsidP="00F821DA">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Освен с проблематиката в управлението на НАТУРА 2000 законът </w:t>
            </w:r>
            <w:r w:rsidR="00E00776" w:rsidRPr="00F821DA">
              <w:rPr>
                <w:rFonts w:ascii="Times New Roman" w:eastAsia="Times New Roman" w:hAnsi="Times New Roman" w:cs="Times New Roman"/>
                <w:sz w:val="24"/>
                <w:szCs w:val="24"/>
                <w:lang w:val="bg-BG"/>
              </w:rPr>
              <w:t>прилага и процедури по контрол, опазване и ползване на биологичното разнообразие. Към настоящия момент законът определя компетентните органи за достъп до генетични ресурси</w:t>
            </w:r>
            <w:r w:rsidR="00155D66">
              <w:rPr>
                <w:rFonts w:ascii="Times New Roman" w:eastAsia="Times New Roman" w:hAnsi="Times New Roman" w:cs="Times New Roman"/>
                <w:sz w:val="24"/>
                <w:szCs w:val="24"/>
                <w:lang w:val="bg-BG"/>
              </w:rPr>
              <w:t>, но е необходимо да отпаднат задълженията на м</w:t>
            </w:r>
            <w:r w:rsidR="00155D66" w:rsidRPr="00155D66">
              <w:rPr>
                <w:rFonts w:ascii="Times New Roman" w:eastAsia="Times New Roman" w:hAnsi="Times New Roman" w:cs="Times New Roman"/>
                <w:sz w:val="24"/>
                <w:szCs w:val="24"/>
                <w:lang w:val="bg-BG"/>
              </w:rPr>
              <w:t>инистъра на икономиката за даване на съгласие за достъп до генетични ресурси от промишлени микроорганизми, вируси и клетъчни култури, както и задълженията му за контрол върху ползвателите на генетични ресурси от промишлени микроорганизми, вируси и клетъчни кул</w:t>
            </w:r>
            <w:r w:rsidR="00155D66">
              <w:rPr>
                <w:rFonts w:ascii="Times New Roman" w:eastAsia="Times New Roman" w:hAnsi="Times New Roman" w:cs="Times New Roman"/>
                <w:sz w:val="24"/>
                <w:szCs w:val="24"/>
                <w:lang w:val="bg-BG"/>
              </w:rPr>
              <w:t>тури на територията на страната,</w:t>
            </w:r>
            <w:r w:rsidR="00155D66" w:rsidRPr="00155D66">
              <w:rPr>
                <w:rFonts w:ascii="Times New Roman" w:eastAsia="Times New Roman" w:hAnsi="Times New Roman" w:cs="Times New Roman"/>
                <w:sz w:val="24"/>
                <w:szCs w:val="24"/>
                <w:lang w:val="bg-BG"/>
              </w:rPr>
              <w:t xml:space="preserve"> </w:t>
            </w:r>
            <w:r w:rsidR="00155D66">
              <w:rPr>
                <w:rFonts w:ascii="Times New Roman" w:eastAsia="Times New Roman" w:hAnsi="Times New Roman" w:cs="Times New Roman"/>
                <w:sz w:val="24"/>
                <w:szCs w:val="24"/>
                <w:lang w:val="bg-BG"/>
              </w:rPr>
              <w:t>тъй като министерство на икономиката не разполага с необходимия капацитет. Т</w:t>
            </w:r>
            <w:r w:rsidR="00155D66" w:rsidRPr="00155D66">
              <w:rPr>
                <w:rFonts w:ascii="Times New Roman" w:eastAsia="Times New Roman" w:hAnsi="Times New Roman" w:cs="Times New Roman"/>
                <w:sz w:val="24"/>
                <w:szCs w:val="24"/>
                <w:lang w:val="bg-BG"/>
              </w:rPr>
              <w:t xml:space="preserve">ези задължения ще се изпълняват от министъра на околната среда и водите в рамките на неговата обща компетентност по </w:t>
            </w:r>
            <w:r w:rsidR="00155D66">
              <w:rPr>
                <w:rFonts w:ascii="Times New Roman" w:eastAsia="Times New Roman" w:hAnsi="Times New Roman" w:cs="Times New Roman"/>
                <w:sz w:val="24"/>
                <w:szCs w:val="24"/>
                <w:lang w:val="bg-BG"/>
              </w:rPr>
              <w:t>прилагане на Протокола от Нагоя</w:t>
            </w:r>
            <w:r w:rsidRPr="00F821DA">
              <w:rPr>
                <w:rFonts w:ascii="Times New Roman" w:eastAsia="Times New Roman" w:hAnsi="Times New Roman" w:cs="Times New Roman"/>
                <w:sz w:val="24"/>
                <w:szCs w:val="24"/>
                <w:lang w:val="bg-BG"/>
              </w:rPr>
              <w:t>.</w:t>
            </w:r>
          </w:p>
          <w:p w:rsidR="00E00776" w:rsidRPr="00F821DA" w:rsidRDefault="00E00776" w:rsidP="00F821DA">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p>
          <w:p w:rsidR="00F96DB9" w:rsidRPr="00F821DA" w:rsidRDefault="00F96DB9" w:rsidP="00F821DA">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i/>
                <w:iCs/>
                <w:color w:val="000000"/>
                <w:sz w:val="24"/>
                <w:szCs w:val="24"/>
                <w:lang w:val="bg-BG"/>
              </w:rPr>
              <w:t xml:space="preserve">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w:t>
            </w:r>
            <w:r w:rsidRPr="00F821DA">
              <w:rPr>
                <w:rFonts w:ascii="Times New Roman" w:eastAsia="Times New Roman" w:hAnsi="Times New Roman" w:cs="Times New Roman"/>
                <w:i/>
                <w:iCs/>
                <w:color w:val="000000"/>
                <w:sz w:val="24"/>
                <w:szCs w:val="24"/>
                <w:lang w:val="bg-BG"/>
              </w:rPr>
              <w:lastRenderedPageBreak/>
              <w:t>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590937" w:rsidRPr="00F821DA" w:rsidRDefault="009511A9" w:rsidP="00F821DA">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F821DA">
              <w:rPr>
                <w:rFonts w:ascii="Times New Roman" w:eastAsia="Times New Roman" w:hAnsi="Times New Roman" w:cs="Times New Roman"/>
                <w:iCs/>
                <w:color w:val="000000"/>
                <w:sz w:val="24"/>
                <w:szCs w:val="24"/>
                <w:lang w:val="bg-BG"/>
              </w:rPr>
              <w:t xml:space="preserve">Предвид факта, че </w:t>
            </w:r>
            <w:r w:rsidR="00EA150F" w:rsidRPr="00F821DA">
              <w:rPr>
                <w:rFonts w:ascii="Times New Roman" w:eastAsia="Times New Roman" w:hAnsi="Times New Roman" w:cs="Times New Roman"/>
                <w:iCs/>
                <w:color w:val="000000"/>
                <w:sz w:val="24"/>
                <w:szCs w:val="24"/>
                <w:lang w:val="bg-BG"/>
              </w:rPr>
              <w:t xml:space="preserve">прилагането на новия подход за управление на мрежата Натура 2000 изисква изпълнението на нови функции от </w:t>
            </w:r>
            <w:r w:rsidR="00101EC1">
              <w:rPr>
                <w:rFonts w:ascii="Times New Roman" w:eastAsia="Times New Roman" w:hAnsi="Times New Roman" w:cs="Times New Roman"/>
                <w:iCs/>
                <w:color w:val="000000"/>
                <w:sz w:val="24"/>
                <w:szCs w:val="24"/>
                <w:lang w:val="bg-BG"/>
              </w:rPr>
              <w:t>Регионалните инспекции по околната среда и водите</w:t>
            </w:r>
            <w:r w:rsidRPr="00F821DA">
              <w:rPr>
                <w:rFonts w:ascii="Times New Roman" w:eastAsia="Times New Roman" w:hAnsi="Times New Roman" w:cs="Times New Roman"/>
                <w:iCs/>
                <w:color w:val="000000"/>
                <w:sz w:val="24"/>
                <w:szCs w:val="24"/>
                <w:lang w:val="bg-BG"/>
              </w:rPr>
              <w:t>, ко</w:t>
            </w:r>
            <w:r w:rsidR="00EA150F" w:rsidRPr="00F821DA">
              <w:rPr>
                <w:rFonts w:ascii="Times New Roman" w:eastAsia="Times New Roman" w:hAnsi="Times New Roman" w:cs="Times New Roman"/>
                <w:iCs/>
                <w:color w:val="000000"/>
                <w:sz w:val="24"/>
                <w:szCs w:val="24"/>
                <w:lang w:val="bg-BG"/>
              </w:rPr>
              <w:t>и</w:t>
            </w:r>
            <w:r w:rsidRPr="00F821DA">
              <w:rPr>
                <w:rFonts w:ascii="Times New Roman" w:eastAsia="Times New Roman" w:hAnsi="Times New Roman" w:cs="Times New Roman"/>
                <w:iCs/>
                <w:color w:val="000000"/>
                <w:sz w:val="24"/>
                <w:szCs w:val="24"/>
                <w:lang w:val="bg-BG"/>
              </w:rPr>
              <w:t xml:space="preserve">то до настоящия момент не </w:t>
            </w:r>
            <w:r w:rsidR="00EA150F" w:rsidRPr="00F821DA">
              <w:rPr>
                <w:rFonts w:ascii="Times New Roman" w:eastAsia="Times New Roman" w:hAnsi="Times New Roman" w:cs="Times New Roman"/>
                <w:iCs/>
                <w:color w:val="000000"/>
                <w:sz w:val="24"/>
                <w:szCs w:val="24"/>
                <w:lang w:val="bg-BG"/>
              </w:rPr>
              <w:t>са</w:t>
            </w:r>
            <w:r w:rsidRPr="00F821DA">
              <w:rPr>
                <w:rFonts w:ascii="Times New Roman" w:eastAsia="Times New Roman" w:hAnsi="Times New Roman" w:cs="Times New Roman"/>
                <w:iCs/>
                <w:color w:val="000000"/>
                <w:sz w:val="24"/>
                <w:szCs w:val="24"/>
                <w:lang w:val="bg-BG"/>
              </w:rPr>
              <w:t xml:space="preserve"> бил</w:t>
            </w:r>
            <w:r w:rsidR="00EA150F" w:rsidRPr="00F821DA">
              <w:rPr>
                <w:rFonts w:ascii="Times New Roman" w:eastAsia="Times New Roman" w:hAnsi="Times New Roman" w:cs="Times New Roman"/>
                <w:iCs/>
                <w:color w:val="000000"/>
                <w:sz w:val="24"/>
                <w:szCs w:val="24"/>
                <w:lang w:val="bg-BG"/>
              </w:rPr>
              <w:t>и</w:t>
            </w:r>
            <w:r w:rsidRPr="00F821DA">
              <w:rPr>
                <w:rFonts w:ascii="Times New Roman" w:eastAsia="Times New Roman" w:hAnsi="Times New Roman" w:cs="Times New Roman"/>
                <w:iCs/>
                <w:color w:val="000000"/>
                <w:sz w:val="24"/>
                <w:szCs w:val="24"/>
                <w:lang w:val="bg-BG"/>
              </w:rPr>
              <w:t xml:space="preserve"> вменен</w:t>
            </w:r>
            <w:r w:rsidR="00EA150F" w:rsidRPr="00F821DA">
              <w:rPr>
                <w:rFonts w:ascii="Times New Roman" w:eastAsia="Times New Roman" w:hAnsi="Times New Roman" w:cs="Times New Roman"/>
                <w:iCs/>
                <w:color w:val="000000"/>
                <w:sz w:val="24"/>
                <w:szCs w:val="24"/>
                <w:lang w:val="bg-BG"/>
              </w:rPr>
              <w:t>и</w:t>
            </w:r>
            <w:r w:rsidRPr="00F821DA">
              <w:rPr>
                <w:rFonts w:ascii="Times New Roman" w:eastAsia="Times New Roman" w:hAnsi="Times New Roman" w:cs="Times New Roman"/>
                <w:iCs/>
                <w:color w:val="000000"/>
                <w:sz w:val="24"/>
                <w:szCs w:val="24"/>
                <w:lang w:val="bg-BG"/>
              </w:rPr>
              <w:t>, като функция</w:t>
            </w:r>
            <w:r w:rsidR="00610E99" w:rsidRPr="00F821DA">
              <w:rPr>
                <w:rFonts w:ascii="Times New Roman" w:eastAsia="Times New Roman" w:hAnsi="Times New Roman" w:cs="Times New Roman"/>
                <w:iCs/>
                <w:color w:val="000000"/>
                <w:sz w:val="24"/>
                <w:szCs w:val="24"/>
                <w:lang w:val="bg-BG"/>
              </w:rPr>
              <w:t>,</w:t>
            </w:r>
            <w:r w:rsidRPr="00F821DA">
              <w:rPr>
                <w:rFonts w:ascii="Times New Roman" w:eastAsia="Times New Roman" w:hAnsi="Times New Roman" w:cs="Times New Roman"/>
                <w:iCs/>
                <w:color w:val="000000"/>
                <w:sz w:val="24"/>
                <w:szCs w:val="24"/>
                <w:lang w:val="bg-BG"/>
              </w:rPr>
              <w:t xml:space="preserve"> на която и да е администрация, н</w:t>
            </w:r>
            <w:r w:rsidR="00803719" w:rsidRPr="00F821DA">
              <w:rPr>
                <w:rFonts w:ascii="Times New Roman" w:eastAsia="Times New Roman" w:hAnsi="Times New Roman" w:cs="Times New Roman"/>
                <w:iCs/>
                <w:color w:val="000000"/>
                <w:sz w:val="24"/>
                <w:szCs w:val="24"/>
                <w:lang w:val="bg-BG"/>
              </w:rPr>
              <w:t xml:space="preserve">е е възможно идентифицираният проблем да бъде решен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 За да се осигури необходимата функционалност, </w:t>
            </w:r>
            <w:r w:rsidRPr="00F821DA">
              <w:rPr>
                <w:rFonts w:ascii="Times New Roman" w:eastAsia="Times New Roman" w:hAnsi="Times New Roman" w:cs="Times New Roman"/>
                <w:iCs/>
                <w:color w:val="000000"/>
                <w:sz w:val="24"/>
                <w:szCs w:val="24"/>
                <w:lang w:val="bg-BG"/>
              </w:rPr>
              <w:t>следва да се извърши</w:t>
            </w:r>
            <w:r w:rsidR="00803719" w:rsidRPr="00F821DA">
              <w:rPr>
                <w:rFonts w:ascii="Times New Roman" w:eastAsia="Times New Roman" w:hAnsi="Times New Roman" w:cs="Times New Roman"/>
                <w:iCs/>
                <w:color w:val="000000"/>
                <w:sz w:val="24"/>
                <w:szCs w:val="24"/>
                <w:lang w:val="bg-BG"/>
              </w:rPr>
              <w:t xml:space="preserve"> промяна в </w:t>
            </w:r>
            <w:r w:rsidR="00EA150F" w:rsidRPr="00F821DA">
              <w:rPr>
                <w:rFonts w:ascii="Times New Roman" w:eastAsia="Times New Roman" w:hAnsi="Times New Roman" w:cs="Times New Roman"/>
                <w:iCs/>
                <w:color w:val="000000"/>
                <w:sz w:val="24"/>
                <w:szCs w:val="24"/>
                <w:lang w:val="bg-BG"/>
              </w:rPr>
              <w:t>Закона за биологичното разнообразие</w:t>
            </w:r>
            <w:r w:rsidR="00803719" w:rsidRPr="00F821DA">
              <w:rPr>
                <w:rFonts w:ascii="Times New Roman" w:eastAsia="Times New Roman" w:hAnsi="Times New Roman" w:cs="Times New Roman"/>
                <w:iCs/>
                <w:color w:val="000000"/>
                <w:sz w:val="24"/>
                <w:szCs w:val="24"/>
                <w:lang w:val="bg-BG"/>
              </w:rPr>
              <w:t>, както следва:</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Въвеждане на задължение за предаване в МОСВ, на набрани първични данни и информация за местообитания и видове, обект на специална регулация по ЗБР - В рамките на различни проекти и разработки се набират първични данни за местообитанията и видовете, обект на специална регулация по ЗБР. В много от случаите тези данни не са известни на МОСВ, като компетентен орган по околна среда. В тази връзка е от изключителна важност МОСВ да разполага с тези данни, за да може да прилага политиката по управление и опазване на тези целеви обекти, по ефективен и ефикасен начин;</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Въвеждане на допълнение към целите на Националната екологична мрежа, за съвместяване на </w:t>
            </w:r>
            <w:proofErr w:type="spellStart"/>
            <w:r w:rsidRPr="00F821DA">
              <w:rPr>
                <w:rFonts w:ascii="Times New Roman" w:eastAsia="Times New Roman" w:hAnsi="Times New Roman" w:cs="Times New Roman"/>
                <w:sz w:val="24"/>
                <w:szCs w:val="24"/>
                <w:lang w:val="bg-BG"/>
              </w:rPr>
              <w:t>консервационните</w:t>
            </w:r>
            <w:proofErr w:type="spellEnd"/>
            <w:r w:rsidRPr="00F821DA">
              <w:rPr>
                <w:rFonts w:ascii="Times New Roman" w:eastAsia="Times New Roman" w:hAnsi="Times New Roman" w:cs="Times New Roman"/>
                <w:sz w:val="24"/>
                <w:szCs w:val="24"/>
                <w:lang w:val="bg-BG"/>
              </w:rPr>
              <w:t xml:space="preserve"> цели, с целите за устойчиво развитие - Въвеждане на политиката на ЕК, за връзката между целите на мрежата Натура 2000 и устойчивото развитие на регионите. Това не противоречи и на предназначението и целите на защитените територии по Закона за защитените територии, като част от Националната екологична мрежа;</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Прецизиране на предназначението на защитените зони от мрежата Натура 2000 – съгласно изискванията на Директива за местообитанията и Директива за птиците;</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Прецизиране на номерът на Директивата за птиците - Директива 2009/147/ЕО на Европейския парламент и Съвета относно опазването на дивите птици (ОВ L 20/7 от 26 януари 2010 г.);</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Регламентиране на ролята на Национален консултативен съвет за Натура 2000, към министъра на околната среда и водите, при обявяване и промени в защитените зони, като това задължение отпада от задълженията на Националния съвет по биологично разнообразие - Във връзка със създаването на Национален  консултативен съвет за мрежата НАТУРА 2000, функцията за разглеждане на документации за определяне и промени на защитени зони преминава от НСБР в специализирания нов съвет;</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Въвежда се задължението за разработване </w:t>
            </w:r>
            <w:r w:rsidR="00BA26B5">
              <w:rPr>
                <w:rFonts w:ascii="Times New Roman" w:eastAsia="Times New Roman" w:hAnsi="Times New Roman" w:cs="Times New Roman"/>
                <w:sz w:val="24"/>
                <w:szCs w:val="24"/>
                <w:lang w:val="bg-BG"/>
              </w:rPr>
              <w:t xml:space="preserve">и управление </w:t>
            </w:r>
            <w:r w:rsidRPr="00F821DA">
              <w:rPr>
                <w:rFonts w:ascii="Times New Roman" w:eastAsia="Times New Roman" w:hAnsi="Times New Roman" w:cs="Times New Roman"/>
                <w:sz w:val="24"/>
                <w:szCs w:val="24"/>
                <w:lang w:val="bg-BG"/>
              </w:rPr>
              <w:t xml:space="preserve">на Национална приоритетна рамка за действие за Натура 2000, съгл. изискванията на чл. 8 от Директива за местообитанията - Вменява се задължението за разработването </w:t>
            </w:r>
            <w:r w:rsidR="00BA26B5">
              <w:rPr>
                <w:rFonts w:ascii="Times New Roman" w:eastAsia="Times New Roman" w:hAnsi="Times New Roman" w:cs="Times New Roman"/>
                <w:sz w:val="24"/>
                <w:szCs w:val="24"/>
                <w:lang w:val="bg-BG"/>
              </w:rPr>
              <w:t xml:space="preserve">и управление </w:t>
            </w:r>
            <w:r w:rsidRPr="00F821DA">
              <w:rPr>
                <w:rFonts w:ascii="Times New Roman" w:eastAsia="Times New Roman" w:hAnsi="Times New Roman" w:cs="Times New Roman"/>
                <w:sz w:val="24"/>
                <w:szCs w:val="24"/>
                <w:lang w:val="bg-BG"/>
              </w:rPr>
              <w:t>на Национална приоритетна рамка за действие за Натура 2000, която трябва да бъде одобрена от Министерския съвет, с което се съобразяват изискванията на Европейската комисия;</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Премахване на императивното задължение в заповедите за обявяване на защитените </w:t>
            </w:r>
            <w:r w:rsidRPr="00F821DA">
              <w:rPr>
                <w:rFonts w:ascii="Times New Roman" w:eastAsia="Times New Roman" w:hAnsi="Times New Roman" w:cs="Times New Roman"/>
                <w:sz w:val="24"/>
                <w:szCs w:val="24"/>
                <w:lang w:val="bg-BG"/>
              </w:rPr>
              <w:lastRenderedPageBreak/>
              <w:t>зони от мрежата Натура 2000, да има забрани и ограничения. Забрани и ограничения ще бъдат включвани само по необходимост и по преценка на министъра на околната среда и водите - Директивата за Местообитанията не изисква от държавите членки въвеждането на забрани за дейности в защитените зони.  Практиката показва, че подобна политика по-скоро създава негативно отно</w:t>
            </w:r>
            <w:r w:rsidR="0075721B">
              <w:rPr>
                <w:rFonts w:ascii="Times New Roman" w:eastAsia="Times New Roman" w:hAnsi="Times New Roman" w:cs="Times New Roman"/>
                <w:sz w:val="24"/>
                <w:szCs w:val="24"/>
                <w:lang w:val="bg-BG"/>
              </w:rPr>
              <w:t>шение в заинтересованите страни</w:t>
            </w:r>
            <w:r w:rsidRPr="00F821DA">
              <w:rPr>
                <w:rFonts w:ascii="Times New Roman" w:eastAsia="Times New Roman" w:hAnsi="Times New Roman" w:cs="Times New Roman"/>
                <w:sz w:val="24"/>
                <w:szCs w:val="24"/>
                <w:lang w:val="bg-BG"/>
              </w:rPr>
              <w:t xml:space="preserve"> към </w:t>
            </w:r>
            <w:proofErr w:type="spellStart"/>
            <w:r w:rsidRPr="00F821DA">
              <w:rPr>
                <w:rFonts w:ascii="Times New Roman" w:eastAsia="Times New Roman" w:hAnsi="Times New Roman" w:cs="Times New Roman"/>
                <w:sz w:val="24"/>
                <w:szCs w:val="24"/>
                <w:lang w:val="bg-BG"/>
              </w:rPr>
              <w:t>природоз</w:t>
            </w:r>
            <w:r w:rsidR="0075721B">
              <w:rPr>
                <w:rFonts w:ascii="Times New Roman" w:eastAsia="Times New Roman" w:hAnsi="Times New Roman" w:cs="Times New Roman"/>
                <w:sz w:val="24"/>
                <w:szCs w:val="24"/>
                <w:lang w:val="bg-BG"/>
              </w:rPr>
              <w:t>ащитата</w:t>
            </w:r>
            <w:proofErr w:type="spellEnd"/>
            <w:r w:rsidR="0075721B">
              <w:rPr>
                <w:rFonts w:ascii="Times New Roman" w:eastAsia="Times New Roman" w:hAnsi="Times New Roman" w:cs="Times New Roman"/>
                <w:sz w:val="24"/>
                <w:szCs w:val="24"/>
                <w:lang w:val="bg-BG"/>
              </w:rPr>
              <w:t>. В други държави-</w:t>
            </w:r>
            <w:r w:rsidRPr="00F821DA">
              <w:rPr>
                <w:rFonts w:ascii="Times New Roman" w:eastAsia="Times New Roman" w:hAnsi="Times New Roman" w:cs="Times New Roman"/>
                <w:sz w:val="24"/>
                <w:szCs w:val="24"/>
                <w:lang w:val="bg-BG"/>
              </w:rPr>
              <w:t>членки на ЕС този подход не се прилага. С промяната, задължението за включване на забрани се заменя с възможност за въвеждане на забрани и ограничения, по изключение и по преценка на компетентния орган;</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Прецизиране на процедурите относно промените в защитените зони – Предлага се промяна по</w:t>
            </w:r>
            <w:r w:rsidR="005E7AD8">
              <w:rPr>
                <w:rFonts w:ascii="Times New Roman" w:eastAsia="Times New Roman" w:hAnsi="Times New Roman" w:cs="Times New Roman"/>
                <w:sz w:val="24"/>
                <w:szCs w:val="24"/>
                <w:lang w:val="bg-BG"/>
              </w:rPr>
              <w:t xml:space="preserve"> чл. 16,</w:t>
            </w:r>
            <w:r w:rsidRPr="00F821DA">
              <w:rPr>
                <w:rFonts w:ascii="Times New Roman" w:eastAsia="Times New Roman" w:hAnsi="Times New Roman" w:cs="Times New Roman"/>
                <w:sz w:val="24"/>
                <w:szCs w:val="24"/>
                <w:lang w:val="bg-BG"/>
              </w:rPr>
              <w:t xml:space="preserve"> ал. 1, т. 5 да се извършва само при констатиране на грешки, както и при наличие на нови научни данни, установени след обявяване на защитена зона по чл. 12, и да се извършва след отразяването им в стандартния формуляр </w:t>
            </w:r>
            <w:r w:rsidR="007A53A0">
              <w:rPr>
                <w:rFonts w:ascii="Times New Roman" w:eastAsia="Times New Roman" w:hAnsi="Times New Roman" w:cs="Times New Roman"/>
                <w:sz w:val="24"/>
                <w:szCs w:val="24"/>
                <w:lang w:val="bg-BG"/>
              </w:rPr>
              <w:t>за съответната защитена зона</w:t>
            </w:r>
            <w:r w:rsidRPr="00F821DA">
              <w:rPr>
                <w:rFonts w:ascii="Times New Roman" w:eastAsia="Times New Roman" w:hAnsi="Times New Roman" w:cs="Times New Roman"/>
                <w:sz w:val="24"/>
                <w:szCs w:val="24"/>
                <w:lang w:val="bg-BG"/>
              </w:rPr>
              <w:t>. Тази промяна кореспондира с изискванията на Директива за местообитанията;</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Въвеждане на задължение за разработване на </w:t>
            </w:r>
            <w:r w:rsidR="00555BA2">
              <w:rPr>
                <w:rFonts w:ascii="Times New Roman" w:eastAsia="Times New Roman" w:hAnsi="Times New Roman" w:cs="Times New Roman"/>
                <w:sz w:val="24"/>
                <w:szCs w:val="24"/>
                <w:lang w:val="bg-BG"/>
              </w:rPr>
              <w:t>териториални</w:t>
            </w:r>
            <w:r w:rsidR="00D649DC"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планове за управление на Натура 2000 – Съгласно новият подход за управление на мрежата Натура 2000 в България, се въвежда задължително разработване на планове за управление на </w:t>
            </w:r>
            <w:r w:rsidR="00D649DC">
              <w:rPr>
                <w:rFonts w:ascii="Times New Roman" w:eastAsia="Times New Roman" w:hAnsi="Times New Roman" w:cs="Times New Roman"/>
                <w:sz w:val="24"/>
                <w:szCs w:val="24"/>
                <w:lang w:val="bg-BG"/>
              </w:rPr>
              <w:t>регионално</w:t>
            </w:r>
            <w:r w:rsidR="00D649DC"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ниво; </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Промяна в периода на действие на плановете за управление, от 5 на 6 години – промяната в периода цели уеднаквяване на срока на действие на плана, с този на програмирането на средствата от ЕС, тъй като основната част от финансирането се очаква да </w:t>
            </w:r>
            <w:r w:rsidR="00D649DC">
              <w:rPr>
                <w:rFonts w:ascii="Times New Roman" w:eastAsia="Times New Roman" w:hAnsi="Times New Roman" w:cs="Times New Roman"/>
                <w:sz w:val="24"/>
                <w:szCs w:val="24"/>
                <w:lang w:val="bg-BG"/>
              </w:rPr>
              <w:t>бъде осигурено</w:t>
            </w:r>
            <w:r w:rsidR="00D649DC"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от Европейските </w:t>
            </w:r>
            <w:r w:rsidR="00555BA2">
              <w:rPr>
                <w:rFonts w:ascii="Times New Roman" w:eastAsia="Times New Roman" w:hAnsi="Times New Roman" w:cs="Times New Roman"/>
                <w:sz w:val="24"/>
                <w:szCs w:val="24"/>
                <w:lang w:val="bg-BG"/>
              </w:rPr>
              <w:t xml:space="preserve">структурни и инвестиционни </w:t>
            </w:r>
            <w:r w:rsidRPr="00F821DA">
              <w:rPr>
                <w:rFonts w:ascii="Times New Roman" w:eastAsia="Times New Roman" w:hAnsi="Times New Roman" w:cs="Times New Roman"/>
                <w:sz w:val="24"/>
                <w:szCs w:val="24"/>
                <w:lang w:val="bg-BG"/>
              </w:rPr>
              <w:t>фондове. В допълнение, това е и срокът на действие на Националната приоритетна рамка за действие за Натура 2000, в която трябва да бъдат включени всички мерки от плановете, 6 годишен е и периодът на докладване по чл. 17 на Директива за местообитанията, и по чл. 12 на Директива за птиците;</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Прецизиране на съдържанието на мерките в </w:t>
            </w:r>
            <w:r w:rsidR="0090731F">
              <w:rPr>
                <w:rFonts w:ascii="Times New Roman" w:eastAsia="Times New Roman" w:hAnsi="Times New Roman" w:cs="Times New Roman"/>
                <w:sz w:val="24"/>
                <w:szCs w:val="24"/>
                <w:lang w:val="bg-BG"/>
              </w:rPr>
              <w:t>териториалните</w:t>
            </w:r>
            <w:r w:rsidR="00D649DC"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планове за управление - По пълно и ясно въвеждане на чл. 2, т. 3 от Директивата за местообитанията. „чл. 2, т. 3. Мерките, взети в изпълнение на настоящата директива, вземат под внимание икономическите, социалните и културните изисквания, както и регионалните и местните особености“; </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Регламентиране на функциите на МОСВ, като Национален орган за управление на мрежата Натура 2000 - съгласно новият подход за управление на мрежата Натура 2000 в България, се определят функциите на МОСВ, като Национален орган за управление на мрежата Натура 2000; </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Регламентиране на създаването на Национален консултативен съвет за Натура 2000, към министъра на околната среда и водите - съгласно новият подход за управление на мрежата Натура 2000 в България, се създава Национален консултативен съвет за Натура 2000, към министъра на околната среда и водите;</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Регламентиране на функциите на </w:t>
            </w:r>
            <w:r w:rsidR="00DF26B2">
              <w:rPr>
                <w:rFonts w:ascii="Times New Roman" w:eastAsia="Times New Roman" w:hAnsi="Times New Roman" w:cs="Times New Roman"/>
                <w:sz w:val="24"/>
                <w:szCs w:val="24"/>
                <w:lang w:val="bg-BG"/>
              </w:rPr>
              <w:t>РИОСВ</w:t>
            </w:r>
            <w:r w:rsidRPr="00F821DA">
              <w:rPr>
                <w:rFonts w:ascii="Times New Roman" w:eastAsia="Times New Roman" w:hAnsi="Times New Roman" w:cs="Times New Roman"/>
                <w:sz w:val="24"/>
                <w:szCs w:val="24"/>
                <w:lang w:val="bg-BG"/>
              </w:rPr>
              <w:t xml:space="preserve">, като органи за управление на Натура 2000 на </w:t>
            </w:r>
            <w:r w:rsidR="00DF26B2">
              <w:rPr>
                <w:rFonts w:ascii="Times New Roman" w:eastAsia="Times New Roman" w:hAnsi="Times New Roman" w:cs="Times New Roman"/>
                <w:sz w:val="24"/>
                <w:szCs w:val="24"/>
                <w:lang w:val="bg-BG"/>
              </w:rPr>
              <w:t>регионално</w:t>
            </w:r>
            <w:r w:rsidR="00DF26B2"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ниво - съгласно новият подход за управление на мрежата Натура 2000 в България, се определят функциите на </w:t>
            </w:r>
            <w:r w:rsidR="00DF26B2">
              <w:rPr>
                <w:rFonts w:ascii="Times New Roman" w:eastAsia="Times New Roman" w:hAnsi="Times New Roman" w:cs="Times New Roman"/>
                <w:sz w:val="24"/>
                <w:szCs w:val="24"/>
                <w:lang w:val="bg-BG"/>
              </w:rPr>
              <w:t>РИОСВ</w:t>
            </w:r>
            <w:r w:rsidRPr="00F821DA">
              <w:rPr>
                <w:rFonts w:ascii="Times New Roman" w:eastAsia="Times New Roman" w:hAnsi="Times New Roman" w:cs="Times New Roman"/>
                <w:sz w:val="24"/>
                <w:szCs w:val="24"/>
                <w:lang w:val="bg-BG"/>
              </w:rPr>
              <w:t xml:space="preserve">, като органи за управление на Натура </w:t>
            </w:r>
            <w:r w:rsidRPr="00F821DA">
              <w:rPr>
                <w:rFonts w:ascii="Times New Roman" w:eastAsia="Times New Roman" w:hAnsi="Times New Roman" w:cs="Times New Roman"/>
                <w:sz w:val="24"/>
                <w:szCs w:val="24"/>
                <w:lang w:val="bg-BG"/>
              </w:rPr>
              <w:lastRenderedPageBreak/>
              <w:t xml:space="preserve">2000 на </w:t>
            </w:r>
            <w:r w:rsidR="00DF26B2">
              <w:rPr>
                <w:rFonts w:ascii="Times New Roman" w:eastAsia="Times New Roman" w:hAnsi="Times New Roman" w:cs="Times New Roman"/>
                <w:sz w:val="24"/>
                <w:szCs w:val="24"/>
                <w:lang w:val="bg-BG"/>
              </w:rPr>
              <w:t>регионално</w:t>
            </w:r>
            <w:r w:rsidR="00DF26B2"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ниво;  </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Създаване на Комитети на заинтересованите страни към органите за управление на Натура 2000, на </w:t>
            </w:r>
            <w:r w:rsidR="00DF26B2">
              <w:rPr>
                <w:rFonts w:ascii="Times New Roman" w:eastAsia="Times New Roman" w:hAnsi="Times New Roman" w:cs="Times New Roman"/>
                <w:sz w:val="24"/>
                <w:szCs w:val="24"/>
                <w:lang w:val="bg-BG"/>
              </w:rPr>
              <w:t xml:space="preserve">регионално </w:t>
            </w:r>
            <w:r w:rsidRPr="00F821DA">
              <w:rPr>
                <w:rFonts w:ascii="Times New Roman" w:eastAsia="Times New Roman" w:hAnsi="Times New Roman" w:cs="Times New Roman"/>
                <w:sz w:val="24"/>
                <w:szCs w:val="24"/>
                <w:lang w:val="bg-BG"/>
              </w:rPr>
              <w:t xml:space="preserve">ниво - съгласно новият подход за управление на мрежата Натура 2000 в България, се създават Комитети на заинтересованите страни към органите за управление на Натура 2000, на </w:t>
            </w:r>
            <w:r w:rsidR="00DF26B2">
              <w:rPr>
                <w:rFonts w:ascii="Times New Roman" w:eastAsia="Times New Roman" w:hAnsi="Times New Roman" w:cs="Times New Roman"/>
                <w:sz w:val="24"/>
                <w:szCs w:val="24"/>
                <w:lang w:val="bg-BG"/>
              </w:rPr>
              <w:t>регионално</w:t>
            </w:r>
            <w:r w:rsidR="00DF26B2"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ниво;</w:t>
            </w:r>
          </w:p>
          <w:p w:rsidR="00EA150F" w:rsidRPr="00F821DA" w:rsidRDefault="00EA150F" w:rsidP="00F821DA">
            <w:pPr>
              <w:numPr>
                <w:ilvl w:val="0"/>
                <w:numId w:val="23"/>
              </w:num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Регламентиране на функциите на Комитети на заинтересованите страни към органите за управление на Натура 2000, на </w:t>
            </w:r>
            <w:r w:rsidR="00594630">
              <w:rPr>
                <w:rFonts w:ascii="Times New Roman" w:eastAsia="Times New Roman" w:hAnsi="Times New Roman" w:cs="Times New Roman"/>
                <w:sz w:val="24"/>
                <w:szCs w:val="24"/>
                <w:lang w:val="bg-BG"/>
              </w:rPr>
              <w:t>регионално</w:t>
            </w:r>
            <w:r w:rsidR="00DF26B2"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ниво - съгласно новият подход за управление на мрежата Натура 2000 в България, се определят функциите на Комитетите на заинтересованите страни към органите за управление на Натура 2000, на </w:t>
            </w:r>
            <w:r w:rsidR="00DF26B2">
              <w:rPr>
                <w:rFonts w:ascii="Times New Roman" w:eastAsia="Times New Roman" w:hAnsi="Times New Roman" w:cs="Times New Roman"/>
                <w:sz w:val="24"/>
                <w:szCs w:val="24"/>
                <w:lang w:val="bg-BG"/>
              </w:rPr>
              <w:t>регионално</w:t>
            </w:r>
            <w:r w:rsidR="00DF26B2"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ниво;</w:t>
            </w:r>
          </w:p>
          <w:p w:rsidR="00B02401" w:rsidRPr="00F821DA" w:rsidRDefault="00EA150F" w:rsidP="00F821DA">
            <w:pPr>
              <w:numPr>
                <w:ilvl w:val="0"/>
                <w:numId w:val="23"/>
              </w:numPr>
              <w:spacing w:before="120" w:after="120" w:line="240" w:lineRule="auto"/>
              <w:jc w:val="both"/>
              <w:textAlignment w:val="center"/>
              <w:rPr>
                <w:rFonts w:ascii="Times New Roman" w:eastAsia="Times New Roman" w:hAnsi="Times New Roman" w:cs="Times New Roman"/>
                <w:i/>
                <w:sz w:val="24"/>
                <w:szCs w:val="24"/>
                <w:lang w:val="bg-BG"/>
              </w:rPr>
            </w:pPr>
            <w:r w:rsidRPr="00F821DA">
              <w:rPr>
                <w:rFonts w:ascii="Times New Roman" w:eastAsia="Times New Roman" w:hAnsi="Times New Roman" w:cs="Times New Roman"/>
                <w:sz w:val="24"/>
                <w:szCs w:val="24"/>
                <w:lang w:val="bg-BG"/>
              </w:rPr>
              <w:t xml:space="preserve">Въвеждане на задължение за разработване на методическо ръководство за разработване на планове за управление на Натура 2000, на </w:t>
            </w:r>
            <w:r w:rsidR="006F6EDF">
              <w:rPr>
                <w:rFonts w:ascii="Times New Roman" w:eastAsia="Times New Roman" w:hAnsi="Times New Roman" w:cs="Times New Roman"/>
                <w:sz w:val="24"/>
                <w:szCs w:val="24"/>
                <w:lang w:val="bg-BG"/>
              </w:rPr>
              <w:t>регионално</w:t>
            </w:r>
            <w:r w:rsidR="006F6EDF"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ниво – Разработването на Ръководството е особено важно, за да може да стартира процеса на разработване на </w:t>
            </w:r>
            <w:r w:rsidR="006334EE">
              <w:rPr>
                <w:rFonts w:ascii="Times New Roman" w:eastAsia="Times New Roman" w:hAnsi="Times New Roman" w:cs="Times New Roman"/>
                <w:sz w:val="24"/>
                <w:szCs w:val="24"/>
                <w:lang w:val="bg-BG"/>
              </w:rPr>
              <w:t>териториалните</w:t>
            </w:r>
            <w:r w:rsidR="006334EE"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планове, а посочените срокове са обвързани с възможността за финансиране на разработването на плановете за управление със средства от ЕС, в рамките на настоящия програмен период.</w:t>
            </w:r>
          </w:p>
          <w:p w:rsidR="00F821DA" w:rsidRPr="00F821DA" w:rsidRDefault="00F821DA" w:rsidP="00F821DA">
            <w:pPr>
              <w:spacing w:before="120" w:after="120" w:line="240" w:lineRule="auto"/>
              <w:jc w:val="both"/>
              <w:textAlignment w:val="center"/>
              <w:rPr>
                <w:rFonts w:ascii="Times New Roman" w:eastAsia="Times New Roman" w:hAnsi="Times New Roman" w:cs="Times New Roman"/>
                <w:i/>
                <w:sz w:val="24"/>
                <w:szCs w:val="24"/>
                <w:lang w:val="bg-BG"/>
              </w:rPr>
            </w:pPr>
          </w:p>
          <w:p w:rsidR="00F96DB9" w:rsidRPr="00F821DA" w:rsidRDefault="00F96DB9" w:rsidP="00F821DA">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i/>
                <w:iCs/>
                <w:color w:val="000000"/>
                <w:sz w:val="24"/>
                <w:szCs w:val="24"/>
                <w:lang w:val="bg-BG"/>
              </w:rPr>
              <w:t xml:space="preserve">1.3. Посочете дали са извършени </w:t>
            </w:r>
            <w:proofErr w:type="spellStart"/>
            <w:r w:rsidRPr="00F821DA">
              <w:rPr>
                <w:rFonts w:ascii="Times New Roman" w:eastAsia="Times New Roman" w:hAnsi="Times New Roman" w:cs="Times New Roman"/>
                <w:i/>
                <w:iCs/>
                <w:color w:val="000000"/>
                <w:sz w:val="24"/>
                <w:szCs w:val="24"/>
                <w:lang w:val="bg-BG"/>
              </w:rPr>
              <w:t>последващи</w:t>
            </w:r>
            <w:proofErr w:type="spellEnd"/>
            <w:r w:rsidRPr="00F821DA">
              <w:rPr>
                <w:rFonts w:ascii="Times New Roman" w:eastAsia="Times New Roman" w:hAnsi="Times New Roman" w:cs="Times New Roman"/>
                <w:i/>
                <w:iCs/>
                <w:color w:val="000000"/>
                <w:sz w:val="24"/>
                <w:szCs w:val="24"/>
                <w:lang w:val="bg-BG"/>
              </w:rPr>
              <w:t xml:space="preserve"> оценки на нормативния акт, или анализи за изпълнението на политиката и какви са резултатите от тях?</w:t>
            </w:r>
          </w:p>
          <w:p w:rsidR="00FE3696" w:rsidRPr="00F821DA" w:rsidRDefault="00823E21" w:rsidP="00F821DA">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F821DA">
              <w:rPr>
                <w:rFonts w:ascii="Times New Roman" w:eastAsia="Times New Roman" w:hAnsi="Times New Roman" w:cs="Times New Roman"/>
                <w:iCs/>
                <w:color w:val="000000"/>
                <w:sz w:val="24"/>
                <w:szCs w:val="24"/>
                <w:lang w:val="bg-BG"/>
              </w:rPr>
              <w:t xml:space="preserve">Не са извършвани </w:t>
            </w:r>
            <w:proofErr w:type="spellStart"/>
            <w:r w:rsidR="00840EA0" w:rsidRPr="00F821DA">
              <w:rPr>
                <w:rFonts w:ascii="Times New Roman" w:eastAsia="Times New Roman" w:hAnsi="Times New Roman" w:cs="Times New Roman"/>
                <w:iCs/>
                <w:color w:val="000000"/>
                <w:sz w:val="24"/>
                <w:szCs w:val="24"/>
                <w:lang w:val="bg-BG"/>
              </w:rPr>
              <w:t>последващи</w:t>
            </w:r>
            <w:proofErr w:type="spellEnd"/>
            <w:r w:rsidR="00840EA0" w:rsidRPr="00F821DA">
              <w:rPr>
                <w:rFonts w:ascii="Times New Roman" w:eastAsia="Times New Roman" w:hAnsi="Times New Roman" w:cs="Times New Roman"/>
                <w:iCs/>
                <w:color w:val="000000"/>
                <w:sz w:val="24"/>
                <w:szCs w:val="24"/>
                <w:lang w:val="bg-BG"/>
              </w:rPr>
              <w:t xml:space="preserve"> оценки на нормативни</w:t>
            </w:r>
            <w:r w:rsidR="00EA150F" w:rsidRPr="00F821DA">
              <w:rPr>
                <w:rFonts w:ascii="Times New Roman" w:eastAsia="Times New Roman" w:hAnsi="Times New Roman" w:cs="Times New Roman"/>
                <w:iCs/>
                <w:color w:val="000000"/>
                <w:sz w:val="24"/>
                <w:szCs w:val="24"/>
                <w:lang w:val="bg-BG"/>
              </w:rPr>
              <w:t>я</w:t>
            </w:r>
            <w:r w:rsidRPr="00F821DA">
              <w:rPr>
                <w:rFonts w:ascii="Times New Roman" w:eastAsia="Times New Roman" w:hAnsi="Times New Roman" w:cs="Times New Roman"/>
                <w:iCs/>
                <w:color w:val="000000"/>
                <w:sz w:val="24"/>
                <w:szCs w:val="24"/>
                <w:lang w:val="bg-BG"/>
              </w:rPr>
              <w:t xml:space="preserve"> акт,</w:t>
            </w:r>
            <w:r w:rsidR="007F1930" w:rsidRPr="00F821DA">
              <w:rPr>
                <w:rFonts w:ascii="Times New Roman" w:eastAsia="Times New Roman" w:hAnsi="Times New Roman" w:cs="Times New Roman"/>
                <w:iCs/>
                <w:color w:val="000000"/>
                <w:sz w:val="24"/>
                <w:szCs w:val="24"/>
                <w:lang w:val="bg-BG"/>
              </w:rPr>
              <w:t xml:space="preserve"> </w:t>
            </w:r>
            <w:r w:rsidRPr="00F821DA">
              <w:rPr>
                <w:rFonts w:ascii="Times New Roman" w:eastAsia="Times New Roman" w:hAnsi="Times New Roman" w:cs="Times New Roman"/>
                <w:iCs/>
                <w:color w:val="000000"/>
                <w:sz w:val="24"/>
                <w:szCs w:val="24"/>
                <w:lang w:val="bg-BG"/>
              </w:rPr>
              <w:t xml:space="preserve">но </w:t>
            </w:r>
            <w:r w:rsidR="00EA150F" w:rsidRPr="00F821DA">
              <w:rPr>
                <w:rFonts w:ascii="Times New Roman" w:eastAsia="Times New Roman" w:hAnsi="Times New Roman" w:cs="Times New Roman"/>
                <w:iCs/>
                <w:color w:val="000000"/>
                <w:sz w:val="24"/>
                <w:szCs w:val="24"/>
                <w:lang w:val="bg-BG"/>
              </w:rPr>
              <w:t>новият Подход</w:t>
            </w:r>
            <w:r w:rsidR="00FE3696" w:rsidRPr="00F821DA">
              <w:rPr>
                <w:rFonts w:ascii="Times New Roman" w:eastAsia="Times New Roman" w:hAnsi="Times New Roman" w:cs="Times New Roman"/>
                <w:iCs/>
                <w:color w:val="000000"/>
                <w:sz w:val="24"/>
                <w:szCs w:val="24"/>
                <w:lang w:val="bg-BG"/>
              </w:rPr>
              <w:t xml:space="preserve"> за управление на </w:t>
            </w:r>
            <w:r w:rsidR="00EA150F" w:rsidRPr="00F821DA">
              <w:rPr>
                <w:rFonts w:ascii="Times New Roman" w:eastAsia="Times New Roman" w:hAnsi="Times New Roman" w:cs="Times New Roman"/>
                <w:iCs/>
                <w:color w:val="000000"/>
                <w:sz w:val="24"/>
                <w:szCs w:val="24"/>
                <w:lang w:val="bg-BG"/>
              </w:rPr>
              <w:t>мрежата Натура 2000</w:t>
            </w:r>
            <w:r w:rsidR="00FE3696" w:rsidRPr="00F821DA">
              <w:rPr>
                <w:rFonts w:ascii="Times New Roman" w:eastAsia="Times New Roman" w:hAnsi="Times New Roman" w:cs="Times New Roman"/>
                <w:iCs/>
                <w:color w:val="000000"/>
                <w:sz w:val="24"/>
                <w:szCs w:val="24"/>
                <w:lang w:val="bg-BG"/>
              </w:rPr>
              <w:t xml:space="preserve"> е изготвен на базата на редица анализи, проучвания и предложения за решения:</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Анализ на правно-нормативната рамка и нейната ефективност в Република България във връзка с управлението на мрежата Натура 2000;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Анализ на правно-нормативната рамка във връзка с изготвяне, утвърждаване и изпълнение на планове за управление на защитени зони;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Проучване и анализ на подходите за управление на мрежата Натура 2000 в държави членки на ЕС;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Проучване и анализ на подходите за изготвяне на планове за управление в държави-членки на ЕС;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Анализ и оценка на наличния капацитет за изпълнение на дейности за управление на мрежата Натура 2000 и ЗЗ;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Изготвяне на работна и окончателна версия на предложение с варианти за подход за установяване на ефективна структура за управление на защитените зони от мрежата Натура 2000;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Изготвяне на сравнителен анализ между предложените варианти;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Финансова прогноза за оперативните и инвестиционни разходи за реализация на всеки от 2-та сценария и предложената за тях организационна структура. Финансовата прогноза включва 10 годишен период, изготвена е по години, по дейности и по източници на финансиране;</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Предимства и недостатъци на всеки от вариантите, в т.ч. оценка на приложимостта на всеки от вариантите;</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Разработване на предложение за правила, процедури и правилници за управление на </w:t>
            </w:r>
            <w:r w:rsidRPr="00F821DA">
              <w:rPr>
                <w:rFonts w:ascii="Times New Roman" w:eastAsia="Times New Roman" w:hAnsi="Times New Roman" w:cs="Times New Roman"/>
                <w:sz w:val="24"/>
                <w:szCs w:val="24"/>
                <w:lang w:val="bg-BG"/>
              </w:rPr>
              <w:lastRenderedPageBreak/>
              <w:t xml:space="preserve">мрежата НАТУРА 2000 и ЗЗ; </w:t>
            </w:r>
          </w:p>
          <w:p w:rsidR="00EA150F" w:rsidRPr="00F821DA" w:rsidRDefault="00EA150F" w:rsidP="00F821DA">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Разработване на препоръки за развитие и повишаване на капацитета на служителите на структурата за управление на мрежата Натура 2000. </w:t>
            </w:r>
          </w:p>
          <w:p w:rsidR="00644237" w:rsidRPr="00F821DA" w:rsidRDefault="00644237" w:rsidP="00F821DA">
            <w:pPr>
              <w:spacing w:before="120" w:after="120" w:line="240" w:lineRule="auto"/>
              <w:jc w:val="both"/>
              <w:textAlignment w:val="center"/>
              <w:rPr>
                <w:rFonts w:ascii="Times New Roman" w:eastAsia="Times New Roman" w:hAnsi="Times New Roman" w:cs="Times New Roman"/>
                <w:sz w:val="24"/>
                <w:szCs w:val="24"/>
                <w:lang w:val="bg-BG"/>
              </w:rPr>
            </w:pPr>
          </w:p>
          <w:p w:rsidR="00F821DA" w:rsidRDefault="00644237" w:rsidP="00F821DA">
            <w:pPr>
              <w:spacing w:before="120" w:after="120" w:line="240" w:lineRule="auto"/>
              <w:jc w:val="both"/>
              <w:textAlignment w:val="center"/>
              <w:rPr>
                <w:rFonts w:ascii="Times New Roman" w:eastAsia="Times New Roman" w:hAnsi="Times New Roman" w:cs="Times New Roman"/>
                <w:b/>
                <w:sz w:val="24"/>
                <w:szCs w:val="24"/>
                <w:u w:val="single"/>
                <w:lang w:val="bg-BG"/>
              </w:rPr>
            </w:pPr>
            <w:r w:rsidRPr="00F821DA">
              <w:rPr>
                <w:rFonts w:ascii="Times New Roman" w:eastAsia="Times New Roman" w:hAnsi="Times New Roman" w:cs="Times New Roman"/>
                <w:b/>
                <w:sz w:val="24"/>
                <w:szCs w:val="24"/>
                <w:u w:val="single"/>
                <w:lang w:val="bg-BG"/>
              </w:rPr>
              <w:t xml:space="preserve">Проблем 2: </w:t>
            </w:r>
            <w:r w:rsidR="00522FEA">
              <w:rPr>
                <w:rFonts w:ascii="Times New Roman" w:eastAsia="Times New Roman" w:hAnsi="Times New Roman" w:cs="Times New Roman"/>
                <w:b/>
                <w:sz w:val="24"/>
                <w:szCs w:val="24"/>
                <w:u w:val="single"/>
                <w:lang w:val="bg-BG"/>
              </w:rPr>
              <w:t>Отпадане на задълженията на министъра на икономиката</w:t>
            </w:r>
            <w:r w:rsidR="00BC7FD7">
              <w:rPr>
                <w:rFonts w:ascii="Times New Roman" w:eastAsia="Times New Roman" w:hAnsi="Times New Roman" w:cs="Times New Roman"/>
                <w:b/>
                <w:sz w:val="24"/>
                <w:szCs w:val="24"/>
                <w:u w:val="single"/>
                <w:lang w:val="bg-BG"/>
              </w:rPr>
              <w:t>,</w:t>
            </w:r>
            <w:r w:rsidR="00A80236" w:rsidRPr="00F821DA">
              <w:rPr>
                <w:rFonts w:ascii="Times New Roman" w:eastAsia="Times New Roman" w:hAnsi="Times New Roman" w:cs="Times New Roman"/>
                <w:b/>
                <w:sz w:val="24"/>
                <w:szCs w:val="24"/>
                <w:u w:val="single"/>
                <w:lang w:val="bg-BG"/>
              </w:rPr>
              <w:t xml:space="preserve"> касаещи достъпа до генетични ресурси </w:t>
            </w:r>
          </w:p>
          <w:p w:rsidR="00644237" w:rsidRPr="00F821DA" w:rsidRDefault="00644237" w:rsidP="00F821DA">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t>1.</w:t>
            </w:r>
            <w:proofErr w:type="spellStart"/>
            <w:r w:rsidRPr="00F821DA">
              <w:rPr>
                <w:rFonts w:ascii="Times New Roman" w:eastAsia="Times New Roman" w:hAnsi="Times New Roman" w:cs="Times New Roman"/>
                <w:i/>
                <w:iCs/>
                <w:color w:val="000000"/>
                <w:sz w:val="24"/>
                <w:szCs w:val="24"/>
                <w:lang w:val="bg-BG"/>
              </w:rPr>
              <w:t>1</w:t>
            </w:r>
            <w:proofErr w:type="spellEnd"/>
            <w:r w:rsidRPr="00F821DA">
              <w:rPr>
                <w:rFonts w:ascii="Times New Roman" w:eastAsia="Times New Roman" w:hAnsi="Times New Roman" w:cs="Times New Roman"/>
                <w:i/>
                <w:iCs/>
                <w:color w:val="000000"/>
                <w:sz w:val="24"/>
                <w:szCs w:val="24"/>
                <w:lang w:val="bg-BG"/>
              </w:rPr>
              <w:t>. Кратко опишете проблема и причините за неговото възникване. Посочете аргументите, които обосновават нормативната промяна.</w:t>
            </w:r>
          </w:p>
          <w:p w:rsidR="0074063D" w:rsidRDefault="0074063D" w:rsidP="00F821DA">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Необходимо е уточняване на компетенциите на министерствата по отношение на достъпа и контрола върху използването на генетични ресурси от промишлени микроорганизми. Към моме</w:t>
            </w:r>
            <w:r w:rsidR="00522FEA">
              <w:rPr>
                <w:rFonts w:ascii="Times New Roman" w:eastAsia="Times New Roman" w:hAnsi="Times New Roman" w:cs="Times New Roman"/>
                <w:sz w:val="24"/>
                <w:szCs w:val="24"/>
                <w:lang w:val="bg-BG"/>
              </w:rPr>
              <w:t>нта този контрол е възложен на м</w:t>
            </w:r>
            <w:r w:rsidRPr="00F821DA">
              <w:rPr>
                <w:rFonts w:ascii="Times New Roman" w:eastAsia="Times New Roman" w:hAnsi="Times New Roman" w:cs="Times New Roman"/>
                <w:sz w:val="24"/>
                <w:szCs w:val="24"/>
                <w:lang w:val="bg-BG"/>
              </w:rPr>
              <w:t>инист</w:t>
            </w:r>
            <w:r w:rsidR="00522FEA">
              <w:rPr>
                <w:rFonts w:ascii="Times New Roman" w:eastAsia="Times New Roman" w:hAnsi="Times New Roman" w:cs="Times New Roman"/>
                <w:sz w:val="24"/>
                <w:szCs w:val="24"/>
                <w:lang w:val="bg-BG"/>
              </w:rPr>
              <w:t>ъра</w:t>
            </w:r>
            <w:r w:rsidRPr="00F821DA">
              <w:rPr>
                <w:rFonts w:ascii="Times New Roman" w:eastAsia="Times New Roman" w:hAnsi="Times New Roman" w:cs="Times New Roman"/>
                <w:sz w:val="24"/>
                <w:szCs w:val="24"/>
                <w:lang w:val="bg-BG"/>
              </w:rPr>
              <w:t xml:space="preserve"> на икономиката, </w:t>
            </w:r>
            <w:r w:rsidR="00522FEA">
              <w:rPr>
                <w:rFonts w:ascii="Times New Roman" w:eastAsia="Times New Roman" w:hAnsi="Times New Roman" w:cs="Times New Roman"/>
                <w:sz w:val="24"/>
                <w:szCs w:val="24"/>
                <w:lang w:val="bg-BG"/>
              </w:rPr>
              <w:t>но бе установено, че Министерство на икономиката</w:t>
            </w:r>
            <w:r w:rsidRPr="00F821DA">
              <w:rPr>
                <w:rFonts w:ascii="Times New Roman" w:eastAsia="Times New Roman" w:hAnsi="Times New Roman" w:cs="Times New Roman"/>
                <w:sz w:val="24"/>
                <w:szCs w:val="24"/>
                <w:lang w:val="bg-BG"/>
              </w:rPr>
              <w:t xml:space="preserve"> не разполага с капацитет за управление и контрол</w:t>
            </w:r>
            <w:r w:rsidR="00522FEA">
              <w:rPr>
                <w:rFonts w:ascii="Times New Roman" w:eastAsia="Times New Roman" w:hAnsi="Times New Roman" w:cs="Times New Roman"/>
                <w:sz w:val="24"/>
                <w:szCs w:val="24"/>
                <w:lang w:val="bg-BG"/>
              </w:rPr>
              <w:t xml:space="preserve"> на тази дейност</w:t>
            </w:r>
            <w:r w:rsidRPr="00F821DA">
              <w:rPr>
                <w:rFonts w:ascii="Times New Roman" w:eastAsia="Times New Roman" w:hAnsi="Times New Roman" w:cs="Times New Roman"/>
                <w:sz w:val="24"/>
                <w:szCs w:val="24"/>
                <w:lang w:val="bg-BG"/>
              </w:rPr>
              <w:t>.</w:t>
            </w:r>
          </w:p>
          <w:p w:rsidR="00F821DA" w:rsidRPr="00F821DA" w:rsidRDefault="00F821DA" w:rsidP="00F821DA">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p>
          <w:p w:rsidR="00644237" w:rsidRPr="00F821DA" w:rsidRDefault="00644237" w:rsidP="00F821DA">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i/>
                <w:iCs/>
                <w:color w:val="000000"/>
                <w:sz w:val="24"/>
                <w:szCs w:val="24"/>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644237" w:rsidRDefault="00522FEA" w:rsidP="00E20DE7">
            <w:pPr>
              <w:numPr>
                <w:ilvl w:val="0"/>
                <w:numId w:val="23"/>
              </w:numPr>
              <w:shd w:val="clear" w:color="auto" w:fill="FFFFFF"/>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Задълженията на м</w:t>
            </w:r>
            <w:r w:rsidR="007A53A0" w:rsidRPr="007A53A0">
              <w:rPr>
                <w:rFonts w:ascii="Times New Roman" w:eastAsia="Times New Roman" w:hAnsi="Times New Roman" w:cs="Times New Roman"/>
                <w:sz w:val="24"/>
                <w:szCs w:val="24"/>
                <w:lang w:val="bg-BG"/>
              </w:rPr>
              <w:t>инистъра на икономиката за даване на съгласие за достъп до генетични ресурси от промишлени микроорганизми, вируси и клетъчни култури, както и задълженията му за контрол върху ползвателите на генетични ресурси от промишлени микроорганизми, вируси и клетъчни култури на територията на страната</w:t>
            </w:r>
            <w:r w:rsidR="00E20DE7">
              <w:rPr>
                <w:rFonts w:ascii="Times New Roman" w:eastAsia="Times New Roman" w:hAnsi="Times New Roman" w:cs="Times New Roman"/>
                <w:sz w:val="24"/>
                <w:szCs w:val="24"/>
                <w:lang w:val="bg-BG"/>
              </w:rPr>
              <w:t xml:space="preserve"> следва да отпаднат </w:t>
            </w:r>
            <w:r w:rsidR="00E20DE7" w:rsidRPr="00E20DE7">
              <w:rPr>
                <w:rFonts w:ascii="Times New Roman" w:eastAsia="Times New Roman" w:hAnsi="Times New Roman" w:cs="Times New Roman"/>
                <w:sz w:val="24"/>
                <w:szCs w:val="24"/>
                <w:lang w:val="bg-BG"/>
              </w:rPr>
              <w:t>поради липса на капацитет на М</w:t>
            </w:r>
            <w:r w:rsidR="00E20DE7">
              <w:rPr>
                <w:rFonts w:ascii="Times New Roman" w:eastAsia="Times New Roman" w:hAnsi="Times New Roman" w:cs="Times New Roman"/>
                <w:sz w:val="24"/>
                <w:szCs w:val="24"/>
                <w:lang w:val="bg-BG"/>
              </w:rPr>
              <w:t>инистерство на икономиката</w:t>
            </w:r>
            <w:r w:rsidR="00E20DE7" w:rsidRPr="00E20DE7">
              <w:rPr>
                <w:rFonts w:ascii="Times New Roman" w:eastAsia="Times New Roman" w:hAnsi="Times New Roman" w:cs="Times New Roman"/>
                <w:sz w:val="24"/>
                <w:szCs w:val="24"/>
                <w:lang w:val="bg-BG"/>
              </w:rPr>
              <w:t xml:space="preserve"> да контролира достъпа и да упражнява контрол свързан с биологични генетични ресурси</w:t>
            </w:r>
            <w:r w:rsidR="007A53A0" w:rsidRPr="007A53A0">
              <w:rPr>
                <w:rFonts w:ascii="Times New Roman" w:eastAsia="Times New Roman" w:hAnsi="Times New Roman" w:cs="Times New Roman"/>
                <w:sz w:val="24"/>
                <w:szCs w:val="24"/>
                <w:lang w:val="bg-BG"/>
              </w:rPr>
              <w:t>. Тези задължения ще се изпълняват от министъра на околната среда и водите в рамките на неговата обща компетентност по прилагане на Протокола от Нагоя</w:t>
            </w:r>
            <w:r w:rsidR="00644237" w:rsidRPr="00F821DA">
              <w:rPr>
                <w:rFonts w:ascii="Times New Roman" w:eastAsia="Times New Roman" w:hAnsi="Times New Roman" w:cs="Times New Roman"/>
                <w:sz w:val="24"/>
                <w:szCs w:val="24"/>
                <w:lang w:val="bg-BG"/>
              </w:rPr>
              <w:t>.</w:t>
            </w:r>
          </w:p>
          <w:p w:rsidR="00F821DA" w:rsidRDefault="00F821DA" w:rsidP="00F821DA">
            <w:pPr>
              <w:shd w:val="clear" w:color="auto" w:fill="FFFFFF"/>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 е </w:t>
            </w:r>
            <w:r w:rsidRPr="00F821DA">
              <w:rPr>
                <w:rFonts w:ascii="Times New Roman" w:eastAsia="Times New Roman" w:hAnsi="Times New Roman" w:cs="Times New Roman"/>
                <w:sz w:val="24"/>
                <w:szCs w:val="24"/>
                <w:lang w:val="bg-BG"/>
              </w:rPr>
              <w:t>възможно проблемът да се реши в рамките на съществуващото законодателство</w:t>
            </w:r>
            <w:r>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чрез промяна в организацията на работа и/или чрез въвеждане на нови технологични възможности (например съвместни инспек</w:t>
            </w:r>
            <w:r>
              <w:rPr>
                <w:rFonts w:ascii="Times New Roman" w:eastAsia="Times New Roman" w:hAnsi="Times New Roman" w:cs="Times New Roman"/>
                <w:sz w:val="24"/>
                <w:szCs w:val="24"/>
                <w:lang w:val="bg-BG"/>
              </w:rPr>
              <w:t>ции между няколко органа и др.)</w:t>
            </w:r>
            <w:r w:rsidR="00E20DE7">
              <w:rPr>
                <w:rFonts w:ascii="Times New Roman" w:eastAsia="Times New Roman" w:hAnsi="Times New Roman" w:cs="Times New Roman"/>
                <w:sz w:val="24"/>
                <w:szCs w:val="24"/>
                <w:lang w:val="bg-BG"/>
              </w:rPr>
              <w:t>, тъй като дейността е нетипична за ведомството</w:t>
            </w:r>
            <w:bookmarkStart w:id="1" w:name="_GoBack"/>
            <w:bookmarkEnd w:id="1"/>
            <w:r w:rsidR="00CB7CE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00CB7CE9">
              <w:rPr>
                <w:rFonts w:ascii="Times New Roman" w:eastAsia="Times New Roman" w:hAnsi="Times New Roman" w:cs="Times New Roman"/>
                <w:sz w:val="24"/>
                <w:szCs w:val="24"/>
                <w:lang w:val="bg-BG"/>
              </w:rPr>
              <w:t>Задълженията</w:t>
            </w:r>
            <w:r>
              <w:rPr>
                <w:rFonts w:ascii="Times New Roman" w:eastAsia="Times New Roman" w:hAnsi="Times New Roman" w:cs="Times New Roman"/>
                <w:sz w:val="24"/>
                <w:szCs w:val="24"/>
                <w:lang w:val="bg-BG"/>
              </w:rPr>
              <w:t xml:space="preserve"> </w:t>
            </w:r>
            <w:r w:rsidR="00CB7CE9">
              <w:rPr>
                <w:rFonts w:ascii="Times New Roman" w:eastAsia="Times New Roman" w:hAnsi="Times New Roman" w:cs="Times New Roman"/>
                <w:sz w:val="24"/>
                <w:szCs w:val="24"/>
                <w:lang w:val="bg-BG"/>
              </w:rPr>
              <w:t xml:space="preserve">по </w:t>
            </w:r>
            <w:r w:rsidR="00CB7CE9" w:rsidRPr="00CB7CE9">
              <w:rPr>
                <w:rFonts w:ascii="Times New Roman" w:eastAsia="Times New Roman" w:hAnsi="Times New Roman" w:cs="Times New Roman"/>
                <w:sz w:val="24"/>
                <w:szCs w:val="24"/>
                <w:lang w:val="bg-BG"/>
              </w:rPr>
              <w:t xml:space="preserve">достъп до промишлени генетични ресурси </w:t>
            </w:r>
            <w:r w:rsidR="00CB7CE9">
              <w:rPr>
                <w:rFonts w:ascii="Times New Roman" w:eastAsia="Times New Roman" w:hAnsi="Times New Roman" w:cs="Times New Roman"/>
                <w:sz w:val="24"/>
                <w:szCs w:val="24"/>
                <w:lang w:val="bg-BG"/>
              </w:rPr>
              <w:t>ще</w:t>
            </w:r>
            <w:r>
              <w:rPr>
                <w:rFonts w:ascii="Times New Roman" w:eastAsia="Times New Roman" w:hAnsi="Times New Roman" w:cs="Times New Roman"/>
                <w:sz w:val="24"/>
                <w:szCs w:val="24"/>
                <w:lang w:val="bg-BG"/>
              </w:rPr>
              <w:t xml:space="preserve"> бъдат прехвърл</w:t>
            </w:r>
            <w:r w:rsidR="00CB7CE9">
              <w:rPr>
                <w:rFonts w:ascii="Times New Roman" w:eastAsia="Times New Roman" w:hAnsi="Times New Roman" w:cs="Times New Roman"/>
                <w:sz w:val="24"/>
                <w:szCs w:val="24"/>
                <w:lang w:val="bg-BG"/>
              </w:rPr>
              <w:t>е</w:t>
            </w:r>
            <w:r>
              <w:rPr>
                <w:rFonts w:ascii="Times New Roman" w:eastAsia="Times New Roman" w:hAnsi="Times New Roman" w:cs="Times New Roman"/>
                <w:sz w:val="24"/>
                <w:szCs w:val="24"/>
                <w:lang w:val="bg-BG"/>
              </w:rPr>
              <w:t>н</w:t>
            </w:r>
            <w:r w:rsidR="00CB7CE9">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 xml:space="preserve"> </w:t>
            </w:r>
            <w:r w:rsidR="00CB7CE9">
              <w:rPr>
                <w:rFonts w:ascii="Times New Roman" w:eastAsia="Times New Roman" w:hAnsi="Times New Roman" w:cs="Times New Roman"/>
                <w:sz w:val="24"/>
                <w:szCs w:val="24"/>
                <w:lang w:val="bg-BG"/>
              </w:rPr>
              <w:t xml:space="preserve">от </w:t>
            </w:r>
            <w:r>
              <w:rPr>
                <w:rFonts w:ascii="Times New Roman" w:eastAsia="Times New Roman" w:hAnsi="Times New Roman" w:cs="Times New Roman"/>
                <w:sz w:val="24"/>
                <w:szCs w:val="24"/>
                <w:lang w:val="bg-BG"/>
              </w:rPr>
              <w:t xml:space="preserve"> М</w:t>
            </w:r>
            <w:r w:rsidR="00025654">
              <w:rPr>
                <w:rFonts w:ascii="Times New Roman" w:eastAsia="Times New Roman" w:hAnsi="Times New Roman" w:cs="Times New Roman"/>
                <w:sz w:val="24"/>
                <w:szCs w:val="24"/>
                <w:lang w:val="bg-BG"/>
              </w:rPr>
              <w:t>инистерство на икономиката (МИ)</w:t>
            </w:r>
            <w:r>
              <w:rPr>
                <w:rFonts w:ascii="Times New Roman" w:eastAsia="Times New Roman" w:hAnsi="Times New Roman" w:cs="Times New Roman"/>
                <w:sz w:val="24"/>
                <w:szCs w:val="24"/>
                <w:lang w:val="bg-BG"/>
              </w:rPr>
              <w:t xml:space="preserve"> към МОСВ</w:t>
            </w:r>
            <w:r w:rsidR="00CB7CE9">
              <w:rPr>
                <w:rFonts w:ascii="Times New Roman" w:eastAsia="Times New Roman" w:hAnsi="Times New Roman" w:cs="Times New Roman"/>
                <w:sz w:val="24"/>
                <w:szCs w:val="24"/>
                <w:lang w:val="bg-BG"/>
              </w:rPr>
              <w:t>, поради липса на капацитет на МИ да контролира достъпа и да упражнява контрол свързан с биологични генетични ресурси</w:t>
            </w:r>
            <w:r>
              <w:rPr>
                <w:rFonts w:ascii="Times New Roman" w:eastAsia="Times New Roman" w:hAnsi="Times New Roman" w:cs="Times New Roman"/>
                <w:sz w:val="24"/>
                <w:szCs w:val="24"/>
                <w:lang w:val="bg-BG"/>
              </w:rPr>
              <w:t>.</w:t>
            </w:r>
          </w:p>
          <w:p w:rsidR="00F821DA" w:rsidRPr="00F821DA" w:rsidRDefault="00F821DA" w:rsidP="00F821DA">
            <w:pPr>
              <w:shd w:val="clear" w:color="auto" w:fill="FFFFFF"/>
              <w:overflowPunct w:val="0"/>
              <w:autoSpaceDE w:val="0"/>
              <w:autoSpaceDN w:val="0"/>
              <w:adjustRightInd w:val="0"/>
              <w:spacing w:before="120" w:after="120" w:line="240" w:lineRule="auto"/>
              <w:ind w:left="357"/>
              <w:jc w:val="both"/>
              <w:textAlignment w:val="baseline"/>
              <w:outlineLvl w:val="0"/>
              <w:rPr>
                <w:rFonts w:ascii="Times New Roman" w:eastAsia="Times New Roman" w:hAnsi="Times New Roman" w:cs="Times New Roman"/>
                <w:sz w:val="24"/>
                <w:szCs w:val="24"/>
                <w:lang w:val="bg-BG"/>
              </w:rPr>
            </w:pPr>
          </w:p>
          <w:p w:rsidR="00644237" w:rsidRPr="00F821DA" w:rsidRDefault="00644237" w:rsidP="00F821DA">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i/>
                <w:iCs/>
                <w:color w:val="000000"/>
                <w:sz w:val="24"/>
                <w:szCs w:val="24"/>
                <w:lang w:val="bg-BG"/>
              </w:rPr>
              <w:t xml:space="preserve">1.3. Посочете дали са извършени </w:t>
            </w:r>
            <w:proofErr w:type="spellStart"/>
            <w:r w:rsidRPr="00F821DA">
              <w:rPr>
                <w:rFonts w:ascii="Times New Roman" w:eastAsia="Times New Roman" w:hAnsi="Times New Roman" w:cs="Times New Roman"/>
                <w:i/>
                <w:iCs/>
                <w:color w:val="000000"/>
                <w:sz w:val="24"/>
                <w:szCs w:val="24"/>
                <w:lang w:val="bg-BG"/>
              </w:rPr>
              <w:t>последващи</w:t>
            </w:r>
            <w:proofErr w:type="spellEnd"/>
            <w:r w:rsidRPr="00F821DA">
              <w:rPr>
                <w:rFonts w:ascii="Times New Roman" w:eastAsia="Times New Roman" w:hAnsi="Times New Roman" w:cs="Times New Roman"/>
                <w:i/>
                <w:iCs/>
                <w:color w:val="000000"/>
                <w:sz w:val="24"/>
                <w:szCs w:val="24"/>
                <w:lang w:val="bg-BG"/>
              </w:rPr>
              <w:t xml:space="preserve"> оценки на нормативния акт, или анализи за изпълнението на политиката и какви са резултатите от тях?</w:t>
            </w:r>
          </w:p>
          <w:p w:rsidR="002D2CF3" w:rsidRPr="00F821DA" w:rsidRDefault="00644237" w:rsidP="00F821DA">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Предложение</w:t>
            </w:r>
            <w:r w:rsidR="00AD2F31" w:rsidRPr="00F821DA">
              <w:rPr>
                <w:rFonts w:ascii="Times New Roman" w:eastAsia="Times New Roman" w:hAnsi="Times New Roman" w:cs="Times New Roman"/>
                <w:sz w:val="24"/>
                <w:szCs w:val="24"/>
                <w:lang w:val="bg-BG"/>
              </w:rPr>
              <w:t xml:space="preserve">то </w:t>
            </w:r>
            <w:r w:rsidR="00AD33EF">
              <w:rPr>
                <w:rFonts w:ascii="Times New Roman" w:eastAsia="Times New Roman" w:hAnsi="Times New Roman" w:cs="Times New Roman"/>
                <w:sz w:val="24"/>
                <w:szCs w:val="24"/>
                <w:lang w:val="bg-BG"/>
              </w:rPr>
              <w:t xml:space="preserve">по </w:t>
            </w:r>
            <w:r w:rsidR="00AD33EF" w:rsidRPr="00AD33EF">
              <w:rPr>
                <w:rFonts w:ascii="Times New Roman" w:eastAsia="Times New Roman" w:hAnsi="Times New Roman" w:cs="Times New Roman"/>
                <w:sz w:val="24"/>
                <w:szCs w:val="24"/>
                <w:lang w:val="bg-BG"/>
              </w:rPr>
              <w:t xml:space="preserve">§ 26 </w:t>
            </w:r>
            <w:r w:rsidR="00AD2F31" w:rsidRPr="00F821DA">
              <w:rPr>
                <w:rFonts w:ascii="Times New Roman" w:eastAsia="Times New Roman" w:hAnsi="Times New Roman" w:cs="Times New Roman"/>
                <w:sz w:val="24"/>
                <w:szCs w:val="24"/>
                <w:lang w:val="bg-BG"/>
              </w:rPr>
              <w:t>за</w:t>
            </w:r>
            <w:r w:rsidRPr="00F821DA">
              <w:rPr>
                <w:rFonts w:ascii="Times New Roman" w:eastAsia="Times New Roman" w:hAnsi="Times New Roman" w:cs="Times New Roman"/>
                <w:sz w:val="24"/>
                <w:szCs w:val="24"/>
                <w:lang w:val="bg-BG"/>
              </w:rPr>
              <w:t xml:space="preserve"> изменения </w:t>
            </w:r>
            <w:r w:rsidR="00025654">
              <w:rPr>
                <w:rFonts w:ascii="Times New Roman" w:eastAsia="Times New Roman" w:hAnsi="Times New Roman" w:cs="Times New Roman"/>
                <w:sz w:val="24"/>
                <w:szCs w:val="24"/>
                <w:lang w:val="bg-BG"/>
              </w:rPr>
              <w:t>ч</w:t>
            </w:r>
            <w:r w:rsidR="00AD33EF" w:rsidRPr="00AD33EF">
              <w:rPr>
                <w:rFonts w:ascii="Times New Roman" w:eastAsia="Times New Roman" w:hAnsi="Times New Roman" w:cs="Times New Roman"/>
                <w:sz w:val="24"/>
                <w:szCs w:val="24"/>
                <w:lang w:val="bg-BG"/>
              </w:rPr>
              <w:t xml:space="preserve">л. 118. </w:t>
            </w:r>
            <w:r w:rsidR="00AD33EF">
              <w:rPr>
                <w:rFonts w:ascii="Times New Roman" w:eastAsia="Times New Roman" w:hAnsi="Times New Roman" w:cs="Times New Roman"/>
                <w:sz w:val="24"/>
                <w:szCs w:val="24"/>
                <w:lang w:val="bg-BG"/>
              </w:rPr>
              <w:t xml:space="preserve">от ЗБР </w:t>
            </w:r>
            <w:r w:rsidRPr="00F821DA">
              <w:rPr>
                <w:rFonts w:ascii="Times New Roman" w:eastAsia="Times New Roman" w:hAnsi="Times New Roman" w:cs="Times New Roman"/>
                <w:sz w:val="24"/>
                <w:szCs w:val="24"/>
                <w:lang w:val="bg-BG"/>
              </w:rPr>
              <w:t xml:space="preserve">във връзка с достъпа до генетични ресурси </w:t>
            </w:r>
            <w:r w:rsidR="00AD2F31" w:rsidRPr="00F821DA">
              <w:rPr>
                <w:rFonts w:ascii="Times New Roman" w:eastAsia="Times New Roman" w:hAnsi="Times New Roman" w:cs="Times New Roman"/>
                <w:sz w:val="24"/>
                <w:szCs w:val="24"/>
                <w:lang w:val="bg-BG"/>
              </w:rPr>
              <w:t>е</w:t>
            </w:r>
            <w:r w:rsidRPr="00F821DA">
              <w:rPr>
                <w:rFonts w:ascii="Times New Roman" w:eastAsia="Times New Roman" w:hAnsi="Times New Roman" w:cs="Times New Roman"/>
                <w:sz w:val="24"/>
                <w:szCs w:val="24"/>
                <w:lang w:val="bg-BG"/>
              </w:rPr>
              <w:t xml:space="preserve"> необходимост</w:t>
            </w:r>
            <w:r w:rsidR="00F821DA">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произтичаща от практическото прилагане на закона.</w:t>
            </w:r>
            <w:r w:rsidR="00F70834">
              <w:rPr>
                <w:rFonts w:ascii="Times New Roman" w:eastAsia="Times New Roman" w:hAnsi="Times New Roman" w:cs="Times New Roman"/>
                <w:sz w:val="24"/>
                <w:szCs w:val="24"/>
                <w:lang w:val="bg-BG"/>
              </w:rPr>
              <w:t xml:space="preserve"> Анализ на възможностите за преодоляване на проблема е извършен в рамките на работни срещи между експерти от МИ и МОСВ, като е постигнато съгласие функциите по контрол на достъпа до </w:t>
            </w:r>
            <w:r w:rsidR="00F70834">
              <w:rPr>
                <w:rFonts w:ascii="Times New Roman" w:eastAsia="Times New Roman" w:hAnsi="Times New Roman" w:cs="Times New Roman"/>
                <w:sz w:val="24"/>
                <w:szCs w:val="24"/>
                <w:lang w:val="bg-BG"/>
              </w:rPr>
              <w:lastRenderedPageBreak/>
              <w:t>генетични ресурси да бъдат прехвърлени в МОСВ, поради липса на капацитет в МИ.</w:t>
            </w:r>
          </w:p>
          <w:p w:rsidR="00AD2F31" w:rsidRPr="00F821DA" w:rsidRDefault="00AD2F31" w:rsidP="00F821DA">
            <w:pPr>
              <w:tabs>
                <w:tab w:val="left" w:pos="0"/>
              </w:tabs>
              <w:spacing w:before="120" w:after="120" w:line="240" w:lineRule="auto"/>
              <w:jc w:val="both"/>
              <w:textAlignment w:val="center"/>
              <w:rPr>
                <w:rFonts w:ascii="Times New Roman" w:eastAsia="Times New Roman" w:hAnsi="Times New Roman" w:cs="Times New Roman"/>
                <w:b/>
                <w:sz w:val="24"/>
                <w:szCs w:val="24"/>
                <w:lang w:val="bg-BG"/>
              </w:rPr>
            </w:pPr>
          </w:p>
          <w:p w:rsidR="002D2CF3" w:rsidRPr="00F70834" w:rsidRDefault="002D2CF3" w:rsidP="00F821DA">
            <w:pPr>
              <w:tabs>
                <w:tab w:val="left" w:pos="0"/>
              </w:tabs>
              <w:spacing w:before="120" w:after="120" w:line="240" w:lineRule="auto"/>
              <w:jc w:val="both"/>
              <w:textAlignment w:val="center"/>
              <w:rPr>
                <w:rFonts w:ascii="Times New Roman" w:eastAsia="Times New Roman" w:hAnsi="Times New Roman" w:cs="Times New Roman"/>
                <w:b/>
                <w:sz w:val="24"/>
                <w:szCs w:val="24"/>
                <w:u w:val="single"/>
                <w:lang w:val="bg-BG"/>
              </w:rPr>
            </w:pPr>
            <w:r w:rsidRPr="00F70834">
              <w:rPr>
                <w:rFonts w:ascii="Times New Roman" w:eastAsia="Times New Roman" w:hAnsi="Times New Roman" w:cs="Times New Roman"/>
                <w:b/>
                <w:sz w:val="24"/>
                <w:szCs w:val="24"/>
                <w:u w:val="single"/>
                <w:lang w:val="bg-BG"/>
              </w:rPr>
              <w:t>Проблем 3:</w:t>
            </w:r>
            <w:r w:rsidRPr="00F70834">
              <w:rPr>
                <w:rFonts w:ascii="Times New Roman" w:eastAsia="Times New Roman" w:hAnsi="Times New Roman" w:cs="Times New Roman"/>
                <w:sz w:val="24"/>
                <w:szCs w:val="24"/>
                <w:u w:val="single"/>
                <w:lang w:val="bg-BG"/>
              </w:rPr>
              <w:t xml:space="preserve"> </w:t>
            </w:r>
            <w:r w:rsidRPr="00F70834">
              <w:rPr>
                <w:rFonts w:ascii="Times New Roman" w:eastAsia="Times New Roman" w:hAnsi="Times New Roman" w:cs="Times New Roman"/>
                <w:b/>
                <w:sz w:val="24"/>
                <w:szCs w:val="24"/>
                <w:u w:val="single"/>
                <w:lang w:val="bg-BG"/>
              </w:rPr>
              <w:t>Липса на съответствие в  част от терминологията в Директивата за опазване на дивите птици и Закона за биологичното разработване</w:t>
            </w:r>
          </w:p>
          <w:p w:rsidR="002D2CF3" w:rsidRPr="00F70834" w:rsidRDefault="002D2CF3" w:rsidP="00F70834">
            <w:pPr>
              <w:spacing w:before="120" w:after="120" w:line="240" w:lineRule="auto"/>
              <w:jc w:val="both"/>
              <w:textAlignment w:val="center"/>
              <w:rPr>
                <w:rFonts w:ascii="Times New Roman" w:eastAsia="Times New Roman" w:hAnsi="Times New Roman" w:cs="Times New Roman"/>
                <w:sz w:val="24"/>
                <w:szCs w:val="24"/>
                <w:lang w:val="bg-BG"/>
              </w:rPr>
            </w:pPr>
            <w:r w:rsidRPr="00F70834">
              <w:rPr>
                <w:rFonts w:ascii="Times New Roman" w:eastAsia="Times New Roman" w:hAnsi="Times New Roman" w:cs="Times New Roman"/>
                <w:i/>
                <w:iCs/>
                <w:color w:val="000000"/>
                <w:sz w:val="24"/>
                <w:szCs w:val="24"/>
                <w:lang w:val="bg-BG"/>
              </w:rPr>
              <w:t>1.</w:t>
            </w:r>
            <w:proofErr w:type="spellStart"/>
            <w:r w:rsidRPr="00F70834">
              <w:rPr>
                <w:rFonts w:ascii="Times New Roman" w:eastAsia="Times New Roman" w:hAnsi="Times New Roman" w:cs="Times New Roman"/>
                <w:i/>
                <w:iCs/>
                <w:color w:val="000000"/>
                <w:sz w:val="24"/>
                <w:szCs w:val="24"/>
                <w:lang w:val="bg-BG"/>
              </w:rPr>
              <w:t>1</w:t>
            </w:r>
            <w:proofErr w:type="spellEnd"/>
            <w:r w:rsidRPr="00F70834">
              <w:rPr>
                <w:rFonts w:ascii="Times New Roman" w:eastAsia="Times New Roman" w:hAnsi="Times New Roman" w:cs="Times New Roman"/>
                <w:i/>
                <w:iCs/>
                <w:color w:val="000000"/>
                <w:sz w:val="24"/>
                <w:szCs w:val="24"/>
                <w:lang w:val="bg-BG"/>
              </w:rPr>
              <w:t>. Кратко опишете проблема и причините за неговото възникване. Посочете аргументите, които обосновават нормативната промяна.</w:t>
            </w:r>
          </w:p>
          <w:p w:rsidR="00EB33BE" w:rsidRPr="00EB33BE" w:rsidRDefault="002D2CF3" w:rsidP="00F70834">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sidRPr="00F70834">
              <w:rPr>
                <w:rFonts w:ascii="Times New Roman" w:eastAsia="Times New Roman" w:hAnsi="Times New Roman" w:cs="Times New Roman"/>
                <w:sz w:val="24"/>
                <w:szCs w:val="24"/>
                <w:lang w:val="bg-BG"/>
              </w:rPr>
              <w:t xml:space="preserve">Чрез ЗБР в българското законодателство са въведени изискванията на Директивата на птиците. В практиката по прилагане на тази директива след 2015 г. беше въведен нов термин, който не е отразен в ЗБР. Този термин е „състояние на сигурност”. Той е специфичен за птиците и по смисъл значително се отличава от термина „благоприятно състояние” на популациите, използван при прилагането на Директивата за местообитанията по отношение на всички останали животни и растения. </w:t>
            </w:r>
            <w:r w:rsidR="00EB33BE">
              <w:rPr>
                <w:rFonts w:ascii="Times New Roman" w:eastAsia="Times New Roman" w:hAnsi="Times New Roman" w:cs="Times New Roman"/>
                <w:sz w:val="24"/>
                <w:szCs w:val="24"/>
                <w:lang w:val="bg-BG"/>
              </w:rPr>
              <w:t>Необходимо е и да се отстранят някои технически грешки в изписването на термините.</w:t>
            </w:r>
          </w:p>
          <w:p w:rsidR="002D2CF3" w:rsidRPr="00F821DA" w:rsidRDefault="00F70834" w:rsidP="00F70834">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sidRPr="00EB33BE">
              <w:rPr>
                <w:rFonts w:ascii="Times New Roman" w:eastAsia="Times New Roman" w:hAnsi="Times New Roman" w:cs="Times New Roman"/>
                <w:sz w:val="24"/>
                <w:szCs w:val="24"/>
                <w:lang w:val="bg-BG"/>
              </w:rPr>
              <w:t xml:space="preserve">Необходима </w:t>
            </w:r>
            <w:r w:rsidR="00BC7FD7" w:rsidRPr="00EB33BE">
              <w:rPr>
                <w:rFonts w:ascii="Times New Roman" w:eastAsia="Times New Roman" w:hAnsi="Times New Roman" w:cs="Times New Roman"/>
                <w:sz w:val="24"/>
                <w:szCs w:val="24"/>
                <w:lang w:val="bg-BG"/>
              </w:rPr>
              <w:t>е</w:t>
            </w:r>
            <w:r w:rsidRPr="00EB33BE">
              <w:rPr>
                <w:rFonts w:ascii="Times New Roman" w:eastAsia="Times New Roman" w:hAnsi="Times New Roman" w:cs="Times New Roman"/>
                <w:sz w:val="24"/>
                <w:szCs w:val="24"/>
                <w:lang w:val="bg-BG"/>
              </w:rPr>
              <w:t xml:space="preserve"> и отмяна на въведено задължение за заявяване на количества диви птици при </w:t>
            </w:r>
            <w:proofErr w:type="spellStart"/>
            <w:r w:rsidRPr="00EB33BE">
              <w:rPr>
                <w:rFonts w:ascii="Times New Roman" w:eastAsia="Times New Roman" w:hAnsi="Times New Roman" w:cs="Times New Roman"/>
                <w:sz w:val="24"/>
                <w:szCs w:val="24"/>
                <w:lang w:val="bg-BG"/>
              </w:rPr>
              <w:t>улов</w:t>
            </w:r>
            <w:proofErr w:type="spellEnd"/>
            <w:r w:rsidRPr="00EB33BE">
              <w:rPr>
                <w:rFonts w:ascii="Times New Roman" w:eastAsia="Times New Roman" w:hAnsi="Times New Roman" w:cs="Times New Roman"/>
                <w:sz w:val="24"/>
                <w:szCs w:val="24"/>
                <w:lang w:val="bg-BG"/>
              </w:rPr>
              <w:t>, който не води до отнемане на екземпляри от природата</w:t>
            </w:r>
            <w:r w:rsidR="00EB33BE">
              <w:rPr>
                <w:rFonts w:ascii="Times New Roman" w:eastAsia="Times New Roman" w:hAnsi="Times New Roman" w:cs="Times New Roman"/>
                <w:sz w:val="24"/>
                <w:szCs w:val="24"/>
                <w:lang w:val="bg-BG"/>
              </w:rPr>
              <w:t xml:space="preserve">. Такова задължение не е заложено в Директивата за птиците, но поради грешно разбиране на нейните разпоредби, неправилно е въведено в ЗБР.  </w:t>
            </w:r>
          </w:p>
          <w:p w:rsidR="002D2CF3" w:rsidRPr="00F821DA" w:rsidRDefault="002D2CF3" w:rsidP="00F70834">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p>
          <w:p w:rsidR="002D2CF3" w:rsidRDefault="002D2CF3" w:rsidP="00F70834">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F70834">
              <w:rPr>
                <w:rFonts w:ascii="Times New Roman" w:eastAsia="Times New Roman" w:hAnsi="Times New Roman" w:cs="Times New Roman"/>
                <w:i/>
                <w:iCs/>
                <w:color w:val="000000"/>
                <w:sz w:val="24"/>
                <w:szCs w:val="24"/>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BC7FD7" w:rsidRPr="00F70834" w:rsidRDefault="00EB33BE" w:rsidP="00F70834">
            <w:pPr>
              <w:spacing w:before="120" w:after="120" w:line="240" w:lineRule="auto"/>
              <w:jc w:val="both"/>
              <w:textAlignment w:val="center"/>
              <w:rPr>
                <w:rFonts w:ascii="Times New Roman" w:eastAsia="Times New Roman" w:hAnsi="Times New Roman" w:cs="Times New Roman"/>
                <w:i/>
                <w:iCs/>
                <w:color w:val="000000"/>
                <w:sz w:val="24"/>
                <w:szCs w:val="24"/>
                <w:lang w:val="bg-BG"/>
              </w:rPr>
            </w:pPr>
            <w:r>
              <w:rPr>
                <w:rFonts w:ascii="Times New Roman" w:eastAsia="Times New Roman" w:hAnsi="Times New Roman" w:cs="Times New Roman"/>
                <w:sz w:val="24"/>
                <w:szCs w:val="24"/>
                <w:lang w:val="bg-BG"/>
              </w:rPr>
              <w:t xml:space="preserve">Несъответствията с разпоредбите по Директива за птиците води </w:t>
            </w:r>
            <w:r w:rsidR="00BC7FD7" w:rsidRPr="00F70834">
              <w:rPr>
                <w:rFonts w:ascii="Times New Roman" w:eastAsia="Times New Roman" w:hAnsi="Times New Roman" w:cs="Times New Roman"/>
                <w:sz w:val="24"/>
                <w:szCs w:val="24"/>
                <w:lang w:val="bg-BG"/>
              </w:rPr>
              <w:t>до объркване при разбирането за целите на прилагането на Директивата на птиците и при изпълнението на проекти за оценка на птичите популации.</w:t>
            </w:r>
            <w:r>
              <w:rPr>
                <w:rFonts w:ascii="Times New Roman" w:eastAsia="Times New Roman" w:hAnsi="Times New Roman" w:cs="Times New Roman"/>
                <w:sz w:val="24"/>
                <w:szCs w:val="24"/>
                <w:lang w:val="bg-BG"/>
              </w:rPr>
              <w:t xml:space="preserve"> Не е възможно </w:t>
            </w:r>
            <w:r w:rsidRPr="00EB33BE">
              <w:rPr>
                <w:rFonts w:ascii="Times New Roman" w:eastAsia="Times New Roman" w:hAnsi="Times New Roman" w:cs="Times New Roman"/>
                <w:sz w:val="24"/>
                <w:szCs w:val="24"/>
                <w:lang w:val="bg-BG"/>
              </w:rPr>
              <w:t>проблемът да се реши в рамките на съществуващото законодателство</w:t>
            </w:r>
            <w:r w:rsidR="005D767B">
              <w:rPr>
                <w:rFonts w:ascii="Times New Roman" w:eastAsia="Times New Roman" w:hAnsi="Times New Roman" w:cs="Times New Roman"/>
                <w:sz w:val="24"/>
                <w:szCs w:val="24"/>
                <w:lang w:val="bg-BG"/>
              </w:rPr>
              <w:t>, тъй като въведената</w:t>
            </w:r>
            <w:r>
              <w:rPr>
                <w:rFonts w:ascii="Times New Roman" w:eastAsia="Times New Roman" w:hAnsi="Times New Roman" w:cs="Times New Roman"/>
                <w:sz w:val="24"/>
                <w:szCs w:val="24"/>
                <w:lang w:val="bg-BG"/>
              </w:rPr>
              <w:t xml:space="preserve"> в разбирането на Директивата за птиците терминология е нова и не е отразена в ЗБР.</w:t>
            </w:r>
          </w:p>
          <w:p w:rsidR="00EB33BE" w:rsidRPr="00BC7FD7" w:rsidRDefault="00EB33BE" w:rsidP="00EB33BE">
            <w:pPr>
              <w:shd w:val="clear" w:color="auto" w:fill="FFFFFF"/>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highlight w:val="yellow"/>
                <w:lang w:val="bg-BG"/>
              </w:rPr>
            </w:pPr>
          </w:p>
          <w:p w:rsidR="002D2CF3" w:rsidRPr="00F70834" w:rsidRDefault="002D2CF3" w:rsidP="00F70834">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F70834">
              <w:rPr>
                <w:rFonts w:ascii="Times New Roman" w:eastAsia="Times New Roman" w:hAnsi="Times New Roman" w:cs="Times New Roman"/>
                <w:i/>
                <w:iCs/>
                <w:color w:val="000000"/>
                <w:sz w:val="24"/>
                <w:szCs w:val="24"/>
                <w:lang w:val="bg-BG"/>
              </w:rPr>
              <w:t xml:space="preserve">1.3. Посочете дали са извършени </w:t>
            </w:r>
            <w:proofErr w:type="spellStart"/>
            <w:r w:rsidRPr="00F70834">
              <w:rPr>
                <w:rFonts w:ascii="Times New Roman" w:eastAsia="Times New Roman" w:hAnsi="Times New Roman" w:cs="Times New Roman"/>
                <w:i/>
                <w:iCs/>
                <w:color w:val="000000"/>
                <w:sz w:val="24"/>
                <w:szCs w:val="24"/>
                <w:lang w:val="bg-BG"/>
              </w:rPr>
              <w:t>последващи</w:t>
            </w:r>
            <w:proofErr w:type="spellEnd"/>
            <w:r w:rsidRPr="00F70834">
              <w:rPr>
                <w:rFonts w:ascii="Times New Roman" w:eastAsia="Times New Roman" w:hAnsi="Times New Roman" w:cs="Times New Roman"/>
                <w:i/>
                <w:iCs/>
                <w:color w:val="000000"/>
                <w:sz w:val="24"/>
                <w:szCs w:val="24"/>
                <w:lang w:val="bg-BG"/>
              </w:rPr>
              <w:t xml:space="preserve"> оценки на нормативния акт, или анализи за изпълнението на политиката и какви са резултатите от тях?</w:t>
            </w:r>
          </w:p>
          <w:p w:rsidR="002D2CF3" w:rsidRPr="00F70834" w:rsidRDefault="002D2CF3" w:rsidP="00F70834">
            <w:pPr>
              <w:tabs>
                <w:tab w:val="left" w:pos="0"/>
              </w:tabs>
              <w:spacing w:before="120" w:after="120" w:line="240" w:lineRule="auto"/>
              <w:jc w:val="both"/>
              <w:textAlignment w:val="center"/>
              <w:rPr>
                <w:rFonts w:ascii="Times New Roman" w:eastAsia="Times New Roman" w:hAnsi="Times New Roman" w:cs="Times New Roman"/>
                <w:sz w:val="24"/>
                <w:szCs w:val="24"/>
                <w:lang w:val="bg-BG"/>
              </w:rPr>
            </w:pPr>
            <w:r w:rsidRPr="00F70834">
              <w:rPr>
                <w:rFonts w:ascii="Times New Roman" w:eastAsia="Times New Roman" w:hAnsi="Times New Roman" w:cs="Times New Roman"/>
                <w:sz w:val="24"/>
                <w:szCs w:val="24"/>
                <w:lang w:val="bg-BG"/>
              </w:rPr>
              <w:t>Предложените изменения са необходимост</w:t>
            </w:r>
            <w:r w:rsidR="00BC7FD7">
              <w:rPr>
                <w:rFonts w:ascii="Times New Roman" w:eastAsia="Times New Roman" w:hAnsi="Times New Roman" w:cs="Times New Roman"/>
                <w:sz w:val="24"/>
                <w:szCs w:val="24"/>
                <w:lang w:val="bg-BG"/>
              </w:rPr>
              <w:t>,</w:t>
            </w:r>
            <w:r w:rsidRPr="00F70834">
              <w:rPr>
                <w:rFonts w:ascii="Times New Roman" w:eastAsia="Times New Roman" w:hAnsi="Times New Roman" w:cs="Times New Roman"/>
                <w:sz w:val="24"/>
                <w:szCs w:val="24"/>
                <w:lang w:val="bg-BG"/>
              </w:rPr>
              <w:t xml:space="preserve"> произтичаща от практическото прилагане на закона.</w:t>
            </w:r>
            <w:r w:rsidR="005D767B">
              <w:rPr>
                <w:rFonts w:ascii="Times New Roman" w:eastAsia="Times New Roman" w:hAnsi="Times New Roman" w:cs="Times New Roman"/>
                <w:sz w:val="24"/>
                <w:szCs w:val="24"/>
                <w:lang w:val="bg-BG"/>
              </w:rPr>
              <w:t xml:space="preserve"> </w:t>
            </w:r>
          </w:p>
          <w:p w:rsidR="002D2CF3" w:rsidRPr="00BC7FD7" w:rsidRDefault="002D2CF3" w:rsidP="00F70834">
            <w:pPr>
              <w:tabs>
                <w:tab w:val="left" w:pos="0"/>
              </w:tabs>
              <w:spacing w:before="120" w:after="120" w:line="240" w:lineRule="auto"/>
              <w:jc w:val="both"/>
              <w:textAlignment w:val="center"/>
              <w:rPr>
                <w:rFonts w:ascii="Times New Roman" w:eastAsia="Times New Roman" w:hAnsi="Times New Roman" w:cs="Times New Roman"/>
                <w:sz w:val="24"/>
                <w:szCs w:val="24"/>
                <w:u w:val="single"/>
                <w:lang w:val="bg-BG"/>
              </w:rPr>
            </w:pPr>
            <w:r w:rsidRPr="00BC7FD7">
              <w:rPr>
                <w:rFonts w:ascii="Times New Roman" w:eastAsia="Times New Roman" w:hAnsi="Times New Roman" w:cs="Times New Roman"/>
                <w:b/>
                <w:sz w:val="24"/>
                <w:szCs w:val="24"/>
                <w:u w:val="single"/>
                <w:lang w:val="bg-BG"/>
              </w:rPr>
              <w:t>Проблем 4: Липса на процедури, осигуряващи прилагането на Регламент 338/97</w:t>
            </w:r>
          </w:p>
          <w:p w:rsidR="002D2CF3" w:rsidRPr="00F70834" w:rsidRDefault="002D2CF3" w:rsidP="00BC7FD7">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t>1.</w:t>
            </w:r>
            <w:proofErr w:type="spellStart"/>
            <w:r w:rsidRPr="00F821DA">
              <w:rPr>
                <w:rFonts w:ascii="Times New Roman" w:eastAsia="Times New Roman" w:hAnsi="Times New Roman" w:cs="Times New Roman"/>
                <w:i/>
                <w:iCs/>
                <w:color w:val="000000"/>
                <w:sz w:val="24"/>
                <w:szCs w:val="24"/>
                <w:lang w:val="bg-BG"/>
              </w:rPr>
              <w:t>1</w:t>
            </w:r>
            <w:proofErr w:type="spellEnd"/>
            <w:r w:rsidRPr="00F821DA">
              <w:rPr>
                <w:rFonts w:ascii="Times New Roman" w:eastAsia="Times New Roman" w:hAnsi="Times New Roman" w:cs="Times New Roman"/>
                <w:i/>
                <w:iCs/>
                <w:color w:val="000000"/>
                <w:sz w:val="24"/>
                <w:szCs w:val="24"/>
                <w:lang w:val="bg-BG"/>
              </w:rPr>
              <w:t>. Кратко опишете проблема и причините за неговото възникване. Посочете аргументите, които обосновават нормативната промяна.</w:t>
            </w:r>
          </w:p>
          <w:p w:rsidR="002D2CF3" w:rsidRPr="00A35737" w:rsidRDefault="002D2CF3" w:rsidP="00BC7FD7">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Регламент 338/97 за опазване на застрашени видове от дивата фауна и флора, чрез регулиране на търговията с тях</w:t>
            </w:r>
            <w:r w:rsidR="00292C08" w:rsidRPr="00F70834">
              <w:rPr>
                <w:rFonts w:ascii="Times New Roman" w:eastAsia="Times New Roman" w:hAnsi="Times New Roman" w:cs="Times New Roman"/>
                <w:sz w:val="24"/>
                <w:szCs w:val="24"/>
                <w:lang w:val="bg-BG"/>
              </w:rPr>
              <w:t xml:space="preserve"> е </w:t>
            </w:r>
            <w:r w:rsidRPr="00F70834">
              <w:rPr>
                <w:rFonts w:ascii="Times New Roman" w:eastAsia="Times New Roman" w:hAnsi="Times New Roman" w:cs="Times New Roman"/>
                <w:sz w:val="24"/>
                <w:szCs w:val="24"/>
                <w:lang w:val="bg-BG"/>
              </w:rPr>
              <w:t>пряко приложим</w:t>
            </w:r>
            <w:r w:rsidR="00292C08" w:rsidRPr="00F70834">
              <w:rPr>
                <w:rFonts w:ascii="Times New Roman" w:eastAsia="Times New Roman" w:hAnsi="Times New Roman" w:cs="Times New Roman"/>
                <w:sz w:val="24"/>
                <w:szCs w:val="24"/>
                <w:lang w:val="bg-BG"/>
              </w:rPr>
              <w:t>, но се</w:t>
            </w:r>
            <w:r w:rsidRPr="00F70834">
              <w:rPr>
                <w:rFonts w:ascii="Times New Roman" w:eastAsia="Times New Roman" w:hAnsi="Times New Roman" w:cs="Times New Roman"/>
                <w:sz w:val="24"/>
                <w:szCs w:val="24"/>
                <w:lang w:val="bg-BG"/>
              </w:rPr>
              <w:t xml:space="preserve"> изисква в националното законодателство да се въведат някой процедури, които да осигурят неговото пълно прилагане. Към настоящия момент прилагането на Регламент 338/97 и свързаните с него регламенти не са напълно </w:t>
            </w:r>
            <w:r w:rsidRPr="00F70834">
              <w:rPr>
                <w:rFonts w:ascii="Times New Roman" w:eastAsia="Times New Roman" w:hAnsi="Times New Roman" w:cs="Times New Roman"/>
                <w:sz w:val="24"/>
                <w:szCs w:val="24"/>
                <w:lang w:val="bg-BG"/>
              </w:rPr>
              <w:lastRenderedPageBreak/>
              <w:t xml:space="preserve">хармонизирани в националното законодателство, предвид измененията настъпили в тях в последните няколко години. Предвид това е налице необходимост от известна хармонизация в процедурите свързани с отразяването на решенията взети от Комитета за научен преглед към Европейската комисия и издаването на разрешения по </w:t>
            </w:r>
            <w:r w:rsidRPr="00BC7FD7">
              <w:rPr>
                <w:rFonts w:ascii="Times New Roman" w:eastAsia="Times New Roman" w:hAnsi="Times New Roman" w:cs="Times New Roman"/>
                <w:sz w:val="24"/>
                <w:szCs w:val="24"/>
              </w:rPr>
              <w:t>CITES</w:t>
            </w:r>
            <w:r w:rsidRPr="00BC7FD7">
              <w:rPr>
                <w:rFonts w:ascii="Times New Roman" w:eastAsia="Times New Roman" w:hAnsi="Times New Roman" w:cs="Times New Roman"/>
                <w:sz w:val="24"/>
                <w:szCs w:val="24"/>
                <w:lang w:val="bg-BG"/>
              </w:rPr>
              <w:t xml:space="preserve">.   </w:t>
            </w:r>
          </w:p>
          <w:p w:rsidR="00EB33BE" w:rsidRPr="00A35737" w:rsidRDefault="00EB33BE" w:rsidP="00BC7FD7">
            <w:pPr>
              <w:shd w:val="clear" w:color="auto" w:fill="FFFFFF"/>
              <w:tabs>
                <w:tab w:val="left" w:pos="142"/>
                <w:tab w:val="left" w:pos="993"/>
              </w:tab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p>
          <w:p w:rsidR="002D2CF3" w:rsidRPr="00BC7FD7" w:rsidRDefault="002D2CF3" w:rsidP="00BC7FD7">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BC7FD7">
              <w:rPr>
                <w:rFonts w:ascii="Times New Roman" w:eastAsia="Times New Roman" w:hAnsi="Times New Roman" w:cs="Times New Roman"/>
                <w:i/>
                <w:iCs/>
                <w:color w:val="000000"/>
                <w:sz w:val="24"/>
                <w:szCs w:val="24"/>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2D2CF3" w:rsidRPr="00EB33BE" w:rsidRDefault="002D2CF3" w:rsidP="005D767B">
            <w:pPr>
              <w:shd w:val="clear" w:color="auto" w:fill="FFFFFF"/>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r w:rsidRPr="00BC7FD7">
              <w:rPr>
                <w:rFonts w:ascii="Times New Roman" w:eastAsia="Times New Roman" w:hAnsi="Times New Roman" w:cs="Times New Roman"/>
                <w:sz w:val="24"/>
                <w:szCs w:val="24"/>
                <w:lang w:val="bg-BG"/>
              </w:rPr>
              <w:t xml:space="preserve">Хармонизират се процедурите свързани с отразяването на решенията взети от Комитета за научен преглед към Европейската комисия и издаването на разрешения по </w:t>
            </w:r>
            <w:r w:rsidRPr="00BC7FD7">
              <w:rPr>
                <w:rFonts w:ascii="Times New Roman" w:eastAsia="Times New Roman" w:hAnsi="Times New Roman" w:cs="Times New Roman"/>
                <w:sz w:val="24"/>
                <w:szCs w:val="24"/>
              </w:rPr>
              <w:t>CITES</w:t>
            </w:r>
            <w:r w:rsidRPr="00BC7FD7">
              <w:rPr>
                <w:rFonts w:ascii="Times New Roman" w:eastAsia="Times New Roman" w:hAnsi="Times New Roman" w:cs="Times New Roman"/>
                <w:sz w:val="24"/>
                <w:szCs w:val="24"/>
                <w:lang w:val="bg-BG"/>
              </w:rPr>
              <w:t xml:space="preserve">.  </w:t>
            </w:r>
          </w:p>
          <w:p w:rsidR="00EB33BE" w:rsidRPr="00BC7FD7" w:rsidRDefault="00EB33BE" w:rsidP="00EB33BE">
            <w:pPr>
              <w:shd w:val="clear" w:color="auto" w:fill="FFFFFF"/>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sz w:val="24"/>
                <w:szCs w:val="24"/>
                <w:lang w:val="bg-BG"/>
              </w:rPr>
            </w:pPr>
          </w:p>
          <w:p w:rsidR="002D2CF3" w:rsidRPr="00BC7FD7" w:rsidRDefault="002D2CF3" w:rsidP="00BC7FD7">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BC7FD7">
              <w:rPr>
                <w:rFonts w:ascii="Times New Roman" w:eastAsia="Times New Roman" w:hAnsi="Times New Roman" w:cs="Times New Roman"/>
                <w:i/>
                <w:iCs/>
                <w:color w:val="000000"/>
                <w:sz w:val="24"/>
                <w:szCs w:val="24"/>
                <w:lang w:val="bg-BG"/>
              </w:rPr>
              <w:t xml:space="preserve">1.3. Посочете дали са извършени </w:t>
            </w:r>
            <w:proofErr w:type="spellStart"/>
            <w:r w:rsidRPr="00BC7FD7">
              <w:rPr>
                <w:rFonts w:ascii="Times New Roman" w:eastAsia="Times New Roman" w:hAnsi="Times New Roman" w:cs="Times New Roman"/>
                <w:i/>
                <w:iCs/>
                <w:color w:val="000000"/>
                <w:sz w:val="24"/>
                <w:szCs w:val="24"/>
                <w:lang w:val="bg-BG"/>
              </w:rPr>
              <w:t>последващи</w:t>
            </w:r>
            <w:proofErr w:type="spellEnd"/>
            <w:r w:rsidRPr="00BC7FD7">
              <w:rPr>
                <w:rFonts w:ascii="Times New Roman" w:eastAsia="Times New Roman" w:hAnsi="Times New Roman" w:cs="Times New Roman"/>
                <w:i/>
                <w:iCs/>
                <w:color w:val="000000"/>
                <w:sz w:val="24"/>
                <w:szCs w:val="24"/>
                <w:lang w:val="bg-BG"/>
              </w:rPr>
              <w:t xml:space="preserve"> оценки на нормативния акт, или анализи за изпълнението на политиката и какви са резултатите от тях?</w:t>
            </w:r>
          </w:p>
          <w:p w:rsidR="002D2CF3" w:rsidRDefault="002D2CF3" w:rsidP="00BC7FD7">
            <w:pPr>
              <w:tabs>
                <w:tab w:val="left" w:pos="0"/>
              </w:tabs>
              <w:spacing w:before="120" w:after="120" w:line="240" w:lineRule="auto"/>
              <w:jc w:val="both"/>
              <w:textAlignment w:val="center"/>
              <w:rPr>
                <w:rFonts w:ascii="Times New Roman" w:eastAsia="Times New Roman" w:hAnsi="Times New Roman" w:cs="Times New Roman"/>
                <w:sz w:val="24"/>
                <w:szCs w:val="24"/>
                <w:lang w:val="bg-BG"/>
              </w:rPr>
            </w:pPr>
            <w:r w:rsidRPr="00BC7FD7">
              <w:rPr>
                <w:rFonts w:ascii="Times New Roman" w:eastAsia="Times New Roman" w:hAnsi="Times New Roman" w:cs="Times New Roman"/>
                <w:sz w:val="24"/>
                <w:szCs w:val="24"/>
                <w:lang w:val="bg-BG"/>
              </w:rPr>
              <w:t>Предложените изменения във връзка с прилагането на Регламент 338/97 са необходимост произтичаща от практическото прилагане на закона.</w:t>
            </w:r>
          </w:p>
          <w:p w:rsidR="005D767B" w:rsidRPr="00BC7FD7" w:rsidRDefault="005D767B" w:rsidP="00BC7FD7">
            <w:pPr>
              <w:tabs>
                <w:tab w:val="left" w:pos="0"/>
              </w:tabs>
              <w:spacing w:before="120" w:after="120" w:line="240" w:lineRule="auto"/>
              <w:jc w:val="both"/>
              <w:textAlignment w:val="center"/>
              <w:rPr>
                <w:rFonts w:ascii="Times New Roman" w:eastAsia="Times New Roman" w:hAnsi="Times New Roman" w:cs="Times New Roman"/>
                <w:sz w:val="24"/>
                <w:szCs w:val="24"/>
                <w:lang w:val="bg-BG"/>
              </w:rPr>
            </w:pPr>
          </w:p>
          <w:p w:rsidR="00292C08" w:rsidRPr="005D767B" w:rsidRDefault="002D2CF3" w:rsidP="005D767B">
            <w:pPr>
              <w:spacing w:before="120" w:after="120" w:line="240" w:lineRule="auto"/>
              <w:jc w:val="both"/>
              <w:textAlignment w:val="center"/>
              <w:rPr>
                <w:rFonts w:ascii="Times New Roman" w:eastAsia="Times New Roman" w:hAnsi="Times New Roman" w:cs="Times New Roman"/>
                <w:i/>
                <w:iCs/>
                <w:color w:val="000000"/>
                <w:sz w:val="24"/>
                <w:szCs w:val="24"/>
                <w:u w:val="single"/>
                <w:lang w:val="bg-BG"/>
              </w:rPr>
            </w:pPr>
            <w:r w:rsidRPr="005D767B">
              <w:rPr>
                <w:rFonts w:ascii="Times New Roman" w:eastAsia="Times New Roman" w:hAnsi="Times New Roman" w:cs="Times New Roman"/>
                <w:b/>
                <w:sz w:val="24"/>
                <w:szCs w:val="24"/>
                <w:u w:val="single"/>
                <w:lang w:val="bg-BG"/>
              </w:rPr>
              <w:t xml:space="preserve">Проблем 5: </w:t>
            </w:r>
            <w:r w:rsidR="00292C08" w:rsidRPr="005D767B">
              <w:rPr>
                <w:rFonts w:ascii="Times New Roman" w:eastAsia="Times New Roman" w:hAnsi="Times New Roman" w:cs="Times New Roman"/>
                <w:b/>
                <w:sz w:val="24"/>
                <w:szCs w:val="24"/>
                <w:u w:val="single"/>
                <w:lang w:val="bg-BG"/>
              </w:rPr>
              <w:t xml:space="preserve">Некоригирани разпоредби, касаещи административната тежест за гражданите </w:t>
            </w:r>
          </w:p>
          <w:p w:rsidR="002D2CF3" w:rsidRPr="00F70834" w:rsidRDefault="002D2CF3" w:rsidP="005D767B">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t>1.</w:t>
            </w:r>
            <w:proofErr w:type="spellStart"/>
            <w:r w:rsidRPr="00F821DA">
              <w:rPr>
                <w:rFonts w:ascii="Times New Roman" w:eastAsia="Times New Roman" w:hAnsi="Times New Roman" w:cs="Times New Roman"/>
                <w:i/>
                <w:iCs/>
                <w:color w:val="000000"/>
                <w:sz w:val="24"/>
                <w:szCs w:val="24"/>
                <w:lang w:val="bg-BG"/>
              </w:rPr>
              <w:t>1</w:t>
            </w:r>
            <w:proofErr w:type="spellEnd"/>
            <w:r w:rsidRPr="00F821DA">
              <w:rPr>
                <w:rFonts w:ascii="Times New Roman" w:eastAsia="Times New Roman" w:hAnsi="Times New Roman" w:cs="Times New Roman"/>
                <w:i/>
                <w:iCs/>
                <w:color w:val="000000"/>
                <w:sz w:val="24"/>
                <w:szCs w:val="24"/>
                <w:lang w:val="bg-BG"/>
              </w:rPr>
              <w:t>. Кратко опишете проблема и причините за неговото възникване. Посочете аргументите</w:t>
            </w:r>
            <w:r w:rsidRPr="00F70834">
              <w:rPr>
                <w:rFonts w:ascii="Times New Roman" w:eastAsia="Times New Roman" w:hAnsi="Times New Roman" w:cs="Times New Roman"/>
                <w:i/>
                <w:iCs/>
                <w:color w:val="000000"/>
                <w:sz w:val="24"/>
                <w:szCs w:val="24"/>
                <w:lang w:val="bg-BG"/>
              </w:rPr>
              <w:t>, които обосновават нормативната промяна.</w:t>
            </w:r>
          </w:p>
          <w:p w:rsidR="002D2CF3" w:rsidRPr="005D767B" w:rsidRDefault="002D2CF3" w:rsidP="00F821DA">
            <w:p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Законът в настоящия си вариант не отговаря на изискванията за намаляване на административната тежест за гражданите. Необходимо е премахване на изискванията за предоставяне на документи, свързани с регистрацията на фирмите.</w:t>
            </w:r>
          </w:p>
          <w:p w:rsidR="002D2CF3" w:rsidRPr="005D767B" w:rsidRDefault="002D2CF3"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1B763B" w:rsidRPr="005D767B" w:rsidRDefault="00292C08" w:rsidP="005D767B">
            <w:pPr>
              <w:numPr>
                <w:ilvl w:val="0"/>
                <w:numId w:val="23"/>
              </w:numPr>
              <w:shd w:val="clear" w:color="auto" w:fill="FFFFFF"/>
              <w:overflowPunct w:val="0"/>
              <w:autoSpaceDE w:val="0"/>
              <w:autoSpaceDN w:val="0"/>
              <w:adjustRightInd w:val="0"/>
              <w:spacing w:before="120" w:after="120" w:line="240" w:lineRule="auto"/>
              <w:ind w:left="714" w:hanging="357"/>
              <w:jc w:val="both"/>
              <w:textAlignment w:val="baseline"/>
              <w:outlineLvl w:val="0"/>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В закона все още съществуват разпоредби изискващи </w:t>
            </w:r>
            <w:r w:rsidR="001B763B" w:rsidRPr="005D767B">
              <w:rPr>
                <w:rFonts w:ascii="Times New Roman" w:eastAsia="Times New Roman" w:hAnsi="Times New Roman" w:cs="Times New Roman"/>
                <w:sz w:val="24"/>
                <w:szCs w:val="24"/>
                <w:lang w:val="bg-BG"/>
              </w:rPr>
              <w:t xml:space="preserve">предоставяне на документи които могат да бъдат предоставени по служебен път </w:t>
            </w:r>
          </w:p>
          <w:p w:rsidR="002D2CF3" w:rsidRPr="005D767B" w:rsidRDefault="002D2CF3" w:rsidP="005D767B">
            <w:pPr>
              <w:shd w:val="clear" w:color="auto" w:fill="FFFFFF"/>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 xml:space="preserve">1.3. Посочете дали са извършени </w:t>
            </w:r>
            <w:proofErr w:type="spellStart"/>
            <w:r w:rsidRPr="005D767B">
              <w:rPr>
                <w:rFonts w:ascii="Times New Roman" w:eastAsia="Times New Roman" w:hAnsi="Times New Roman" w:cs="Times New Roman"/>
                <w:i/>
                <w:iCs/>
                <w:color w:val="000000"/>
                <w:sz w:val="24"/>
                <w:szCs w:val="24"/>
                <w:lang w:val="bg-BG"/>
              </w:rPr>
              <w:t>последващи</w:t>
            </w:r>
            <w:proofErr w:type="spellEnd"/>
            <w:r w:rsidRPr="005D767B">
              <w:rPr>
                <w:rFonts w:ascii="Times New Roman" w:eastAsia="Times New Roman" w:hAnsi="Times New Roman" w:cs="Times New Roman"/>
                <w:i/>
                <w:iCs/>
                <w:color w:val="000000"/>
                <w:sz w:val="24"/>
                <w:szCs w:val="24"/>
                <w:lang w:val="bg-BG"/>
              </w:rPr>
              <w:t xml:space="preserve"> оценки на нормативния акт, или анализи за изпълнението на политиката и какви са резултатите от тях?</w:t>
            </w:r>
          </w:p>
          <w:p w:rsidR="00644237" w:rsidRPr="005D767B" w:rsidRDefault="002D2CF3" w:rsidP="00F821DA">
            <w:pPr>
              <w:spacing w:before="120" w:after="120" w:line="240" w:lineRule="auto"/>
              <w:jc w:val="both"/>
              <w:textAlignment w:val="center"/>
              <w:rPr>
                <w:rFonts w:ascii="Times New Roman" w:eastAsia="Times New Roman" w:hAnsi="Times New Roman" w:cs="Times New Roman"/>
                <w:b/>
                <w:sz w:val="24"/>
                <w:szCs w:val="24"/>
                <w:u w:val="single"/>
                <w:lang w:val="bg-BG"/>
              </w:rPr>
            </w:pPr>
            <w:r w:rsidRPr="005D767B">
              <w:rPr>
                <w:rFonts w:ascii="Times New Roman" w:eastAsia="Times New Roman" w:hAnsi="Times New Roman" w:cs="Times New Roman"/>
                <w:sz w:val="24"/>
                <w:szCs w:val="24"/>
                <w:lang w:val="bg-BG"/>
              </w:rPr>
              <w:t xml:space="preserve">Предложените изменения </w:t>
            </w:r>
            <w:r w:rsidR="001B763B" w:rsidRPr="005D767B">
              <w:rPr>
                <w:rFonts w:ascii="Times New Roman" w:eastAsia="Times New Roman" w:hAnsi="Times New Roman" w:cs="Times New Roman"/>
                <w:sz w:val="24"/>
                <w:szCs w:val="24"/>
                <w:lang w:val="bg-BG"/>
              </w:rPr>
              <w:t xml:space="preserve">са </w:t>
            </w:r>
            <w:r w:rsidRPr="005D767B">
              <w:rPr>
                <w:rFonts w:ascii="Times New Roman" w:eastAsia="Times New Roman" w:hAnsi="Times New Roman" w:cs="Times New Roman"/>
                <w:sz w:val="24"/>
                <w:szCs w:val="24"/>
                <w:lang w:val="bg-BG"/>
              </w:rPr>
              <w:t xml:space="preserve">във връзка с </w:t>
            </w:r>
            <w:r w:rsidR="001B763B" w:rsidRPr="005D767B">
              <w:rPr>
                <w:rFonts w:ascii="Times New Roman" w:eastAsia="Times New Roman" w:hAnsi="Times New Roman" w:cs="Times New Roman"/>
                <w:sz w:val="24"/>
                <w:szCs w:val="24"/>
                <w:lang w:val="bg-BG"/>
              </w:rPr>
              <w:t>намаляване на административната тежест за гражданите и фирмите</w:t>
            </w:r>
            <w:r w:rsidRPr="005D767B">
              <w:rPr>
                <w:rFonts w:ascii="Times New Roman" w:eastAsia="Times New Roman" w:hAnsi="Times New Roman" w:cs="Times New Roman"/>
                <w:sz w:val="24"/>
                <w:szCs w:val="24"/>
                <w:lang w:val="bg-BG"/>
              </w:rPr>
              <w:t>.</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b/>
                <w:bCs/>
                <w:color w:val="000000"/>
                <w:sz w:val="24"/>
                <w:szCs w:val="24"/>
                <w:lang w:val="bg-BG"/>
              </w:rPr>
              <w:lastRenderedPageBreak/>
              <w:t>2. Цели:</w:t>
            </w:r>
            <w:r w:rsidRPr="00F821DA">
              <w:rPr>
                <w:rFonts w:ascii="Times New Roman" w:eastAsia="Times New Roman" w:hAnsi="Times New Roman" w:cs="Times New Roman"/>
                <w:sz w:val="24"/>
                <w:szCs w:val="24"/>
                <w:lang w:val="bg-BG"/>
              </w:rPr>
              <w:t xml:space="preserve"> </w:t>
            </w:r>
          </w:p>
          <w:p w:rsidR="001D630F" w:rsidRPr="00F70834" w:rsidRDefault="001D630F" w:rsidP="00F821DA">
            <w:pPr>
              <w:spacing w:before="120" w:after="120" w:line="240" w:lineRule="auto"/>
              <w:jc w:val="center"/>
              <w:rPr>
                <w:rFonts w:ascii="Times New Roman" w:eastAsia="Calibri"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t xml:space="preserve">Посочете целите, които си поставя нормативната промяна, по конкретен и измерим начин </w:t>
            </w:r>
            <w:r w:rsidRPr="00F821DA">
              <w:rPr>
                <w:rFonts w:ascii="Times New Roman" w:eastAsia="Times New Roman" w:hAnsi="Times New Roman" w:cs="Times New Roman"/>
                <w:i/>
                <w:iCs/>
                <w:color w:val="000000"/>
                <w:sz w:val="24"/>
                <w:szCs w:val="24"/>
                <w:lang w:val="bg-BG"/>
              </w:rPr>
              <w:lastRenderedPageBreak/>
              <w:t>и график, ако е приложимо, за тяхното постигане. Съответстват ли целите на действащата стратегическа рамка?</w:t>
            </w:r>
          </w:p>
          <w:p w:rsidR="001D630F" w:rsidRPr="00F70834" w:rsidRDefault="00E04786" w:rsidP="005D767B">
            <w:pPr>
              <w:spacing w:before="120" w:after="120" w:line="240" w:lineRule="auto"/>
              <w:textAlignment w:val="center"/>
              <w:rPr>
                <w:rFonts w:ascii="Times New Roman" w:eastAsia="Times New Roman" w:hAnsi="Times New Roman" w:cs="Times New Roman"/>
                <w:iCs/>
                <w:color w:val="000000"/>
                <w:sz w:val="24"/>
                <w:szCs w:val="24"/>
                <w:lang w:val="bg-BG"/>
              </w:rPr>
            </w:pPr>
            <w:r w:rsidRPr="00F70834">
              <w:rPr>
                <w:rFonts w:ascii="Times New Roman" w:eastAsia="Times New Roman" w:hAnsi="Times New Roman" w:cs="Times New Roman"/>
                <w:b/>
                <w:iCs/>
                <w:color w:val="000000"/>
                <w:sz w:val="24"/>
                <w:szCs w:val="24"/>
                <w:lang w:val="bg-BG"/>
              </w:rPr>
              <w:t>Н</w:t>
            </w:r>
            <w:r w:rsidR="00840EA0" w:rsidRPr="00F70834">
              <w:rPr>
                <w:rFonts w:ascii="Times New Roman" w:eastAsia="Times New Roman" w:hAnsi="Times New Roman" w:cs="Times New Roman"/>
                <w:b/>
                <w:iCs/>
                <w:color w:val="000000"/>
                <w:sz w:val="24"/>
                <w:szCs w:val="24"/>
                <w:lang w:val="bg-BG"/>
              </w:rPr>
              <w:t>ормативните промени</w:t>
            </w:r>
            <w:r w:rsidR="001D630F" w:rsidRPr="00F70834">
              <w:rPr>
                <w:rFonts w:ascii="Times New Roman" w:eastAsia="Times New Roman" w:hAnsi="Times New Roman" w:cs="Times New Roman"/>
                <w:b/>
                <w:iCs/>
                <w:color w:val="000000"/>
                <w:sz w:val="24"/>
                <w:szCs w:val="24"/>
                <w:lang w:val="bg-BG"/>
              </w:rPr>
              <w:t xml:space="preserve"> си поставя</w:t>
            </w:r>
            <w:r w:rsidR="00840EA0" w:rsidRPr="00F70834">
              <w:rPr>
                <w:rFonts w:ascii="Times New Roman" w:eastAsia="Times New Roman" w:hAnsi="Times New Roman" w:cs="Times New Roman"/>
                <w:b/>
                <w:iCs/>
                <w:color w:val="000000"/>
                <w:sz w:val="24"/>
                <w:szCs w:val="24"/>
                <w:lang w:val="bg-BG"/>
              </w:rPr>
              <w:t>т</w:t>
            </w:r>
            <w:r w:rsidR="001D630F" w:rsidRPr="00F70834">
              <w:rPr>
                <w:rFonts w:ascii="Times New Roman" w:eastAsia="Times New Roman" w:hAnsi="Times New Roman" w:cs="Times New Roman"/>
                <w:b/>
                <w:iCs/>
                <w:color w:val="000000"/>
                <w:sz w:val="24"/>
                <w:szCs w:val="24"/>
                <w:lang w:val="bg-BG"/>
              </w:rPr>
              <w:t xml:space="preserve"> следните цели</w:t>
            </w:r>
            <w:r w:rsidR="001D630F" w:rsidRPr="00F70834">
              <w:rPr>
                <w:rFonts w:ascii="Times New Roman" w:eastAsia="Times New Roman" w:hAnsi="Times New Roman" w:cs="Times New Roman"/>
                <w:iCs/>
                <w:color w:val="000000"/>
                <w:sz w:val="24"/>
                <w:szCs w:val="24"/>
                <w:lang w:val="bg-BG"/>
              </w:rPr>
              <w:t xml:space="preserve">: </w:t>
            </w:r>
          </w:p>
          <w:p w:rsidR="00D50EF1" w:rsidRPr="00F70834" w:rsidRDefault="00D50EF1"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F70834">
              <w:rPr>
                <w:rFonts w:ascii="Times New Roman" w:eastAsia="Times New Roman" w:hAnsi="Times New Roman" w:cs="Times New Roman"/>
                <w:sz w:val="24"/>
                <w:szCs w:val="24"/>
                <w:lang w:val="bg-BG"/>
              </w:rPr>
              <w:t>Въвеждане на новия подход за управление на мрежата Натура 2000 в България;</w:t>
            </w:r>
          </w:p>
          <w:p w:rsidR="00D50EF1" w:rsidRPr="005D767B" w:rsidRDefault="00D50EF1"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BC7FD7">
              <w:rPr>
                <w:rFonts w:ascii="Times New Roman" w:eastAsia="Times New Roman" w:hAnsi="Times New Roman" w:cs="Times New Roman"/>
                <w:sz w:val="24"/>
                <w:szCs w:val="24"/>
                <w:lang w:val="bg-BG"/>
              </w:rPr>
              <w:t xml:space="preserve">Осигуряване на цялостния процес по разработване и прилагане на мерки за подобряване/поддържане на природозащитното състояние </w:t>
            </w:r>
            <w:r w:rsidR="00BB4D57" w:rsidRPr="005D767B">
              <w:rPr>
                <w:rFonts w:ascii="Times New Roman" w:eastAsia="Times New Roman" w:hAnsi="Times New Roman" w:cs="Times New Roman"/>
                <w:sz w:val="24"/>
                <w:szCs w:val="24"/>
                <w:lang w:val="bg-BG"/>
              </w:rPr>
              <w:t xml:space="preserve">и състоянието на сигурност </w:t>
            </w:r>
            <w:r w:rsidRPr="005D767B">
              <w:rPr>
                <w:rFonts w:ascii="Times New Roman" w:eastAsia="Times New Roman" w:hAnsi="Times New Roman" w:cs="Times New Roman"/>
                <w:sz w:val="24"/>
                <w:szCs w:val="24"/>
                <w:lang w:val="bg-BG"/>
              </w:rPr>
              <w:t>на видовете и природните местообитания по Директива за местообитанията и Директива за птиците;</w:t>
            </w:r>
          </w:p>
          <w:p w:rsidR="000476CF" w:rsidRPr="005D767B" w:rsidRDefault="00D50EF1"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Осигуряване на ефективно и ефикасно управление на мрежата Натура 2000 в България, в съответствие с изискванията на Директива за местообитанията и указанията на ЕК.</w:t>
            </w:r>
          </w:p>
          <w:p w:rsidR="00162E4B" w:rsidRPr="005D767B" w:rsidRDefault="00162E4B"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Допълване на разпоредбите по предоставяне на достъп до генетични ресурси.</w:t>
            </w:r>
          </w:p>
          <w:p w:rsidR="00BB4D57" w:rsidRPr="005D767B" w:rsidRDefault="00BB4D57"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Осигуряване съответствие и хармонизация с законодателството на Европейския съюз</w:t>
            </w:r>
            <w:r w:rsidR="00162E4B" w:rsidRPr="005D767B">
              <w:rPr>
                <w:rFonts w:ascii="Times New Roman" w:eastAsia="Times New Roman" w:hAnsi="Times New Roman" w:cs="Times New Roman"/>
                <w:sz w:val="24"/>
                <w:szCs w:val="24"/>
                <w:lang w:val="bg-BG"/>
              </w:rPr>
              <w:t xml:space="preserve"> в областта на международната търговия със застрашени видове.</w:t>
            </w:r>
          </w:p>
          <w:p w:rsidR="00162E4B" w:rsidRPr="005D767B" w:rsidRDefault="00162E4B"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Намаляване на административната тежест за гражданите.</w:t>
            </w:r>
          </w:p>
          <w:p w:rsidR="00D50EF1" w:rsidRPr="005D767B" w:rsidRDefault="00D50EF1" w:rsidP="00F821DA">
            <w:pPr>
              <w:spacing w:before="120" w:after="120" w:line="240" w:lineRule="auto"/>
              <w:jc w:val="both"/>
              <w:rPr>
                <w:rFonts w:ascii="Times New Roman" w:eastAsia="Calibri" w:hAnsi="Times New Roman" w:cs="Times New Roman"/>
                <w:sz w:val="24"/>
                <w:szCs w:val="24"/>
                <w:lang w:val="bg-BG"/>
              </w:rPr>
            </w:pPr>
            <w:r w:rsidRPr="005D767B">
              <w:rPr>
                <w:rFonts w:ascii="Times New Roman" w:eastAsia="Calibri" w:hAnsi="Times New Roman" w:cs="Times New Roman"/>
                <w:sz w:val="24"/>
                <w:szCs w:val="24"/>
                <w:lang w:val="bg-BG"/>
              </w:rPr>
              <w:t>Н</w:t>
            </w:r>
            <w:r w:rsidR="00E84D8F" w:rsidRPr="005D767B">
              <w:rPr>
                <w:rFonts w:ascii="Times New Roman" w:eastAsia="Calibri" w:hAnsi="Times New Roman" w:cs="Times New Roman"/>
                <w:sz w:val="24"/>
                <w:szCs w:val="24"/>
                <w:lang w:val="bg-BG"/>
              </w:rPr>
              <w:t xml:space="preserve">еобходими </w:t>
            </w:r>
            <w:r w:rsidRPr="005D767B">
              <w:rPr>
                <w:rFonts w:ascii="Times New Roman" w:eastAsia="Calibri" w:hAnsi="Times New Roman" w:cs="Times New Roman"/>
                <w:sz w:val="24"/>
                <w:szCs w:val="24"/>
                <w:lang w:val="bg-BG"/>
              </w:rPr>
              <w:t xml:space="preserve">са </w:t>
            </w:r>
            <w:r w:rsidR="00E84D8F" w:rsidRPr="005D767B">
              <w:rPr>
                <w:rFonts w:ascii="Times New Roman" w:eastAsia="Calibri" w:hAnsi="Times New Roman" w:cs="Times New Roman"/>
                <w:sz w:val="24"/>
                <w:szCs w:val="24"/>
                <w:lang w:val="bg-BG"/>
              </w:rPr>
              <w:t xml:space="preserve">целенасочени усилия за </w:t>
            </w:r>
            <w:r w:rsidRPr="005D767B">
              <w:rPr>
                <w:rFonts w:ascii="Times New Roman" w:eastAsia="Calibri" w:hAnsi="Times New Roman" w:cs="Times New Roman"/>
                <w:sz w:val="24"/>
                <w:szCs w:val="24"/>
                <w:lang w:val="bg-BG"/>
              </w:rPr>
              <w:t>въвеждане на новия подход за управление на мрежата Натура 2000,</w:t>
            </w:r>
            <w:r w:rsidR="00E84D8F" w:rsidRPr="005D767B">
              <w:rPr>
                <w:rFonts w:ascii="Times New Roman" w:eastAsia="Calibri" w:hAnsi="Times New Roman" w:cs="Times New Roman"/>
                <w:sz w:val="24"/>
                <w:szCs w:val="24"/>
                <w:lang w:val="bg-BG"/>
              </w:rPr>
              <w:t xml:space="preserve"> през програмния период 2014-2020 г.</w:t>
            </w:r>
            <w:r w:rsidRPr="005D767B">
              <w:rPr>
                <w:rFonts w:ascii="Times New Roman" w:eastAsia="Calibri" w:hAnsi="Times New Roman" w:cs="Times New Roman"/>
                <w:sz w:val="24"/>
                <w:szCs w:val="24"/>
                <w:lang w:val="bg-BG"/>
              </w:rPr>
              <w:t xml:space="preserve"> Това включва изпълнението на </w:t>
            </w:r>
            <w:r w:rsidRPr="005D767B">
              <w:rPr>
                <w:rFonts w:ascii="Times New Roman" w:eastAsia="Times New Roman" w:hAnsi="Times New Roman" w:cs="Times New Roman"/>
                <w:sz w:val="24"/>
                <w:szCs w:val="24"/>
                <w:lang w:val="bg-BG"/>
              </w:rPr>
              <w:t>следните етапи, в които дейностите са подредени в логическа последователност и обвързаност, с оглед икономия на време:</w:t>
            </w:r>
          </w:p>
          <w:p w:rsidR="00D50EF1" w:rsidRPr="005D767B" w:rsidRDefault="00D50EF1" w:rsidP="00F821DA">
            <w:pPr>
              <w:numPr>
                <w:ilvl w:val="0"/>
                <w:numId w:val="27"/>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b/>
                <w:i/>
                <w:sz w:val="24"/>
                <w:szCs w:val="24"/>
                <w:lang w:val="bg-BG"/>
              </w:rPr>
              <w:t>Етап 1:</w:t>
            </w:r>
            <w:r w:rsidRPr="005D767B">
              <w:rPr>
                <w:rFonts w:ascii="Times New Roman" w:eastAsia="Times New Roman" w:hAnsi="Times New Roman" w:cs="Times New Roman"/>
                <w:sz w:val="24"/>
                <w:szCs w:val="24"/>
                <w:lang w:val="bg-BG"/>
              </w:rPr>
              <w:t xml:space="preserve"> Осигуряване на управлението на мрежата Натура 2000 на национално ниво;</w:t>
            </w:r>
          </w:p>
          <w:p w:rsidR="00D50EF1" w:rsidRPr="005D767B" w:rsidRDefault="00D50EF1" w:rsidP="00F821DA">
            <w:pPr>
              <w:numPr>
                <w:ilvl w:val="0"/>
                <w:numId w:val="27"/>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b/>
                <w:i/>
                <w:sz w:val="24"/>
                <w:szCs w:val="24"/>
                <w:lang w:val="bg-BG"/>
              </w:rPr>
              <w:t>Етап 2:</w:t>
            </w:r>
            <w:r w:rsidRPr="005D767B">
              <w:rPr>
                <w:rFonts w:ascii="Times New Roman" w:eastAsia="Times New Roman" w:hAnsi="Times New Roman" w:cs="Times New Roman"/>
                <w:sz w:val="24"/>
                <w:szCs w:val="24"/>
                <w:lang w:val="bg-BG"/>
              </w:rPr>
              <w:t xml:space="preserve"> Осигуряване на управлението на мрежата Натура 2000 на </w:t>
            </w:r>
            <w:r w:rsidR="006F6EDF">
              <w:rPr>
                <w:rFonts w:ascii="Times New Roman" w:eastAsia="Times New Roman" w:hAnsi="Times New Roman" w:cs="Times New Roman"/>
                <w:sz w:val="24"/>
                <w:szCs w:val="24"/>
                <w:lang w:val="bg-BG"/>
              </w:rPr>
              <w:t>регионално</w:t>
            </w:r>
            <w:r w:rsidR="006F6EDF" w:rsidRPr="005D767B">
              <w:rPr>
                <w:rFonts w:ascii="Times New Roman" w:eastAsia="Times New Roman" w:hAnsi="Times New Roman" w:cs="Times New Roman"/>
                <w:sz w:val="24"/>
                <w:szCs w:val="24"/>
                <w:lang w:val="bg-BG"/>
              </w:rPr>
              <w:t xml:space="preserve"> </w:t>
            </w:r>
            <w:r w:rsidRPr="005D767B">
              <w:rPr>
                <w:rFonts w:ascii="Times New Roman" w:eastAsia="Times New Roman" w:hAnsi="Times New Roman" w:cs="Times New Roman"/>
                <w:sz w:val="24"/>
                <w:szCs w:val="24"/>
                <w:lang w:val="bg-BG"/>
              </w:rPr>
              <w:t>ниво.</w:t>
            </w:r>
          </w:p>
          <w:p w:rsidR="00D50EF1" w:rsidRPr="005D767B" w:rsidRDefault="00D50EF1" w:rsidP="00F821DA">
            <w:pPr>
              <w:numPr>
                <w:ilvl w:val="0"/>
                <w:numId w:val="27"/>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b/>
                <w:i/>
                <w:sz w:val="24"/>
                <w:szCs w:val="24"/>
                <w:lang w:val="bg-BG"/>
              </w:rPr>
              <w:t>Етап 3:</w:t>
            </w:r>
            <w:r w:rsidRPr="005D767B">
              <w:rPr>
                <w:rFonts w:ascii="Times New Roman" w:eastAsia="Times New Roman" w:hAnsi="Times New Roman" w:cs="Times New Roman"/>
                <w:sz w:val="24"/>
                <w:szCs w:val="24"/>
                <w:lang w:val="bg-BG"/>
              </w:rPr>
              <w:t xml:space="preserve"> Преглед на управлението на мрежата Натура 2000 и защитените зони</w:t>
            </w:r>
          </w:p>
          <w:p w:rsidR="00D50EF1" w:rsidRPr="005D767B" w:rsidRDefault="00D50EF1" w:rsidP="00F821DA">
            <w:p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Тези етапи ще се реализират чрез конкретни дейности, посочени по-долу:</w:t>
            </w:r>
          </w:p>
          <w:p w:rsidR="00D50EF1" w:rsidRPr="005D767B" w:rsidRDefault="00D50EF1" w:rsidP="00F70834">
            <w:pPr>
              <w:spacing w:before="120" w:after="120" w:line="240" w:lineRule="auto"/>
              <w:jc w:val="both"/>
              <w:rPr>
                <w:rFonts w:ascii="Times New Roman" w:eastAsia="Times New Roman" w:hAnsi="Times New Roman" w:cs="Times New Roman"/>
                <w:b/>
                <w:i/>
                <w:color w:val="E36C0A"/>
                <w:sz w:val="24"/>
                <w:szCs w:val="24"/>
                <w:lang w:val="bg-BG"/>
              </w:rPr>
            </w:pPr>
            <w:r w:rsidRPr="005D767B">
              <w:rPr>
                <w:rFonts w:ascii="Times New Roman" w:eastAsia="Times New Roman" w:hAnsi="Times New Roman" w:cs="Times New Roman"/>
                <w:b/>
                <w:i/>
                <w:color w:val="E36C0A"/>
                <w:sz w:val="24"/>
                <w:szCs w:val="24"/>
                <w:lang w:val="bg-BG"/>
              </w:rPr>
              <w:t>Етап 1: Осигуряване на управлението на мрежата Натура 2000 на национално ниво</w:t>
            </w:r>
          </w:p>
          <w:p w:rsidR="00D50EF1" w:rsidRPr="005D767B" w:rsidRDefault="00D50EF1" w:rsidP="00F70834">
            <w:pPr>
              <w:spacing w:before="120" w:after="120" w:line="240" w:lineRule="auto"/>
              <w:jc w:val="both"/>
              <w:rPr>
                <w:rFonts w:ascii="Times New Roman" w:eastAsia="Times New Roman" w:hAnsi="Times New Roman" w:cs="Times New Roman"/>
                <w:b/>
                <w:sz w:val="24"/>
                <w:szCs w:val="24"/>
                <w:lang w:val="bg-BG"/>
              </w:rPr>
            </w:pPr>
            <w:r w:rsidRPr="005D767B">
              <w:rPr>
                <w:rFonts w:ascii="Times New Roman" w:eastAsia="Times New Roman" w:hAnsi="Times New Roman" w:cs="Times New Roman"/>
                <w:b/>
                <w:sz w:val="24"/>
                <w:szCs w:val="24"/>
                <w:lang w:val="bg-BG"/>
              </w:rPr>
              <w:t>Като цяло, реализацията на този етап включва следните дейности:</w:t>
            </w:r>
          </w:p>
          <w:p w:rsidR="00D50EF1" w:rsidRPr="005D767B" w:rsidRDefault="00D50EF1" w:rsidP="00F70834">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Приемане на необходимите изменения в правно-нормативната база;</w:t>
            </w:r>
          </w:p>
          <w:p w:rsidR="00D50EF1" w:rsidRPr="005D767B" w:rsidRDefault="00D50EF1" w:rsidP="00BC7FD7">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Създаване на Националния консултативен съвет за Натура 2000, към министъра на околната среда и водите;</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Избор на служители на националната структура за управление на мрежата Натура 2000;</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Осигуряване на необходимото оборудване и работни помещения;</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Експертна подкрепа и изграждане на капацитет на служителите от националната структура;</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Осигуряване на цялостната методология за управление на мрежата Натура 2000 на национално и </w:t>
            </w:r>
            <w:r w:rsidR="006F6EDF">
              <w:rPr>
                <w:rFonts w:ascii="Times New Roman" w:eastAsia="Times New Roman" w:hAnsi="Times New Roman" w:cs="Times New Roman"/>
                <w:sz w:val="24"/>
                <w:szCs w:val="24"/>
                <w:lang w:val="bg-BG"/>
              </w:rPr>
              <w:t>регионално</w:t>
            </w:r>
            <w:r w:rsidR="006F6EDF" w:rsidRPr="005D767B">
              <w:rPr>
                <w:rFonts w:ascii="Times New Roman" w:eastAsia="Times New Roman" w:hAnsi="Times New Roman" w:cs="Times New Roman"/>
                <w:sz w:val="24"/>
                <w:szCs w:val="24"/>
                <w:lang w:val="bg-BG"/>
              </w:rPr>
              <w:t xml:space="preserve"> </w:t>
            </w:r>
            <w:r w:rsidRPr="005D767B">
              <w:rPr>
                <w:rFonts w:ascii="Times New Roman" w:eastAsia="Times New Roman" w:hAnsi="Times New Roman" w:cs="Times New Roman"/>
                <w:sz w:val="24"/>
                <w:szCs w:val="24"/>
                <w:lang w:val="bg-BG"/>
              </w:rPr>
              <w:t xml:space="preserve">ниво; </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Систематизиране, оценка, </w:t>
            </w:r>
            <w:proofErr w:type="spellStart"/>
            <w:r w:rsidRPr="005D767B">
              <w:rPr>
                <w:rFonts w:ascii="Times New Roman" w:eastAsia="Times New Roman" w:hAnsi="Times New Roman" w:cs="Times New Roman"/>
                <w:sz w:val="24"/>
                <w:szCs w:val="24"/>
                <w:lang w:val="bg-BG"/>
              </w:rPr>
              <w:t>валидиране</w:t>
            </w:r>
            <w:proofErr w:type="spellEnd"/>
            <w:r w:rsidRPr="005D767B">
              <w:rPr>
                <w:rFonts w:ascii="Times New Roman" w:eastAsia="Times New Roman" w:hAnsi="Times New Roman" w:cs="Times New Roman"/>
                <w:sz w:val="24"/>
                <w:szCs w:val="24"/>
                <w:lang w:val="bg-BG"/>
              </w:rPr>
              <w:t xml:space="preserve"> и анализ на научните данни и информация за Натура 2000;</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Осигуряване на необходимата функционалност на Информационната система за </w:t>
            </w:r>
            <w:r w:rsidRPr="005D767B">
              <w:rPr>
                <w:rFonts w:ascii="Times New Roman" w:eastAsia="Times New Roman" w:hAnsi="Times New Roman" w:cs="Times New Roman"/>
                <w:sz w:val="24"/>
                <w:szCs w:val="24"/>
                <w:lang w:val="bg-BG"/>
              </w:rPr>
              <w:lastRenderedPageBreak/>
              <w:t>защитените зони от екологичната мрежа Натура 2000, за целите на управлението на мрежата;</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Разработване на Документ за целите на Натура 2000 – на </w:t>
            </w:r>
            <w:proofErr w:type="spellStart"/>
            <w:r w:rsidRPr="005D767B">
              <w:rPr>
                <w:rFonts w:ascii="Times New Roman" w:eastAsia="Times New Roman" w:hAnsi="Times New Roman" w:cs="Times New Roman"/>
                <w:sz w:val="24"/>
                <w:szCs w:val="24"/>
                <w:lang w:val="bg-BG"/>
              </w:rPr>
              <w:t>биогеографско</w:t>
            </w:r>
            <w:proofErr w:type="spellEnd"/>
            <w:r w:rsidRPr="005D767B">
              <w:rPr>
                <w:rFonts w:ascii="Times New Roman" w:eastAsia="Times New Roman" w:hAnsi="Times New Roman" w:cs="Times New Roman"/>
                <w:sz w:val="24"/>
                <w:szCs w:val="24"/>
                <w:lang w:val="bg-BG"/>
              </w:rPr>
              <w:t xml:space="preserve"> и </w:t>
            </w:r>
            <w:proofErr w:type="spellStart"/>
            <w:r w:rsidRPr="005D767B">
              <w:rPr>
                <w:rFonts w:ascii="Times New Roman" w:eastAsia="Times New Roman" w:hAnsi="Times New Roman" w:cs="Times New Roman"/>
                <w:sz w:val="24"/>
                <w:szCs w:val="24"/>
                <w:lang w:val="bg-BG"/>
              </w:rPr>
              <w:t>зоново</w:t>
            </w:r>
            <w:proofErr w:type="spellEnd"/>
            <w:r w:rsidRPr="005D767B">
              <w:rPr>
                <w:rFonts w:ascii="Times New Roman" w:eastAsia="Times New Roman" w:hAnsi="Times New Roman" w:cs="Times New Roman"/>
                <w:sz w:val="24"/>
                <w:szCs w:val="24"/>
                <w:lang w:val="bg-BG"/>
              </w:rPr>
              <w:t xml:space="preserve"> ниво;</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Изготвяне на Ръководство за разработване на планове за управление и други необходими указания за работа на регионалните структури.</w:t>
            </w:r>
          </w:p>
          <w:p w:rsidR="00D50EF1" w:rsidRPr="005D767B" w:rsidRDefault="00D50EF1" w:rsidP="005D767B">
            <w:pPr>
              <w:spacing w:before="120" w:after="120" w:line="240" w:lineRule="auto"/>
              <w:jc w:val="both"/>
              <w:rPr>
                <w:rFonts w:ascii="Times New Roman" w:eastAsia="Times New Roman" w:hAnsi="Times New Roman" w:cs="Times New Roman"/>
                <w:b/>
                <w:i/>
                <w:color w:val="E36C0A"/>
                <w:sz w:val="24"/>
                <w:szCs w:val="24"/>
                <w:lang w:val="bg-BG"/>
              </w:rPr>
            </w:pPr>
            <w:r w:rsidRPr="005D767B">
              <w:rPr>
                <w:rFonts w:ascii="Times New Roman" w:eastAsia="Times New Roman" w:hAnsi="Times New Roman" w:cs="Times New Roman"/>
                <w:b/>
                <w:i/>
                <w:color w:val="E36C0A"/>
                <w:sz w:val="24"/>
                <w:szCs w:val="24"/>
                <w:lang w:val="bg-BG"/>
              </w:rPr>
              <w:t xml:space="preserve">Етап 2: Осигуряване на управлението на мрежата Натура 2000 на </w:t>
            </w:r>
            <w:r w:rsidR="006334EE">
              <w:rPr>
                <w:rFonts w:ascii="Times New Roman" w:eastAsia="Times New Roman" w:hAnsi="Times New Roman" w:cs="Times New Roman"/>
                <w:b/>
                <w:i/>
                <w:color w:val="E36C0A"/>
                <w:sz w:val="24"/>
                <w:szCs w:val="24"/>
                <w:lang w:val="bg-BG"/>
              </w:rPr>
              <w:t>регионално</w:t>
            </w:r>
            <w:r w:rsidR="006334EE" w:rsidRPr="005D767B">
              <w:rPr>
                <w:rFonts w:ascii="Times New Roman" w:eastAsia="Times New Roman" w:hAnsi="Times New Roman" w:cs="Times New Roman"/>
                <w:b/>
                <w:i/>
                <w:color w:val="E36C0A"/>
                <w:sz w:val="24"/>
                <w:szCs w:val="24"/>
                <w:lang w:val="bg-BG"/>
              </w:rPr>
              <w:t xml:space="preserve"> </w:t>
            </w:r>
            <w:r w:rsidRPr="005D767B">
              <w:rPr>
                <w:rFonts w:ascii="Times New Roman" w:eastAsia="Times New Roman" w:hAnsi="Times New Roman" w:cs="Times New Roman"/>
                <w:b/>
                <w:i/>
                <w:color w:val="E36C0A"/>
                <w:sz w:val="24"/>
                <w:szCs w:val="24"/>
                <w:lang w:val="bg-BG"/>
              </w:rPr>
              <w:t>ниво</w:t>
            </w:r>
          </w:p>
          <w:p w:rsidR="00D50EF1" w:rsidRPr="005D767B" w:rsidRDefault="00D50EF1" w:rsidP="005D767B">
            <w:p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b/>
                <w:sz w:val="24"/>
                <w:szCs w:val="24"/>
                <w:lang w:val="bg-BG"/>
              </w:rPr>
              <w:t>Реализацията на този етап включва следните дейности:</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Избор на служители на органите за управление на </w:t>
            </w:r>
            <w:r w:rsidR="00F052A9">
              <w:rPr>
                <w:rFonts w:ascii="Times New Roman" w:eastAsia="Times New Roman" w:hAnsi="Times New Roman" w:cs="Times New Roman"/>
                <w:sz w:val="24"/>
                <w:szCs w:val="24"/>
                <w:lang w:val="bg-BG"/>
              </w:rPr>
              <w:t>регионално</w:t>
            </w:r>
            <w:r w:rsidR="00F052A9" w:rsidRPr="005D767B">
              <w:rPr>
                <w:rFonts w:ascii="Times New Roman" w:eastAsia="Times New Roman" w:hAnsi="Times New Roman" w:cs="Times New Roman"/>
                <w:sz w:val="24"/>
                <w:szCs w:val="24"/>
                <w:lang w:val="bg-BG"/>
              </w:rPr>
              <w:t xml:space="preserve"> </w:t>
            </w:r>
            <w:r w:rsidRPr="005D767B">
              <w:rPr>
                <w:rFonts w:ascii="Times New Roman" w:eastAsia="Times New Roman" w:hAnsi="Times New Roman" w:cs="Times New Roman"/>
                <w:sz w:val="24"/>
                <w:szCs w:val="24"/>
                <w:lang w:val="bg-BG"/>
              </w:rPr>
              <w:t>ниво;</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Осигуряване на необходимото оборудване и работни помещения за служителите;</w:t>
            </w:r>
          </w:p>
          <w:p w:rsidR="00D50EF1" w:rsidRPr="005D767B" w:rsidRDefault="00D50EF1" w:rsidP="00F052A9">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Осигуряване на експертна подкрепа и изграждане на капацитет на служителите от органите за управление на </w:t>
            </w:r>
            <w:r w:rsidR="00F052A9" w:rsidRPr="00F052A9">
              <w:rPr>
                <w:rFonts w:ascii="Times New Roman" w:eastAsia="Times New Roman" w:hAnsi="Times New Roman" w:cs="Times New Roman"/>
                <w:sz w:val="24"/>
                <w:szCs w:val="24"/>
                <w:lang w:val="bg-BG"/>
              </w:rPr>
              <w:t xml:space="preserve">регионално </w:t>
            </w:r>
            <w:r w:rsidRPr="005D767B">
              <w:rPr>
                <w:rFonts w:ascii="Times New Roman" w:eastAsia="Times New Roman" w:hAnsi="Times New Roman" w:cs="Times New Roman"/>
                <w:sz w:val="24"/>
                <w:szCs w:val="24"/>
                <w:lang w:val="bg-BG"/>
              </w:rPr>
              <w:t>ниво;</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Създаване на Комитети на заинтересованите страни по защитени зони/групи от защитени зони;</w:t>
            </w:r>
          </w:p>
          <w:p w:rsidR="00D50EF1" w:rsidRPr="005D767B" w:rsidRDefault="00D50EF1" w:rsidP="00F052A9">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Разработване на </w:t>
            </w:r>
            <w:r w:rsidR="00F052A9">
              <w:rPr>
                <w:rFonts w:ascii="Times New Roman" w:eastAsia="Times New Roman" w:hAnsi="Times New Roman" w:cs="Times New Roman"/>
                <w:sz w:val="24"/>
                <w:szCs w:val="24"/>
                <w:lang w:val="bg-BG"/>
              </w:rPr>
              <w:t xml:space="preserve">териториални </w:t>
            </w:r>
            <w:r w:rsidRPr="005D767B">
              <w:rPr>
                <w:rFonts w:ascii="Times New Roman" w:eastAsia="Times New Roman" w:hAnsi="Times New Roman" w:cs="Times New Roman"/>
                <w:sz w:val="24"/>
                <w:szCs w:val="24"/>
                <w:lang w:val="bg-BG"/>
              </w:rPr>
              <w:t xml:space="preserve">планове за управление на Натура 2000 на </w:t>
            </w:r>
            <w:r w:rsidR="00F052A9" w:rsidRPr="00F052A9">
              <w:rPr>
                <w:rFonts w:ascii="Times New Roman" w:eastAsia="Times New Roman" w:hAnsi="Times New Roman" w:cs="Times New Roman"/>
                <w:sz w:val="24"/>
                <w:szCs w:val="24"/>
                <w:lang w:val="bg-BG"/>
              </w:rPr>
              <w:t xml:space="preserve">регионално </w:t>
            </w:r>
            <w:r w:rsidRPr="005D767B">
              <w:rPr>
                <w:rFonts w:ascii="Times New Roman" w:eastAsia="Times New Roman" w:hAnsi="Times New Roman" w:cs="Times New Roman"/>
                <w:sz w:val="24"/>
                <w:szCs w:val="24"/>
                <w:lang w:val="bg-BG"/>
              </w:rPr>
              <w:t>ниво;</w:t>
            </w:r>
          </w:p>
          <w:p w:rsidR="00D50EF1" w:rsidRPr="005D767B" w:rsidRDefault="00D50EF1" w:rsidP="005D767B">
            <w:pPr>
              <w:numPr>
                <w:ilvl w:val="0"/>
                <w:numId w:val="28"/>
              </w:numPr>
              <w:spacing w:before="120" w:after="120" w:line="240" w:lineRule="auto"/>
              <w:jc w:val="both"/>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Изпълнение на плановете за управление.</w:t>
            </w:r>
          </w:p>
          <w:p w:rsidR="00D50EF1" w:rsidRPr="005D767B" w:rsidRDefault="00D50EF1" w:rsidP="005D767B">
            <w:pPr>
              <w:spacing w:before="120" w:after="120" w:line="240" w:lineRule="auto"/>
              <w:jc w:val="both"/>
              <w:rPr>
                <w:rFonts w:ascii="Times New Roman" w:eastAsia="Times New Roman" w:hAnsi="Times New Roman" w:cs="Times New Roman"/>
                <w:b/>
                <w:i/>
                <w:color w:val="E36C0A"/>
                <w:sz w:val="24"/>
                <w:szCs w:val="24"/>
                <w:lang w:val="bg-BG"/>
              </w:rPr>
            </w:pPr>
            <w:r w:rsidRPr="005D767B">
              <w:rPr>
                <w:rFonts w:ascii="Times New Roman" w:eastAsia="Times New Roman" w:hAnsi="Times New Roman" w:cs="Times New Roman"/>
                <w:b/>
                <w:i/>
                <w:color w:val="E36C0A"/>
                <w:sz w:val="24"/>
                <w:szCs w:val="24"/>
                <w:lang w:val="bg-BG"/>
              </w:rPr>
              <w:t>Етап 3: Преглед на управлението на мрежата Натура 2000 и защитените зони</w:t>
            </w:r>
          </w:p>
          <w:p w:rsidR="00D50EF1" w:rsidRPr="005D767B" w:rsidRDefault="00D50EF1" w:rsidP="005D767B">
            <w:p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Изхождайки от настоящите предизвикателства, пред които е изправен процеса на управление на мрежата Натура 2000 и защитените зони, необходимо е да бъдат правени текущи оценки на управлението. В случай, че в хода на изпълнение на някой от предходните два етапа се установят несъответствия или възникнат предложения, които биха дали по-добър резултат, подходът за управление следва да се актуализира. Такава актуализация е възможна и след натрупването на достатъчно данни и информация за целевите видове и типове местообитания, които биха наложили промени в мрежата Натура 2000, в т.ч. определяне на нови зони или заличаване на зони. </w:t>
            </w:r>
          </w:p>
          <w:p w:rsidR="00D50EF1" w:rsidRPr="005D767B" w:rsidRDefault="00D50EF1" w:rsidP="005D767B">
            <w:p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Финансирането за изпълнение на Етап 1 и Етап 2 е заложено в настоящия програмен период, по ОП „Околна среда 2014-2020 г.“ и ОП „Добро управление 2014-2020 г.“. </w:t>
            </w:r>
            <w:r w:rsidR="00184528" w:rsidRPr="00184528">
              <w:rPr>
                <w:rFonts w:ascii="Times New Roman" w:eastAsia="Times New Roman" w:hAnsi="Times New Roman" w:cs="Times New Roman"/>
                <w:sz w:val="24"/>
                <w:szCs w:val="24"/>
                <w:lang w:val="bg-BG"/>
              </w:rPr>
              <w:t>В рамките на подготовката за програмен период 2021-2027 г. МОСВ ще положи всички необходими усилия за включване на необходимото финансиране</w:t>
            </w:r>
            <w:r w:rsidR="00184528">
              <w:rPr>
                <w:rFonts w:ascii="Times New Roman" w:eastAsia="Times New Roman" w:hAnsi="Times New Roman" w:cs="Times New Roman"/>
                <w:sz w:val="24"/>
                <w:szCs w:val="24"/>
                <w:lang w:val="bg-BG"/>
              </w:rPr>
              <w:t xml:space="preserve"> за</w:t>
            </w:r>
            <w:r w:rsidR="00184528" w:rsidRPr="00184528">
              <w:rPr>
                <w:rFonts w:ascii="Times New Roman" w:eastAsia="Times New Roman" w:hAnsi="Times New Roman" w:cs="Times New Roman"/>
                <w:sz w:val="24"/>
                <w:szCs w:val="24"/>
                <w:lang w:val="bg-BG"/>
              </w:rPr>
              <w:t xml:space="preserve"> </w:t>
            </w:r>
            <w:r w:rsidR="00184528">
              <w:rPr>
                <w:rFonts w:ascii="Times New Roman" w:eastAsia="Times New Roman" w:hAnsi="Times New Roman" w:cs="Times New Roman"/>
                <w:sz w:val="24"/>
                <w:szCs w:val="24"/>
                <w:lang w:val="bg-BG"/>
              </w:rPr>
              <w:t>и</w:t>
            </w:r>
            <w:r w:rsidR="00184528" w:rsidRPr="00184528">
              <w:rPr>
                <w:rFonts w:ascii="Times New Roman" w:eastAsia="Times New Roman" w:hAnsi="Times New Roman" w:cs="Times New Roman"/>
                <w:sz w:val="24"/>
                <w:szCs w:val="24"/>
                <w:lang w:val="bg-BG"/>
              </w:rPr>
              <w:t>зпълнението на плановете за управление по Етап 2 и реализацията на Етап 3 в програмите, предоставящи средства от ЕСИФ или други финансови инструменти на Европейско ниво</w:t>
            </w:r>
            <w:r w:rsidR="00184528">
              <w:rPr>
                <w:rFonts w:ascii="Times New Roman" w:eastAsia="Times New Roman" w:hAnsi="Times New Roman" w:cs="Times New Roman"/>
                <w:sz w:val="24"/>
                <w:szCs w:val="24"/>
                <w:lang w:val="bg-BG"/>
              </w:rPr>
              <w:t>,</w:t>
            </w:r>
            <w:r w:rsidR="00184528" w:rsidRPr="00184528">
              <w:rPr>
                <w:rFonts w:ascii="Times New Roman" w:eastAsia="Times New Roman" w:hAnsi="Times New Roman" w:cs="Times New Roman"/>
                <w:sz w:val="24"/>
                <w:szCs w:val="24"/>
                <w:lang w:val="bg-BG"/>
              </w:rPr>
              <w:t xml:space="preserve"> след 2023 г. В случай, че тези разходи бъдат квалифицирани като недопустими по горепосочените програми, те следва да бъдат осигурени от държавния бюджет на България. Тези разходи за периода 2024-2027 г. са в размер на 16 616 632,22 лв.</w:t>
            </w:r>
            <w:r w:rsidR="00184528">
              <w:rPr>
                <w:rFonts w:ascii="Times New Roman" w:eastAsia="Times New Roman" w:hAnsi="Times New Roman" w:cs="Times New Roman"/>
                <w:sz w:val="24"/>
                <w:szCs w:val="24"/>
                <w:lang w:val="bg-BG"/>
              </w:rPr>
              <w:t xml:space="preserve"> </w:t>
            </w:r>
          </w:p>
          <w:p w:rsidR="00C31927" w:rsidRPr="005D767B" w:rsidRDefault="00C31927" w:rsidP="005D767B">
            <w:p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Посочените цели съответстват на целите на действащата стратегическа рамка, доколкото </w:t>
            </w:r>
            <w:r w:rsidR="00D50EF1" w:rsidRPr="005D767B">
              <w:rPr>
                <w:rFonts w:ascii="Times New Roman" w:eastAsia="Times New Roman" w:hAnsi="Times New Roman" w:cs="Times New Roman"/>
                <w:sz w:val="24"/>
                <w:szCs w:val="24"/>
                <w:lang w:val="bg-BG"/>
              </w:rPr>
              <w:t xml:space="preserve">въвеждането на новия подход за управление на НПРД е предвидено в </w:t>
            </w:r>
            <w:r w:rsidRPr="005D767B">
              <w:rPr>
                <w:rFonts w:ascii="Times New Roman" w:eastAsia="Times New Roman" w:hAnsi="Times New Roman" w:cs="Times New Roman"/>
                <w:sz w:val="24"/>
                <w:szCs w:val="24"/>
                <w:lang w:val="bg-BG"/>
              </w:rPr>
              <w:t>мерките на НПРД</w:t>
            </w:r>
            <w:r w:rsidR="00D50EF1" w:rsidRPr="005D767B">
              <w:rPr>
                <w:rFonts w:ascii="Times New Roman" w:eastAsia="Times New Roman" w:hAnsi="Times New Roman" w:cs="Times New Roman"/>
                <w:sz w:val="24"/>
                <w:szCs w:val="24"/>
                <w:lang w:val="bg-BG"/>
              </w:rPr>
              <w:t>,</w:t>
            </w:r>
            <w:r w:rsidRPr="005D767B">
              <w:rPr>
                <w:rFonts w:ascii="Times New Roman" w:eastAsia="Times New Roman" w:hAnsi="Times New Roman" w:cs="Times New Roman"/>
                <w:sz w:val="24"/>
                <w:szCs w:val="24"/>
                <w:lang w:val="bg-BG"/>
              </w:rPr>
              <w:t xml:space="preserve"> заложени в:</w:t>
            </w:r>
          </w:p>
          <w:p w:rsidR="00C31927" w:rsidRPr="005D767B" w:rsidRDefault="00C31927" w:rsidP="005D767B">
            <w:pPr>
              <w:pStyle w:val="ListParagraph"/>
              <w:numPr>
                <w:ilvl w:val="0"/>
                <w:numId w:val="8"/>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 xml:space="preserve">Споразумение за партньорство на Република България, очертаващо помощта от </w:t>
            </w:r>
            <w:r w:rsidRPr="005D767B">
              <w:rPr>
                <w:rFonts w:ascii="Times New Roman" w:eastAsia="Times New Roman" w:hAnsi="Times New Roman" w:cs="Times New Roman"/>
                <w:sz w:val="24"/>
                <w:szCs w:val="24"/>
                <w:lang w:val="bg-BG"/>
              </w:rPr>
              <w:lastRenderedPageBreak/>
              <w:t>Европейските структурни и инвестиционни фондове за периода 2014-2020 г.;</w:t>
            </w:r>
          </w:p>
          <w:p w:rsidR="00C31927" w:rsidRPr="005D767B" w:rsidRDefault="00C31927" w:rsidP="005D767B">
            <w:pPr>
              <w:pStyle w:val="ListParagraph"/>
              <w:numPr>
                <w:ilvl w:val="0"/>
                <w:numId w:val="8"/>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Насоки за интегриране на Политиката по околна среда и Политиката по изменение на климата в Европейските структурни и инвестиционни фондове- Фаза „Изпълнение на Споразумението за партньорство и програмите в периода 2014-2020 г.“;</w:t>
            </w:r>
          </w:p>
          <w:p w:rsidR="00F96DB9" w:rsidRPr="005D767B" w:rsidRDefault="00C31927" w:rsidP="005D767B">
            <w:pPr>
              <w:pStyle w:val="ListParagraph"/>
              <w:numPr>
                <w:ilvl w:val="0"/>
                <w:numId w:val="8"/>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Текстовете на оперативните програми, Програмата за развитие на селските райони и Програмата за морско дело и рибарство.</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lastRenderedPageBreak/>
              <w:t>3. Идентифициране на заинтересованите страни:</w:t>
            </w:r>
          </w:p>
          <w:p w:rsidR="00C1790E" w:rsidRPr="00F70834" w:rsidRDefault="00C1790E" w:rsidP="005D767B">
            <w:pPr>
              <w:spacing w:before="120" w:after="120" w:line="240" w:lineRule="auto"/>
              <w:jc w:val="center"/>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i/>
                <w:iCs/>
                <w:color w:val="000000"/>
                <w:sz w:val="24"/>
                <w:szCs w:val="24"/>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w:t>
            </w:r>
            <w:r w:rsidRPr="00F70834">
              <w:rPr>
                <w:rFonts w:ascii="Times New Roman" w:eastAsia="Times New Roman" w:hAnsi="Times New Roman" w:cs="Times New Roman"/>
                <w:i/>
                <w:iCs/>
                <w:color w:val="000000"/>
                <w:sz w:val="24"/>
                <w:szCs w:val="24"/>
                <w:lang w:val="bg-BG"/>
              </w:rPr>
              <w:t>, др.).</w:t>
            </w:r>
          </w:p>
          <w:p w:rsidR="00EF1054" w:rsidRPr="005D767B" w:rsidRDefault="00E84D8F"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F70834">
              <w:rPr>
                <w:rFonts w:ascii="Times New Roman" w:eastAsia="Times New Roman" w:hAnsi="Times New Roman" w:cs="Times New Roman"/>
                <w:iCs/>
                <w:color w:val="000000"/>
                <w:sz w:val="24"/>
                <w:szCs w:val="24"/>
                <w:lang w:val="bg-BG"/>
              </w:rPr>
              <w:t>Пряко положително въздействие предвидени</w:t>
            </w:r>
            <w:r w:rsidR="006178C2" w:rsidRPr="00F70834">
              <w:rPr>
                <w:rFonts w:ascii="Times New Roman" w:eastAsia="Times New Roman" w:hAnsi="Times New Roman" w:cs="Times New Roman"/>
                <w:iCs/>
                <w:color w:val="000000"/>
                <w:sz w:val="24"/>
                <w:szCs w:val="24"/>
                <w:lang w:val="bg-BG"/>
              </w:rPr>
              <w:t>те</w:t>
            </w:r>
            <w:r w:rsidRPr="00F70834">
              <w:rPr>
                <w:rFonts w:ascii="Times New Roman" w:eastAsia="Times New Roman" w:hAnsi="Times New Roman" w:cs="Times New Roman"/>
                <w:iCs/>
                <w:color w:val="000000"/>
                <w:sz w:val="24"/>
                <w:szCs w:val="24"/>
                <w:lang w:val="bg-BG"/>
              </w:rPr>
              <w:t xml:space="preserve"> промени в нормативната база ще окажат върху </w:t>
            </w:r>
            <w:r w:rsidR="00EF1054" w:rsidRPr="00BC7FD7">
              <w:rPr>
                <w:rFonts w:ascii="Times New Roman" w:eastAsia="Times New Roman" w:hAnsi="Times New Roman" w:cs="Times New Roman"/>
                <w:iCs/>
                <w:color w:val="000000"/>
                <w:sz w:val="24"/>
                <w:szCs w:val="24"/>
                <w:lang w:val="bg-BG"/>
              </w:rPr>
              <w:t>администрацията</w:t>
            </w:r>
            <w:r w:rsidRPr="00BC7FD7">
              <w:rPr>
                <w:rFonts w:ascii="Times New Roman" w:eastAsia="Times New Roman" w:hAnsi="Times New Roman" w:cs="Times New Roman"/>
                <w:iCs/>
                <w:color w:val="000000"/>
                <w:sz w:val="24"/>
                <w:szCs w:val="24"/>
                <w:lang w:val="bg-BG"/>
              </w:rPr>
              <w:t xml:space="preserve"> на МОСВ</w:t>
            </w:r>
            <w:r w:rsidR="00A955D8">
              <w:rPr>
                <w:rFonts w:ascii="Times New Roman" w:eastAsia="Times New Roman" w:hAnsi="Times New Roman" w:cs="Times New Roman"/>
                <w:iCs/>
                <w:color w:val="000000"/>
                <w:sz w:val="24"/>
                <w:szCs w:val="24"/>
                <w:lang w:val="bg-BG"/>
              </w:rPr>
              <w:t xml:space="preserve">, включително регионалните инспекции по околната среда и водите,като </w:t>
            </w:r>
            <w:r w:rsidR="00EF1054" w:rsidRPr="005D767B">
              <w:rPr>
                <w:rFonts w:ascii="Times New Roman" w:eastAsia="Times New Roman" w:hAnsi="Times New Roman" w:cs="Times New Roman"/>
                <w:iCs/>
                <w:color w:val="000000"/>
                <w:sz w:val="24"/>
                <w:szCs w:val="24"/>
                <w:lang w:val="bg-BG"/>
              </w:rPr>
              <w:t xml:space="preserve">нормативното регламентиране на техните функции и отговорности </w:t>
            </w:r>
            <w:r w:rsidR="00A955D8" w:rsidRPr="00A955D8">
              <w:rPr>
                <w:rFonts w:ascii="Times New Roman" w:eastAsia="Times New Roman" w:hAnsi="Times New Roman" w:cs="Times New Roman"/>
                <w:iCs/>
                <w:color w:val="000000"/>
                <w:sz w:val="24"/>
                <w:szCs w:val="24"/>
                <w:lang w:val="bg-BG"/>
              </w:rPr>
              <w:t>свързани с управлението на мрежата Натура 2000</w:t>
            </w:r>
            <w:r w:rsidR="00A955D8">
              <w:rPr>
                <w:rFonts w:ascii="Times New Roman" w:eastAsia="Times New Roman" w:hAnsi="Times New Roman" w:cs="Times New Roman"/>
                <w:iCs/>
                <w:color w:val="000000"/>
                <w:sz w:val="24"/>
                <w:szCs w:val="24"/>
                <w:lang w:val="bg-BG"/>
              </w:rPr>
              <w:t xml:space="preserve">, </w:t>
            </w:r>
            <w:r w:rsidR="00EF1054" w:rsidRPr="005D767B">
              <w:rPr>
                <w:rFonts w:ascii="Times New Roman" w:eastAsia="Times New Roman" w:hAnsi="Times New Roman" w:cs="Times New Roman"/>
                <w:iCs/>
                <w:color w:val="000000"/>
                <w:sz w:val="24"/>
                <w:szCs w:val="24"/>
                <w:lang w:val="bg-BG"/>
              </w:rPr>
              <w:t>ще повиши ефективността на тяхната работа.</w:t>
            </w:r>
          </w:p>
          <w:p w:rsidR="00EF1054" w:rsidRPr="005D767B" w:rsidRDefault="00EF1054" w:rsidP="00F821DA">
            <w:pPr>
              <w:spacing w:before="120" w:after="120" w:line="240" w:lineRule="auto"/>
              <w:jc w:val="both"/>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На следващо място, </w:t>
            </w:r>
            <w:r w:rsidRPr="005D767B">
              <w:rPr>
                <w:rFonts w:ascii="Times New Roman" w:eastAsia="Times New Roman" w:hAnsi="Times New Roman" w:cs="Times New Roman"/>
                <w:sz w:val="24"/>
                <w:szCs w:val="24"/>
                <w:lang w:val="bg-BG"/>
              </w:rPr>
              <w:t>пряко</w:t>
            </w:r>
            <w:r w:rsidRPr="005D767B">
              <w:rPr>
                <w:rFonts w:ascii="Times New Roman" w:eastAsia="Times New Roman" w:hAnsi="Times New Roman" w:cs="Times New Roman"/>
                <w:iCs/>
                <w:color w:val="000000"/>
                <w:sz w:val="24"/>
                <w:szCs w:val="24"/>
                <w:lang w:val="bg-BG"/>
              </w:rPr>
              <w:t xml:space="preserve"> положително въздействие се очаква върху:</w:t>
            </w:r>
          </w:p>
          <w:p w:rsidR="00EF1054" w:rsidRPr="005D767B" w:rsidRDefault="00EF1054" w:rsidP="00F821DA">
            <w:pPr>
              <w:numPr>
                <w:ilvl w:val="0"/>
                <w:numId w:val="28"/>
              </w:numPr>
              <w:spacing w:before="120" w:after="120" w:line="240" w:lineRule="auto"/>
              <w:jc w:val="both"/>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Предприемачи в различни области и техните сдружения, собственици/ползватели на земи и ресурси на територията на мрежата Натура 2000, тъй като те ще участват пряко в процеса на вземане на решения и ще могат да планират развитието на своя бизнес по регламентиран и предвидим начин;</w:t>
            </w:r>
          </w:p>
          <w:p w:rsidR="00EF1054" w:rsidRPr="005D767B" w:rsidRDefault="00EF1054" w:rsidP="00F821DA">
            <w:pPr>
              <w:numPr>
                <w:ilvl w:val="0"/>
                <w:numId w:val="28"/>
              </w:numPr>
              <w:spacing w:before="120" w:after="120" w:line="240" w:lineRule="auto"/>
              <w:jc w:val="both"/>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Неправителствени природозащитни организации, тъй като те ще участват пряко в процеса на вземане на решения и ще могат да изпълнят своята мисия и цели;</w:t>
            </w:r>
          </w:p>
          <w:p w:rsidR="00EF1054" w:rsidRPr="005D767B" w:rsidRDefault="00EF1054" w:rsidP="00F821DA">
            <w:pPr>
              <w:numPr>
                <w:ilvl w:val="0"/>
                <w:numId w:val="28"/>
              </w:numPr>
              <w:spacing w:before="120" w:after="120" w:line="240" w:lineRule="auto"/>
              <w:jc w:val="both"/>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Местните власти, тъй като те ще участват пряко в процеса на вземане на решения и ще могат да реализират своите цели за устойчиво развитие на общността и територията, която тя обитава.</w:t>
            </w:r>
          </w:p>
          <w:p w:rsidR="00162E4B" w:rsidRPr="005D767B" w:rsidRDefault="00162E4B" w:rsidP="00F821DA">
            <w:pPr>
              <w:numPr>
                <w:ilvl w:val="0"/>
                <w:numId w:val="28"/>
              </w:numPr>
              <w:spacing w:before="120" w:after="120" w:line="240" w:lineRule="auto"/>
              <w:jc w:val="both"/>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Физическите и юридически лица кандидатстващи за разрешителни и сертификати. </w:t>
            </w:r>
          </w:p>
          <w:p w:rsidR="000476CF" w:rsidRPr="005D767B" w:rsidRDefault="00E84D8F"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Пряко положително въздействие се очаква също така върху управляващите органи на оперативните програми, Програмата за развитие на селските райони и Програмата за морско дело и рибарство, позиционирани в МОСВ, МИ, МС, МЗХ, МРРБ, </w:t>
            </w:r>
            <w:r w:rsidR="00610E99" w:rsidRPr="005D767B">
              <w:rPr>
                <w:rFonts w:ascii="Times New Roman" w:eastAsia="Times New Roman" w:hAnsi="Times New Roman" w:cs="Times New Roman"/>
                <w:iCs/>
                <w:color w:val="000000"/>
                <w:sz w:val="24"/>
                <w:szCs w:val="24"/>
                <w:lang w:val="bg-BG"/>
              </w:rPr>
              <w:t>МОН, МТИТС</w:t>
            </w:r>
            <w:r w:rsidRPr="005D767B">
              <w:rPr>
                <w:rFonts w:ascii="Times New Roman" w:eastAsia="Times New Roman" w:hAnsi="Times New Roman" w:cs="Times New Roman"/>
                <w:iCs/>
                <w:color w:val="000000"/>
                <w:sz w:val="24"/>
                <w:szCs w:val="24"/>
                <w:lang w:val="bg-BG"/>
              </w:rPr>
              <w:t>. Работата на тези институции ще бъде значително улеснена, тъй като ще са създадени условия за по-добра координация и подкрепа в цялостния процес на управление на средствата на ЕС</w:t>
            </w:r>
            <w:r w:rsidR="00EF1054" w:rsidRPr="005D767B">
              <w:rPr>
                <w:rFonts w:ascii="Times New Roman" w:eastAsia="Times New Roman" w:hAnsi="Times New Roman" w:cs="Times New Roman"/>
                <w:iCs/>
                <w:color w:val="000000"/>
                <w:sz w:val="24"/>
                <w:szCs w:val="24"/>
                <w:lang w:val="bg-BG"/>
              </w:rPr>
              <w:t>, чрез Националната приоритетна рамка за действие за Натура 2000</w:t>
            </w:r>
            <w:r w:rsidRPr="005D767B">
              <w:rPr>
                <w:rFonts w:ascii="Times New Roman" w:eastAsia="Times New Roman" w:hAnsi="Times New Roman" w:cs="Times New Roman"/>
                <w:iCs/>
                <w:color w:val="000000"/>
                <w:sz w:val="24"/>
                <w:szCs w:val="24"/>
                <w:lang w:val="bg-BG"/>
              </w:rPr>
              <w:t>.</w:t>
            </w:r>
            <w:r w:rsidR="00EF1054" w:rsidRPr="005D767B">
              <w:rPr>
                <w:rFonts w:ascii="Times New Roman" w:eastAsia="Times New Roman" w:hAnsi="Times New Roman" w:cs="Times New Roman"/>
                <w:iCs/>
                <w:color w:val="000000"/>
                <w:sz w:val="24"/>
                <w:szCs w:val="24"/>
                <w:lang w:val="bg-BG"/>
              </w:rPr>
              <w:t xml:space="preserve"> </w:t>
            </w:r>
            <w:r w:rsidRPr="005D767B">
              <w:rPr>
                <w:rFonts w:ascii="Times New Roman" w:eastAsia="Times New Roman" w:hAnsi="Times New Roman" w:cs="Times New Roman"/>
                <w:iCs/>
                <w:color w:val="000000"/>
                <w:sz w:val="24"/>
                <w:szCs w:val="24"/>
                <w:lang w:val="bg-BG"/>
              </w:rPr>
              <w:t>Косвено положително въздействие се очаква върху бенефициентите на посочените програми, предвид по-голямата яснота, която те ще имат по отношение на възможностите за финансиране, обвързано с изпълнението на НПРД.</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b/>
                <w:bCs/>
                <w:color w:val="000000"/>
                <w:sz w:val="24"/>
                <w:szCs w:val="24"/>
                <w:lang w:val="bg-BG"/>
              </w:rPr>
              <w:t>4. Варианти на действие:</w:t>
            </w:r>
            <w:r w:rsidRPr="00F821DA">
              <w:rPr>
                <w:rFonts w:ascii="Times New Roman" w:eastAsia="Times New Roman" w:hAnsi="Times New Roman" w:cs="Times New Roman"/>
                <w:sz w:val="24"/>
                <w:szCs w:val="24"/>
                <w:lang w:val="bg-BG"/>
              </w:rPr>
              <w:t xml:space="preserve"> </w:t>
            </w:r>
          </w:p>
          <w:p w:rsidR="00C1790E" w:rsidRPr="00F821DA" w:rsidRDefault="00C1790E" w:rsidP="005D767B">
            <w:pPr>
              <w:spacing w:before="120" w:after="120" w:line="240" w:lineRule="auto"/>
              <w:jc w:val="center"/>
              <w:rPr>
                <w:rFonts w:ascii="Times New Roman" w:eastAsia="Times New Roman" w:hAnsi="Times New Roman" w:cs="Times New Roman"/>
                <w:iCs/>
                <w:color w:val="000000"/>
                <w:sz w:val="24"/>
                <w:szCs w:val="24"/>
                <w:lang w:val="bg-BG"/>
              </w:rPr>
            </w:pPr>
            <w:r w:rsidRPr="00F821DA">
              <w:rPr>
                <w:rFonts w:ascii="Times New Roman" w:eastAsia="Times New Roman" w:hAnsi="Times New Roman" w:cs="Times New Roman"/>
                <w:i/>
                <w:iCs/>
                <w:sz w:val="24"/>
                <w:szCs w:val="24"/>
                <w:lang w:val="bg-BG"/>
              </w:rPr>
              <w:t>Идентифицирайте основните регулаторни и нерегулаторни възможни варианти на действие от страна на държавата, включително варианта "без действие</w:t>
            </w:r>
            <w:r w:rsidRPr="00F821DA">
              <w:rPr>
                <w:rFonts w:ascii="Times New Roman" w:eastAsia="Times New Roman" w:hAnsi="Times New Roman" w:cs="Times New Roman"/>
                <w:sz w:val="24"/>
                <w:szCs w:val="24"/>
                <w:lang w:val="bg-BG"/>
              </w:rPr>
              <w:t>".</w:t>
            </w:r>
          </w:p>
          <w:p w:rsidR="00E84D8F" w:rsidRPr="00F70834" w:rsidRDefault="00A56D97" w:rsidP="005D767B">
            <w:pPr>
              <w:spacing w:before="120" w:after="120" w:line="240" w:lineRule="auto"/>
              <w:jc w:val="both"/>
              <w:rPr>
                <w:rFonts w:ascii="Times New Roman" w:eastAsia="Times New Roman" w:hAnsi="Times New Roman" w:cs="Times New Roman"/>
                <w:b/>
                <w:sz w:val="24"/>
                <w:szCs w:val="24"/>
                <w:lang w:val="bg-BG" w:eastAsia="en-GB"/>
              </w:rPr>
            </w:pPr>
            <w:r w:rsidRPr="00F70834">
              <w:rPr>
                <w:rFonts w:ascii="Times New Roman" w:eastAsia="Times New Roman" w:hAnsi="Times New Roman" w:cs="Times New Roman"/>
                <w:b/>
                <w:iCs/>
                <w:color w:val="000000"/>
                <w:sz w:val="24"/>
                <w:szCs w:val="24"/>
                <w:lang w:val="bg-BG"/>
              </w:rPr>
              <w:t>Вариант за действие 1:</w:t>
            </w:r>
            <w:r w:rsidRPr="00F70834">
              <w:rPr>
                <w:rFonts w:ascii="Times New Roman" w:eastAsia="Times New Roman" w:hAnsi="Times New Roman" w:cs="Times New Roman"/>
                <w:iCs/>
                <w:color w:val="000000"/>
                <w:sz w:val="24"/>
                <w:szCs w:val="24"/>
                <w:lang w:val="bg-BG"/>
              </w:rPr>
              <w:t xml:space="preserve"> </w:t>
            </w:r>
            <w:r w:rsidRPr="00F70834">
              <w:rPr>
                <w:rFonts w:ascii="Times New Roman" w:eastAsia="Times New Roman" w:hAnsi="Times New Roman" w:cs="Times New Roman"/>
                <w:b/>
                <w:sz w:val="24"/>
                <w:szCs w:val="24"/>
                <w:lang w:val="bg-BG" w:eastAsia="en-GB"/>
              </w:rPr>
              <w:t>Без действие</w:t>
            </w:r>
          </w:p>
          <w:p w:rsidR="00E84D8F" w:rsidRPr="005D767B" w:rsidRDefault="00D03DA2" w:rsidP="00F821DA">
            <w:pPr>
              <w:spacing w:before="120" w:after="120" w:line="240" w:lineRule="auto"/>
              <w:jc w:val="both"/>
              <w:rPr>
                <w:rFonts w:ascii="Times New Roman" w:eastAsia="Times New Roman" w:hAnsi="Times New Roman" w:cs="Times New Roman"/>
                <w:i/>
                <w:sz w:val="24"/>
                <w:szCs w:val="24"/>
                <w:lang w:val="bg-BG" w:eastAsia="en-GB"/>
              </w:rPr>
            </w:pPr>
            <w:r w:rsidRPr="00F70834">
              <w:rPr>
                <w:rFonts w:ascii="Times New Roman" w:eastAsia="Times New Roman" w:hAnsi="Times New Roman" w:cs="Times New Roman"/>
                <w:sz w:val="24"/>
                <w:szCs w:val="24"/>
                <w:lang w:val="bg-BG" w:eastAsia="en-GB"/>
              </w:rPr>
              <w:lastRenderedPageBreak/>
              <w:t xml:space="preserve">Не се приема изменение в </w:t>
            </w:r>
            <w:r w:rsidR="004F6484" w:rsidRPr="00F70834">
              <w:rPr>
                <w:rFonts w:ascii="Times New Roman" w:eastAsia="Times New Roman" w:hAnsi="Times New Roman" w:cs="Times New Roman"/>
                <w:sz w:val="24"/>
                <w:szCs w:val="24"/>
                <w:lang w:val="bg-BG" w:eastAsia="en-GB"/>
              </w:rPr>
              <w:t>Закона за биологичното разнообразие</w:t>
            </w:r>
            <w:r w:rsidRPr="00F70834">
              <w:rPr>
                <w:rFonts w:ascii="Times New Roman" w:eastAsia="Times New Roman" w:hAnsi="Times New Roman" w:cs="Times New Roman"/>
                <w:sz w:val="24"/>
                <w:szCs w:val="24"/>
                <w:lang w:val="bg-BG" w:eastAsia="en-GB"/>
              </w:rPr>
              <w:t xml:space="preserve">, което не позволява адекватно изпълнение на функциите </w:t>
            </w:r>
            <w:r w:rsidR="004F6484" w:rsidRPr="00BC7FD7">
              <w:rPr>
                <w:rFonts w:ascii="Times New Roman" w:eastAsia="Times New Roman" w:hAnsi="Times New Roman" w:cs="Times New Roman"/>
                <w:sz w:val="24"/>
                <w:szCs w:val="24"/>
                <w:lang w:val="bg-BG" w:eastAsia="en-GB"/>
              </w:rPr>
              <w:t>по управление на мрежата Натура 2000 и въвеждане на новия подход за управление на мрежата</w:t>
            </w:r>
            <w:r w:rsidRPr="005D767B">
              <w:rPr>
                <w:rFonts w:ascii="Times New Roman" w:eastAsia="Times New Roman" w:hAnsi="Times New Roman" w:cs="Times New Roman"/>
                <w:sz w:val="24"/>
                <w:szCs w:val="24"/>
                <w:lang w:val="bg-BG" w:eastAsia="en-GB"/>
              </w:rPr>
              <w:t>. При този вариант ще се стигне до</w:t>
            </w:r>
            <w:r w:rsidR="00E84D8F" w:rsidRPr="005D767B">
              <w:rPr>
                <w:rFonts w:ascii="Times New Roman" w:eastAsia="Times New Roman" w:hAnsi="Times New Roman" w:cs="Times New Roman"/>
                <w:sz w:val="24"/>
                <w:szCs w:val="24"/>
                <w:lang w:val="bg-BG" w:eastAsia="en-GB"/>
              </w:rPr>
              <w:t>:</w:t>
            </w:r>
          </w:p>
          <w:p w:rsidR="004F6484" w:rsidRPr="005D767B" w:rsidRDefault="004F6484"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Няма да се въведе новия подход за управление на мрежата Натура 2000 в България;</w:t>
            </w:r>
          </w:p>
          <w:p w:rsidR="004F6484" w:rsidRPr="005D767B" w:rsidRDefault="004F6484"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Няма да се осигури цялостния процес по разработване и прилагане на мерки за подобряване/поддържане на природозащитното състояние на видовете и природните местообитания по Директива за местообитанията и Директива за птиците;</w:t>
            </w:r>
          </w:p>
          <w:p w:rsidR="000476CF" w:rsidRPr="005D767B" w:rsidRDefault="004F6484"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Няма да се осигури ефективно и ефикасно управление на мрежата Натура 2000 в България, в съответствие с изискванията на Директива за местообитанията и указанията на ЕК.</w:t>
            </w:r>
          </w:p>
          <w:p w:rsidR="00162E4B" w:rsidRPr="005D767B" w:rsidRDefault="00162E4B"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Няма да се осигури по-пълното прилагане на законодателството на Европейския съюз.</w:t>
            </w:r>
          </w:p>
          <w:p w:rsidR="00162E4B" w:rsidRPr="005D767B" w:rsidRDefault="00162E4B"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Няма да се намали административната тежест.</w:t>
            </w:r>
          </w:p>
          <w:p w:rsidR="00A56D97" w:rsidRPr="005D767B" w:rsidRDefault="00A56D97" w:rsidP="00F821DA">
            <w:pPr>
              <w:spacing w:before="120" w:after="120" w:line="240" w:lineRule="auto"/>
              <w:jc w:val="both"/>
              <w:rPr>
                <w:rFonts w:ascii="Times New Roman" w:eastAsia="Times New Roman" w:hAnsi="Times New Roman" w:cs="Times New Roman"/>
                <w:b/>
                <w:sz w:val="24"/>
                <w:szCs w:val="24"/>
                <w:lang w:val="bg-BG" w:eastAsia="en-GB"/>
              </w:rPr>
            </w:pPr>
          </w:p>
          <w:p w:rsidR="00E84D8F" w:rsidRPr="005D767B" w:rsidRDefault="00A56D97" w:rsidP="00F821DA">
            <w:pPr>
              <w:spacing w:before="120" w:after="120" w:line="240" w:lineRule="auto"/>
              <w:jc w:val="both"/>
              <w:rPr>
                <w:rFonts w:ascii="Times New Roman" w:eastAsia="Times New Roman" w:hAnsi="Times New Roman" w:cs="Times New Roman"/>
                <w:sz w:val="24"/>
                <w:szCs w:val="24"/>
                <w:lang w:val="bg-BG" w:eastAsia="en-GB"/>
              </w:rPr>
            </w:pPr>
            <w:r w:rsidRPr="005D767B">
              <w:rPr>
                <w:rFonts w:ascii="Times New Roman" w:eastAsia="Times New Roman" w:hAnsi="Times New Roman" w:cs="Times New Roman"/>
                <w:b/>
                <w:iCs/>
                <w:color w:val="000000"/>
                <w:sz w:val="24"/>
                <w:szCs w:val="24"/>
                <w:lang w:val="bg-BG"/>
              </w:rPr>
              <w:t>Вариант за действие 2: Приемане на п</w:t>
            </w:r>
            <w:r w:rsidR="007F1930" w:rsidRPr="005D767B">
              <w:rPr>
                <w:rFonts w:ascii="Times New Roman" w:eastAsia="Times New Roman" w:hAnsi="Times New Roman" w:cs="Times New Roman"/>
                <w:b/>
                <w:iCs/>
                <w:color w:val="000000"/>
                <w:sz w:val="24"/>
                <w:szCs w:val="24"/>
                <w:lang w:val="bg-BG"/>
              </w:rPr>
              <w:t xml:space="preserve">ромяна в </w:t>
            </w:r>
            <w:r w:rsidR="004F6484" w:rsidRPr="005D767B">
              <w:rPr>
                <w:rFonts w:ascii="Times New Roman" w:eastAsia="Times New Roman" w:hAnsi="Times New Roman" w:cs="Times New Roman"/>
                <w:b/>
                <w:iCs/>
                <w:color w:val="000000"/>
                <w:sz w:val="24"/>
                <w:szCs w:val="24"/>
                <w:lang w:val="bg-BG"/>
              </w:rPr>
              <w:t>Закона за биологичното разнообразие</w:t>
            </w:r>
          </w:p>
          <w:p w:rsidR="00E84D8F" w:rsidRPr="005D767B" w:rsidRDefault="00546CCB" w:rsidP="00F821DA">
            <w:pPr>
              <w:spacing w:before="120" w:after="120" w:line="240" w:lineRule="auto"/>
              <w:jc w:val="both"/>
              <w:rPr>
                <w:rFonts w:ascii="Times New Roman" w:eastAsia="Times New Roman" w:hAnsi="Times New Roman" w:cs="Times New Roman"/>
                <w:b/>
                <w:sz w:val="24"/>
                <w:szCs w:val="24"/>
                <w:lang w:val="bg-BG" w:eastAsia="en-GB"/>
              </w:rPr>
            </w:pPr>
            <w:r w:rsidRPr="005D767B">
              <w:rPr>
                <w:rFonts w:ascii="Times New Roman" w:eastAsia="Times New Roman" w:hAnsi="Times New Roman" w:cs="Times New Roman"/>
                <w:b/>
                <w:sz w:val="24"/>
                <w:szCs w:val="24"/>
                <w:lang w:val="bg-BG" w:eastAsia="en-GB"/>
              </w:rPr>
              <w:t>При този вариант ще се стигне до</w:t>
            </w:r>
            <w:r w:rsidR="00D03DA2" w:rsidRPr="005D767B">
              <w:rPr>
                <w:rFonts w:ascii="Times New Roman" w:eastAsia="Times New Roman" w:hAnsi="Times New Roman" w:cs="Times New Roman"/>
                <w:b/>
                <w:sz w:val="24"/>
                <w:szCs w:val="24"/>
                <w:lang w:val="bg-BG" w:eastAsia="en-GB"/>
              </w:rPr>
              <w:t>:</w:t>
            </w:r>
          </w:p>
          <w:p w:rsidR="004F6484" w:rsidRPr="005D767B" w:rsidRDefault="004F6484"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Ще се въведе новия подход за управление на мрежата Натура 2000 в България;</w:t>
            </w:r>
          </w:p>
          <w:p w:rsidR="004F6484" w:rsidRPr="005D767B" w:rsidRDefault="004F6484"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Ще се осигури цялостния процес по разработване и прилагане на мерки за подобряване/поддържане на природозащитното състояние на видовете и природните местообитания по Директива за местообитанията и Директива за птиците;</w:t>
            </w:r>
          </w:p>
          <w:p w:rsidR="000476CF" w:rsidRPr="005D767B" w:rsidRDefault="004F6484"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Ще се осигури ефективно и ефикасно управление на мрежата Натура 2000 в България, в съответствие с изискванията на Директива за местообитанията и указанията на ЕК.</w:t>
            </w:r>
          </w:p>
          <w:p w:rsidR="00162E4B" w:rsidRPr="005D767B" w:rsidRDefault="00162E4B"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Ще се осигури по-пълното прилагане на законодателството на Европейския съюз.</w:t>
            </w:r>
          </w:p>
          <w:p w:rsidR="00162E4B" w:rsidRPr="005D767B" w:rsidRDefault="00162E4B" w:rsidP="005D767B">
            <w:pPr>
              <w:pStyle w:val="ListParagraph"/>
              <w:numPr>
                <w:ilvl w:val="0"/>
                <w:numId w:val="4"/>
              </w:num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Ще се намали административната тежест.</w:t>
            </w:r>
          </w:p>
          <w:p w:rsidR="00162E4B" w:rsidRPr="005D767B" w:rsidRDefault="00162E4B" w:rsidP="005D767B">
            <w:pPr>
              <w:pStyle w:val="ListParagraph"/>
              <w:spacing w:before="120" w:after="120" w:line="240" w:lineRule="auto"/>
              <w:jc w:val="both"/>
              <w:textAlignment w:val="center"/>
              <w:rPr>
                <w:rFonts w:ascii="Times New Roman" w:eastAsia="Times New Roman" w:hAnsi="Times New Roman" w:cs="Times New Roman"/>
                <w:sz w:val="24"/>
                <w:szCs w:val="24"/>
                <w:lang w:val="bg-BG"/>
              </w:rPr>
            </w:pP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610E9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lastRenderedPageBreak/>
              <w:t>5. Негативни въздействия:</w:t>
            </w:r>
            <w:r w:rsidRPr="00F821DA">
              <w:rPr>
                <w:rFonts w:ascii="Times New Roman" w:eastAsia="Times New Roman" w:hAnsi="Times New Roman" w:cs="Times New Roman"/>
                <w:sz w:val="24"/>
                <w:szCs w:val="24"/>
                <w:lang w:val="bg-BG"/>
              </w:rPr>
              <w:t xml:space="preserve"> </w:t>
            </w:r>
          </w:p>
          <w:p w:rsidR="00C5328A" w:rsidRPr="00F70834" w:rsidRDefault="00C5328A" w:rsidP="005D767B">
            <w:pPr>
              <w:spacing w:before="120" w:after="120" w:line="240" w:lineRule="auto"/>
              <w:jc w:val="center"/>
              <w:textAlignment w:val="center"/>
              <w:rPr>
                <w:rFonts w:ascii="Times New Roman" w:eastAsia="Times New Roman" w:hAnsi="Times New Roman" w:cs="Times New Roman"/>
                <w:iCs/>
                <w:color w:val="000000"/>
                <w:sz w:val="24"/>
                <w:szCs w:val="24"/>
                <w:lang w:val="bg-BG"/>
              </w:rPr>
            </w:pPr>
            <w:r w:rsidRPr="00F821DA">
              <w:rPr>
                <w:rFonts w:ascii="Times New Roman" w:eastAsia="Times New Roman" w:hAnsi="Times New Roman" w:cs="Times New Roman"/>
                <w:i/>
                <w:iCs/>
                <w:color w:val="000000"/>
                <w:sz w:val="24"/>
                <w:szCs w:val="24"/>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w:t>
            </w:r>
            <w:r w:rsidRPr="00F70834">
              <w:rPr>
                <w:rFonts w:ascii="Times New Roman" w:eastAsia="Times New Roman" w:hAnsi="Times New Roman" w:cs="Times New Roman"/>
                <w:i/>
                <w:iCs/>
                <w:color w:val="000000"/>
                <w:sz w:val="24"/>
                <w:szCs w:val="24"/>
                <w:lang w:val="bg-BG"/>
              </w:rPr>
              <w:t xml:space="preserve">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1609C6" w:rsidRPr="00BC7FD7" w:rsidRDefault="001609C6" w:rsidP="005D767B">
            <w:pPr>
              <w:spacing w:before="120" w:after="120" w:line="240" w:lineRule="auto"/>
              <w:jc w:val="both"/>
              <w:textAlignment w:val="center"/>
              <w:rPr>
                <w:rFonts w:ascii="Times New Roman" w:eastAsia="Times New Roman" w:hAnsi="Times New Roman" w:cs="Times New Roman"/>
                <w:b/>
                <w:iCs/>
                <w:color w:val="000000"/>
                <w:sz w:val="24"/>
                <w:szCs w:val="24"/>
                <w:lang w:val="bg-BG"/>
              </w:rPr>
            </w:pPr>
            <w:r w:rsidRPr="00F70834">
              <w:rPr>
                <w:rFonts w:ascii="Times New Roman" w:eastAsia="Times New Roman" w:hAnsi="Times New Roman" w:cs="Times New Roman"/>
                <w:b/>
                <w:iCs/>
                <w:color w:val="000000"/>
                <w:sz w:val="24"/>
                <w:szCs w:val="24"/>
                <w:lang w:val="bg-BG"/>
              </w:rPr>
              <w:t>Вариант за действие 1: Без действие</w:t>
            </w:r>
          </w:p>
          <w:p w:rsidR="001609C6" w:rsidRPr="00BC7FD7" w:rsidRDefault="001609C6"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BC7FD7">
              <w:rPr>
                <w:rFonts w:ascii="Times New Roman" w:eastAsia="Times New Roman" w:hAnsi="Times New Roman" w:cs="Times New Roman"/>
                <w:i/>
                <w:iCs/>
                <w:color w:val="000000"/>
                <w:sz w:val="24"/>
                <w:szCs w:val="24"/>
                <w:lang w:val="bg-BG"/>
              </w:rPr>
              <w:t>Икономически негативни въздействия:</w:t>
            </w:r>
          </w:p>
          <w:p w:rsidR="001609C6" w:rsidRPr="005D767B" w:rsidRDefault="001609C6"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Липсата на </w:t>
            </w:r>
            <w:r w:rsidR="007F1930" w:rsidRPr="005D767B">
              <w:rPr>
                <w:rFonts w:ascii="Times New Roman" w:eastAsia="Times New Roman" w:hAnsi="Times New Roman" w:cs="Times New Roman"/>
                <w:iCs/>
                <w:color w:val="000000"/>
                <w:sz w:val="24"/>
                <w:szCs w:val="24"/>
                <w:lang w:val="bg-BG"/>
              </w:rPr>
              <w:t xml:space="preserve">промени в </w:t>
            </w:r>
            <w:r w:rsidR="004F6484" w:rsidRPr="005D767B">
              <w:rPr>
                <w:rFonts w:ascii="Times New Roman" w:eastAsia="Times New Roman" w:hAnsi="Times New Roman" w:cs="Times New Roman"/>
                <w:iCs/>
                <w:color w:val="000000"/>
                <w:sz w:val="24"/>
                <w:szCs w:val="24"/>
                <w:lang w:val="bg-BG"/>
              </w:rPr>
              <w:t>Закона за биологичното разнообразие</w:t>
            </w:r>
            <w:r w:rsidR="007F1930" w:rsidRPr="005D767B">
              <w:rPr>
                <w:rFonts w:ascii="Times New Roman" w:eastAsia="Times New Roman" w:hAnsi="Times New Roman" w:cs="Times New Roman"/>
                <w:iCs/>
                <w:color w:val="000000"/>
                <w:sz w:val="24"/>
                <w:szCs w:val="24"/>
                <w:lang w:val="bg-BG"/>
              </w:rPr>
              <w:t xml:space="preserve">, </w:t>
            </w:r>
            <w:r w:rsidRPr="005D767B">
              <w:rPr>
                <w:rFonts w:ascii="Times New Roman" w:eastAsia="Times New Roman" w:hAnsi="Times New Roman" w:cs="Times New Roman"/>
                <w:iCs/>
                <w:color w:val="000000"/>
                <w:sz w:val="24"/>
                <w:szCs w:val="24"/>
                <w:lang w:val="bg-BG"/>
              </w:rPr>
              <w:t xml:space="preserve">ще доведе до неизпълнение на задълженията на България по </w:t>
            </w:r>
            <w:r w:rsidR="004F6484" w:rsidRPr="005D767B">
              <w:rPr>
                <w:rFonts w:ascii="Times New Roman" w:eastAsia="Times New Roman" w:hAnsi="Times New Roman" w:cs="Times New Roman"/>
                <w:iCs/>
                <w:color w:val="000000"/>
                <w:sz w:val="24"/>
                <w:szCs w:val="24"/>
                <w:lang w:val="bg-BG"/>
              </w:rPr>
              <w:t>Директива за местообитанията</w:t>
            </w:r>
            <w:r w:rsidR="00096062" w:rsidRPr="005D767B">
              <w:rPr>
                <w:rFonts w:ascii="Times New Roman" w:eastAsia="Times New Roman" w:hAnsi="Times New Roman" w:cs="Times New Roman"/>
                <w:iCs/>
                <w:color w:val="000000"/>
                <w:sz w:val="24"/>
                <w:szCs w:val="24"/>
                <w:lang w:val="bg-BG"/>
              </w:rPr>
              <w:t xml:space="preserve"> и недобро прилагане на Директивата за птиците</w:t>
            </w:r>
            <w:r w:rsidRPr="005D767B">
              <w:rPr>
                <w:rFonts w:ascii="Times New Roman" w:eastAsia="Times New Roman" w:hAnsi="Times New Roman" w:cs="Times New Roman"/>
                <w:iCs/>
                <w:color w:val="000000"/>
                <w:sz w:val="24"/>
                <w:szCs w:val="24"/>
                <w:lang w:val="bg-BG"/>
              </w:rPr>
              <w:t xml:space="preserve">. </w:t>
            </w:r>
            <w:r w:rsidR="004F6484" w:rsidRPr="005D767B">
              <w:rPr>
                <w:rFonts w:ascii="Times New Roman" w:eastAsia="Times New Roman" w:hAnsi="Times New Roman" w:cs="Times New Roman"/>
                <w:iCs/>
                <w:color w:val="000000"/>
                <w:sz w:val="24"/>
                <w:szCs w:val="24"/>
                <w:lang w:val="bg-BG"/>
              </w:rPr>
              <w:t xml:space="preserve">Няма да е осигурено участието на заинтересованите страни, представители на икономическите сектори, </w:t>
            </w:r>
            <w:r w:rsidR="00780E5B" w:rsidRPr="005D767B">
              <w:rPr>
                <w:rFonts w:ascii="Times New Roman" w:eastAsia="Times New Roman" w:hAnsi="Times New Roman" w:cs="Times New Roman"/>
                <w:iCs/>
                <w:color w:val="000000"/>
                <w:sz w:val="24"/>
                <w:szCs w:val="24"/>
                <w:lang w:val="bg-BG"/>
              </w:rPr>
              <w:t>в</w:t>
            </w:r>
            <w:r w:rsidR="004F6484" w:rsidRPr="005D767B">
              <w:rPr>
                <w:rFonts w:ascii="Times New Roman" w:eastAsia="Times New Roman" w:hAnsi="Times New Roman" w:cs="Times New Roman"/>
                <w:iCs/>
                <w:color w:val="000000"/>
                <w:sz w:val="24"/>
                <w:szCs w:val="24"/>
                <w:lang w:val="bg-BG"/>
              </w:rPr>
              <w:t xml:space="preserve"> процеса на вземане на решения, свързани с управлението на мрежата Натура 2000, което е в неизпълнение на Плана на Европейската комисия за природата, хората и икономиката. Изолирането на представителите на икономическите сектори ще задълбочи негативното им отношение към политиката за Натура 2000, което ще доведе до намаляване на инвестициите на територията на мрежата, а от там – </w:t>
            </w:r>
            <w:r w:rsidR="004F6484" w:rsidRPr="005D767B">
              <w:rPr>
                <w:rFonts w:ascii="Times New Roman" w:eastAsia="Times New Roman" w:hAnsi="Times New Roman" w:cs="Times New Roman"/>
                <w:iCs/>
                <w:color w:val="000000"/>
                <w:sz w:val="24"/>
                <w:szCs w:val="24"/>
                <w:lang w:val="bg-BG"/>
              </w:rPr>
              <w:lastRenderedPageBreak/>
              <w:t>до намаляване на стандарта на живот и жизнеспособността на тези територии.</w:t>
            </w:r>
            <w:r w:rsidR="00096062" w:rsidRPr="005D767B">
              <w:rPr>
                <w:rFonts w:ascii="Times New Roman" w:eastAsia="Times New Roman" w:hAnsi="Times New Roman" w:cs="Times New Roman"/>
                <w:iCs/>
                <w:color w:val="000000"/>
                <w:sz w:val="24"/>
                <w:szCs w:val="24"/>
                <w:lang w:val="bg-BG"/>
              </w:rPr>
              <w:t xml:space="preserve"> </w:t>
            </w:r>
            <w:r w:rsidR="004F6484" w:rsidRPr="005D767B">
              <w:rPr>
                <w:rFonts w:ascii="Times New Roman" w:eastAsia="Times New Roman" w:hAnsi="Times New Roman" w:cs="Times New Roman"/>
                <w:iCs/>
                <w:color w:val="000000"/>
                <w:sz w:val="24"/>
                <w:szCs w:val="24"/>
                <w:lang w:val="bg-BG"/>
              </w:rPr>
              <w:t xml:space="preserve"> </w:t>
            </w:r>
          </w:p>
          <w:p w:rsidR="00631914" w:rsidRPr="005D767B" w:rsidRDefault="00631914"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Социални негативни въздействия:</w:t>
            </w:r>
          </w:p>
          <w:p w:rsidR="00631914" w:rsidRPr="005D767B" w:rsidRDefault="00631914"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Липсата на приема</w:t>
            </w:r>
            <w:r w:rsidR="007F1930" w:rsidRPr="005D767B">
              <w:rPr>
                <w:rFonts w:ascii="Times New Roman" w:eastAsia="Times New Roman" w:hAnsi="Times New Roman" w:cs="Times New Roman"/>
                <w:iCs/>
                <w:color w:val="000000"/>
                <w:sz w:val="24"/>
                <w:szCs w:val="24"/>
                <w:lang w:val="bg-BG"/>
              </w:rPr>
              <w:t xml:space="preserve">нето на промени в </w:t>
            </w:r>
            <w:r w:rsidR="004F6484" w:rsidRPr="005D767B">
              <w:rPr>
                <w:rFonts w:ascii="Times New Roman" w:eastAsia="Times New Roman" w:hAnsi="Times New Roman" w:cs="Times New Roman"/>
                <w:iCs/>
                <w:color w:val="000000"/>
                <w:sz w:val="24"/>
                <w:szCs w:val="24"/>
                <w:lang w:val="bg-BG"/>
              </w:rPr>
              <w:t xml:space="preserve">Закона за биологичното разнообразие ще </w:t>
            </w:r>
            <w:r w:rsidR="00497105" w:rsidRPr="005D767B">
              <w:rPr>
                <w:rFonts w:ascii="Times New Roman" w:eastAsia="Times New Roman" w:hAnsi="Times New Roman" w:cs="Times New Roman"/>
                <w:iCs/>
                <w:color w:val="000000"/>
                <w:sz w:val="24"/>
                <w:szCs w:val="24"/>
                <w:lang w:val="bg-BG"/>
              </w:rPr>
              <w:t>задълбочи изолацията на</w:t>
            </w:r>
            <w:r w:rsidR="004F6484" w:rsidRPr="005D767B">
              <w:rPr>
                <w:rFonts w:ascii="Times New Roman" w:eastAsia="Times New Roman" w:hAnsi="Times New Roman" w:cs="Times New Roman"/>
                <w:iCs/>
                <w:color w:val="000000"/>
                <w:sz w:val="24"/>
                <w:szCs w:val="24"/>
                <w:lang w:val="bg-BG"/>
              </w:rPr>
              <w:t xml:space="preserve"> местните общности от участие в процеса на управление на мрежата Натура 2000. </w:t>
            </w:r>
            <w:r w:rsidR="00497105" w:rsidRPr="005D767B">
              <w:rPr>
                <w:rFonts w:ascii="Times New Roman" w:eastAsia="Times New Roman" w:hAnsi="Times New Roman" w:cs="Times New Roman"/>
                <w:iCs/>
                <w:color w:val="000000"/>
                <w:sz w:val="24"/>
                <w:szCs w:val="24"/>
                <w:lang w:val="bg-BG"/>
              </w:rPr>
              <w:t xml:space="preserve">Това ще доведе до невъзможност обществото и гражданите да упражнят правата си за местно самоуправление. Понижаването на икономическата активност в тези територии ще намали стандарта на живот на хората, които ги обитават, а това би довело до обезлюдяване на населените места и застаряване на населението. </w:t>
            </w:r>
          </w:p>
          <w:p w:rsidR="00631914" w:rsidRPr="005D767B" w:rsidRDefault="00631914"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Екологични негативни въздействия:</w:t>
            </w:r>
          </w:p>
          <w:p w:rsidR="00631914" w:rsidRPr="005D767B" w:rsidRDefault="00631914"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Липсата на приемането на промени в </w:t>
            </w:r>
            <w:r w:rsidR="00497105" w:rsidRPr="005D767B">
              <w:rPr>
                <w:rFonts w:ascii="Times New Roman" w:eastAsia="Times New Roman" w:hAnsi="Times New Roman" w:cs="Times New Roman"/>
                <w:iCs/>
                <w:color w:val="000000"/>
                <w:sz w:val="24"/>
                <w:szCs w:val="24"/>
                <w:lang w:val="bg-BG"/>
              </w:rPr>
              <w:t>Закона за биологичното разнообразие ще доведе до непостигане на целите на Директива за местообитанията</w:t>
            </w:r>
            <w:r w:rsidR="00162E4B" w:rsidRPr="005D767B">
              <w:rPr>
                <w:rFonts w:ascii="Times New Roman" w:eastAsia="Times New Roman" w:hAnsi="Times New Roman" w:cs="Times New Roman"/>
                <w:iCs/>
                <w:color w:val="000000"/>
                <w:sz w:val="24"/>
                <w:szCs w:val="24"/>
                <w:lang w:val="bg-BG"/>
              </w:rPr>
              <w:t>, Директивата за птиците и Регламент 338/97, а от там до застрашаване на биологичното разнообразие</w:t>
            </w:r>
            <w:r w:rsidR="00497105" w:rsidRPr="005D767B">
              <w:rPr>
                <w:rFonts w:ascii="Times New Roman" w:eastAsia="Times New Roman" w:hAnsi="Times New Roman" w:cs="Times New Roman"/>
                <w:iCs/>
                <w:color w:val="000000"/>
                <w:sz w:val="24"/>
                <w:szCs w:val="24"/>
                <w:lang w:val="bg-BG"/>
              </w:rPr>
              <w:t xml:space="preserve">. </w:t>
            </w:r>
          </w:p>
          <w:p w:rsidR="00515BFC" w:rsidRPr="005D767B" w:rsidRDefault="00515BFC" w:rsidP="00F821DA">
            <w:pPr>
              <w:spacing w:before="120" w:after="120" w:line="240" w:lineRule="auto"/>
              <w:jc w:val="both"/>
              <w:rPr>
                <w:rFonts w:ascii="Times New Roman" w:eastAsia="Times New Roman" w:hAnsi="Times New Roman" w:cs="Times New Roman"/>
                <w:sz w:val="24"/>
                <w:szCs w:val="24"/>
                <w:lang w:val="bg-BG" w:eastAsia="en-GB"/>
              </w:rPr>
            </w:pPr>
            <w:r w:rsidRPr="005D767B">
              <w:rPr>
                <w:rFonts w:ascii="Times New Roman" w:eastAsia="Times New Roman" w:hAnsi="Times New Roman" w:cs="Times New Roman"/>
                <w:b/>
                <w:iCs/>
                <w:color w:val="000000"/>
                <w:sz w:val="24"/>
                <w:szCs w:val="24"/>
                <w:lang w:val="bg-BG"/>
              </w:rPr>
              <w:t xml:space="preserve">Вариант за действие 2: Приемане на промяна в </w:t>
            </w:r>
            <w:r w:rsidR="00E572C7" w:rsidRPr="005D767B">
              <w:rPr>
                <w:rFonts w:ascii="Times New Roman" w:eastAsia="Times New Roman" w:hAnsi="Times New Roman" w:cs="Times New Roman"/>
                <w:b/>
                <w:iCs/>
                <w:color w:val="000000"/>
                <w:sz w:val="24"/>
                <w:szCs w:val="24"/>
                <w:lang w:val="bg-BG"/>
              </w:rPr>
              <w:t>Закона за биологичното разнообразие</w:t>
            </w:r>
          </w:p>
          <w:p w:rsidR="00515BFC" w:rsidRPr="005D767B" w:rsidRDefault="00515BFC"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Икономически негативни въздействия:</w:t>
            </w:r>
          </w:p>
          <w:p w:rsidR="00497105" w:rsidRPr="005D767B" w:rsidRDefault="00610E99"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В резултат от предложените промени </w:t>
            </w:r>
            <w:r w:rsidR="00C5328A" w:rsidRPr="005D767B">
              <w:rPr>
                <w:rFonts w:ascii="Times New Roman" w:eastAsia="Times New Roman" w:hAnsi="Times New Roman" w:cs="Times New Roman"/>
                <w:iCs/>
                <w:color w:val="000000"/>
                <w:sz w:val="24"/>
                <w:szCs w:val="24"/>
                <w:lang w:val="bg-BG"/>
              </w:rPr>
              <w:t xml:space="preserve">в </w:t>
            </w:r>
            <w:r w:rsidR="00497105" w:rsidRPr="005D767B">
              <w:rPr>
                <w:rFonts w:ascii="Times New Roman" w:eastAsia="Times New Roman" w:hAnsi="Times New Roman" w:cs="Times New Roman"/>
                <w:iCs/>
                <w:color w:val="000000"/>
                <w:sz w:val="24"/>
                <w:szCs w:val="24"/>
                <w:lang w:val="bg-BG"/>
              </w:rPr>
              <w:t>Закона за биологичното разнообразие</w:t>
            </w:r>
            <w:r w:rsidR="00C5328A" w:rsidRPr="005D767B">
              <w:rPr>
                <w:rFonts w:ascii="Times New Roman" w:eastAsia="Times New Roman" w:hAnsi="Times New Roman" w:cs="Times New Roman"/>
                <w:iCs/>
                <w:color w:val="000000"/>
                <w:sz w:val="24"/>
                <w:szCs w:val="24"/>
                <w:lang w:val="bg-BG"/>
              </w:rPr>
              <w:t xml:space="preserve">, </w:t>
            </w:r>
            <w:r w:rsidRPr="005D767B">
              <w:rPr>
                <w:rFonts w:ascii="Times New Roman" w:eastAsia="Times New Roman" w:hAnsi="Times New Roman" w:cs="Times New Roman"/>
                <w:iCs/>
                <w:color w:val="000000"/>
                <w:sz w:val="24"/>
                <w:szCs w:val="24"/>
                <w:lang w:val="bg-BG"/>
              </w:rPr>
              <w:t xml:space="preserve">се очаква сформирането на </w:t>
            </w:r>
            <w:r w:rsidR="00497105" w:rsidRPr="005D767B">
              <w:rPr>
                <w:rFonts w:ascii="Times New Roman" w:eastAsia="Times New Roman" w:hAnsi="Times New Roman" w:cs="Times New Roman"/>
                <w:iCs/>
                <w:color w:val="000000"/>
                <w:sz w:val="24"/>
                <w:szCs w:val="24"/>
                <w:lang w:val="bg-BG"/>
              </w:rPr>
              <w:t xml:space="preserve">нови </w:t>
            </w:r>
            <w:r w:rsidRPr="005D767B">
              <w:rPr>
                <w:rFonts w:ascii="Times New Roman" w:eastAsia="Times New Roman" w:hAnsi="Times New Roman" w:cs="Times New Roman"/>
                <w:iCs/>
                <w:color w:val="000000"/>
                <w:sz w:val="24"/>
                <w:szCs w:val="24"/>
                <w:lang w:val="bg-BG"/>
              </w:rPr>
              <w:t>звен</w:t>
            </w:r>
            <w:r w:rsidR="00497105" w:rsidRPr="005D767B">
              <w:rPr>
                <w:rFonts w:ascii="Times New Roman" w:eastAsia="Times New Roman" w:hAnsi="Times New Roman" w:cs="Times New Roman"/>
                <w:iCs/>
                <w:color w:val="000000"/>
                <w:sz w:val="24"/>
                <w:szCs w:val="24"/>
                <w:lang w:val="bg-BG"/>
              </w:rPr>
              <w:t>а</w:t>
            </w:r>
            <w:r w:rsidRPr="005D767B">
              <w:rPr>
                <w:rFonts w:ascii="Times New Roman" w:eastAsia="Times New Roman" w:hAnsi="Times New Roman" w:cs="Times New Roman"/>
                <w:iCs/>
                <w:color w:val="000000"/>
                <w:sz w:val="24"/>
                <w:szCs w:val="24"/>
                <w:lang w:val="bg-BG"/>
              </w:rPr>
              <w:t xml:space="preserve"> за управление на </w:t>
            </w:r>
            <w:r w:rsidR="00497105" w:rsidRPr="005D767B">
              <w:rPr>
                <w:rFonts w:ascii="Times New Roman" w:eastAsia="Times New Roman" w:hAnsi="Times New Roman" w:cs="Times New Roman"/>
                <w:iCs/>
                <w:color w:val="000000"/>
                <w:sz w:val="24"/>
                <w:szCs w:val="24"/>
                <w:lang w:val="bg-BG"/>
              </w:rPr>
              <w:t>мрежата Натура 2000, в администрацията на МОСВ и в</w:t>
            </w:r>
            <w:r w:rsidR="001942B2">
              <w:rPr>
                <w:rFonts w:ascii="Times New Roman" w:eastAsia="Times New Roman" w:hAnsi="Times New Roman" w:cs="Times New Roman"/>
                <w:iCs/>
                <w:color w:val="000000"/>
                <w:sz w:val="24"/>
                <w:szCs w:val="24"/>
                <w:lang w:val="bg-BG"/>
              </w:rPr>
              <w:t xml:space="preserve"> Регионалните инспекции по околната среда и водите</w:t>
            </w:r>
            <w:r w:rsidR="00497105" w:rsidRPr="005D767B">
              <w:rPr>
                <w:rFonts w:ascii="Times New Roman" w:eastAsia="Times New Roman" w:hAnsi="Times New Roman" w:cs="Times New Roman"/>
                <w:iCs/>
                <w:color w:val="000000"/>
                <w:sz w:val="24"/>
                <w:szCs w:val="24"/>
                <w:lang w:val="bg-BG"/>
              </w:rPr>
              <w:t xml:space="preserve">, както следва: </w:t>
            </w:r>
          </w:p>
          <w:tbl>
            <w:tblPr>
              <w:tblW w:w="8585" w:type="dxa"/>
              <w:jc w:val="center"/>
              <w:tblLayout w:type="fixed"/>
              <w:tblCellMar>
                <w:left w:w="70" w:type="dxa"/>
                <w:right w:w="70" w:type="dxa"/>
              </w:tblCellMar>
              <w:tblLook w:val="04A0" w:firstRow="1" w:lastRow="0" w:firstColumn="1" w:lastColumn="0" w:noHBand="0" w:noVBand="1"/>
            </w:tblPr>
            <w:tblGrid>
              <w:gridCol w:w="900"/>
              <w:gridCol w:w="6131"/>
              <w:gridCol w:w="1554"/>
            </w:tblGrid>
            <w:tr w:rsidR="00497105" w:rsidRPr="005D767B" w:rsidTr="00496399">
              <w:trPr>
                <w:trHeight w:val="410"/>
                <w:jc w:val="center"/>
              </w:trPr>
              <w:tc>
                <w:tcPr>
                  <w:tcW w:w="9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97105" w:rsidRPr="005D767B" w:rsidRDefault="00497105" w:rsidP="005D767B">
                  <w:pPr>
                    <w:spacing w:before="120" w:after="120" w:line="240" w:lineRule="auto"/>
                    <w:jc w:val="center"/>
                    <w:rPr>
                      <w:rFonts w:ascii="Times New Roman" w:eastAsia="Times New Roman" w:hAnsi="Times New Roman" w:cs="Times New Roman"/>
                      <w:b/>
                      <w:color w:val="000000"/>
                      <w:sz w:val="24"/>
                      <w:szCs w:val="24"/>
                      <w:lang w:val="bg-BG" w:eastAsia="bg-BG"/>
                    </w:rPr>
                  </w:pPr>
                  <w:r w:rsidRPr="005D767B">
                    <w:rPr>
                      <w:rFonts w:ascii="Times New Roman" w:eastAsia="Times New Roman" w:hAnsi="Times New Roman" w:cs="Times New Roman"/>
                      <w:b/>
                      <w:color w:val="000000"/>
                      <w:sz w:val="24"/>
                      <w:szCs w:val="24"/>
                      <w:lang w:val="bg-BG" w:eastAsia="bg-BG"/>
                    </w:rPr>
                    <w:t>№</w:t>
                  </w:r>
                </w:p>
              </w:tc>
              <w:tc>
                <w:tcPr>
                  <w:tcW w:w="613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497105" w:rsidRPr="005D767B" w:rsidRDefault="00497105" w:rsidP="005D767B">
                  <w:pPr>
                    <w:spacing w:before="120" w:after="120" w:line="240" w:lineRule="auto"/>
                    <w:jc w:val="center"/>
                    <w:rPr>
                      <w:rFonts w:ascii="Times New Roman" w:eastAsia="Times New Roman" w:hAnsi="Times New Roman" w:cs="Times New Roman"/>
                      <w:b/>
                      <w:bCs/>
                      <w:iCs/>
                      <w:color w:val="000000"/>
                      <w:sz w:val="24"/>
                      <w:szCs w:val="24"/>
                      <w:lang w:val="bg-BG" w:eastAsia="bg-BG"/>
                    </w:rPr>
                  </w:pPr>
                  <w:r w:rsidRPr="005D767B">
                    <w:rPr>
                      <w:rFonts w:ascii="Times New Roman" w:eastAsia="Times New Roman" w:hAnsi="Times New Roman" w:cs="Times New Roman"/>
                      <w:b/>
                      <w:bCs/>
                      <w:iCs/>
                      <w:color w:val="000000"/>
                      <w:sz w:val="24"/>
                      <w:szCs w:val="24"/>
                      <w:lang w:val="bg-BG" w:eastAsia="bg-BG"/>
                    </w:rPr>
                    <w:t>Експертна позиция</w:t>
                  </w:r>
                </w:p>
              </w:tc>
              <w:tc>
                <w:tcPr>
                  <w:tcW w:w="155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497105" w:rsidRPr="005D767B" w:rsidRDefault="00497105" w:rsidP="005D767B">
                  <w:pPr>
                    <w:spacing w:before="120" w:after="120" w:line="240" w:lineRule="auto"/>
                    <w:jc w:val="center"/>
                    <w:rPr>
                      <w:rFonts w:ascii="Times New Roman" w:eastAsia="Times New Roman" w:hAnsi="Times New Roman" w:cs="Times New Roman"/>
                      <w:b/>
                      <w:color w:val="000000"/>
                      <w:sz w:val="24"/>
                      <w:szCs w:val="24"/>
                      <w:lang w:val="bg-BG" w:eastAsia="bg-BG"/>
                    </w:rPr>
                  </w:pPr>
                  <w:r w:rsidRPr="005D767B">
                    <w:rPr>
                      <w:rFonts w:ascii="Times New Roman" w:eastAsia="Times New Roman" w:hAnsi="Times New Roman" w:cs="Times New Roman"/>
                      <w:b/>
                      <w:color w:val="000000"/>
                      <w:sz w:val="24"/>
                      <w:szCs w:val="24"/>
                      <w:lang w:val="bg-BG" w:eastAsia="bg-BG"/>
                    </w:rPr>
                    <w:t>Брой служители</w:t>
                  </w:r>
                </w:p>
              </w:tc>
            </w:tr>
            <w:tr w:rsidR="00497105" w:rsidRPr="005D767B" w:rsidTr="00496399">
              <w:trPr>
                <w:trHeight w:val="263"/>
                <w:jc w:val="center"/>
              </w:trPr>
              <w:tc>
                <w:tcPr>
                  <w:tcW w:w="8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105" w:rsidRPr="00F821DA" w:rsidRDefault="00497105" w:rsidP="005D767B">
                  <w:pPr>
                    <w:spacing w:before="120" w:after="120" w:line="240" w:lineRule="auto"/>
                    <w:jc w:val="center"/>
                    <w:rPr>
                      <w:rFonts w:ascii="Times New Roman" w:eastAsia="Times New Roman" w:hAnsi="Times New Roman" w:cs="Times New Roman"/>
                      <w:b/>
                      <w:color w:val="000000"/>
                      <w:sz w:val="24"/>
                      <w:szCs w:val="24"/>
                      <w:lang w:val="bg-BG" w:eastAsia="bg-BG"/>
                    </w:rPr>
                  </w:pPr>
                  <w:r w:rsidRPr="00F821DA">
                    <w:rPr>
                      <w:rFonts w:ascii="Times New Roman" w:eastAsia="Times New Roman" w:hAnsi="Times New Roman" w:cs="Times New Roman"/>
                      <w:b/>
                      <w:color w:val="000000"/>
                      <w:sz w:val="24"/>
                      <w:szCs w:val="24"/>
                      <w:lang w:val="bg-BG" w:eastAsia="bg-BG"/>
                    </w:rPr>
                    <w:t>В администрацията на МОСВ</w:t>
                  </w:r>
                </w:p>
              </w:tc>
            </w:tr>
            <w:tr w:rsidR="00497105" w:rsidRPr="005D767B" w:rsidTr="00496399">
              <w:trPr>
                <w:trHeight w:val="124"/>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w:t>
                  </w:r>
                </w:p>
              </w:tc>
              <w:tc>
                <w:tcPr>
                  <w:tcW w:w="6131" w:type="dxa"/>
                  <w:tcBorders>
                    <w:top w:val="single" w:sz="4" w:space="0" w:color="auto"/>
                    <w:left w:val="nil"/>
                    <w:bottom w:val="single" w:sz="4" w:space="0" w:color="auto"/>
                    <w:right w:val="single" w:sz="4" w:space="0" w:color="auto"/>
                  </w:tcBorders>
                  <w:shd w:val="clear" w:color="auto" w:fill="auto"/>
                  <w:vAlign w:val="center"/>
                </w:tcPr>
                <w:p w:rsidR="00497105" w:rsidRPr="00F821DA" w:rsidRDefault="00497105" w:rsidP="005D767B">
                  <w:pPr>
                    <w:spacing w:before="120" w:after="120" w:line="240" w:lineRule="auto"/>
                    <w:jc w:val="both"/>
                    <w:rPr>
                      <w:rFonts w:ascii="Times New Roman" w:eastAsia="Times New Roman" w:hAnsi="Times New Roman" w:cs="Times New Roman"/>
                      <w:b/>
                      <w:bCs/>
                      <w:i/>
                      <w:iCs/>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Ръководител на Националната структура за Натура 2000</w:t>
                  </w:r>
                </w:p>
              </w:tc>
              <w:tc>
                <w:tcPr>
                  <w:tcW w:w="1554" w:type="dxa"/>
                  <w:tcBorders>
                    <w:top w:val="single" w:sz="4" w:space="0" w:color="auto"/>
                    <w:left w:val="nil"/>
                    <w:bottom w:val="single" w:sz="4" w:space="0" w:color="auto"/>
                    <w:right w:val="single" w:sz="4" w:space="0" w:color="auto"/>
                  </w:tcBorders>
                  <w:shd w:val="clear" w:color="auto" w:fill="auto"/>
                  <w:vAlign w:val="center"/>
                </w:tcPr>
                <w:p w:rsidR="00497105" w:rsidRPr="00F70834"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70834">
                    <w:rPr>
                      <w:rFonts w:ascii="Times New Roman" w:eastAsia="Times New Roman" w:hAnsi="Times New Roman" w:cs="Times New Roman"/>
                      <w:color w:val="000000"/>
                      <w:sz w:val="24"/>
                      <w:szCs w:val="24"/>
                      <w:lang w:val="bg-BG" w:eastAsia="bg-BG"/>
                    </w:rPr>
                    <w:t>1</w:t>
                  </w:r>
                </w:p>
              </w:tc>
            </w:tr>
            <w:tr w:rsidR="00497105" w:rsidRPr="005D767B" w:rsidTr="00496399">
              <w:trPr>
                <w:trHeight w:val="129"/>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2.</w:t>
                  </w:r>
                </w:p>
              </w:tc>
              <w:tc>
                <w:tcPr>
                  <w:tcW w:w="6131"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Ръководител екип „НПРД“</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w:t>
                  </w:r>
                </w:p>
              </w:tc>
            </w:tr>
            <w:tr w:rsidR="00497105" w:rsidRPr="005D767B" w:rsidTr="00496399">
              <w:trPr>
                <w:trHeight w:val="7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3.</w:t>
                  </w:r>
                </w:p>
              </w:tc>
              <w:tc>
                <w:tcPr>
                  <w:tcW w:w="6131"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Експерт "Мерки на НПРД"</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2</w:t>
                  </w:r>
                </w:p>
              </w:tc>
            </w:tr>
            <w:tr w:rsidR="00497105" w:rsidRPr="005D767B" w:rsidTr="00496399">
              <w:trPr>
                <w:trHeight w:val="7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4.</w:t>
                  </w:r>
                </w:p>
              </w:tc>
              <w:tc>
                <w:tcPr>
                  <w:tcW w:w="6131"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Експерт „Координация на национално ниво“</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w:t>
                  </w:r>
                </w:p>
              </w:tc>
            </w:tr>
            <w:tr w:rsidR="00497105" w:rsidRPr="005D767B" w:rsidTr="00496399">
              <w:trPr>
                <w:trHeight w:val="112"/>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5.</w:t>
                  </w:r>
                </w:p>
              </w:tc>
              <w:tc>
                <w:tcPr>
                  <w:tcW w:w="6131"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Експерт „Мониторинг и оценка“</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w:t>
                  </w:r>
                </w:p>
              </w:tc>
            </w:tr>
            <w:tr w:rsidR="00497105" w:rsidRPr="005D767B" w:rsidTr="00496399">
              <w:trPr>
                <w:trHeight w:val="7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6.</w:t>
                  </w:r>
                </w:p>
              </w:tc>
              <w:tc>
                <w:tcPr>
                  <w:tcW w:w="6131"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Експерт „Анализатор“</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w:t>
                  </w:r>
                </w:p>
              </w:tc>
            </w:tr>
            <w:tr w:rsidR="00497105" w:rsidRPr="005D767B" w:rsidTr="00496399">
              <w:trPr>
                <w:trHeight w:val="262"/>
                <w:jc w:val="center"/>
              </w:trPr>
              <w:tc>
                <w:tcPr>
                  <w:tcW w:w="900" w:type="dxa"/>
                  <w:tcBorders>
                    <w:top w:val="nil"/>
                    <w:left w:val="single" w:sz="4" w:space="0" w:color="auto"/>
                    <w:bottom w:val="single" w:sz="4" w:space="0" w:color="auto"/>
                    <w:right w:val="nil"/>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8.</w:t>
                  </w:r>
                </w:p>
              </w:tc>
              <w:tc>
                <w:tcPr>
                  <w:tcW w:w="6131"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Експерт „Връзки със заинтересованите страни“</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w:t>
                  </w:r>
                </w:p>
              </w:tc>
            </w:tr>
            <w:tr w:rsidR="00497105" w:rsidRPr="005D767B" w:rsidTr="00496399">
              <w:trPr>
                <w:trHeight w:val="70"/>
                <w:jc w:val="center"/>
              </w:trPr>
              <w:tc>
                <w:tcPr>
                  <w:tcW w:w="900" w:type="dxa"/>
                  <w:tcBorders>
                    <w:top w:val="nil"/>
                    <w:left w:val="single" w:sz="4" w:space="0" w:color="auto"/>
                    <w:bottom w:val="single" w:sz="4" w:space="0" w:color="auto"/>
                    <w:right w:val="nil"/>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9.</w:t>
                  </w:r>
                </w:p>
              </w:tc>
              <w:tc>
                <w:tcPr>
                  <w:tcW w:w="6131"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Научно звено</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4</w:t>
                  </w:r>
                </w:p>
              </w:tc>
            </w:tr>
            <w:tr w:rsidR="00497105" w:rsidRPr="005D767B" w:rsidTr="00496399">
              <w:trPr>
                <w:trHeight w:val="114"/>
                <w:jc w:val="center"/>
              </w:trPr>
              <w:tc>
                <w:tcPr>
                  <w:tcW w:w="900" w:type="dxa"/>
                  <w:tcBorders>
                    <w:top w:val="nil"/>
                    <w:left w:val="single" w:sz="4" w:space="0" w:color="auto"/>
                    <w:bottom w:val="single" w:sz="4" w:space="0" w:color="auto"/>
                    <w:right w:val="nil"/>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10.</w:t>
                  </w:r>
                </w:p>
              </w:tc>
              <w:tc>
                <w:tcPr>
                  <w:tcW w:w="6131"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Методологично звено</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4</w:t>
                  </w:r>
                </w:p>
              </w:tc>
            </w:tr>
            <w:tr w:rsidR="00497105" w:rsidRPr="005D767B" w:rsidTr="00496399">
              <w:trPr>
                <w:trHeight w:val="105"/>
                <w:jc w:val="center"/>
              </w:trPr>
              <w:tc>
                <w:tcPr>
                  <w:tcW w:w="900" w:type="dxa"/>
                  <w:tcBorders>
                    <w:top w:val="nil"/>
                    <w:left w:val="single" w:sz="4" w:space="0" w:color="auto"/>
                    <w:bottom w:val="single" w:sz="4" w:space="0" w:color="auto"/>
                    <w:right w:val="nil"/>
                  </w:tcBorders>
                  <w:shd w:val="clear" w:color="auto" w:fill="auto"/>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11.</w:t>
                  </w:r>
                </w:p>
              </w:tc>
              <w:tc>
                <w:tcPr>
                  <w:tcW w:w="6131"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both"/>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Координационно звено</w:t>
                  </w:r>
                </w:p>
              </w:tc>
              <w:tc>
                <w:tcPr>
                  <w:tcW w:w="1554" w:type="dxa"/>
                  <w:tcBorders>
                    <w:top w:val="nil"/>
                    <w:left w:val="nil"/>
                    <w:bottom w:val="single" w:sz="4" w:space="0" w:color="auto"/>
                    <w:right w:val="single" w:sz="4" w:space="0" w:color="auto"/>
                  </w:tcBorders>
                  <w:shd w:val="clear" w:color="auto" w:fill="auto"/>
                  <w:vAlign w:val="center"/>
                  <w:hideMark/>
                </w:tcPr>
                <w:p w:rsidR="00497105" w:rsidRPr="00F821DA" w:rsidRDefault="00497105" w:rsidP="005D767B">
                  <w:pPr>
                    <w:spacing w:before="120" w:after="120" w:line="240" w:lineRule="auto"/>
                    <w:jc w:val="center"/>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4</w:t>
                  </w:r>
                </w:p>
              </w:tc>
            </w:tr>
            <w:tr w:rsidR="00497105" w:rsidRPr="005D767B" w:rsidTr="00496399">
              <w:trPr>
                <w:trHeight w:val="250"/>
                <w:jc w:val="center"/>
              </w:trPr>
              <w:tc>
                <w:tcPr>
                  <w:tcW w:w="8585" w:type="dxa"/>
                  <w:gridSpan w:val="3"/>
                  <w:tcBorders>
                    <w:top w:val="nil"/>
                    <w:left w:val="single" w:sz="4" w:space="0" w:color="auto"/>
                    <w:bottom w:val="single" w:sz="4" w:space="0" w:color="auto"/>
                    <w:right w:val="single" w:sz="4" w:space="0" w:color="auto"/>
                  </w:tcBorders>
                  <w:shd w:val="clear" w:color="auto" w:fill="auto"/>
                  <w:vAlign w:val="center"/>
                </w:tcPr>
                <w:p w:rsidR="00497105" w:rsidRPr="00F821DA" w:rsidRDefault="00497105" w:rsidP="00B87343">
                  <w:pPr>
                    <w:spacing w:before="120" w:after="120" w:line="240" w:lineRule="auto"/>
                    <w:jc w:val="center"/>
                    <w:rPr>
                      <w:rFonts w:ascii="Times New Roman" w:eastAsia="Times New Roman" w:hAnsi="Times New Roman" w:cs="Times New Roman"/>
                      <w:b/>
                      <w:color w:val="000000"/>
                      <w:sz w:val="24"/>
                      <w:szCs w:val="24"/>
                      <w:lang w:val="bg-BG" w:eastAsia="bg-BG"/>
                    </w:rPr>
                  </w:pPr>
                  <w:r w:rsidRPr="00F821DA">
                    <w:rPr>
                      <w:rFonts w:ascii="Times New Roman" w:eastAsia="Times New Roman" w:hAnsi="Times New Roman" w:cs="Times New Roman"/>
                      <w:b/>
                      <w:color w:val="000000"/>
                      <w:sz w:val="24"/>
                      <w:szCs w:val="24"/>
                      <w:lang w:val="bg-BG" w:eastAsia="bg-BG"/>
                    </w:rPr>
                    <w:t xml:space="preserve">В </w:t>
                  </w:r>
                  <w:r w:rsidR="00B87343">
                    <w:rPr>
                      <w:rFonts w:ascii="Times New Roman" w:eastAsia="Times New Roman" w:hAnsi="Times New Roman" w:cs="Times New Roman"/>
                      <w:b/>
                      <w:color w:val="000000"/>
                      <w:sz w:val="24"/>
                      <w:szCs w:val="24"/>
                      <w:lang w:val="bg-BG" w:eastAsia="bg-BG"/>
                    </w:rPr>
                    <w:t>РИОС</w:t>
                  </w:r>
                  <w:r w:rsidR="00051FEA">
                    <w:rPr>
                      <w:rFonts w:ascii="Times New Roman" w:eastAsia="Times New Roman" w:hAnsi="Times New Roman" w:cs="Times New Roman"/>
                      <w:b/>
                      <w:color w:val="000000"/>
                      <w:sz w:val="24"/>
                      <w:szCs w:val="24"/>
                      <w:lang w:val="bg-BG" w:eastAsia="bg-BG"/>
                    </w:rPr>
                    <w:t>В</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lastRenderedPageBreak/>
                    <w:t>12.</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РИОСВ-Благоевград</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9</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13.</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РИОСВ-Бургас</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13</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14.</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РИОСВ-Варна</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10</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15.</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РИОСВ-Велико Търново</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3</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16.</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РИОСВ-Враца</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17.</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РИОСВ-Монтана</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8</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18.</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РИОСВ-Пазарджик</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7</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19.</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РИОСВ-Перник</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5</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20.</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5B636D">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РИОСВ-Плевен</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9</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21.</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РИОСВ-Пловдив</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5</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22.</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РИОСВ-Русе</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7</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23.</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РИОСВ-Смолян</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7</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24.</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РИОСВ-София</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8</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25.</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РИОСВ-Стара Загора</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10</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26.</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РИОСВ-Хасково</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13</w:t>
                  </w:r>
                </w:p>
              </w:tc>
            </w:tr>
            <w:tr w:rsidR="005B636D" w:rsidRPr="005D767B"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tcPr>
                <w:p w:rsidR="005B636D"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27.</w:t>
                  </w:r>
                </w:p>
              </w:tc>
              <w:tc>
                <w:tcPr>
                  <w:tcW w:w="6131" w:type="dxa"/>
                  <w:tcBorders>
                    <w:top w:val="nil"/>
                    <w:left w:val="single" w:sz="4" w:space="0" w:color="auto"/>
                    <w:bottom w:val="single" w:sz="4" w:space="0" w:color="auto"/>
                    <w:right w:val="single" w:sz="4" w:space="0" w:color="auto"/>
                  </w:tcBorders>
                  <w:shd w:val="clear" w:color="auto" w:fill="auto"/>
                  <w:vAlign w:val="center"/>
                </w:tcPr>
                <w:p w:rsidR="005B636D"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РИОСВ-Шумен</w:t>
                  </w:r>
                </w:p>
              </w:tc>
              <w:tc>
                <w:tcPr>
                  <w:tcW w:w="1554" w:type="dxa"/>
                  <w:tcBorders>
                    <w:top w:val="nil"/>
                    <w:left w:val="nil"/>
                    <w:bottom w:val="single" w:sz="4" w:space="0" w:color="auto"/>
                    <w:right w:val="single" w:sz="4" w:space="0" w:color="auto"/>
                  </w:tcBorders>
                  <w:shd w:val="clear" w:color="000000" w:fill="FFFFFF"/>
                  <w:vAlign w:val="center"/>
                </w:tcPr>
                <w:p w:rsidR="005B636D" w:rsidRDefault="005B636D"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4</w:t>
                  </w:r>
                </w:p>
              </w:tc>
            </w:tr>
            <w:tr w:rsidR="00497105" w:rsidRPr="00DF3C5F" w:rsidTr="00496399">
              <w:trPr>
                <w:trHeight w:val="214"/>
                <w:jc w:val="center"/>
              </w:trPr>
              <w:tc>
                <w:tcPr>
                  <w:tcW w:w="900" w:type="dxa"/>
                  <w:tcBorders>
                    <w:top w:val="nil"/>
                    <w:left w:val="single" w:sz="4" w:space="0" w:color="auto"/>
                    <w:bottom w:val="single" w:sz="4" w:space="0" w:color="auto"/>
                    <w:right w:val="nil"/>
                  </w:tcBorders>
                  <w:shd w:val="clear" w:color="auto" w:fill="auto"/>
                  <w:vAlign w:val="center"/>
                  <w:hideMark/>
                </w:tcPr>
                <w:p w:rsidR="00497105" w:rsidRPr="00F821DA" w:rsidRDefault="005B636D" w:rsidP="005D767B">
                  <w:pPr>
                    <w:spacing w:before="120" w:after="120" w:line="240" w:lineRule="auto"/>
                    <w:jc w:val="right"/>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28</w:t>
                  </w:r>
                  <w:r w:rsidR="00497105" w:rsidRPr="00F821DA">
                    <w:rPr>
                      <w:rFonts w:ascii="Times New Roman" w:eastAsia="Times New Roman" w:hAnsi="Times New Roman" w:cs="Times New Roman"/>
                      <w:color w:val="000000"/>
                      <w:sz w:val="24"/>
                      <w:szCs w:val="24"/>
                      <w:lang w:val="bg-BG" w:eastAsia="bg-BG"/>
                    </w:rPr>
                    <w:t>.</w:t>
                  </w:r>
                </w:p>
              </w:tc>
              <w:tc>
                <w:tcPr>
                  <w:tcW w:w="6131" w:type="dxa"/>
                  <w:tcBorders>
                    <w:top w:val="nil"/>
                    <w:left w:val="single" w:sz="4" w:space="0" w:color="auto"/>
                    <w:bottom w:val="single" w:sz="4" w:space="0" w:color="auto"/>
                    <w:right w:val="single" w:sz="4" w:space="0" w:color="auto"/>
                  </w:tcBorders>
                  <w:shd w:val="clear" w:color="auto" w:fill="auto"/>
                  <w:vAlign w:val="center"/>
                  <w:hideMark/>
                </w:tcPr>
                <w:p w:rsidR="00497105" w:rsidRPr="00F821DA" w:rsidRDefault="005B636D" w:rsidP="002467CF">
                  <w:pPr>
                    <w:spacing w:before="120" w:after="120" w:line="240" w:lineRule="auto"/>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Общо е</w:t>
                  </w:r>
                  <w:r w:rsidR="00497105" w:rsidRPr="00F821DA">
                    <w:rPr>
                      <w:rFonts w:ascii="Times New Roman" w:eastAsia="Times New Roman" w:hAnsi="Times New Roman" w:cs="Times New Roman"/>
                      <w:color w:val="000000"/>
                      <w:sz w:val="24"/>
                      <w:szCs w:val="24"/>
                      <w:lang w:val="bg-BG" w:eastAsia="bg-BG"/>
                    </w:rPr>
                    <w:t xml:space="preserve">ксперти на органите за управление на </w:t>
                  </w:r>
                  <w:r w:rsidR="002467CF">
                    <w:rPr>
                      <w:rFonts w:ascii="Times New Roman" w:eastAsia="Times New Roman" w:hAnsi="Times New Roman" w:cs="Times New Roman"/>
                      <w:color w:val="000000"/>
                      <w:sz w:val="24"/>
                      <w:szCs w:val="24"/>
                      <w:lang w:val="bg-BG" w:eastAsia="bg-BG"/>
                    </w:rPr>
                    <w:t>регионално</w:t>
                  </w:r>
                  <w:r w:rsidR="002467CF" w:rsidRPr="00F821DA">
                    <w:rPr>
                      <w:rFonts w:ascii="Times New Roman" w:eastAsia="Times New Roman" w:hAnsi="Times New Roman" w:cs="Times New Roman"/>
                      <w:color w:val="000000"/>
                      <w:sz w:val="24"/>
                      <w:szCs w:val="24"/>
                      <w:lang w:val="bg-BG" w:eastAsia="bg-BG"/>
                    </w:rPr>
                    <w:t xml:space="preserve"> </w:t>
                  </w:r>
                  <w:r w:rsidR="00497105" w:rsidRPr="00F821DA">
                    <w:rPr>
                      <w:rFonts w:ascii="Times New Roman" w:eastAsia="Times New Roman" w:hAnsi="Times New Roman" w:cs="Times New Roman"/>
                      <w:color w:val="000000"/>
                      <w:sz w:val="24"/>
                      <w:szCs w:val="24"/>
                      <w:lang w:val="bg-BG" w:eastAsia="bg-BG"/>
                    </w:rPr>
                    <w:t>ниво</w:t>
                  </w:r>
                </w:p>
              </w:tc>
              <w:tc>
                <w:tcPr>
                  <w:tcW w:w="1554" w:type="dxa"/>
                  <w:tcBorders>
                    <w:top w:val="nil"/>
                    <w:left w:val="nil"/>
                    <w:bottom w:val="single" w:sz="4" w:space="0" w:color="auto"/>
                    <w:right w:val="single" w:sz="4" w:space="0" w:color="auto"/>
                  </w:tcBorders>
                  <w:shd w:val="clear" w:color="000000" w:fill="FFFFFF"/>
                  <w:vAlign w:val="center"/>
                  <w:hideMark/>
                </w:tcPr>
                <w:p w:rsidR="00497105" w:rsidRPr="00F70834" w:rsidRDefault="00D55A53" w:rsidP="005D767B">
                  <w:pPr>
                    <w:spacing w:before="120" w:after="12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120</w:t>
                  </w:r>
                </w:p>
              </w:tc>
            </w:tr>
            <w:tr w:rsidR="00497105" w:rsidRPr="00DF3C5F" w:rsidTr="00496399">
              <w:trPr>
                <w:trHeight w:val="204"/>
                <w:jc w:val="center"/>
              </w:trPr>
              <w:tc>
                <w:tcPr>
                  <w:tcW w:w="900" w:type="dxa"/>
                  <w:tcBorders>
                    <w:top w:val="nil"/>
                    <w:left w:val="single" w:sz="4" w:space="0" w:color="auto"/>
                    <w:bottom w:val="single" w:sz="4" w:space="0" w:color="auto"/>
                    <w:right w:val="single" w:sz="4" w:space="0" w:color="auto"/>
                  </w:tcBorders>
                  <w:shd w:val="clear" w:color="000000" w:fill="FDE9D9"/>
                  <w:vAlign w:val="center"/>
                  <w:hideMark/>
                </w:tcPr>
                <w:p w:rsidR="00497105" w:rsidRPr="00F821DA" w:rsidRDefault="00497105" w:rsidP="005D767B">
                  <w:pPr>
                    <w:spacing w:before="120" w:after="120" w:line="240" w:lineRule="auto"/>
                    <w:jc w:val="right"/>
                    <w:rPr>
                      <w:rFonts w:ascii="Times New Roman" w:eastAsia="Times New Roman" w:hAnsi="Times New Roman" w:cs="Times New Roman"/>
                      <w:color w:val="000000"/>
                      <w:sz w:val="24"/>
                      <w:szCs w:val="24"/>
                      <w:lang w:val="bg-BG" w:eastAsia="bg-BG"/>
                    </w:rPr>
                  </w:pPr>
                  <w:r w:rsidRPr="00F821DA">
                    <w:rPr>
                      <w:rFonts w:ascii="Times New Roman" w:eastAsia="Times New Roman" w:hAnsi="Times New Roman" w:cs="Times New Roman"/>
                      <w:color w:val="000000"/>
                      <w:sz w:val="24"/>
                      <w:szCs w:val="24"/>
                      <w:lang w:val="bg-BG" w:eastAsia="bg-BG"/>
                    </w:rPr>
                    <w:t> </w:t>
                  </w:r>
                </w:p>
              </w:tc>
              <w:tc>
                <w:tcPr>
                  <w:tcW w:w="6131" w:type="dxa"/>
                  <w:tcBorders>
                    <w:top w:val="nil"/>
                    <w:left w:val="nil"/>
                    <w:bottom w:val="single" w:sz="4" w:space="0" w:color="auto"/>
                    <w:right w:val="single" w:sz="4" w:space="0" w:color="auto"/>
                  </w:tcBorders>
                  <w:shd w:val="clear" w:color="000000" w:fill="FDE9D9"/>
                  <w:vAlign w:val="bottom"/>
                  <w:hideMark/>
                </w:tcPr>
                <w:p w:rsidR="00497105" w:rsidRPr="00F821DA" w:rsidRDefault="00497105" w:rsidP="005D767B">
                  <w:pPr>
                    <w:spacing w:before="120" w:after="120" w:line="240" w:lineRule="auto"/>
                    <w:jc w:val="right"/>
                    <w:rPr>
                      <w:rFonts w:ascii="Times New Roman" w:eastAsia="Times New Roman" w:hAnsi="Times New Roman" w:cs="Times New Roman"/>
                      <w:b/>
                      <w:bCs/>
                      <w:color w:val="000000"/>
                      <w:sz w:val="24"/>
                      <w:szCs w:val="24"/>
                      <w:lang w:val="bg-BG" w:eastAsia="bg-BG"/>
                    </w:rPr>
                  </w:pPr>
                  <w:r w:rsidRPr="00F821DA">
                    <w:rPr>
                      <w:rFonts w:ascii="Times New Roman" w:eastAsia="Times New Roman" w:hAnsi="Times New Roman" w:cs="Times New Roman"/>
                      <w:b/>
                      <w:bCs/>
                      <w:color w:val="000000"/>
                      <w:sz w:val="24"/>
                      <w:szCs w:val="24"/>
                      <w:lang w:val="bg-BG" w:eastAsia="bg-BG"/>
                    </w:rPr>
                    <w:t>Общо експерти:</w:t>
                  </w:r>
                </w:p>
              </w:tc>
              <w:tc>
                <w:tcPr>
                  <w:tcW w:w="1554" w:type="dxa"/>
                  <w:tcBorders>
                    <w:top w:val="nil"/>
                    <w:left w:val="nil"/>
                    <w:bottom w:val="single" w:sz="4" w:space="0" w:color="auto"/>
                    <w:right w:val="single" w:sz="4" w:space="0" w:color="auto"/>
                  </w:tcBorders>
                  <w:shd w:val="clear" w:color="000000" w:fill="FDE9D9"/>
                  <w:vAlign w:val="bottom"/>
                  <w:hideMark/>
                </w:tcPr>
                <w:p w:rsidR="00497105" w:rsidRPr="00F821DA" w:rsidRDefault="002467CF" w:rsidP="00D55A53">
                  <w:pPr>
                    <w:spacing w:before="120" w:after="120" w:line="240" w:lineRule="auto"/>
                    <w:jc w:val="center"/>
                    <w:rPr>
                      <w:rFonts w:ascii="Times New Roman" w:eastAsia="Times New Roman" w:hAnsi="Times New Roman" w:cs="Times New Roman"/>
                      <w:b/>
                      <w:bCs/>
                      <w:color w:val="000000"/>
                      <w:sz w:val="24"/>
                      <w:szCs w:val="24"/>
                      <w:lang w:val="bg-BG" w:eastAsia="bg-BG"/>
                    </w:rPr>
                  </w:pPr>
                  <w:r w:rsidRPr="00F821DA">
                    <w:rPr>
                      <w:rFonts w:ascii="Times New Roman" w:eastAsia="Times New Roman" w:hAnsi="Times New Roman" w:cs="Times New Roman"/>
                      <w:b/>
                      <w:bCs/>
                      <w:color w:val="000000"/>
                      <w:sz w:val="24"/>
                      <w:szCs w:val="24"/>
                      <w:lang w:val="bg-BG" w:eastAsia="bg-BG"/>
                    </w:rPr>
                    <w:t>1</w:t>
                  </w:r>
                  <w:r w:rsidR="00D55A53">
                    <w:rPr>
                      <w:rFonts w:ascii="Times New Roman" w:eastAsia="Times New Roman" w:hAnsi="Times New Roman" w:cs="Times New Roman"/>
                      <w:b/>
                      <w:bCs/>
                      <w:color w:val="000000"/>
                      <w:sz w:val="24"/>
                      <w:szCs w:val="24"/>
                      <w:lang w:val="bg-BG" w:eastAsia="bg-BG"/>
                    </w:rPr>
                    <w:t>40</w:t>
                  </w:r>
                </w:p>
              </w:tc>
            </w:tr>
          </w:tbl>
          <w:p w:rsidR="005D767B" w:rsidRDefault="005D767B" w:rsidP="005D767B">
            <w:pPr>
              <w:spacing w:before="120" w:after="120" w:line="240" w:lineRule="auto"/>
              <w:jc w:val="both"/>
              <w:textAlignment w:val="center"/>
              <w:rPr>
                <w:rFonts w:ascii="Times New Roman" w:eastAsia="Times New Roman" w:hAnsi="Times New Roman" w:cs="Times New Roman"/>
                <w:iCs/>
                <w:color w:val="000000"/>
                <w:sz w:val="24"/>
                <w:szCs w:val="24"/>
                <w:highlight w:val="yellow"/>
                <w:lang w:val="bg-BG"/>
              </w:rPr>
            </w:pPr>
          </w:p>
          <w:p w:rsidR="005D767B" w:rsidRPr="00E96F39" w:rsidRDefault="005D767B"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E96F39">
              <w:rPr>
                <w:rFonts w:ascii="Times New Roman" w:eastAsia="Times New Roman" w:hAnsi="Times New Roman" w:cs="Times New Roman"/>
                <w:iCs/>
                <w:color w:val="000000"/>
                <w:sz w:val="24"/>
                <w:szCs w:val="24"/>
                <w:lang w:val="bg-BG"/>
              </w:rPr>
              <w:t xml:space="preserve">Изготвена е 10-годишна финансова прогноза, </w:t>
            </w:r>
            <w:r w:rsidR="005B636D">
              <w:rPr>
                <w:rFonts w:ascii="Times New Roman" w:eastAsia="Times New Roman" w:hAnsi="Times New Roman" w:cs="Times New Roman"/>
                <w:iCs/>
                <w:color w:val="000000"/>
                <w:sz w:val="24"/>
                <w:szCs w:val="24"/>
                <w:lang w:val="bg-BG"/>
              </w:rPr>
              <w:t xml:space="preserve">която включва необходимия финансов ресурс </w:t>
            </w:r>
            <w:r w:rsidRPr="00E96F39">
              <w:rPr>
                <w:rFonts w:ascii="Times New Roman" w:eastAsia="Times New Roman" w:hAnsi="Times New Roman" w:cs="Times New Roman"/>
                <w:iCs/>
                <w:color w:val="000000"/>
                <w:sz w:val="24"/>
                <w:szCs w:val="24"/>
                <w:lang w:val="bg-BG"/>
              </w:rPr>
              <w:t xml:space="preserve">за издръжка на </w:t>
            </w:r>
            <w:r w:rsidR="00B87343" w:rsidRPr="00E96F39">
              <w:rPr>
                <w:rFonts w:ascii="Times New Roman" w:eastAsia="Times New Roman" w:hAnsi="Times New Roman" w:cs="Times New Roman"/>
                <w:iCs/>
                <w:color w:val="000000"/>
                <w:sz w:val="24"/>
                <w:szCs w:val="24"/>
                <w:lang w:val="bg-BG"/>
              </w:rPr>
              <w:t>17</w:t>
            </w:r>
            <w:r w:rsidR="00B87343" w:rsidRPr="00E96F39">
              <w:rPr>
                <w:rFonts w:ascii="Times New Roman" w:eastAsia="Times New Roman" w:hAnsi="Times New Roman" w:cs="Times New Roman"/>
                <w:iCs/>
                <w:color w:val="000000"/>
                <w:sz w:val="24"/>
                <w:szCs w:val="24"/>
                <w:vertAlign w:val="superscript"/>
                <w:lang w:val="bg-BG"/>
              </w:rPr>
              <w:t>те</w:t>
            </w:r>
            <w:r w:rsidR="00B87343" w:rsidRPr="00E96F39">
              <w:rPr>
                <w:rFonts w:ascii="Times New Roman" w:eastAsia="Times New Roman" w:hAnsi="Times New Roman" w:cs="Times New Roman"/>
                <w:iCs/>
                <w:color w:val="000000"/>
                <w:sz w:val="24"/>
                <w:szCs w:val="24"/>
                <w:lang w:val="bg-BG"/>
              </w:rPr>
              <w:t xml:space="preserve"> </w:t>
            </w:r>
            <w:r w:rsidRPr="00E96F39">
              <w:rPr>
                <w:rFonts w:ascii="Times New Roman" w:eastAsia="Times New Roman" w:hAnsi="Times New Roman" w:cs="Times New Roman"/>
                <w:iCs/>
                <w:color w:val="000000"/>
                <w:sz w:val="24"/>
                <w:szCs w:val="24"/>
                <w:lang w:val="bg-BG"/>
              </w:rPr>
              <w:t xml:space="preserve">нови звена (Националната структура за управление на Натура 2000 в МОСВ и </w:t>
            </w:r>
            <w:r w:rsidR="00B87343" w:rsidRPr="00E96F39">
              <w:rPr>
                <w:rFonts w:ascii="Times New Roman" w:eastAsia="Times New Roman" w:hAnsi="Times New Roman" w:cs="Times New Roman"/>
                <w:iCs/>
                <w:color w:val="000000"/>
                <w:sz w:val="24"/>
                <w:szCs w:val="24"/>
                <w:lang w:val="bg-BG"/>
              </w:rPr>
              <w:t xml:space="preserve">16 </w:t>
            </w:r>
            <w:r w:rsidRPr="00E96F39">
              <w:rPr>
                <w:rFonts w:ascii="Times New Roman" w:eastAsia="Times New Roman" w:hAnsi="Times New Roman" w:cs="Times New Roman"/>
                <w:iCs/>
                <w:color w:val="000000"/>
                <w:sz w:val="24"/>
                <w:szCs w:val="24"/>
                <w:lang w:val="bg-BG"/>
              </w:rPr>
              <w:t xml:space="preserve">органа за управление на мрежата на </w:t>
            </w:r>
            <w:r w:rsidR="00B87343" w:rsidRPr="00E96F39">
              <w:rPr>
                <w:rFonts w:ascii="Times New Roman" w:eastAsia="Times New Roman" w:hAnsi="Times New Roman" w:cs="Times New Roman"/>
                <w:iCs/>
                <w:color w:val="000000"/>
                <w:sz w:val="24"/>
                <w:szCs w:val="24"/>
                <w:lang w:val="bg-BG"/>
              </w:rPr>
              <w:t xml:space="preserve"> регионално</w:t>
            </w:r>
            <w:r w:rsidRPr="00E96F39">
              <w:rPr>
                <w:rFonts w:ascii="Times New Roman" w:eastAsia="Times New Roman" w:hAnsi="Times New Roman" w:cs="Times New Roman"/>
                <w:iCs/>
                <w:color w:val="000000"/>
                <w:sz w:val="24"/>
                <w:szCs w:val="24"/>
                <w:lang w:val="bg-BG"/>
              </w:rPr>
              <w:t xml:space="preserve"> ниво, във всяка от </w:t>
            </w:r>
            <w:r w:rsidR="00B87343" w:rsidRPr="00E96F39">
              <w:rPr>
                <w:rFonts w:ascii="Times New Roman" w:eastAsia="Times New Roman" w:hAnsi="Times New Roman" w:cs="Times New Roman"/>
                <w:iCs/>
                <w:color w:val="000000"/>
                <w:sz w:val="24"/>
                <w:szCs w:val="24"/>
                <w:lang w:val="bg-BG"/>
              </w:rPr>
              <w:t>регионалните инспекции</w:t>
            </w:r>
            <w:r w:rsidRPr="00E96F39">
              <w:rPr>
                <w:rFonts w:ascii="Times New Roman" w:eastAsia="Times New Roman" w:hAnsi="Times New Roman" w:cs="Times New Roman"/>
                <w:iCs/>
                <w:color w:val="000000"/>
                <w:sz w:val="24"/>
                <w:szCs w:val="24"/>
                <w:lang w:val="bg-BG"/>
              </w:rPr>
              <w:t xml:space="preserve">). </w:t>
            </w:r>
          </w:p>
          <w:p w:rsidR="005D767B" w:rsidRPr="00E96F39" w:rsidRDefault="005D767B" w:rsidP="005D767B">
            <w:pPr>
              <w:spacing w:before="120" w:after="120" w:line="240" w:lineRule="auto"/>
              <w:jc w:val="both"/>
              <w:rPr>
                <w:rFonts w:ascii="Times New Roman" w:eastAsia="Times New Roman" w:hAnsi="Times New Roman" w:cs="Times New Roman"/>
                <w:sz w:val="24"/>
                <w:szCs w:val="24"/>
                <w:lang w:val="bg-BG"/>
              </w:rPr>
            </w:pPr>
            <w:r w:rsidRPr="00A35737">
              <w:rPr>
                <w:rFonts w:ascii="Times New Roman" w:eastAsia="Times New Roman" w:hAnsi="Times New Roman" w:cs="Times New Roman"/>
                <w:sz w:val="24"/>
                <w:szCs w:val="24"/>
                <w:lang w:val="bg-BG"/>
              </w:rPr>
              <w:t xml:space="preserve">Общата стойност на финансовия ресурс за дейностите по въвеждане на новия подход за управление на мрежата Натура 2000, е калкулирана и заложена в Националната приоритетна рамка за Натура 2000 (НПРД). </w:t>
            </w:r>
          </w:p>
          <w:p w:rsidR="005D767B" w:rsidRPr="00E96F39" w:rsidRDefault="005D767B" w:rsidP="005D767B">
            <w:pPr>
              <w:spacing w:before="120" w:after="120" w:line="240" w:lineRule="auto"/>
              <w:jc w:val="both"/>
              <w:rPr>
                <w:rFonts w:ascii="Times New Roman" w:eastAsia="Times New Roman" w:hAnsi="Times New Roman" w:cs="Times New Roman"/>
                <w:sz w:val="24"/>
                <w:szCs w:val="24"/>
                <w:lang w:val="bg-BG"/>
              </w:rPr>
            </w:pPr>
            <w:r w:rsidRPr="00A35737">
              <w:rPr>
                <w:rFonts w:ascii="Times New Roman" w:eastAsia="Times New Roman" w:hAnsi="Times New Roman" w:cs="Times New Roman"/>
                <w:sz w:val="24"/>
                <w:szCs w:val="24"/>
                <w:lang w:val="bg-BG"/>
              </w:rPr>
              <w:t>Необходимите средства до 202</w:t>
            </w:r>
            <w:r w:rsidRPr="00E96F39">
              <w:rPr>
                <w:rFonts w:ascii="Times New Roman" w:eastAsia="Times New Roman" w:hAnsi="Times New Roman" w:cs="Times New Roman"/>
                <w:sz w:val="24"/>
                <w:szCs w:val="24"/>
                <w:lang w:val="bg-BG"/>
              </w:rPr>
              <w:t>3</w:t>
            </w:r>
            <w:r w:rsidRPr="00A35737">
              <w:rPr>
                <w:rFonts w:ascii="Times New Roman" w:eastAsia="Times New Roman" w:hAnsi="Times New Roman" w:cs="Times New Roman"/>
                <w:sz w:val="24"/>
                <w:szCs w:val="24"/>
                <w:lang w:val="bg-BG"/>
              </w:rPr>
              <w:t xml:space="preserve"> г. включително, са предвидени в две оперативни програми – </w:t>
            </w:r>
            <w:r w:rsidRPr="00A35737">
              <w:rPr>
                <w:rFonts w:ascii="Times New Roman" w:eastAsia="Times New Roman" w:hAnsi="Times New Roman" w:cs="Times New Roman"/>
                <w:sz w:val="24"/>
                <w:szCs w:val="24"/>
                <w:lang w:val="bg-BG"/>
              </w:rPr>
              <w:lastRenderedPageBreak/>
              <w:t xml:space="preserve">ОПДУ и ОПОС, а режийните разходи са от </w:t>
            </w:r>
            <w:r w:rsidR="00B842D9">
              <w:rPr>
                <w:rFonts w:ascii="Times New Roman" w:eastAsia="Times New Roman" w:hAnsi="Times New Roman" w:cs="Times New Roman"/>
                <w:sz w:val="24"/>
                <w:szCs w:val="24"/>
                <w:lang w:val="bg-BG"/>
              </w:rPr>
              <w:t xml:space="preserve">държавния </w:t>
            </w:r>
            <w:r w:rsidRPr="00A35737">
              <w:rPr>
                <w:rFonts w:ascii="Times New Roman" w:eastAsia="Times New Roman" w:hAnsi="Times New Roman" w:cs="Times New Roman"/>
                <w:sz w:val="24"/>
                <w:szCs w:val="24"/>
                <w:lang w:val="bg-BG"/>
              </w:rPr>
              <w:t>бюджет</w:t>
            </w:r>
            <w:r w:rsidRPr="00E96F39">
              <w:rPr>
                <w:rFonts w:ascii="Times New Roman" w:eastAsia="Times New Roman" w:hAnsi="Times New Roman" w:cs="Times New Roman"/>
                <w:sz w:val="24"/>
                <w:szCs w:val="24"/>
                <w:lang w:val="bg-BG"/>
              </w:rPr>
              <w:t>.</w:t>
            </w:r>
          </w:p>
          <w:p w:rsidR="005D767B" w:rsidRPr="00E96F39" w:rsidRDefault="005D767B" w:rsidP="005D767B">
            <w:pPr>
              <w:spacing w:before="120" w:after="120" w:line="240" w:lineRule="auto"/>
              <w:jc w:val="both"/>
              <w:rPr>
                <w:rFonts w:ascii="Times New Roman" w:eastAsia="Times New Roman" w:hAnsi="Times New Roman" w:cs="Times New Roman"/>
                <w:sz w:val="24"/>
                <w:szCs w:val="24"/>
                <w:lang w:val="bg-BG"/>
              </w:rPr>
            </w:pPr>
            <w:r w:rsidRPr="00E96F39">
              <w:rPr>
                <w:rFonts w:ascii="Times New Roman" w:eastAsia="Times New Roman" w:hAnsi="Times New Roman" w:cs="Times New Roman"/>
                <w:sz w:val="24"/>
                <w:szCs w:val="24"/>
                <w:lang w:val="bg-BG"/>
              </w:rPr>
              <w:t>Предоставянето на необходимия финансов ресурс за регионалното ниво на управление на мрежата Натура 2000, до края на 2023 г., ще се осъществи по ОПОС 2014-2020 г., на базата на проекти за безвъзмездна помощ, с конкретни бенефициент</w:t>
            </w:r>
            <w:r w:rsidR="002467CF" w:rsidRPr="00E96F39">
              <w:rPr>
                <w:rFonts w:ascii="Times New Roman" w:eastAsia="Times New Roman" w:hAnsi="Times New Roman" w:cs="Times New Roman"/>
                <w:sz w:val="24"/>
                <w:szCs w:val="24"/>
                <w:lang w:val="bg-BG"/>
              </w:rPr>
              <w:t>и</w:t>
            </w:r>
            <w:r w:rsidRPr="00E96F39">
              <w:rPr>
                <w:rFonts w:ascii="Times New Roman" w:eastAsia="Times New Roman" w:hAnsi="Times New Roman" w:cs="Times New Roman"/>
                <w:sz w:val="24"/>
                <w:szCs w:val="24"/>
                <w:lang w:val="bg-BG"/>
              </w:rPr>
              <w:t xml:space="preserve"> </w:t>
            </w:r>
            <w:r w:rsidR="002467CF" w:rsidRPr="00E96F39">
              <w:rPr>
                <w:rFonts w:ascii="Times New Roman" w:eastAsia="Times New Roman" w:hAnsi="Times New Roman" w:cs="Times New Roman"/>
                <w:sz w:val="24"/>
                <w:szCs w:val="24"/>
                <w:lang w:val="bg-BG"/>
              </w:rPr>
              <w:t>16-те РИОСВ</w:t>
            </w:r>
            <w:r w:rsidR="00B842D9">
              <w:rPr>
                <w:rFonts w:ascii="Times New Roman" w:eastAsia="Times New Roman" w:hAnsi="Times New Roman" w:cs="Times New Roman"/>
                <w:sz w:val="24"/>
                <w:szCs w:val="24"/>
                <w:lang w:val="bg-BG"/>
              </w:rPr>
              <w:t>.</w:t>
            </w:r>
          </w:p>
          <w:p w:rsidR="005D767B" w:rsidRPr="00E96F39" w:rsidRDefault="005D767B" w:rsidP="005D767B">
            <w:pPr>
              <w:spacing w:before="120" w:after="120" w:line="240" w:lineRule="auto"/>
              <w:jc w:val="both"/>
              <w:rPr>
                <w:rFonts w:ascii="Times New Roman" w:eastAsia="Times New Roman" w:hAnsi="Times New Roman" w:cs="Times New Roman"/>
                <w:sz w:val="24"/>
                <w:szCs w:val="24"/>
                <w:lang w:val="bg-BG"/>
              </w:rPr>
            </w:pPr>
            <w:r w:rsidRPr="00E96F39">
              <w:rPr>
                <w:rFonts w:ascii="Times New Roman" w:eastAsia="Times New Roman" w:hAnsi="Times New Roman" w:cs="Times New Roman"/>
                <w:sz w:val="24"/>
                <w:szCs w:val="24"/>
                <w:lang w:val="bg-BG"/>
              </w:rPr>
              <w:t>Предоставянето на необходимия финансов ресурс за националното ниво на управление на мрежата Натура 2000, до края на 2023 г., ще се осъществи по ОПОС 2014-2020 г. и ОПДУ 2014-2020 г., на базата на проекти за безвъзмездна помощ/ бюджетна линия, с конкретен бенефициент Дирекция НСЗП към МОСВ.</w:t>
            </w:r>
          </w:p>
          <w:p w:rsidR="005D767B" w:rsidRPr="00E96F39" w:rsidRDefault="00610E99"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E96F39">
              <w:rPr>
                <w:rFonts w:ascii="Times New Roman" w:eastAsia="Times New Roman" w:hAnsi="Times New Roman" w:cs="Times New Roman"/>
                <w:iCs/>
                <w:color w:val="000000"/>
                <w:sz w:val="24"/>
                <w:szCs w:val="24"/>
                <w:lang w:val="bg-BG"/>
              </w:rPr>
              <w:t xml:space="preserve">Финансирането на възнагражденията за тези експерти ще бъде осигурено от </w:t>
            </w:r>
            <w:r w:rsidR="00497105" w:rsidRPr="00E96F39">
              <w:rPr>
                <w:rFonts w:ascii="Times New Roman" w:eastAsia="Times New Roman" w:hAnsi="Times New Roman" w:cs="Times New Roman"/>
                <w:iCs/>
                <w:color w:val="000000"/>
                <w:sz w:val="24"/>
                <w:szCs w:val="24"/>
                <w:lang w:val="bg-BG"/>
              </w:rPr>
              <w:t xml:space="preserve">ОПОС и ОПДУ. </w:t>
            </w:r>
            <w:r w:rsidR="005D767B" w:rsidRPr="00E96F39">
              <w:rPr>
                <w:rFonts w:ascii="Times New Roman" w:eastAsia="Times New Roman" w:hAnsi="Times New Roman" w:cs="Times New Roman"/>
                <w:iCs/>
                <w:color w:val="000000"/>
                <w:sz w:val="24"/>
                <w:szCs w:val="24"/>
                <w:lang w:val="bg-BG"/>
              </w:rPr>
              <w:t xml:space="preserve">Предвидено е служителите в органите за управление на мрежата Натура 2000 на национално и на регионално ниво да бъдат назначени </w:t>
            </w:r>
            <w:r w:rsidR="002467CF" w:rsidRPr="00E96F39">
              <w:rPr>
                <w:rFonts w:ascii="Times New Roman" w:eastAsia="Times New Roman" w:hAnsi="Times New Roman" w:cs="Times New Roman"/>
                <w:iCs/>
                <w:color w:val="000000"/>
                <w:sz w:val="24"/>
                <w:szCs w:val="24"/>
                <w:lang w:val="bg-BG"/>
              </w:rPr>
              <w:t xml:space="preserve">и </w:t>
            </w:r>
            <w:r w:rsidR="005D767B" w:rsidRPr="00E96F39">
              <w:rPr>
                <w:rFonts w:ascii="Times New Roman" w:eastAsia="Times New Roman" w:hAnsi="Times New Roman" w:cs="Times New Roman"/>
                <w:iCs/>
                <w:color w:val="000000"/>
                <w:sz w:val="24"/>
                <w:szCs w:val="24"/>
                <w:lang w:val="bg-BG"/>
              </w:rPr>
              <w:t>да работят изцяло и единствено по изпълнение на проекти, финансирани със средства на ЕСИФ, по които бенефициенти са органите на изпълнителната власт /МОСВ, Дирекция НСЗП на МОСВ</w:t>
            </w:r>
            <w:r w:rsidR="002467CF" w:rsidRPr="00E96F39">
              <w:rPr>
                <w:rFonts w:ascii="Times New Roman" w:eastAsia="Times New Roman" w:hAnsi="Times New Roman" w:cs="Times New Roman"/>
                <w:iCs/>
                <w:color w:val="000000"/>
                <w:sz w:val="24"/>
                <w:szCs w:val="24"/>
                <w:lang w:val="bg-BG"/>
              </w:rPr>
              <w:t xml:space="preserve"> и РИОСВ</w:t>
            </w:r>
            <w:r w:rsidR="005D767B" w:rsidRPr="00E96F39">
              <w:rPr>
                <w:rFonts w:ascii="Times New Roman" w:eastAsia="Times New Roman" w:hAnsi="Times New Roman" w:cs="Times New Roman"/>
                <w:iCs/>
                <w:color w:val="000000"/>
                <w:sz w:val="24"/>
                <w:szCs w:val="24"/>
                <w:lang w:val="bg-BG"/>
              </w:rPr>
              <w:t xml:space="preserve">/. </w:t>
            </w:r>
            <w:r w:rsidR="005D767B" w:rsidRPr="005B636D">
              <w:rPr>
                <w:rFonts w:ascii="Times New Roman" w:eastAsia="Times New Roman" w:hAnsi="Times New Roman" w:cs="Times New Roman"/>
                <w:b/>
                <w:iCs/>
                <w:color w:val="000000"/>
                <w:sz w:val="24"/>
                <w:szCs w:val="24"/>
                <w:u w:val="single"/>
                <w:lang w:val="bg-BG"/>
              </w:rPr>
              <w:t>Служителите ще бъдат назначени на срочно трудово правоотношение, като за целта ще се увеличи числеността на персонала /допълнителни некомпенсирани щатни бройки/ в структурите на МОСВ, при условията на параграф 16, ал. 7 от ЗИД на Закона за администрацията.</w:t>
            </w:r>
            <w:r w:rsidR="005D767B" w:rsidRPr="00E96F39">
              <w:rPr>
                <w:rFonts w:ascii="Times New Roman" w:eastAsia="Times New Roman" w:hAnsi="Times New Roman" w:cs="Times New Roman"/>
                <w:iCs/>
                <w:color w:val="000000"/>
                <w:sz w:val="24"/>
                <w:szCs w:val="24"/>
                <w:lang w:val="bg-BG"/>
              </w:rPr>
              <w:t xml:space="preserve"> Всички разходи за възнагражденията на всички предвидени служители са допустими разходи по съответните проекти.</w:t>
            </w:r>
          </w:p>
          <w:p w:rsidR="005D767B" w:rsidRDefault="005D767B"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p>
          <w:p w:rsidR="00780E5B" w:rsidRPr="005D767B" w:rsidRDefault="00610E99"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Разходите по бюджетни пера са представени в таблицата по-долу.</w:t>
            </w:r>
          </w:p>
          <w:tbl>
            <w:tblPr>
              <w:tblW w:w="9614" w:type="dxa"/>
              <w:tblLayout w:type="fixed"/>
              <w:tblCellMar>
                <w:left w:w="70" w:type="dxa"/>
                <w:right w:w="70" w:type="dxa"/>
              </w:tblCellMar>
              <w:tblLook w:val="04A0" w:firstRow="1" w:lastRow="0" w:firstColumn="1" w:lastColumn="0" w:noHBand="0" w:noVBand="1"/>
            </w:tblPr>
            <w:tblGrid>
              <w:gridCol w:w="511"/>
              <w:gridCol w:w="6660"/>
              <w:gridCol w:w="2443"/>
            </w:tblGrid>
            <w:tr w:rsidR="00C00019" w:rsidRPr="00496399" w:rsidTr="00496399">
              <w:trPr>
                <w:trHeight w:val="453"/>
              </w:trPr>
              <w:tc>
                <w:tcPr>
                  <w:tcW w:w="511" w:type="dxa"/>
                  <w:tcBorders>
                    <w:top w:val="nil"/>
                    <w:left w:val="nil"/>
                    <w:bottom w:val="nil"/>
                    <w:right w:val="nil"/>
                  </w:tcBorders>
                  <w:shd w:val="clear" w:color="000000" w:fill="215967"/>
                  <w:vAlign w:val="center"/>
                  <w:hideMark/>
                </w:tcPr>
                <w:p w:rsidR="00C00019" w:rsidRPr="00496399" w:rsidRDefault="00C00019" w:rsidP="00C00019">
                  <w:pPr>
                    <w:spacing w:after="0" w:line="240" w:lineRule="auto"/>
                    <w:jc w:val="center"/>
                    <w:rPr>
                      <w:rFonts w:ascii="Times New Roman" w:eastAsia="Times New Roman" w:hAnsi="Times New Roman" w:cs="Times New Roman"/>
                      <w:b/>
                      <w:bCs/>
                      <w:color w:val="FFFFFF"/>
                      <w:lang w:val="bg-BG" w:eastAsia="bg-BG"/>
                    </w:rPr>
                  </w:pPr>
                  <w:r w:rsidRPr="00496399">
                    <w:rPr>
                      <w:rFonts w:ascii="Times New Roman" w:eastAsia="Times New Roman" w:hAnsi="Times New Roman" w:cs="Times New Roman"/>
                      <w:b/>
                      <w:bCs/>
                      <w:color w:val="FFFFFF"/>
                      <w:lang w:val="bg-BG" w:eastAsia="bg-BG"/>
                    </w:rPr>
                    <w:t>№</w:t>
                  </w:r>
                </w:p>
              </w:tc>
              <w:tc>
                <w:tcPr>
                  <w:tcW w:w="6660" w:type="dxa"/>
                  <w:tcBorders>
                    <w:top w:val="nil"/>
                    <w:left w:val="nil"/>
                    <w:bottom w:val="nil"/>
                    <w:right w:val="nil"/>
                  </w:tcBorders>
                  <w:shd w:val="clear" w:color="000000" w:fill="215967"/>
                  <w:vAlign w:val="center"/>
                  <w:hideMark/>
                </w:tcPr>
                <w:p w:rsidR="00C00019" w:rsidRPr="00496399" w:rsidRDefault="00C00019" w:rsidP="00C00019">
                  <w:pPr>
                    <w:spacing w:after="0" w:line="240" w:lineRule="auto"/>
                    <w:jc w:val="center"/>
                    <w:rPr>
                      <w:rFonts w:ascii="Times New Roman" w:eastAsia="Times New Roman" w:hAnsi="Times New Roman" w:cs="Times New Roman"/>
                      <w:b/>
                      <w:bCs/>
                      <w:color w:val="FFFFFF"/>
                      <w:lang w:val="bg-BG" w:eastAsia="bg-BG"/>
                    </w:rPr>
                  </w:pPr>
                  <w:r w:rsidRPr="00496399">
                    <w:rPr>
                      <w:rFonts w:ascii="Times New Roman" w:eastAsia="Times New Roman" w:hAnsi="Times New Roman" w:cs="Times New Roman"/>
                      <w:b/>
                      <w:bCs/>
                      <w:color w:val="FFFFFF"/>
                      <w:lang w:val="bg-BG" w:eastAsia="bg-BG"/>
                    </w:rPr>
                    <w:t>Типове разходи</w:t>
                  </w:r>
                </w:p>
              </w:tc>
              <w:tc>
                <w:tcPr>
                  <w:tcW w:w="2443" w:type="dxa"/>
                  <w:tcBorders>
                    <w:top w:val="single" w:sz="4" w:space="0" w:color="auto"/>
                    <w:left w:val="nil"/>
                    <w:bottom w:val="single" w:sz="4" w:space="0" w:color="auto"/>
                    <w:right w:val="single" w:sz="4" w:space="0" w:color="auto"/>
                  </w:tcBorders>
                  <w:shd w:val="clear" w:color="000000" w:fill="215967"/>
                  <w:vAlign w:val="center"/>
                  <w:hideMark/>
                </w:tcPr>
                <w:p w:rsidR="00C00019" w:rsidRPr="00496399" w:rsidRDefault="00C00019" w:rsidP="00C00019">
                  <w:pPr>
                    <w:spacing w:after="0" w:line="240" w:lineRule="auto"/>
                    <w:jc w:val="center"/>
                    <w:rPr>
                      <w:rFonts w:ascii="Times New Roman" w:eastAsia="Times New Roman" w:hAnsi="Times New Roman" w:cs="Times New Roman"/>
                      <w:b/>
                      <w:bCs/>
                      <w:color w:val="FFFFFF"/>
                      <w:lang w:val="bg-BG" w:eastAsia="bg-BG"/>
                    </w:rPr>
                  </w:pPr>
                  <w:r w:rsidRPr="00496399">
                    <w:rPr>
                      <w:rFonts w:ascii="Times New Roman" w:eastAsia="Times New Roman" w:hAnsi="Times New Roman" w:cs="Times New Roman"/>
                      <w:b/>
                      <w:bCs/>
                      <w:color w:val="FFFFFF"/>
                      <w:lang w:val="bg-BG" w:eastAsia="bg-BG"/>
                    </w:rPr>
                    <w:t>Общо разходи без ДДС</w:t>
                  </w:r>
                </w:p>
              </w:tc>
            </w:tr>
            <w:tr w:rsidR="00C00019" w:rsidRPr="00496399" w:rsidTr="00496399">
              <w:trPr>
                <w:trHeight w:val="151"/>
              </w:trPr>
              <w:tc>
                <w:tcPr>
                  <w:tcW w:w="511"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C00019" w:rsidRPr="00496399" w:rsidRDefault="00C00019" w:rsidP="00C00019">
                  <w:pPr>
                    <w:spacing w:after="0" w:line="240" w:lineRule="auto"/>
                    <w:jc w:val="right"/>
                    <w:rPr>
                      <w:rFonts w:ascii="Times New Roman" w:eastAsia="Times New Roman" w:hAnsi="Times New Roman" w:cs="Times New Roman"/>
                      <w:b/>
                      <w:bCs/>
                      <w:lang w:val="bg-BG" w:eastAsia="bg-BG"/>
                    </w:rPr>
                  </w:pPr>
                  <w:r w:rsidRPr="00496399">
                    <w:rPr>
                      <w:rFonts w:ascii="Times New Roman" w:eastAsia="Times New Roman" w:hAnsi="Times New Roman" w:cs="Times New Roman"/>
                      <w:b/>
                      <w:bCs/>
                      <w:lang w:val="bg-BG" w:eastAsia="bg-BG"/>
                    </w:rPr>
                    <w:t>I.</w:t>
                  </w:r>
                </w:p>
              </w:tc>
              <w:tc>
                <w:tcPr>
                  <w:tcW w:w="6660" w:type="dxa"/>
                  <w:tcBorders>
                    <w:top w:val="single" w:sz="4" w:space="0" w:color="auto"/>
                    <w:left w:val="nil"/>
                    <w:bottom w:val="single" w:sz="4" w:space="0" w:color="auto"/>
                    <w:right w:val="nil"/>
                  </w:tcBorders>
                  <w:shd w:val="clear" w:color="000000" w:fill="B7DEE8"/>
                  <w:vAlign w:val="center"/>
                  <w:hideMark/>
                </w:tcPr>
                <w:p w:rsidR="00C00019" w:rsidRPr="00496399" w:rsidRDefault="00C00019" w:rsidP="00C00019">
                  <w:pPr>
                    <w:spacing w:after="0" w:line="240" w:lineRule="auto"/>
                    <w:rPr>
                      <w:rFonts w:ascii="Times New Roman" w:eastAsia="Times New Roman" w:hAnsi="Times New Roman" w:cs="Times New Roman"/>
                      <w:b/>
                      <w:bCs/>
                      <w:lang w:val="bg-BG" w:eastAsia="bg-BG"/>
                    </w:rPr>
                  </w:pPr>
                  <w:r w:rsidRPr="00496399">
                    <w:rPr>
                      <w:rFonts w:ascii="Times New Roman" w:eastAsia="Times New Roman" w:hAnsi="Times New Roman" w:cs="Times New Roman"/>
                      <w:b/>
                      <w:bCs/>
                      <w:lang w:val="bg-BG" w:eastAsia="bg-BG"/>
                    </w:rPr>
                    <w:t>Разходи за възнаграждения</w:t>
                  </w:r>
                </w:p>
              </w:tc>
              <w:tc>
                <w:tcPr>
                  <w:tcW w:w="2443" w:type="dxa"/>
                  <w:tcBorders>
                    <w:top w:val="nil"/>
                    <w:left w:val="nil"/>
                    <w:bottom w:val="single" w:sz="4" w:space="0" w:color="auto"/>
                    <w:right w:val="single" w:sz="4" w:space="0" w:color="auto"/>
                  </w:tcBorders>
                  <w:shd w:val="clear" w:color="000000" w:fill="FDE9D9"/>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27 717 277,17</w:t>
                  </w:r>
                </w:p>
              </w:tc>
            </w:tr>
            <w:tr w:rsidR="00C00019" w:rsidRPr="00496399" w:rsidTr="00496399">
              <w:trPr>
                <w:trHeight w:val="151"/>
              </w:trPr>
              <w:tc>
                <w:tcPr>
                  <w:tcW w:w="511" w:type="dxa"/>
                  <w:tcBorders>
                    <w:top w:val="nil"/>
                    <w:left w:val="single" w:sz="4" w:space="0" w:color="auto"/>
                    <w:bottom w:val="single" w:sz="4" w:space="0" w:color="auto"/>
                    <w:right w:val="single" w:sz="4" w:space="0" w:color="auto"/>
                  </w:tcBorders>
                  <w:shd w:val="clear" w:color="000000" w:fill="B7DEE8"/>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II.</w:t>
                  </w:r>
                </w:p>
              </w:tc>
              <w:tc>
                <w:tcPr>
                  <w:tcW w:w="6660" w:type="dxa"/>
                  <w:tcBorders>
                    <w:top w:val="nil"/>
                    <w:left w:val="nil"/>
                    <w:bottom w:val="single" w:sz="4" w:space="0" w:color="auto"/>
                    <w:right w:val="nil"/>
                  </w:tcBorders>
                  <w:shd w:val="clear" w:color="000000" w:fill="B7DEE8"/>
                  <w:vAlign w:val="bottom"/>
                  <w:hideMark/>
                </w:tcPr>
                <w:p w:rsidR="00C00019" w:rsidRPr="00496399" w:rsidRDefault="00C00019" w:rsidP="00C00019">
                  <w:pPr>
                    <w:spacing w:after="0" w:line="240" w:lineRule="auto"/>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Разходи за командировъчни</w:t>
                  </w:r>
                </w:p>
              </w:tc>
              <w:tc>
                <w:tcPr>
                  <w:tcW w:w="2443" w:type="dxa"/>
                  <w:tcBorders>
                    <w:top w:val="nil"/>
                    <w:left w:val="nil"/>
                    <w:bottom w:val="single" w:sz="4" w:space="0" w:color="auto"/>
                    <w:right w:val="single" w:sz="4" w:space="0" w:color="auto"/>
                  </w:tcBorders>
                  <w:shd w:val="clear" w:color="000000" w:fill="FDE9D9"/>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516 231,19</w:t>
                  </w:r>
                </w:p>
              </w:tc>
            </w:tr>
            <w:tr w:rsidR="00C00019" w:rsidRPr="00496399" w:rsidTr="00496399">
              <w:trPr>
                <w:trHeight w:val="151"/>
              </w:trPr>
              <w:tc>
                <w:tcPr>
                  <w:tcW w:w="511" w:type="dxa"/>
                  <w:tcBorders>
                    <w:top w:val="nil"/>
                    <w:left w:val="single" w:sz="4" w:space="0" w:color="auto"/>
                    <w:bottom w:val="single" w:sz="4" w:space="0" w:color="auto"/>
                    <w:right w:val="single" w:sz="4" w:space="0" w:color="auto"/>
                  </w:tcBorders>
                  <w:shd w:val="clear" w:color="000000" w:fill="B7DEE8"/>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III.</w:t>
                  </w:r>
                </w:p>
              </w:tc>
              <w:tc>
                <w:tcPr>
                  <w:tcW w:w="6660" w:type="dxa"/>
                  <w:tcBorders>
                    <w:top w:val="nil"/>
                    <w:left w:val="nil"/>
                    <w:bottom w:val="single" w:sz="4" w:space="0" w:color="auto"/>
                    <w:right w:val="nil"/>
                  </w:tcBorders>
                  <w:shd w:val="clear" w:color="000000" w:fill="B7DEE8"/>
                  <w:vAlign w:val="bottom"/>
                  <w:hideMark/>
                </w:tcPr>
                <w:p w:rsidR="00C00019" w:rsidRPr="00496399" w:rsidRDefault="00C00019" w:rsidP="00C00019">
                  <w:pPr>
                    <w:spacing w:after="0" w:line="240" w:lineRule="auto"/>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Разходи за оборудване</w:t>
                  </w:r>
                </w:p>
              </w:tc>
              <w:tc>
                <w:tcPr>
                  <w:tcW w:w="2443" w:type="dxa"/>
                  <w:tcBorders>
                    <w:top w:val="nil"/>
                    <w:left w:val="nil"/>
                    <w:bottom w:val="single" w:sz="4" w:space="0" w:color="auto"/>
                    <w:right w:val="single" w:sz="4" w:space="0" w:color="auto"/>
                  </w:tcBorders>
                  <w:shd w:val="clear" w:color="000000" w:fill="FDE9D9"/>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3 580 100,00</w:t>
                  </w:r>
                </w:p>
              </w:tc>
            </w:tr>
            <w:tr w:rsidR="00C00019" w:rsidRPr="00496399" w:rsidTr="00496399">
              <w:trPr>
                <w:trHeight w:val="302"/>
              </w:trPr>
              <w:tc>
                <w:tcPr>
                  <w:tcW w:w="511" w:type="dxa"/>
                  <w:tcBorders>
                    <w:top w:val="nil"/>
                    <w:left w:val="single" w:sz="4" w:space="0" w:color="auto"/>
                    <w:bottom w:val="single" w:sz="4" w:space="0" w:color="auto"/>
                    <w:right w:val="single" w:sz="4" w:space="0" w:color="auto"/>
                  </w:tcBorders>
                  <w:shd w:val="clear" w:color="000000" w:fill="B7DEE8"/>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IV.</w:t>
                  </w:r>
                </w:p>
              </w:tc>
              <w:tc>
                <w:tcPr>
                  <w:tcW w:w="6660" w:type="dxa"/>
                  <w:tcBorders>
                    <w:top w:val="nil"/>
                    <w:left w:val="nil"/>
                    <w:bottom w:val="single" w:sz="4" w:space="0" w:color="auto"/>
                    <w:right w:val="nil"/>
                  </w:tcBorders>
                  <w:shd w:val="clear" w:color="000000" w:fill="B7DEE8"/>
                  <w:vAlign w:val="bottom"/>
                  <w:hideMark/>
                </w:tcPr>
                <w:p w:rsidR="00C00019" w:rsidRPr="00496399" w:rsidRDefault="00C00019" w:rsidP="00C00019">
                  <w:pPr>
                    <w:spacing w:after="0" w:line="240" w:lineRule="auto"/>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 xml:space="preserve">Режийни разходи, </w:t>
                  </w:r>
                  <w:proofErr w:type="spellStart"/>
                  <w:r w:rsidRPr="00496399">
                    <w:rPr>
                      <w:rFonts w:ascii="Times New Roman" w:eastAsia="Times New Roman" w:hAnsi="Times New Roman" w:cs="Times New Roman"/>
                      <w:b/>
                      <w:bCs/>
                      <w:color w:val="000000"/>
                      <w:lang w:val="bg-BG" w:eastAsia="bg-BG"/>
                    </w:rPr>
                    <w:t>разходи</w:t>
                  </w:r>
                  <w:proofErr w:type="spellEnd"/>
                  <w:r w:rsidRPr="00496399">
                    <w:rPr>
                      <w:rFonts w:ascii="Times New Roman" w:eastAsia="Times New Roman" w:hAnsi="Times New Roman" w:cs="Times New Roman"/>
                      <w:b/>
                      <w:bCs/>
                      <w:color w:val="000000"/>
                      <w:lang w:val="bg-BG" w:eastAsia="bg-BG"/>
                    </w:rPr>
                    <w:t xml:space="preserve"> за поддръжка и други разходи</w:t>
                  </w:r>
                </w:p>
              </w:tc>
              <w:tc>
                <w:tcPr>
                  <w:tcW w:w="2443" w:type="dxa"/>
                  <w:tcBorders>
                    <w:top w:val="nil"/>
                    <w:left w:val="nil"/>
                    <w:bottom w:val="single" w:sz="4" w:space="0" w:color="auto"/>
                    <w:right w:val="single" w:sz="4" w:space="0" w:color="auto"/>
                  </w:tcBorders>
                  <w:shd w:val="clear" w:color="000000" w:fill="FDE9D9"/>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1 503 716,55</w:t>
                  </w:r>
                </w:p>
              </w:tc>
            </w:tr>
            <w:tr w:rsidR="00C00019" w:rsidRPr="00DF3C5F" w:rsidTr="00496399">
              <w:trPr>
                <w:trHeight w:val="302"/>
              </w:trPr>
              <w:tc>
                <w:tcPr>
                  <w:tcW w:w="511" w:type="dxa"/>
                  <w:tcBorders>
                    <w:top w:val="nil"/>
                    <w:left w:val="single" w:sz="4" w:space="0" w:color="auto"/>
                    <w:bottom w:val="single" w:sz="4" w:space="0" w:color="auto"/>
                    <w:right w:val="single" w:sz="4" w:space="0" w:color="auto"/>
                  </w:tcBorders>
                  <w:shd w:val="clear" w:color="000000" w:fill="B7DEE8"/>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V.</w:t>
                  </w:r>
                </w:p>
              </w:tc>
              <w:tc>
                <w:tcPr>
                  <w:tcW w:w="6660" w:type="dxa"/>
                  <w:tcBorders>
                    <w:top w:val="nil"/>
                    <w:left w:val="nil"/>
                    <w:bottom w:val="single" w:sz="4" w:space="0" w:color="auto"/>
                    <w:right w:val="nil"/>
                  </w:tcBorders>
                  <w:shd w:val="clear" w:color="000000" w:fill="B7DEE8"/>
                  <w:vAlign w:val="bottom"/>
                  <w:hideMark/>
                </w:tcPr>
                <w:p w:rsidR="00C00019" w:rsidRPr="00496399" w:rsidRDefault="00C00019" w:rsidP="00C00019">
                  <w:pPr>
                    <w:spacing w:after="0" w:line="240" w:lineRule="auto"/>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Разходи за изграждане на капацитет на екипите</w:t>
                  </w:r>
                </w:p>
              </w:tc>
              <w:tc>
                <w:tcPr>
                  <w:tcW w:w="2443" w:type="dxa"/>
                  <w:tcBorders>
                    <w:top w:val="nil"/>
                    <w:left w:val="nil"/>
                    <w:bottom w:val="single" w:sz="4" w:space="0" w:color="auto"/>
                    <w:right w:val="single" w:sz="4" w:space="0" w:color="auto"/>
                  </w:tcBorders>
                  <w:shd w:val="clear" w:color="000000" w:fill="FDE9D9"/>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1 793 348,51</w:t>
                  </w:r>
                </w:p>
              </w:tc>
            </w:tr>
            <w:tr w:rsidR="00C00019" w:rsidRPr="00DF3C5F" w:rsidTr="00496399">
              <w:trPr>
                <w:trHeight w:val="145"/>
              </w:trPr>
              <w:tc>
                <w:tcPr>
                  <w:tcW w:w="511" w:type="dxa"/>
                  <w:tcBorders>
                    <w:top w:val="nil"/>
                    <w:left w:val="single" w:sz="4" w:space="0" w:color="auto"/>
                    <w:bottom w:val="single" w:sz="4" w:space="0" w:color="auto"/>
                    <w:right w:val="single" w:sz="4" w:space="0" w:color="auto"/>
                  </w:tcBorders>
                  <w:shd w:val="clear" w:color="000000" w:fill="FDE9D9"/>
                  <w:vAlign w:val="bottom"/>
                  <w:hideMark/>
                </w:tcPr>
                <w:p w:rsidR="00C00019" w:rsidRPr="00496399" w:rsidRDefault="00C00019" w:rsidP="00C00019">
                  <w:pPr>
                    <w:spacing w:after="0" w:line="240" w:lineRule="auto"/>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 </w:t>
                  </w:r>
                </w:p>
              </w:tc>
              <w:tc>
                <w:tcPr>
                  <w:tcW w:w="6660" w:type="dxa"/>
                  <w:tcBorders>
                    <w:top w:val="nil"/>
                    <w:left w:val="nil"/>
                    <w:bottom w:val="single" w:sz="4" w:space="0" w:color="auto"/>
                    <w:right w:val="single" w:sz="4" w:space="0" w:color="auto"/>
                  </w:tcBorders>
                  <w:shd w:val="clear" w:color="000000" w:fill="FDE9D9"/>
                  <w:vAlign w:val="bottom"/>
                  <w:hideMark/>
                </w:tcPr>
                <w:p w:rsidR="00C00019" w:rsidRPr="00496399" w:rsidRDefault="00C00019" w:rsidP="00C00019">
                  <w:pPr>
                    <w:spacing w:after="0" w:line="240" w:lineRule="auto"/>
                    <w:jc w:val="right"/>
                    <w:rPr>
                      <w:rFonts w:ascii="Times New Roman" w:eastAsia="Times New Roman" w:hAnsi="Times New Roman" w:cs="Times New Roman"/>
                      <w:b/>
                      <w:bCs/>
                      <w:color w:val="000000"/>
                      <w:lang w:val="bg-BG" w:eastAsia="bg-BG"/>
                    </w:rPr>
                  </w:pPr>
                  <w:r w:rsidRPr="00496399">
                    <w:rPr>
                      <w:rFonts w:ascii="Times New Roman" w:eastAsia="Times New Roman" w:hAnsi="Times New Roman" w:cs="Times New Roman"/>
                      <w:b/>
                      <w:bCs/>
                      <w:color w:val="000000"/>
                      <w:lang w:val="bg-BG" w:eastAsia="bg-BG"/>
                    </w:rPr>
                    <w:t>Общо разходи по години:</w:t>
                  </w:r>
                </w:p>
              </w:tc>
              <w:tc>
                <w:tcPr>
                  <w:tcW w:w="2443" w:type="dxa"/>
                  <w:tcBorders>
                    <w:top w:val="nil"/>
                    <w:left w:val="nil"/>
                    <w:bottom w:val="single" w:sz="4" w:space="0" w:color="auto"/>
                    <w:right w:val="single" w:sz="4" w:space="0" w:color="auto"/>
                  </w:tcBorders>
                  <w:shd w:val="clear" w:color="000000" w:fill="FDE9D9"/>
                  <w:vAlign w:val="center"/>
                  <w:hideMark/>
                </w:tcPr>
                <w:p w:rsidR="00C00019" w:rsidRPr="00496399" w:rsidRDefault="00C00019" w:rsidP="00C00019">
                  <w:pPr>
                    <w:spacing w:after="0" w:line="240" w:lineRule="auto"/>
                    <w:jc w:val="right"/>
                    <w:rPr>
                      <w:rFonts w:ascii="Times New Roman" w:eastAsia="Times New Roman" w:hAnsi="Times New Roman" w:cs="Times New Roman"/>
                      <w:b/>
                      <w:bCs/>
                      <w:color w:val="FF0000"/>
                      <w:lang w:val="bg-BG" w:eastAsia="bg-BG"/>
                    </w:rPr>
                  </w:pPr>
                  <w:r w:rsidRPr="00496399">
                    <w:rPr>
                      <w:rFonts w:ascii="Times New Roman" w:eastAsia="Times New Roman" w:hAnsi="Times New Roman" w:cs="Times New Roman"/>
                      <w:b/>
                      <w:bCs/>
                      <w:color w:val="FF0000"/>
                      <w:lang w:val="bg-BG" w:eastAsia="bg-BG"/>
                    </w:rPr>
                    <w:t>35 110 673,42</w:t>
                  </w:r>
                </w:p>
              </w:tc>
            </w:tr>
          </w:tbl>
          <w:p w:rsidR="00610E99" w:rsidRPr="005D767B" w:rsidRDefault="00610E99" w:rsidP="00F821DA">
            <w:pPr>
              <w:spacing w:before="120" w:after="120" w:line="240" w:lineRule="auto"/>
              <w:jc w:val="both"/>
              <w:rPr>
                <w:rFonts w:ascii="Times New Roman" w:eastAsia="Times New Roman" w:hAnsi="Times New Roman" w:cs="Times New Roman"/>
                <w:i/>
                <w:sz w:val="24"/>
                <w:szCs w:val="24"/>
                <w:lang w:val="bg-BG" w:eastAsia="en-GB"/>
              </w:rPr>
            </w:pPr>
            <w:r w:rsidRPr="005D767B">
              <w:rPr>
                <w:rFonts w:ascii="Times New Roman" w:eastAsia="Times New Roman" w:hAnsi="Times New Roman" w:cs="Times New Roman"/>
                <w:i/>
                <w:sz w:val="24"/>
                <w:szCs w:val="24"/>
                <w:lang w:val="bg-BG" w:eastAsia="en-GB"/>
              </w:rPr>
              <w:t>Забележки:</w:t>
            </w:r>
          </w:p>
          <w:p w:rsidR="00610E99" w:rsidRPr="005D767B" w:rsidRDefault="00610E99" w:rsidP="00F821DA">
            <w:pPr>
              <w:spacing w:before="120" w:after="120" w:line="240" w:lineRule="auto"/>
              <w:jc w:val="both"/>
              <w:rPr>
                <w:rFonts w:ascii="Times New Roman" w:eastAsia="Times New Roman" w:hAnsi="Times New Roman" w:cs="Times New Roman"/>
                <w:sz w:val="24"/>
                <w:szCs w:val="24"/>
                <w:lang w:val="bg-BG" w:eastAsia="en-GB"/>
              </w:rPr>
            </w:pPr>
            <w:r w:rsidRPr="005D767B">
              <w:rPr>
                <w:rFonts w:ascii="Times New Roman" w:eastAsia="Times New Roman" w:hAnsi="Times New Roman" w:cs="Times New Roman"/>
                <w:sz w:val="24"/>
                <w:szCs w:val="24"/>
                <w:lang w:val="bg-BG" w:eastAsia="en-GB"/>
              </w:rPr>
              <w:t>* Разходите за възнаграждения са брутни и включва всички осигурителни плащания</w:t>
            </w:r>
          </w:p>
          <w:p w:rsidR="00610E99" w:rsidRPr="005D767B" w:rsidRDefault="00610E99" w:rsidP="00F821DA">
            <w:pPr>
              <w:spacing w:before="120" w:after="120" w:line="240" w:lineRule="auto"/>
              <w:jc w:val="both"/>
              <w:rPr>
                <w:rFonts w:ascii="Times New Roman" w:eastAsia="Times New Roman" w:hAnsi="Times New Roman" w:cs="Times New Roman"/>
                <w:sz w:val="24"/>
                <w:szCs w:val="24"/>
                <w:lang w:val="bg-BG" w:eastAsia="en-GB"/>
              </w:rPr>
            </w:pPr>
            <w:r w:rsidRPr="005D767B">
              <w:rPr>
                <w:rFonts w:ascii="Times New Roman" w:eastAsia="Times New Roman" w:hAnsi="Times New Roman" w:cs="Times New Roman"/>
                <w:sz w:val="24"/>
                <w:szCs w:val="24"/>
                <w:lang w:val="bg-BG" w:eastAsia="en-GB"/>
              </w:rPr>
              <w:t>** Разходите за командировъчни са съгласно българското законодателство</w:t>
            </w:r>
          </w:p>
          <w:p w:rsidR="00610E99" w:rsidRPr="005D767B" w:rsidRDefault="00610E99" w:rsidP="00F821DA">
            <w:pPr>
              <w:spacing w:before="120" w:after="120" w:line="240" w:lineRule="auto"/>
              <w:jc w:val="both"/>
              <w:rPr>
                <w:rFonts w:ascii="Times New Roman" w:eastAsia="Times New Roman" w:hAnsi="Times New Roman" w:cs="Times New Roman"/>
                <w:sz w:val="24"/>
                <w:szCs w:val="24"/>
                <w:lang w:val="bg-BG" w:eastAsia="en-GB"/>
              </w:rPr>
            </w:pPr>
            <w:r w:rsidRPr="005D767B">
              <w:rPr>
                <w:rFonts w:ascii="Times New Roman" w:eastAsia="Times New Roman" w:hAnsi="Times New Roman" w:cs="Times New Roman"/>
                <w:sz w:val="24"/>
                <w:szCs w:val="24"/>
                <w:lang w:val="bg-BG" w:eastAsia="en-GB"/>
              </w:rPr>
              <w:t>*** Режийните разходи са изчислени на база среден годишен разход за служител в МОСВ</w:t>
            </w:r>
          </w:p>
          <w:p w:rsidR="001330F9" w:rsidRDefault="00497105" w:rsidP="005D767B">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Съгласно финансовите разчети, </w:t>
            </w:r>
            <w:r w:rsidR="001330F9">
              <w:rPr>
                <w:rFonts w:ascii="Times New Roman" w:eastAsia="Times New Roman" w:hAnsi="Times New Roman" w:cs="Times New Roman"/>
                <w:sz w:val="24"/>
                <w:szCs w:val="24"/>
                <w:lang w:val="bg-BG"/>
              </w:rPr>
              <w:t>част от необходимото финансиране е осигурено от ОПОС и ОПДУ, както следва:</w:t>
            </w:r>
          </w:p>
          <w:p w:rsidR="00496399" w:rsidRDefault="00496399" w:rsidP="005D767B">
            <w:pPr>
              <w:spacing w:before="120" w:after="120" w:line="240" w:lineRule="auto"/>
              <w:jc w:val="both"/>
              <w:textAlignment w:val="center"/>
              <w:rPr>
                <w:rFonts w:ascii="Times New Roman" w:eastAsia="Times New Roman" w:hAnsi="Times New Roman" w:cs="Times New Roman"/>
                <w:sz w:val="24"/>
                <w:szCs w:val="24"/>
                <w:lang w:val="bg-BG"/>
              </w:rPr>
            </w:pPr>
            <w:r>
              <w:object w:dxaOrig="15320" w:dyaOrig="4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29pt" o:ole="">
                  <v:imagedata r:id="rId9" o:title=""/>
                </v:shape>
                <o:OLEObject Type="Embed" ProgID="Excel.Sheet.8" ShapeID="_x0000_i1025" DrawAspect="Content" ObjectID="_1608118648" r:id="rId10"/>
              </w:object>
            </w:r>
          </w:p>
          <w:p w:rsidR="00B83F66" w:rsidRPr="00B83F66" w:rsidRDefault="00B83F66" w:rsidP="00B83F66">
            <w:pPr>
              <w:spacing w:after="0" w:line="240" w:lineRule="auto"/>
              <w:jc w:val="both"/>
              <w:textAlignment w:val="center"/>
              <w:rPr>
                <w:rFonts w:ascii="Times New Roman" w:eastAsia="Times New Roman" w:hAnsi="Times New Roman" w:cs="Times New Roman"/>
                <w:sz w:val="24"/>
                <w:szCs w:val="24"/>
                <w:lang w:val="bg-BG"/>
              </w:rPr>
            </w:pPr>
            <w:r w:rsidRPr="00B83F66">
              <w:rPr>
                <w:rFonts w:ascii="Times New Roman" w:eastAsia="Times New Roman" w:hAnsi="Times New Roman" w:cs="Times New Roman"/>
                <w:sz w:val="24"/>
                <w:szCs w:val="24"/>
                <w:lang w:val="bg-BG"/>
              </w:rPr>
              <w:t xml:space="preserve">Сумата, необходима от държавния бюджет до 2023 г. включително е 689 620 лв.. Тази сума включва: </w:t>
            </w:r>
          </w:p>
          <w:p w:rsidR="00B83F66" w:rsidRPr="00B83F66" w:rsidRDefault="00B83F66" w:rsidP="00B83F66">
            <w:pPr>
              <w:spacing w:after="0" w:line="240" w:lineRule="auto"/>
              <w:jc w:val="both"/>
              <w:textAlignment w:val="center"/>
              <w:rPr>
                <w:rFonts w:ascii="Times New Roman" w:eastAsia="Times New Roman" w:hAnsi="Times New Roman" w:cs="Times New Roman"/>
                <w:sz w:val="24"/>
                <w:szCs w:val="24"/>
                <w:lang w:val="bg-BG"/>
              </w:rPr>
            </w:pPr>
            <w:r w:rsidRPr="00B83F66">
              <w:rPr>
                <w:rFonts w:ascii="Times New Roman" w:eastAsia="Times New Roman" w:hAnsi="Times New Roman" w:cs="Times New Roman"/>
                <w:sz w:val="24"/>
                <w:szCs w:val="24"/>
                <w:lang w:val="bg-BG"/>
              </w:rPr>
              <w:t>- Режийни разходи  (ток, отопление, интернет, телефон и др.);</w:t>
            </w:r>
          </w:p>
          <w:p w:rsidR="00B83F66" w:rsidRPr="00B83F66" w:rsidRDefault="00B83F66" w:rsidP="00B83F66">
            <w:pPr>
              <w:spacing w:after="0" w:line="240" w:lineRule="auto"/>
              <w:jc w:val="both"/>
              <w:textAlignment w:val="center"/>
              <w:rPr>
                <w:rFonts w:ascii="Times New Roman" w:eastAsia="Times New Roman" w:hAnsi="Times New Roman" w:cs="Times New Roman"/>
                <w:sz w:val="24"/>
                <w:szCs w:val="24"/>
                <w:lang w:val="bg-BG"/>
              </w:rPr>
            </w:pPr>
            <w:r w:rsidRPr="00B83F66">
              <w:rPr>
                <w:rFonts w:ascii="Times New Roman" w:eastAsia="Times New Roman" w:hAnsi="Times New Roman" w:cs="Times New Roman"/>
                <w:sz w:val="24"/>
                <w:szCs w:val="24"/>
                <w:lang w:val="bg-BG"/>
              </w:rPr>
              <w:t>- Разходи за поддръжка на оборудването и лицензи за софтуери;</w:t>
            </w:r>
          </w:p>
          <w:p w:rsidR="00B83F66" w:rsidRPr="00B83F66" w:rsidRDefault="00B83F66" w:rsidP="00B83F66">
            <w:pPr>
              <w:spacing w:after="0" w:line="240" w:lineRule="auto"/>
              <w:jc w:val="both"/>
              <w:textAlignment w:val="center"/>
              <w:rPr>
                <w:rFonts w:ascii="Times New Roman" w:eastAsia="Times New Roman" w:hAnsi="Times New Roman" w:cs="Times New Roman"/>
                <w:sz w:val="24"/>
                <w:szCs w:val="24"/>
                <w:lang w:val="bg-BG"/>
              </w:rPr>
            </w:pPr>
            <w:r w:rsidRPr="00B83F66">
              <w:rPr>
                <w:rFonts w:ascii="Times New Roman" w:eastAsia="Times New Roman" w:hAnsi="Times New Roman" w:cs="Times New Roman"/>
                <w:sz w:val="24"/>
                <w:szCs w:val="24"/>
                <w:lang w:val="bg-BG"/>
              </w:rPr>
              <w:t>- Други разходи (материали за офиса, консумативи за оборудване и т.н.).</w:t>
            </w:r>
          </w:p>
          <w:p w:rsidR="00B83F66" w:rsidRDefault="00B83F66" w:rsidP="00B83F66">
            <w:pPr>
              <w:spacing w:after="0" w:line="240" w:lineRule="auto"/>
              <w:jc w:val="both"/>
              <w:textAlignment w:val="center"/>
              <w:rPr>
                <w:rFonts w:ascii="Times New Roman" w:eastAsia="Times New Roman" w:hAnsi="Times New Roman" w:cs="Times New Roman"/>
                <w:sz w:val="24"/>
                <w:szCs w:val="24"/>
                <w:lang w:val="bg-BG"/>
              </w:rPr>
            </w:pPr>
            <w:r w:rsidRPr="00B83F66">
              <w:rPr>
                <w:rFonts w:ascii="Times New Roman" w:eastAsia="Times New Roman" w:hAnsi="Times New Roman" w:cs="Times New Roman"/>
                <w:sz w:val="24"/>
                <w:szCs w:val="24"/>
                <w:lang w:val="bg-BG"/>
              </w:rPr>
              <w:t>Сумата е калкулирана съгласно средните разходи за служител в МОСВ.</w:t>
            </w:r>
          </w:p>
          <w:p w:rsidR="00DC3507" w:rsidRPr="00F70834" w:rsidRDefault="00DC3507" w:rsidP="005D767B">
            <w:pPr>
              <w:spacing w:before="120" w:after="120" w:line="240" w:lineRule="auto"/>
              <w:jc w:val="both"/>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sz w:val="24"/>
                <w:szCs w:val="24"/>
                <w:lang w:val="bg-BG"/>
              </w:rPr>
              <w:t xml:space="preserve">Съгласно предложените промени в Закона за биологичното разнообразие, се </w:t>
            </w:r>
            <w:r w:rsidR="00496399" w:rsidRPr="00F821DA">
              <w:rPr>
                <w:rFonts w:ascii="Times New Roman" w:eastAsia="Times New Roman" w:hAnsi="Times New Roman" w:cs="Times New Roman"/>
                <w:sz w:val="24"/>
                <w:szCs w:val="24"/>
                <w:lang w:val="bg-BG"/>
              </w:rPr>
              <w:t xml:space="preserve">предвижда </w:t>
            </w:r>
            <w:r w:rsidRPr="00F821DA">
              <w:rPr>
                <w:rFonts w:ascii="Times New Roman" w:eastAsia="Times New Roman" w:hAnsi="Times New Roman" w:cs="Times New Roman"/>
                <w:sz w:val="24"/>
                <w:szCs w:val="24"/>
                <w:lang w:val="bg-BG"/>
              </w:rPr>
              <w:t xml:space="preserve">разработване на </w:t>
            </w:r>
            <w:r w:rsidR="005B396B">
              <w:rPr>
                <w:rFonts w:ascii="Times New Roman" w:eastAsia="Times New Roman" w:hAnsi="Times New Roman" w:cs="Times New Roman"/>
                <w:sz w:val="24"/>
                <w:szCs w:val="24"/>
                <w:lang w:val="bg-BG"/>
              </w:rPr>
              <w:t>териториални</w:t>
            </w:r>
            <w:r w:rsidR="005B396B"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 xml:space="preserve">планове за управление на мрежата Натура 2000. Ресурсът за това е </w:t>
            </w:r>
            <w:r w:rsidRPr="00F70834">
              <w:rPr>
                <w:rFonts w:ascii="Times New Roman" w:eastAsia="Times New Roman" w:hAnsi="Times New Roman" w:cs="Times New Roman"/>
                <w:sz w:val="24"/>
                <w:szCs w:val="24"/>
                <w:lang w:val="bg-BG"/>
              </w:rPr>
              <w:t>предвиден в ОПОС 2014-2020 г. и е в размер на 10 000 </w:t>
            </w:r>
            <w:proofErr w:type="spellStart"/>
            <w:r w:rsidRPr="00F70834">
              <w:rPr>
                <w:rFonts w:ascii="Times New Roman" w:eastAsia="Times New Roman" w:hAnsi="Times New Roman" w:cs="Times New Roman"/>
                <w:sz w:val="24"/>
                <w:szCs w:val="24"/>
                <w:lang w:val="bg-BG"/>
              </w:rPr>
              <w:t>000</w:t>
            </w:r>
            <w:proofErr w:type="spellEnd"/>
            <w:r w:rsidRPr="00F70834">
              <w:rPr>
                <w:rFonts w:ascii="Times New Roman" w:eastAsia="Times New Roman" w:hAnsi="Times New Roman" w:cs="Times New Roman"/>
                <w:sz w:val="24"/>
                <w:szCs w:val="24"/>
                <w:lang w:val="bg-BG"/>
              </w:rPr>
              <w:t xml:space="preserve"> евро.</w:t>
            </w:r>
          </w:p>
          <w:p w:rsidR="00B83F66" w:rsidRDefault="00B83F66" w:rsidP="00B83F66">
            <w:pPr>
              <w:spacing w:before="120" w:after="120" w:line="240" w:lineRule="auto"/>
              <w:jc w:val="both"/>
              <w:rPr>
                <w:rFonts w:ascii="Times New Roman" w:eastAsia="Times New Roman" w:hAnsi="Times New Roman" w:cs="Times New Roman"/>
                <w:sz w:val="24"/>
                <w:szCs w:val="24"/>
                <w:lang w:val="bg-BG" w:eastAsia="en-GB"/>
              </w:rPr>
            </w:pPr>
            <w:r w:rsidRPr="00B83F66">
              <w:rPr>
                <w:rFonts w:ascii="Times New Roman" w:eastAsia="Times New Roman" w:hAnsi="Times New Roman" w:cs="Times New Roman"/>
                <w:sz w:val="24"/>
                <w:szCs w:val="24"/>
                <w:lang w:val="bg-BG" w:eastAsia="en-GB"/>
              </w:rPr>
              <w:t>В рамките на подготовката за програмен период 2021-2027 г. МОСВ ще положи всички необходими усилия за включване на необходимото финансиране след 2023 г.</w:t>
            </w:r>
            <w:r>
              <w:rPr>
                <w:rFonts w:ascii="Times New Roman" w:eastAsia="Times New Roman" w:hAnsi="Times New Roman" w:cs="Times New Roman"/>
                <w:sz w:val="24"/>
                <w:szCs w:val="24"/>
                <w:lang w:val="bg-BG" w:eastAsia="en-GB"/>
              </w:rPr>
              <w:t xml:space="preserve"> (възлизащо на </w:t>
            </w:r>
            <w:r w:rsidRPr="00B83F66">
              <w:rPr>
                <w:rFonts w:ascii="Times New Roman" w:eastAsia="Times New Roman" w:hAnsi="Times New Roman" w:cs="Times New Roman"/>
                <w:sz w:val="24"/>
                <w:szCs w:val="24"/>
                <w:lang w:val="bg-BG" w:eastAsia="en-GB"/>
              </w:rPr>
              <w:t>16 616 632,22 лв.</w:t>
            </w:r>
            <w:r>
              <w:rPr>
                <w:rFonts w:ascii="Times New Roman" w:eastAsia="Times New Roman" w:hAnsi="Times New Roman" w:cs="Times New Roman"/>
                <w:sz w:val="24"/>
                <w:szCs w:val="24"/>
                <w:lang w:val="bg-BG" w:eastAsia="en-GB"/>
              </w:rPr>
              <w:t xml:space="preserve">) </w:t>
            </w:r>
            <w:r w:rsidRPr="00B83F66">
              <w:rPr>
                <w:rFonts w:ascii="Times New Roman" w:eastAsia="Times New Roman" w:hAnsi="Times New Roman" w:cs="Times New Roman"/>
                <w:sz w:val="24"/>
                <w:szCs w:val="24"/>
                <w:lang w:val="bg-BG" w:eastAsia="en-GB"/>
              </w:rPr>
              <w:t xml:space="preserve">в програмите, предоставящи средства от ЕСИФ или други финансови инструменти на Европейско ниво. В случай, че тези разходи бъдат квалифицирани като недопустими по горепосочените програми, те следва да бъдат осигурени от държавния бюджет на България. </w:t>
            </w:r>
          </w:p>
          <w:p w:rsidR="00F96DB9" w:rsidRPr="00BC7FD7" w:rsidRDefault="005F3DE7" w:rsidP="00B83F66">
            <w:pPr>
              <w:spacing w:before="120" w:after="120" w:line="240" w:lineRule="auto"/>
              <w:jc w:val="both"/>
              <w:rPr>
                <w:rFonts w:ascii="Times New Roman" w:eastAsia="Times New Roman" w:hAnsi="Times New Roman" w:cs="Times New Roman"/>
                <w:sz w:val="24"/>
                <w:szCs w:val="24"/>
                <w:lang w:val="bg-BG" w:eastAsia="en-GB"/>
              </w:rPr>
            </w:pPr>
            <w:r w:rsidRPr="005D767B">
              <w:rPr>
                <w:rFonts w:ascii="Times New Roman" w:eastAsia="Times New Roman" w:hAnsi="Times New Roman" w:cs="Times New Roman"/>
                <w:sz w:val="24"/>
                <w:szCs w:val="24"/>
                <w:lang w:val="bg-BG" w:eastAsia="en-GB"/>
              </w:rPr>
              <w:t xml:space="preserve">Не се очакват други </w:t>
            </w:r>
            <w:r w:rsidR="00DC3507" w:rsidRPr="005D767B">
              <w:rPr>
                <w:rFonts w:ascii="Times New Roman" w:eastAsia="Times New Roman" w:hAnsi="Times New Roman" w:cs="Times New Roman"/>
                <w:sz w:val="24"/>
                <w:szCs w:val="24"/>
                <w:lang w:val="bg-BG" w:eastAsia="en-GB"/>
              </w:rPr>
              <w:t>негативни икономически, социални и</w:t>
            </w:r>
            <w:r w:rsidRPr="005D767B">
              <w:rPr>
                <w:rFonts w:ascii="Times New Roman" w:eastAsia="Times New Roman" w:hAnsi="Times New Roman" w:cs="Times New Roman"/>
                <w:sz w:val="24"/>
                <w:szCs w:val="24"/>
                <w:lang w:val="bg-BG" w:eastAsia="en-GB"/>
              </w:rPr>
              <w:t xml:space="preserve"> екологични въздействия, в т.ч. разходи.</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AE7264" w:rsidRPr="00F821DA" w:rsidRDefault="00F96DB9" w:rsidP="00F821DA">
            <w:pPr>
              <w:spacing w:before="120" w:after="120" w:line="240" w:lineRule="auto"/>
              <w:jc w:val="both"/>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lastRenderedPageBreak/>
              <w:t>6. Положителни въздействия:</w:t>
            </w:r>
            <w:r w:rsidRPr="00F821DA">
              <w:rPr>
                <w:rFonts w:ascii="Times New Roman" w:eastAsia="Times New Roman" w:hAnsi="Times New Roman" w:cs="Times New Roman"/>
                <w:sz w:val="24"/>
                <w:szCs w:val="24"/>
                <w:lang w:val="bg-BG"/>
              </w:rPr>
              <w:t xml:space="preserve"> </w:t>
            </w:r>
          </w:p>
          <w:p w:rsidR="00704236" w:rsidRPr="00F70834" w:rsidRDefault="00704236" w:rsidP="005D767B">
            <w:pPr>
              <w:spacing w:before="120" w:after="120" w:line="240" w:lineRule="auto"/>
              <w:jc w:val="center"/>
              <w:textAlignment w:val="center"/>
              <w:rPr>
                <w:rFonts w:ascii="Times New Roman" w:eastAsia="Times New Roman" w:hAnsi="Times New Roman" w:cs="Times New Roman"/>
                <w:b/>
                <w:iCs/>
                <w:color w:val="000000"/>
                <w:sz w:val="24"/>
                <w:szCs w:val="24"/>
                <w:lang w:val="bg-BG"/>
              </w:rPr>
            </w:pPr>
            <w:r w:rsidRPr="00F821DA">
              <w:rPr>
                <w:rFonts w:ascii="Times New Roman" w:eastAsia="Times New Roman" w:hAnsi="Times New Roman" w:cs="Times New Roman"/>
                <w:i/>
                <w:iCs/>
                <w:color w:val="000000"/>
                <w:sz w:val="24"/>
                <w:szCs w:val="24"/>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47278A" w:rsidRPr="00F70834" w:rsidRDefault="0047278A" w:rsidP="005D767B">
            <w:pPr>
              <w:spacing w:before="120" w:after="120" w:line="240" w:lineRule="auto"/>
              <w:jc w:val="both"/>
              <w:textAlignment w:val="center"/>
              <w:rPr>
                <w:rFonts w:ascii="Times New Roman" w:eastAsia="Times New Roman" w:hAnsi="Times New Roman" w:cs="Times New Roman"/>
                <w:b/>
                <w:iCs/>
                <w:color w:val="000000"/>
                <w:sz w:val="24"/>
                <w:szCs w:val="24"/>
                <w:lang w:val="bg-BG"/>
              </w:rPr>
            </w:pPr>
            <w:r w:rsidRPr="00F70834">
              <w:rPr>
                <w:rFonts w:ascii="Times New Roman" w:eastAsia="Times New Roman" w:hAnsi="Times New Roman" w:cs="Times New Roman"/>
                <w:b/>
                <w:iCs/>
                <w:color w:val="000000"/>
                <w:sz w:val="24"/>
                <w:szCs w:val="24"/>
                <w:lang w:val="bg-BG"/>
              </w:rPr>
              <w:t>Вариант за действие 1: Без действие</w:t>
            </w:r>
          </w:p>
          <w:p w:rsidR="0047278A" w:rsidRPr="00BC7FD7" w:rsidRDefault="0047278A"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BC7FD7">
              <w:rPr>
                <w:rFonts w:ascii="Times New Roman" w:eastAsia="Times New Roman" w:hAnsi="Times New Roman" w:cs="Times New Roman"/>
                <w:iCs/>
                <w:color w:val="000000"/>
                <w:sz w:val="24"/>
                <w:szCs w:val="24"/>
                <w:lang w:val="bg-BG"/>
              </w:rPr>
              <w:t>При този вариант не са идентифицирани положителни въздействия.</w:t>
            </w:r>
          </w:p>
          <w:p w:rsidR="0047278A" w:rsidRPr="005D767B" w:rsidRDefault="0047278A" w:rsidP="00F821DA">
            <w:pPr>
              <w:spacing w:before="120" w:after="120" w:line="240" w:lineRule="auto"/>
              <w:jc w:val="both"/>
              <w:rPr>
                <w:rFonts w:ascii="Times New Roman" w:eastAsia="Times New Roman" w:hAnsi="Times New Roman" w:cs="Times New Roman"/>
                <w:sz w:val="24"/>
                <w:szCs w:val="24"/>
                <w:lang w:val="bg-BG" w:eastAsia="en-GB"/>
              </w:rPr>
            </w:pPr>
            <w:r w:rsidRPr="005D767B">
              <w:rPr>
                <w:rFonts w:ascii="Times New Roman" w:eastAsia="Times New Roman" w:hAnsi="Times New Roman" w:cs="Times New Roman"/>
                <w:b/>
                <w:iCs/>
                <w:color w:val="000000"/>
                <w:sz w:val="24"/>
                <w:szCs w:val="24"/>
                <w:lang w:val="bg-BG"/>
              </w:rPr>
              <w:t>Вариант за действие 2: При</w:t>
            </w:r>
            <w:r w:rsidR="007F1930" w:rsidRPr="005D767B">
              <w:rPr>
                <w:rFonts w:ascii="Times New Roman" w:eastAsia="Times New Roman" w:hAnsi="Times New Roman" w:cs="Times New Roman"/>
                <w:b/>
                <w:iCs/>
                <w:color w:val="000000"/>
                <w:sz w:val="24"/>
                <w:szCs w:val="24"/>
                <w:lang w:val="bg-BG"/>
              </w:rPr>
              <w:t xml:space="preserve">емане на промяна в </w:t>
            </w:r>
            <w:r w:rsidR="00780E5B" w:rsidRPr="005D767B">
              <w:rPr>
                <w:rFonts w:ascii="Times New Roman" w:eastAsia="Times New Roman" w:hAnsi="Times New Roman" w:cs="Times New Roman"/>
                <w:b/>
                <w:iCs/>
                <w:color w:val="000000"/>
                <w:sz w:val="24"/>
                <w:szCs w:val="24"/>
                <w:lang w:val="bg-BG"/>
              </w:rPr>
              <w:t>Закона за биологичното разнообразие</w:t>
            </w:r>
          </w:p>
          <w:p w:rsidR="00AE786C" w:rsidRPr="005D767B" w:rsidRDefault="00AE786C"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Икономически положителни въздействия:</w:t>
            </w:r>
          </w:p>
          <w:p w:rsidR="00AE786C" w:rsidRPr="005D767B" w:rsidRDefault="00780E5B"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Промените в Закона за биологичното разнообразие, ще </w:t>
            </w:r>
            <w:r w:rsidR="00AE35B9" w:rsidRPr="005D767B">
              <w:rPr>
                <w:rFonts w:ascii="Times New Roman" w:eastAsia="Times New Roman" w:hAnsi="Times New Roman" w:cs="Times New Roman"/>
                <w:iCs/>
                <w:color w:val="000000"/>
                <w:sz w:val="24"/>
                <w:szCs w:val="24"/>
                <w:lang w:val="bg-BG"/>
              </w:rPr>
              <w:t>довед</w:t>
            </w:r>
            <w:r w:rsidR="00AE35B9">
              <w:rPr>
                <w:rFonts w:ascii="Times New Roman" w:eastAsia="Times New Roman" w:hAnsi="Times New Roman" w:cs="Times New Roman"/>
                <w:iCs/>
                <w:color w:val="000000"/>
                <w:sz w:val="24"/>
                <w:szCs w:val="24"/>
                <w:lang w:val="bg-BG"/>
              </w:rPr>
              <w:t>ат</w:t>
            </w:r>
            <w:r w:rsidR="00AE35B9" w:rsidRPr="005D767B">
              <w:rPr>
                <w:rFonts w:ascii="Times New Roman" w:eastAsia="Times New Roman" w:hAnsi="Times New Roman" w:cs="Times New Roman"/>
                <w:iCs/>
                <w:color w:val="000000"/>
                <w:sz w:val="24"/>
                <w:szCs w:val="24"/>
                <w:lang w:val="bg-BG"/>
              </w:rPr>
              <w:t xml:space="preserve"> </w:t>
            </w:r>
            <w:r w:rsidRPr="005D767B">
              <w:rPr>
                <w:rFonts w:ascii="Times New Roman" w:eastAsia="Times New Roman" w:hAnsi="Times New Roman" w:cs="Times New Roman"/>
                <w:iCs/>
                <w:color w:val="000000"/>
                <w:sz w:val="24"/>
                <w:szCs w:val="24"/>
                <w:lang w:val="bg-BG"/>
              </w:rPr>
              <w:t>до изпълнение на задълженията на България по Директива за местообитанията</w:t>
            </w:r>
            <w:r w:rsidR="00096062" w:rsidRPr="005D767B">
              <w:rPr>
                <w:rFonts w:ascii="Times New Roman" w:eastAsia="Times New Roman" w:hAnsi="Times New Roman" w:cs="Times New Roman"/>
                <w:iCs/>
                <w:color w:val="000000"/>
                <w:sz w:val="24"/>
                <w:szCs w:val="24"/>
                <w:lang w:val="bg-BG"/>
              </w:rPr>
              <w:t xml:space="preserve"> и Директивата за птиците</w:t>
            </w:r>
            <w:r w:rsidRPr="005D767B">
              <w:rPr>
                <w:rFonts w:ascii="Times New Roman" w:eastAsia="Times New Roman" w:hAnsi="Times New Roman" w:cs="Times New Roman"/>
                <w:iCs/>
                <w:color w:val="000000"/>
                <w:sz w:val="24"/>
                <w:szCs w:val="24"/>
                <w:lang w:val="bg-BG"/>
              </w:rPr>
              <w:t xml:space="preserve">. Ще бъде осигурено участието на заинтересованите страни, представители на икономическите сектори, в процеса на вземане на решения, свързани с управлението на мрежата Натура 2000, което е в изпълнение на Плана на Европейската комисия за природата, хората и икономиката. </w:t>
            </w:r>
            <w:r w:rsidRPr="005D767B">
              <w:rPr>
                <w:rFonts w:ascii="Times New Roman" w:eastAsia="Times New Roman" w:hAnsi="Times New Roman" w:cs="Times New Roman"/>
                <w:iCs/>
                <w:color w:val="000000"/>
                <w:sz w:val="24"/>
                <w:szCs w:val="24"/>
                <w:lang w:val="bg-BG"/>
              </w:rPr>
              <w:lastRenderedPageBreak/>
              <w:t xml:space="preserve">Осигуряването на участието на представителите на икономическите сектори ще намали негативното им отношение към политиката за Натура 2000, което ще доведе до увеличаване на инвестициите на територията на мрежата, а от там – до повишаване на стандарта на живот и жизнеспособността на тези територии. </w:t>
            </w:r>
            <w:r w:rsidR="00AE786C" w:rsidRPr="005D767B">
              <w:rPr>
                <w:rFonts w:ascii="Times New Roman" w:eastAsia="Times New Roman" w:hAnsi="Times New Roman" w:cs="Times New Roman"/>
                <w:iCs/>
                <w:color w:val="000000"/>
                <w:sz w:val="24"/>
                <w:szCs w:val="24"/>
                <w:lang w:val="bg-BG"/>
              </w:rPr>
              <w:t xml:space="preserve"> </w:t>
            </w:r>
          </w:p>
          <w:p w:rsidR="00AE786C" w:rsidRPr="005D767B" w:rsidRDefault="00AE786C"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Социални положителни въздействия:</w:t>
            </w:r>
          </w:p>
          <w:p w:rsidR="00AE786C" w:rsidRPr="005D767B" w:rsidRDefault="00780E5B"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 xml:space="preserve">Приемането на промени в Закона за биологичното разнообразие ще повиши участието на местните общности в процеса на управление на мрежата Натура 2000. Това ще доведе до възможност обществото и гражданите да упражнят правата си за местно самоуправление. Увеличаването на икономическата активност в тези територии ще увеличи стандарта на живот на хората, които ги обитават, а това би довело до оживяване на населените места. Ефективното управление на мрежата Натура 2000 ще допринесе за подобряване на условията на живот за населението, чрез опазване на природния капитал на България. </w:t>
            </w:r>
          </w:p>
          <w:p w:rsidR="00AE786C" w:rsidRPr="005D767B" w:rsidRDefault="00AE786C"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5D767B">
              <w:rPr>
                <w:rFonts w:ascii="Times New Roman" w:eastAsia="Times New Roman" w:hAnsi="Times New Roman" w:cs="Times New Roman"/>
                <w:i/>
                <w:iCs/>
                <w:color w:val="000000"/>
                <w:sz w:val="24"/>
                <w:szCs w:val="24"/>
                <w:lang w:val="bg-BG"/>
              </w:rPr>
              <w:t>Екологични положителни въздействия:</w:t>
            </w:r>
          </w:p>
          <w:p w:rsidR="00F96DB9" w:rsidRPr="005D767B" w:rsidRDefault="00780E5B"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5D767B">
              <w:rPr>
                <w:rFonts w:ascii="Times New Roman" w:eastAsia="Times New Roman" w:hAnsi="Times New Roman" w:cs="Times New Roman"/>
                <w:iCs/>
                <w:color w:val="000000"/>
                <w:sz w:val="24"/>
                <w:szCs w:val="24"/>
                <w:lang w:val="bg-BG"/>
              </w:rPr>
              <w:t>Приемането на промени в Закона за биологичното разнообразие ще доведе до постигане на целите на Директива за местообитанията</w:t>
            </w:r>
            <w:r w:rsidR="00096062" w:rsidRPr="005D767B">
              <w:rPr>
                <w:rFonts w:ascii="Times New Roman" w:eastAsia="Times New Roman" w:hAnsi="Times New Roman" w:cs="Times New Roman"/>
                <w:iCs/>
                <w:color w:val="000000"/>
                <w:sz w:val="24"/>
                <w:szCs w:val="24"/>
                <w:lang w:val="bg-BG"/>
              </w:rPr>
              <w:t>, Директивата за птиците и Регламент 338/97, което ще благоприятства опазването на биологичното разнообразие</w:t>
            </w:r>
            <w:r w:rsidRPr="005D767B">
              <w:rPr>
                <w:rFonts w:ascii="Times New Roman" w:eastAsia="Times New Roman" w:hAnsi="Times New Roman" w:cs="Times New Roman"/>
                <w:iCs/>
                <w:color w:val="000000"/>
                <w:sz w:val="24"/>
                <w:szCs w:val="24"/>
                <w:lang w:val="bg-BG"/>
              </w:rPr>
              <w:t xml:space="preserve">. </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b/>
                <w:bCs/>
                <w:color w:val="000000"/>
                <w:sz w:val="24"/>
                <w:szCs w:val="24"/>
                <w:lang w:val="bg-BG"/>
              </w:rPr>
              <w:lastRenderedPageBreak/>
              <w:t>7. Потенциални рискове:</w:t>
            </w:r>
            <w:r w:rsidRPr="00F821DA">
              <w:rPr>
                <w:rFonts w:ascii="Times New Roman" w:eastAsia="Times New Roman" w:hAnsi="Times New Roman" w:cs="Times New Roman"/>
                <w:sz w:val="24"/>
                <w:szCs w:val="24"/>
                <w:lang w:val="bg-BG"/>
              </w:rPr>
              <w:t xml:space="preserve"> </w:t>
            </w:r>
          </w:p>
          <w:p w:rsidR="006A39F1" w:rsidRPr="00F70834" w:rsidRDefault="006A39F1" w:rsidP="005D767B">
            <w:pPr>
              <w:spacing w:before="120" w:after="120" w:line="240" w:lineRule="auto"/>
              <w:jc w:val="center"/>
              <w:textAlignment w:val="center"/>
              <w:rPr>
                <w:rFonts w:ascii="Times New Roman" w:eastAsia="Times New Roman" w:hAnsi="Times New Roman" w:cs="Times New Roman"/>
                <w:iCs/>
                <w:color w:val="000000"/>
                <w:sz w:val="24"/>
                <w:szCs w:val="24"/>
                <w:lang w:val="bg-BG"/>
              </w:rPr>
            </w:pPr>
            <w:r w:rsidRPr="00F821DA">
              <w:rPr>
                <w:rFonts w:ascii="Times New Roman" w:eastAsia="Times New Roman" w:hAnsi="Times New Roman" w:cs="Times New Roman"/>
                <w:i/>
                <w:iCs/>
                <w:color w:val="000000"/>
                <w:sz w:val="24"/>
                <w:szCs w:val="24"/>
                <w:lang w:val="bg-BG"/>
              </w:rPr>
              <w:t>Посочете възможните рискове от приемането на нормативната промяна, включително възникване на съдебни спорове.</w:t>
            </w:r>
          </w:p>
          <w:p w:rsidR="0021677B" w:rsidRDefault="0021677B"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21677B">
              <w:rPr>
                <w:rFonts w:ascii="Times New Roman" w:eastAsia="Times New Roman" w:hAnsi="Times New Roman" w:cs="Times New Roman"/>
                <w:iCs/>
                <w:color w:val="000000"/>
                <w:sz w:val="24"/>
                <w:szCs w:val="24"/>
                <w:lang w:val="bg-BG"/>
              </w:rPr>
              <w:t xml:space="preserve">В случай, че </w:t>
            </w:r>
            <w:r>
              <w:rPr>
                <w:rFonts w:ascii="Times New Roman" w:eastAsia="Times New Roman" w:hAnsi="Times New Roman" w:cs="Times New Roman"/>
                <w:iCs/>
                <w:color w:val="000000"/>
                <w:sz w:val="24"/>
                <w:szCs w:val="24"/>
                <w:lang w:val="bg-BG"/>
              </w:rPr>
              <w:t>необходимия финансов ресурс за обезпечаване на органите за управление на мрежата на национално и регионално ниво, след 2023 г, бъдат квалифиц</w:t>
            </w:r>
            <w:r w:rsidRPr="0021677B">
              <w:rPr>
                <w:rFonts w:ascii="Times New Roman" w:eastAsia="Times New Roman" w:hAnsi="Times New Roman" w:cs="Times New Roman"/>
                <w:iCs/>
                <w:color w:val="000000"/>
                <w:sz w:val="24"/>
                <w:szCs w:val="24"/>
                <w:lang w:val="bg-BG"/>
              </w:rPr>
              <w:t>ирани като недопустими по програми</w:t>
            </w:r>
            <w:r>
              <w:rPr>
                <w:rFonts w:ascii="Times New Roman" w:eastAsia="Times New Roman" w:hAnsi="Times New Roman" w:cs="Times New Roman"/>
                <w:iCs/>
                <w:color w:val="000000"/>
                <w:sz w:val="24"/>
                <w:szCs w:val="24"/>
                <w:lang w:val="bg-BG"/>
              </w:rPr>
              <w:t>те, чрез които се предоставят средства от Европейските структурни и инвестиционни фондове на България</w:t>
            </w:r>
            <w:r w:rsidRPr="0021677B">
              <w:rPr>
                <w:rFonts w:ascii="Times New Roman" w:eastAsia="Times New Roman" w:hAnsi="Times New Roman" w:cs="Times New Roman"/>
                <w:iCs/>
                <w:color w:val="000000"/>
                <w:sz w:val="24"/>
                <w:szCs w:val="24"/>
                <w:lang w:val="bg-BG"/>
              </w:rPr>
              <w:t>, те следва да бъдат осигурени от държавния бюджет</w:t>
            </w:r>
            <w:r>
              <w:rPr>
                <w:rFonts w:ascii="Times New Roman" w:eastAsia="Times New Roman" w:hAnsi="Times New Roman" w:cs="Times New Roman"/>
                <w:iCs/>
                <w:color w:val="000000"/>
                <w:sz w:val="24"/>
                <w:szCs w:val="24"/>
                <w:lang w:val="bg-BG"/>
              </w:rPr>
              <w:t xml:space="preserve">. </w:t>
            </w:r>
            <w:r w:rsidRPr="0021677B">
              <w:rPr>
                <w:rFonts w:ascii="Times New Roman" w:eastAsia="Times New Roman" w:hAnsi="Times New Roman" w:cs="Times New Roman"/>
                <w:iCs/>
                <w:color w:val="000000"/>
                <w:sz w:val="24"/>
                <w:szCs w:val="24"/>
                <w:lang w:val="bg-BG"/>
              </w:rPr>
              <w:t xml:space="preserve"> Тези разходи за периода 2024-2027 г. са в размер на 16 616 632,22 лв.</w:t>
            </w:r>
          </w:p>
          <w:p w:rsidR="0021677B" w:rsidRDefault="0021677B" w:rsidP="0021677B">
            <w:pPr>
              <w:spacing w:before="120" w:after="120" w:line="240" w:lineRule="auto"/>
              <w:jc w:val="both"/>
              <w:textAlignment w:val="center"/>
              <w:rPr>
                <w:rFonts w:ascii="Times New Roman" w:eastAsia="Times New Roman" w:hAnsi="Times New Roman" w:cs="Times New Roman"/>
                <w:iCs/>
                <w:color w:val="000000"/>
                <w:sz w:val="24"/>
                <w:szCs w:val="24"/>
                <w:lang w:val="bg-BG"/>
              </w:rPr>
            </w:pPr>
            <w:r>
              <w:rPr>
                <w:rFonts w:ascii="Times New Roman" w:eastAsia="Times New Roman" w:hAnsi="Times New Roman" w:cs="Times New Roman"/>
                <w:iCs/>
                <w:color w:val="000000"/>
                <w:sz w:val="24"/>
                <w:szCs w:val="24"/>
                <w:lang w:val="bg-BG"/>
              </w:rPr>
              <w:t>В случай, че не бъдат предприети действия за въвеждане на подхода за управление на мрежата Натура 2000</w:t>
            </w:r>
            <w:r w:rsidR="003A1051">
              <w:rPr>
                <w:rFonts w:ascii="Times New Roman" w:eastAsia="Times New Roman" w:hAnsi="Times New Roman" w:cs="Times New Roman"/>
                <w:iCs/>
                <w:color w:val="000000"/>
                <w:sz w:val="24"/>
                <w:szCs w:val="24"/>
                <w:lang w:val="bg-BG"/>
              </w:rPr>
              <w:t xml:space="preserve"> и осъществяване на предвидените дейности с него ще </w:t>
            </w:r>
            <w:r>
              <w:rPr>
                <w:rFonts w:ascii="Times New Roman" w:eastAsia="Times New Roman" w:hAnsi="Times New Roman" w:cs="Times New Roman"/>
                <w:iCs/>
                <w:color w:val="000000"/>
                <w:sz w:val="24"/>
                <w:szCs w:val="24"/>
                <w:lang w:val="bg-BG"/>
              </w:rPr>
              <w:t xml:space="preserve">стартира наказателна процедура срещу България за неизпълнение на Европейското екологично законодателство, в частност на Директивата за опазване на </w:t>
            </w:r>
            <w:r w:rsidR="003A1051">
              <w:rPr>
                <w:rFonts w:ascii="Times New Roman" w:eastAsia="Times New Roman" w:hAnsi="Times New Roman" w:cs="Times New Roman"/>
                <w:iCs/>
                <w:color w:val="000000"/>
                <w:sz w:val="24"/>
                <w:szCs w:val="24"/>
                <w:lang w:val="bg-BG"/>
              </w:rPr>
              <w:t>природните местообитания.</w:t>
            </w:r>
          </w:p>
          <w:p w:rsidR="00F96DB9" w:rsidRPr="005D767B" w:rsidRDefault="006A39F1" w:rsidP="0021677B">
            <w:pPr>
              <w:spacing w:before="120" w:after="120" w:line="240" w:lineRule="auto"/>
              <w:jc w:val="both"/>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iCs/>
                <w:color w:val="000000"/>
                <w:sz w:val="24"/>
                <w:szCs w:val="24"/>
                <w:lang w:val="bg-BG"/>
              </w:rPr>
              <w:t xml:space="preserve">Не е налице вероятност от възникване на </w:t>
            </w:r>
            <w:r w:rsidR="003A1051">
              <w:rPr>
                <w:rFonts w:ascii="Times New Roman" w:eastAsia="Times New Roman" w:hAnsi="Times New Roman" w:cs="Times New Roman"/>
                <w:iCs/>
                <w:color w:val="000000"/>
                <w:sz w:val="24"/>
                <w:szCs w:val="24"/>
                <w:lang w:val="bg-BG"/>
              </w:rPr>
              <w:t xml:space="preserve">други </w:t>
            </w:r>
            <w:r w:rsidRPr="005D767B">
              <w:rPr>
                <w:rFonts w:ascii="Times New Roman" w:eastAsia="Times New Roman" w:hAnsi="Times New Roman" w:cs="Times New Roman"/>
                <w:iCs/>
                <w:color w:val="000000"/>
                <w:sz w:val="24"/>
                <w:szCs w:val="24"/>
                <w:lang w:val="bg-BG"/>
              </w:rPr>
              <w:t>съдебни спорове.</w:t>
            </w:r>
          </w:p>
        </w:tc>
      </w:tr>
      <w:tr w:rsidR="00F96DB9" w:rsidRPr="005D767B"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8.1. Административната тежест за физическите и юридическите лица:</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color w:val="000000"/>
                <w:sz w:val="24"/>
                <w:szCs w:val="24"/>
                <w:lang w:val="bg-BG"/>
              </w:rPr>
              <w:t>Ще се повиши</w:t>
            </w:r>
          </w:p>
          <w:p w:rsidR="00F96DB9" w:rsidRPr="00F821DA" w:rsidRDefault="00096062"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00F96DB9" w:rsidRPr="00F821DA">
              <w:rPr>
                <w:rFonts w:ascii="Times New Roman" w:eastAsia="Times New Roman" w:hAnsi="Times New Roman" w:cs="Times New Roman"/>
                <w:sz w:val="24"/>
                <w:szCs w:val="24"/>
                <w:lang w:val="bg-BG"/>
              </w:rPr>
              <w:t xml:space="preserve"> </w:t>
            </w:r>
            <w:r w:rsidR="00F96DB9" w:rsidRPr="00F821DA">
              <w:rPr>
                <w:rFonts w:ascii="Times New Roman" w:eastAsia="Times New Roman" w:hAnsi="Times New Roman" w:cs="Times New Roman"/>
                <w:color w:val="000000"/>
                <w:sz w:val="24"/>
                <w:szCs w:val="24"/>
                <w:lang w:val="bg-BG"/>
              </w:rPr>
              <w:t>Ще се намали</w:t>
            </w:r>
          </w:p>
          <w:p w:rsidR="00F96DB9" w:rsidRPr="00F821DA" w:rsidRDefault="00096062"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Pr="005D767B">
              <w:rPr>
                <w:rFonts w:ascii="Times New Roman" w:eastAsia="Times New Roman" w:hAnsi="Times New Roman" w:cs="Times New Roman"/>
                <w:sz w:val="24"/>
                <w:szCs w:val="24"/>
                <w:lang w:val="bg-BG"/>
              </w:rPr>
              <w:t></w:t>
            </w:r>
            <w:r w:rsidR="00F96DB9" w:rsidRPr="00F821DA">
              <w:rPr>
                <w:rFonts w:ascii="Times New Roman" w:eastAsia="Times New Roman" w:hAnsi="Times New Roman" w:cs="Times New Roman"/>
                <w:color w:val="000000"/>
                <w:sz w:val="24"/>
                <w:szCs w:val="24"/>
                <w:lang w:val="bg-BG"/>
              </w:rPr>
              <w:t>Няма ефект</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8.2. Създават ли се нови регулаторни режими? Засягат ли се съществуващи режими и услуги?</w:t>
            </w:r>
            <w:r w:rsidR="00E84D8F" w:rsidRPr="00F821DA">
              <w:rPr>
                <w:rFonts w:ascii="Times New Roman" w:eastAsia="Times New Roman" w:hAnsi="Times New Roman" w:cs="Times New Roman"/>
                <w:b/>
                <w:bCs/>
                <w:color w:val="000000"/>
                <w:sz w:val="24"/>
                <w:szCs w:val="24"/>
                <w:lang w:val="bg-BG"/>
              </w:rPr>
              <w:t xml:space="preserve"> </w:t>
            </w:r>
            <w:r w:rsidR="00E84D8F" w:rsidRPr="00F821DA">
              <w:rPr>
                <w:rFonts w:ascii="Times New Roman" w:eastAsia="Times New Roman" w:hAnsi="Times New Roman" w:cs="Times New Roman"/>
                <w:bCs/>
                <w:color w:val="000000"/>
                <w:sz w:val="24"/>
                <w:szCs w:val="24"/>
                <w:lang w:val="bg-BG"/>
              </w:rPr>
              <w:t>Не</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9. Създават ли се нови регистри?</w:t>
            </w:r>
            <w:r w:rsidR="00E84D8F" w:rsidRPr="00F821DA">
              <w:rPr>
                <w:rFonts w:ascii="Times New Roman" w:eastAsia="Times New Roman" w:hAnsi="Times New Roman" w:cs="Times New Roman"/>
                <w:b/>
                <w:bCs/>
                <w:color w:val="000000"/>
                <w:sz w:val="24"/>
                <w:szCs w:val="24"/>
                <w:lang w:val="bg-BG"/>
              </w:rPr>
              <w:t xml:space="preserve"> </w:t>
            </w:r>
            <w:r w:rsidR="00E84D8F" w:rsidRPr="00F821DA">
              <w:rPr>
                <w:rFonts w:ascii="Times New Roman" w:eastAsia="Times New Roman" w:hAnsi="Times New Roman" w:cs="Times New Roman"/>
                <w:bCs/>
                <w:color w:val="000000"/>
                <w:sz w:val="24"/>
                <w:szCs w:val="24"/>
                <w:lang w:val="bg-BG"/>
              </w:rPr>
              <w:t>Не</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lastRenderedPageBreak/>
              <w:t>Когато отговорът е "да", посочете колко и кои са те ............................................................</w:t>
            </w:r>
          </w:p>
        </w:tc>
      </w:tr>
      <w:tr w:rsidR="00F96DB9" w:rsidRPr="005D767B"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lastRenderedPageBreak/>
              <w:t xml:space="preserve">10. Как въздейства актът върху </w:t>
            </w:r>
            <w:proofErr w:type="spellStart"/>
            <w:r w:rsidRPr="00F821DA">
              <w:rPr>
                <w:rFonts w:ascii="Times New Roman" w:eastAsia="Times New Roman" w:hAnsi="Times New Roman" w:cs="Times New Roman"/>
                <w:b/>
                <w:bCs/>
                <w:color w:val="000000"/>
                <w:sz w:val="24"/>
                <w:szCs w:val="24"/>
                <w:lang w:val="bg-BG"/>
              </w:rPr>
              <w:t>микро-</w:t>
            </w:r>
            <w:proofErr w:type="spellEnd"/>
            <w:r w:rsidRPr="00F821DA">
              <w:rPr>
                <w:rFonts w:ascii="Times New Roman" w:eastAsia="Times New Roman" w:hAnsi="Times New Roman" w:cs="Times New Roman"/>
                <w:b/>
                <w:bCs/>
                <w:color w:val="000000"/>
                <w:sz w:val="24"/>
                <w:szCs w:val="24"/>
                <w:lang w:val="bg-BG"/>
              </w:rPr>
              <w:t>, малките и средните предприятия (МСП)?</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color w:val="000000"/>
                <w:sz w:val="24"/>
                <w:szCs w:val="24"/>
                <w:lang w:val="bg-BG"/>
              </w:rPr>
              <w:t>Актът засяга пряко МСП</w:t>
            </w:r>
          </w:p>
          <w:p w:rsidR="00F96DB9" w:rsidRPr="00F821DA" w:rsidRDefault="00E84D8F"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00F96DB9" w:rsidRPr="00F821DA">
              <w:rPr>
                <w:rFonts w:ascii="Times New Roman" w:eastAsia="Times New Roman" w:hAnsi="Times New Roman" w:cs="Times New Roman"/>
                <w:sz w:val="24"/>
                <w:szCs w:val="24"/>
                <w:lang w:val="bg-BG"/>
              </w:rPr>
              <w:t xml:space="preserve"> </w:t>
            </w:r>
            <w:r w:rsidR="00F96DB9" w:rsidRPr="00F821DA">
              <w:rPr>
                <w:rFonts w:ascii="Times New Roman" w:eastAsia="Times New Roman" w:hAnsi="Times New Roman" w:cs="Times New Roman"/>
                <w:color w:val="000000"/>
                <w:sz w:val="24"/>
                <w:szCs w:val="24"/>
                <w:lang w:val="bg-BG"/>
              </w:rPr>
              <w:t>Актът не засяга МСП</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color w:val="000000"/>
                <w:sz w:val="24"/>
                <w:szCs w:val="24"/>
                <w:lang w:val="bg-BG"/>
              </w:rPr>
              <w:t>Няма ефект</w:t>
            </w:r>
          </w:p>
        </w:tc>
      </w:tr>
      <w:tr w:rsidR="00F96DB9" w:rsidRPr="005D767B"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11. Проектът на нормативен акт изисква ли цялостна оценка на въздействието?</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color w:val="000000"/>
                <w:sz w:val="24"/>
                <w:szCs w:val="24"/>
                <w:lang w:val="bg-BG"/>
              </w:rPr>
              <w:t>Да</w:t>
            </w:r>
          </w:p>
          <w:p w:rsidR="00F96DB9" w:rsidRPr="00F821DA" w:rsidRDefault="00E84D8F"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00F96DB9" w:rsidRPr="00F821DA">
              <w:rPr>
                <w:rFonts w:ascii="Times New Roman" w:eastAsia="Times New Roman" w:hAnsi="Times New Roman" w:cs="Times New Roman"/>
                <w:sz w:val="24"/>
                <w:szCs w:val="24"/>
                <w:lang w:val="bg-BG"/>
              </w:rPr>
              <w:t xml:space="preserve"> </w:t>
            </w:r>
            <w:r w:rsidR="00F96DB9" w:rsidRPr="00F821DA">
              <w:rPr>
                <w:rFonts w:ascii="Times New Roman" w:eastAsia="Times New Roman" w:hAnsi="Times New Roman" w:cs="Times New Roman"/>
                <w:color w:val="000000"/>
                <w:sz w:val="24"/>
                <w:szCs w:val="24"/>
                <w:lang w:val="bg-BG"/>
              </w:rPr>
              <w:t>Не</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color w:val="000000"/>
                <w:sz w:val="24"/>
                <w:szCs w:val="24"/>
                <w:lang w:val="bg-BG"/>
              </w:rPr>
            </w:pPr>
            <w:r w:rsidRPr="00F821DA">
              <w:rPr>
                <w:rFonts w:ascii="Times New Roman" w:eastAsia="Times New Roman" w:hAnsi="Times New Roman" w:cs="Times New Roman"/>
                <w:b/>
                <w:bCs/>
                <w:color w:val="000000"/>
                <w:sz w:val="24"/>
                <w:szCs w:val="24"/>
                <w:lang w:val="bg-BG"/>
              </w:rPr>
              <w:t>12. Обществени консултации:</w:t>
            </w:r>
            <w:r w:rsidRPr="00F821DA">
              <w:rPr>
                <w:rFonts w:ascii="Times New Roman" w:eastAsia="Times New Roman" w:hAnsi="Times New Roman" w:cs="Times New Roman"/>
                <w:sz w:val="24"/>
                <w:szCs w:val="24"/>
                <w:lang w:val="bg-BG"/>
              </w:rPr>
              <w:t xml:space="preserve"> </w:t>
            </w:r>
          </w:p>
          <w:p w:rsidR="004A3981" w:rsidRPr="00F70834" w:rsidRDefault="004A3981" w:rsidP="005D767B">
            <w:pPr>
              <w:spacing w:before="120" w:after="120" w:line="240" w:lineRule="auto"/>
              <w:jc w:val="center"/>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t xml:space="preserve">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w:t>
            </w:r>
            <w:r w:rsidRPr="00F70834">
              <w:rPr>
                <w:rFonts w:ascii="Times New Roman" w:eastAsia="Times New Roman" w:hAnsi="Times New Roman" w:cs="Times New Roman"/>
                <w:i/>
                <w:iCs/>
                <w:color w:val="000000"/>
                <w:sz w:val="24"/>
                <w:szCs w:val="24"/>
                <w:lang w:val="bg-BG"/>
              </w:rPr>
              <w:t>индикативен график за тяхното провеждане и видовете консултационни процедури.</w:t>
            </w:r>
          </w:p>
          <w:p w:rsidR="00F96DB9" w:rsidRPr="00F821DA" w:rsidRDefault="004A3981" w:rsidP="005D767B">
            <w:pPr>
              <w:spacing w:before="120" w:after="120" w:line="240" w:lineRule="auto"/>
              <w:jc w:val="both"/>
              <w:textAlignment w:val="center"/>
              <w:rPr>
                <w:rFonts w:ascii="Times New Roman" w:eastAsia="Times New Roman" w:hAnsi="Times New Roman" w:cs="Times New Roman"/>
                <w:sz w:val="24"/>
                <w:szCs w:val="24"/>
                <w:lang w:val="bg-BG"/>
              </w:rPr>
            </w:pPr>
            <w:r w:rsidRPr="00F70834">
              <w:rPr>
                <w:rFonts w:ascii="Times New Roman" w:eastAsia="Times New Roman" w:hAnsi="Times New Roman" w:cs="Times New Roman"/>
                <w:sz w:val="24"/>
                <w:szCs w:val="24"/>
                <w:lang w:val="bg-BG"/>
              </w:rPr>
              <w:t>Проектът на постановление на Министерски съвет ще бъде публикуван на портала за обществени консултации (</w:t>
            </w:r>
            <w:hyperlink r:id="rId11" w:history="1">
              <w:r w:rsidRPr="005D767B">
                <w:rPr>
                  <w:rStyle w:val="Hyperlink"/>
                  <w:rFonts w:ascii="Times New Roman" w:eastAsia="Times New Roman" w:hAnsi="Times New Roman" w:cs="Times New Roman"/>
                  <w:sz w:val="24"/>
                  <w:szCs w:val="24"/>
                </w:rPr>
                <w:t>http</w:t>
              </w:r>
              <w:r w:rsidRPr="005D767B">
                <w:rPr>
                  <w:rStyle w:val="Hyperlink"/>
                  <w:rFonts w:ascii="Times New Roman" w:eastAsia="Times New Roman" w:hAnsi="Times New Roman" w:cs="Times New Roman"/>
                  <w:sz w:val="24"/>
                  <w:szCs w:val="24"/>
                  <w:lang w:val="bg-BG"/>
                </w:rPr>
                <w:t>://</w:t>
              </w:r>
              <w:r w:rsidRPr="005D767B">
                <w:rPr>
                  <w:rStyle w:val="Hyperlink"/>
                  <w:rFonts w:ascii="Times New Roman" w:eastAsia="Times New Roman" w:hAnsi="Times New Roman" w:cs="Times New Roman"/>
                  <w:sz w:val="24"/>
                  <w:szCs w:val="24"/>
                </w:rPr>
                <w:t>www</w:t>
              </w:r>
              <w:r w:rsidRPr="005D767B">
                <w:rPr>
                  <w:rStyle w:val="Hyperlink"/>
                  <w:rFonts w:ascii="Times New Roman" w:eastAsia="Times New Roman" w:hAnsi="Times New Roman" w:cs="Times New Roman"/>
                  <w:sz w:val="24"/>
                  <w:szCs w:val="24"/>
                  <w:lang w:val="bg-BG"/>
                </w:rPr>
                <w:t>.</w:t>
              </w:r>
              <w:r w:rsidRPr="005D767B">
                <w:rPr>
                  <w:rStyle w:val="Hyperlink"/>
                  <w:rFonts w:ascii="Times New Roman" w:eastAsia="Times New Roman" w:hAnsi="Times New Roman" w:cs="Times New Roman"/>
                  <w:sz w:val="24"/>
                  <w:szCs w:val="24"/>
                </w:rPr>
                <w:t>strategy</w:t>
              </w:r>
              <w:r w:rsidRPr="005D767B">
                <w:rPr>
                  <w:rStyle w:val="Hyperlink"/>
                  <w:rFonts w:ascii="Times New Roman" w:eastAsia="Times New Roman" w:hAnsi="Times New Roman" w:cs="Times New Roman"/>
                  <w:sz w:val="24"/>
                  <w:szCs w:val="24"/>
                  <w:lang w:val="bg-BG"/>
                </w:rPr>
                <w:t>.</w:t>
              </w:r>
              <w:r w:rsidRPr="005D767B">
                <w:rPr>
                  <w:rStyle w:val="Hyperlink"/>
                  <w:rFonts w:ascii="Times New Roman" w:eastAsia="Times New Roman" w:hAnsi="Times New Roman" w:cs="Times New Roman"/>
                  <w:sz w:val="24"/>
                  <w:szCs w:val="24"/>
                </w:rPr>
                <w:t>bg</w:t>
              </w:r>
              <w:r w:rsidRPr="005D767B">
                <w:rPr>
                  <w:rStyle w:val="Hyperlink"/>
                  <w:rFonts w:ascii="Times New Roman" w:eastAsia="Times New Roman" w:hAnsi="Times New Roman" w:cs="Times New Roman"/>
                  <w:sz w:val="24"/>
                  <w:szCs w:val="24"/>
                  <w:lang w:val="bg-BG"/>
                </w:rPr>
                <w:t>/</w:t>
              </w:r>
              <w:r w:rsidRPr="005D767B">
                <w:rPr>
                  <w:rStyle w:val="Hyperlink"/>
                  <w:rFonts w:ascii="Times New Roman" w:eastAsia="Times New Roman" w:hAnsi="Times New Roman" w:cs="Times New Roman"/>
                  <w:sz w:val="24"/>
                  <w:szCs w:val="24"/>
                </w:rPr>
                <w:t>PublicConsultation</w:t>
              </w:r>
            </w:hyperlink>
            <w:r w:rsidRPr="00F821DA">
              <w:rPr>
                <w:rFonts w:ascii="Times New Roman" w:eastAsia="Times New Roman" w:hAnsi="Times New Roman" w:cs="Times New Roman"/>
                <w:sz w:val="24"/>
                <w:szCs w:val="24"/>
                <w:lang w:val="bg-BG"/>
              </w:rPr>
              <w:t>), както и на интернет страницата на МОСВ (</w:t>
            </w:r>
            <w:hyperlink r:id="rId12" w:history="1">
              <w:r w:rsidR="0050321C" w:rsidRPr="005D767B">
                <w:rPr>
                  <w:rStyle w:val="Hyperlink"/>
                  <w:rFonts w:ascii="Times New Roman" w:eastAsia="Times New Roman" w:hAnsi="Times New Roman" w:cs="Times New Roman"/>
                  <w:sz w:val="24"/>
                  <w:szCs w:val="24"/>
                </w:rPr>
                <w:t>www</w:t>
              </w:r>
              <w:r w:rsidR="0050321C" w:rsidRPr="005D767B">
                <w:rPr>
                  <w:rStyle w:val="Hyperlink"/>
                  <w:rFonts w:ascii="Times New Roman" w:eastAsia="Times New Roman" w:hAnsi="Times New Roman" w:cs="Times New Roman"/>
                  <w:sz w:val="24"/>
                  <w:szCs w:val="24"/>
                  <w:lang w:val="bg-BG"/>
                </w:rPr>
                <w:t>.</w:t>
              </w:r>
              <w:r w:rsidR="0050321C" w:rsidRPr="005D767B">
                <w:rPr>
                  <w:rStyle w:val="Hyperlink"/>
                  <w:rFonts w:ascii="Times New Roman" w:eastAsia="Times New Roman" w:hAnsi="Times New Roman" w:cs="Times New Roman"/>
                  <w:sz w:val="24"/>
                  <w:szCs w:val="24"/>
                </w:rPr>
                <w:t>moew</w:t>
              </w:r>
              <w:r w:rsidR="0050321C" w:rsidRPr="005D767B">
                <w:rPr>
                  <w:rStyle w:val="Hyperlink"/>
                  <w:rFonts w:ascii="Times New Roman" w:eastAsia="Times New Roman" w:hAnsi="Times New Roman" w:cs="Times New Roman"/>
                  <w:sz w:val="24"/>
                  <w:szCs w:val="24"/>
                  <w:lang w:val="bg-BG"/>
                </w:rPr>
                <w:t>.</w:t>
              </w:r>
              <w:r w:rsidR="0050321C" w:rsidRPr="005D767B">
                <w:rPr>
                  <w:rStyle w:val="Hyperlink"/>
                  <w:rFonts w:ascii="Times New Roman" w:eastAsia="Times New Roman" w:hAnsi="Times New Roman" w:cs="Times New Roman"/>
                  <w:sz w:val="24"/>
                  <w:szCs w:val="24"/>
                </w:rPr>
                <w:t>govetnment</w:t>
              </w:r>
              <w:r w:rsidR="0050321C" w:rsidRPr="005D767B">
                <w:rPr>
                  <w:rStyle w:val="Hyperlink"/>
                  <w:rFonts w:ascii="Times New Roman" w:eastAsia="Times New Roman" w:hAnsi="Times New Roman" w:cs="Times New Roman"/>
                  <w:sz w:val="24"/>
                  <w:szCs w:val="24"/>
                  <w:lang w:val="bg-BG"/>
                </w:rPr>
                <w:t>.</w:t>
              </w:r>
              <w:proofErr w:type="spellStart"/>
              <w:r w:rsidR="0050321C" w:rsidRPr="005D767B">
                <w:rPr>
                  <w:rStyle w:val="Hyperlink"/>
                  <w:rFonts w:ascii="Times New Roman" w:eastAsia="Times New Roman" w:hAnsi="Times New Roman" w:cs="Times New Roman"/>
                  <w:sz w:val="24"/>
                  <w:szCs w:val="24"/>
                </w:rPr>
                <w:t>bg</w:t>
              </w:r>
              <w:proofErr w:type="spellEnd"/>
            </w:hyperlink>
            <w:r w:rsidR="0050321C"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sz w:val="24"/>
                <w:szCs w:val="24"/>
                <w:lang w:val="bg-BG"/>
              </w:rPr>
              <w:t>в съответствие с чл. 26 от ЗНА. За провеждането на общественото обсъждане ще се определи 30-дневен срок.</w:t>
            </w:r>
          </w:p>
        </w:tc>
      </w:tr>
      <w:tr w:rsidR="00F96DB9" w:rsidRPr="00DF3C5F"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300C6E" w:rsidRPr="00F821DA" w:rsidRDefault="00F96DB9" w:rsidP="005D767B">
            <w:pPr>
              <w:spacing w:before="120" w:after="120" w:line="240" w:lineRule="auto"/>
              <w:jc w:val="both"/>
              <w:textAlignment w:val="center"/>
              <w:rPr>
                <w:rFonts w:ascii="Times New Roman" w:eastAsia="Times New Roman" w:hAnsi="Times New Roman" w:cs="Times New Roman"/>
                <w:i/>
                <w:iCs/>
                <w:color w:val="000000"/>
                <w:sz w:val="24"/>
                <w:szCs w:val="24"/>
                <w:lang w:val="bg-BG"/>
              </w:rPr>
            </w:pPr>
            <w:r w:rsidRPr="00F821DA">
              <w:rPr>
                <w:rFonts w:ascii="Times New Roman" w:eastAsia="Times New Roman" w:hAnsi="Times New Roman" w:cs="Times New Roman"/>
                <w:b/>
                <w:bCs/>
                <w:color w:val="000000"/>
                <w:sz w:val="24"/>
                <w:szCs w:val="24"/>
                <w:lang w:val="bg-BG"/>
              </w:rPr>
              <w:t>13. Приемането на нормативния акт произтича ли от правото на Европейския съюз?</w:t>
            </w:r>
            <w:r w:rsidR="00300C6E" w:rsidRPr="00F821DA">
              <w:rPr>
                <w:rFonts w:ascii="Times New Roman" w:eastAsia="Times New Roman" w:hAnsi="Times New Roman" w:cs="Times New Roman"/>
                <w:i/>
                <w:iCs/>
                <w:color w:val="000000"/>
                <w:sz w:val="24"/>
                <w:szCs w:val="24"/>
                <w:lang w:val="bg-BG"/>
              </w:rPr>
              <w:t xml:space="preserve"> </w:t>
            </w:r>
          </w:p>
          <w:p w:rsidR="00F96DB9" w:rsidRPr="00F70834" w:rsidRDefault="00300C6E" w:rsidP="005D767B">
            <w:pPr>
              <w:spacing w:before="120" w:after="120" w:line="240" w:lineRule="auto"/>
              <w:jc w:val="center"/>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i/>
                <w:iCs/>
                <w:color w:val="000000"/>
                <w:sz w:val="24"/>
                <w:szCs w:val="24"/>
                <w:lang w:val="bg-BG"/>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w:t>
            </w:r>
            <w:r w:rsidRPr="00F70834">
              <w:rPr>
                <w:rFonts w:ascii="Times New Roman" w:eastAsia="Times New Roman" w:hAnsi="Times New Roman" w:cs="Times New Roman"/>
                <w:i/>
                <w:iCs/>
                <w:color w:val="000000"/>
                <w:sz w:val="24"/>
                <w:szCs w:val="24"/>
                <w:lang w:val="bg-BG"/>
              </w:rPr>
              <w:t xml:space="preserve"> (или посочете връзка към източник).</w:t>
            </w:r>
          </w:p>
          <w:p w:rsidR="00F96DB9" w:rsidRPr="00F821DA" w:rsidRDefault="00610E99"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w:t>
            </w:r>
            <w:r w:rsidR="00F96DB9" w:rsidRPr="00F821DA">
              <w:rPr>
                <w:rFonts w:ascii="Times New Roman" w:eastAsia="Times New Roman" w:hAnsi="Times New Roman" w:cs="Times New Roman"/>
                <w:sz w:val="24"/>
                <w:szCs w:val="24"/>
                <w:lang w:val="bg-BG"/>
              </w:rPr>
              <w:t xml:space="preserve"> </w:t>
            </w:r>
            <w:r w:rsidR="00F96DB9" w:rsidRPr="00F821DA">
              <w:rPr>
                <w:rFonts w:ascii="Times New Roman" w:eastAsia="Times New Roman" w:hAnsi="Times New Roman" w:cs="Times New Roman"/>
                <w:color w:val="000000"/>
                <w:sz w:val="24"/>
                <w:szCs w:val="24"/>
                <w:lang w:val="bg-BG"/>
              </w:rPr>
              <w:t>Да</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5D767B">
              <w:rPr>
                <w:rFonts w:ascii="Times New Roman" w:eastAsia="Times New Roman" w:hAnsi="Times New Roman" w:cs="Times New Roman"/>
                <w:sz w:val="24"/>
                <w:szCs w:val="24"/>
                <w:lang w:val="bg-BG"/>
              </w:rPr>
              <w:t></w:t>
            </w:r>
            <w:r w:rsidRPr="00F821DA">
              <w:rPr>
                <w:rFonts w:ascii="Times New Roman" w:eastAsia="Times New Roman" w:hAnsi="Times New Roman" w:cs="Times New Roman"/>
                <w:sz w:val="24"/>
                <w:szCs w:val="24"/>
                <w:lang w:val="bg-BG"/>
              </w:rPr>
              <w:t xml:space="preserve"> </w:t>
            </w:r>
            <w:r w:rsidRPr="00F821DA">
              <w:rPr>
                <w:rFonts w:ascii="Times New Roman" w:eastAsia="Times New Roman" w:hAnsi="Times New Roman" w:cs="Times New Roman"/>
                <w:color w:val="000000"/>
                <w:sz w:val="24"/>
                <w:szCs w:val="24"/>
                <w:lang w:val="bg-BG"/>
              </w:rPr>
              <w:t>Не</w:t>
            </w:r>
          </w:p>
          <w:p w:rsidR="00F96DB9" w:rsidRPr="00BC7FD7" w:rsidRDefault="00610E99" w:rsidP="005D767B">
            <w:pPr>
              <w:spacing w:before="120" w:after="120" w:line="240" w:lineRule="auto"/>
              <w:jc w:val="both"/>
              <w:textAlignment w:val="center"/>
              <w:rPr>
                <w:rFonts w:ascii="Times New Roman" w:eastAsia="Times New Roman" w:hAnsi="Times New Roman" w:cs="Times New Roman"/>
                <w:iCs/>
                <w:color w:val="000000"/>
                <w:sz w:val="24"/>
                <w:szCs w:val="24"/>
                <w:lang w:val="bg-BG"/>
              </w:rPr>
            </w:pPr>
            <w:r w:rsidRPr="00F821DA">
              <w:rPr>
                <w:rFonts w:ascii="Times New Roman" w:eastAsia="Times New Roman" w:hAnsi="Times New Roman" w:cs="Times New Roman"/>
                <w:iCs/>
                <w:color w:val="000000"/>
                <w:sz w:val="24"/>
                <w:szCs w:val="24"/>
                <w:lang w:val="bg-BG"/>
              </w:rPr>
              <w:t xml:space="preserve">Предложените промени в нормативната рамка целят да осигурят изпълнението на </w:t>
            </w:r>
            <w:r w:rsidRPr="00F70834">
              <w:rPr>
                <w:rFonts w:ascii="Times New Roman" w:eastAsia="Times New Roman" w:hAnsi="Times New Roman" w:cs="Times New Roman"/>
                <w:iCs/>
                <w:color w:val="000000"/>
                <w:sz w:val="24"/>
                <w:szCs w:val="24"/>
                <w:lang w:val="bg-BG"/>
              </w:rPr>
              <w:t>Директива 92/43/ЕИО на Съвета от 21 май 1992 г. за опазване на естествените местообитания и на дивата флора и фауна (т.нар. Директива за местообитанията), с</w:t>
            </w:r>
            <w:r w:rsidR="00E572C7" w:rsidRPr="00F70834">
              <w:rPr>
                <w:rFonts w:ascii="Times New Roman" w:eastAsia="Times New Roman" w:hAnsi="Times New Roman" w:cs="Times New Roman"/>
                <w:iCs/>
                <w:color w:val="000000"/>
                <w:sz w:val="24"/>
                <w:szCs w:val="24"/>
                <w:lang w:val="bg-BG"/>
              </w:rPr>
              <w:t>ъгласно която държавите членки следва да въведат ефективни мерки за управление на мрежата Натура 200</w:t>
            </w:r>
            <w:r w:rsidR="00E572C7" w:rsidRPr="00BC7FD7">
              <w:rPr>
                <w:rFonts w:ascii="Times New Roman" w:eastAsia="Times New Roman" w:hAnsi="Times New Roman" w:cs="Times New Roman"/>
                <w:iCs/>
                <w:color w:val="000000"/>
                <w:sz w:val="24"/>
                <w:szCs w:val="24"/>
                <w:lang w:val="bg-BG"/>
              </w:rPr>
              <w:t>0</w:t>
            </w:r>
            <w:r w:rsidRPr="00BC7FD7">
              <w:rPr>
                <w:rFonts w:ascii="Times New Roman" w:eastAsia="Times New Roman" w:hAnsi="Times New Roman" w:cs="Times New Roman"/>
                <w:iCs/>
                <w:color w:val="000000"/>
                <w:sz w:val="24"/>
                <w:szCs w:val="24"/>
                <w:lang w:val="bg-BG"/>
              </w:rPr>
              <w:t>.</w:t>
            </w:r>
          </w:p>
          <w:p w:rsidR="00096062" w:rsidRPr="005D767B" w:rsidRDefault="00096062" w:rsidP="005D767B">
            <w:pPr>
              <w:spacing w:before="120" w:after="120" w:line="240" w:lineRule="auto"/>
              <w:jc w:val="both"/>
              <w:rPr>
                <w:rFonts w:ascii="Times New Roman" w:eastAsia="Times New Roman" w:hAnsi="Times New Roman" w:cs="Times New Roman"/>
                <w:iCs/>
                <w:color w:val="000000"/>
                <w:sz w:val="24"/>
                <w:szCs w:val="24"/>
                <w:lang w:val="bg-BG"/>
              </w:rPr>
            </w:pPr>
            <w:r w:rsidRPr="00BC7FD7">
              <w:rPr>
                <w:rFonts w:ascii="Times New Roman" w:eastAsia="Times New Roman" w:hAnsi="Times New Roman" w:cs="Times New Roman"/>
                <w:iCs/>
                <w:color w:val="000000"/>
                <w:sz w:val="24"/>
                <w:szCs w:val="24"/>
                <w:lang w:val="bg-BG"/>
              </w:rPr>
              <w:t>Предложените промени целят да осигурят прилагането на Директивата 2009/147/ЕО относно опазване на дивите птиците, Регламент 338/97 за опазване на застрашените видове от дивата фауна и флора чрез регулиране на търго</w:t>
            </w:r>
            <w:r w:rsidR="0064453D" w:rsidRPr="005D767B">
              <w:rPr>
                <w:rFonts w:ascii="Times New Roman" w:eastAsia="Times New Roman" w:hAnsi="Times New Roman" w:cs="Times New Roman"/>
                <w:iCs/>
                <w:color w:val="000000"/>
                <w:sz w:val="24"/>
                <w:szCs w:val="24"/>
                <w:lang w:val="bg-BG"/>
              </w:rPr>
              <w:t>в</w:t>
            </w:r>
            <w:r w:rsidRPr="005D767B">
              <w:rPr>
                <w:rFonts w:ascii="Times New Roman" w:eastAsia="Times New Roman" w:hAnsi="Times New Roman" w:cs="Times New Roman"/>
                <w:iCs/>
                <w:color w:val="000000"/>
                <w:sz w:val="24"/>
                <w:szCs w:val="24"/>
                <w:lang w:val="bg-BG"/>
              </w:rPr>
              <w:t>ията с тях и свързаните с него регламенти.</w:t>
            </w:r>
          </w:p>
        </w:tc>
      </w:tr>
      <w:tr w:rsidR="00F96DB9" w:rsidRPr="00A35737" w:rsidTr="00496399">
        <w:trPr>
          <w:trHeight w:val="60"/>
        </w:trPr>
        <w:tc>
          <w:tcPr>
            <w:tcW w:w="9782" w:type="dxa"/>
            <w:gridSpan w:val="2"/>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14. Име, длъжност, дата и подпис на директора на дирекцията, отговорна за изработването на нормативния акт:</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t>Име и длъжност:</w:t>
            </w:r>
            <w:r w:rsidR="00DF3C5F">
              <w:rPr>
                <w:rFonts w:ascii="Times New Roman" w:eastAsia="Times New Roman" w:hAnsi="Times New Roman" w:cs="Times New Roman"/>
                <w:b/>
                <w:bCs/>
                <w:color w:val="000000"/>
                <w:sz w:val="24"/>
                <w:szCs w:val="24"/>
                <w:lang w:val="bg-BG"/>
              </w:rPr>
              <w:t xml:space="preserve">Мирослав </w:t>
            </w:r>
            <w:proofErr w:type="spellStart"/>
            <w:r w:rsidR="00DF3C5F">
              <w:rPr>
                <w:rFonts w:ascii="Times New Roman" w:eastAsia="Times New Roman" w:hAnsi="Times New Roman" w:cs="Times New Roman"/>
                <w:b/>
                <w:bCs/>
                <w:color w:val="000000"/>
                <w:sz w:val="24"/>
                <w:szCs w:val="24"/>
                <w:lang w:val="bg-BG"/>
              </w:rPr>
              <w:t>Калугеров</w:t>
            </w:r>
            <w:proofErr w:type="spellEnd"/>
            <w:r w:rsidR="00DF3C5F">
              <w:rPr>
                <w:rFonts w:ascii="Times New Roman" w:eastAsia="Times New Roman" w:hAnsi="Times New Roman" w:cs="Times New Roman"/>
                <w:b/>
                <w:bCs/>
                <w:color w:val="000000"/>
                <w:sz w:val="24"/>
                <w:szCs w:val="24"/>
                <w:lang w:val="bg-BG"/>
              </w:rPr>
              <w:t>, директор на дирекция НСЗП</w:t>
            </w:r>
          </w:p>
          <w:p w:rsidR="00F96DB9" w:rsidRPr="00F821DA"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821DA">
              <w:rPr>
                <w:rFonts w:ascii="Times New Roman" w:eastAsia="Times New Roman" w:hAnsi="Times New Roman" w:cs="Times New Roman"/>
                <w:b/>
                <w:bCs/>
                <w:color w:val="000000"/>
                <w:sz w:val="24"/>
                <w:szCs w:val="24"/>
                <w:lang w:val="bg-BG"/>
              </w:rPr>
              <w:lastRenderedPageBreak/>
              <w:t>Дата:</w:t>
            </w:r>
          </w:p>
          <w:p w:rsidR="00F96DB9" w:rsidRPr="00F70834" w:rsidRDefault="00F96DB9" w:rsidP="005D767B">
            <w:pPr>
              <w:spacing w:before="120" w:after="120" w:line="240" w:lineRule="auto"/>
              <w:textAlignment w:val="center"/>
              <w:rPr>
                <w:rFonts w:ascii="Times New Roman" w:eastAsia="Times New Roman" w:hAnsi="Times New Roman" w:cs="Times New Roman"/>
                <w:sz w:val="24"/>
                <w:szCs w:val="24"/>
                <w:lang w:val="bg-BG"/>
              </w:rPr>
            </w:pPr>
            <w:r w:rsidRPr="00F70834">
              <w:rPr>
                <w:rFonts w:ascii="Times New Roman" w:eastAsia="Times New Roman" w:hAnsi="Times New Roman" w:cs="Times New Roman"/>
                <w:b/>
                <w:bCs/>
                <w:color w:val="000000"/>
                <w:sz w:val="24"/>
                <w:szCs w:val="24"/>
                <w:lang w:val="bg-BG"/>
              </w:rPr>
              <w:t>Подпис:</w:t>
            </w:r>
          </w:p>
        </w:tc>
      </w:tr>
    </w:tbl>
    <w:p w:rsidR="00F96DB9" w:rsidRPr="00F96DB9" w:rsidRDefault="00F96DB9" w:rsidP="00F96DB9">
      <w:pPr>
        <w:spacing w:after="0" w:line="240" w:lineRule="auto"/>
        <w:rPr>
          <w:rFonts w:ascii="Times New Roman" w:eastAsia="Times New Roman" w:hAnsi="Times New Roman" w:cs="Times New Roman"/>
          <w:sz w:val="24"/>
          <w:szCs w:val="24"/>
          <w:lang w:val="bg-BG"/>
        </w:rPr>
      </w:pPr>
    </w:p>
    <w:p w:rsidR="00F96DB9" w:rsidRPr="00F96DB9" w:rsidRDefault="00F96DB9" w:rsidP="00F96DB9">
      <w:pPr>
        <w:spacing w:after="0" w:line="240" w:lineRule="auto"/>
        <w:rPr>
          <w:rFonts w:ascii="Times New Roman" w:eastAsia="Times New Roman" w:hAnsi="Times New Roman" w:cs="Times New Roman"/>
          <w:sz w:val="24"/>
          <w:szCs w:val="24"/>
          <w:lang w:val="bg-BG"/>
        </w:rPr>
      </w:pPr>
    </w:p>
    <w:p w:rsidR="00E7216E" w:rsidRPr="00352F16" w:rsidRDefault="00E7216E" w:rsidP="00F96DB9">
      <w:pPr>
        <w:rPr>
          <w:lang w:val="bg-BG"/>
        </w:rPr>
      </w:pPr>
    </w:p>
    <w:sectPr w:rsidR="00E7216E" w:rsidRPr="00352F16" w:rsidSect="00CC16C5">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04" w:rsidRDefault="002C5104" w:rsidP="00610E99">
      <w:pPr>
        <w:spacing w:after="0" w:line="240" w:lineRule="auto"/>
      </w:pPr>
      <w:r>
        <w:separator/>
      </w:r>
    </w:p>
  </w:endnote>
  <w:endnote w:type="continuationSeparator" w:id="0">
    <w:p w:rsidR="002C5104" w:rsidRDefault="002C5104" w:rsidP="0061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84921"/>
      <w:docPartObj>
        <w:docPartGallery w:val="Page Numbers (Bottom of Page)"/>
        <w:docPartUnique/>
      </w:docPartObj>
    </w:sdtPr>
    <w:sdtEndPr>
      <w:rPr>
        <w:noProof/>
      </w:rPr>
    </w:sdtEndPr>
    <w:sdtContent>
      <w:p w:rsidR="00C00019" w:rsidRDefault="00C00019">
        <w:pPr>
          <w:pStyle w:val="Footer"/>
          <w:jc w:val="right"/>
        </w:pPr>
        <w:r>
          <w:fldChar w:fldCharType="begin"/>
        </w:r>
        <w:r>
          <w:instrText xml:space="preserve"> PAGE   \* MERGEFORMAT </w:instrText>
        </w:r>
        <w:r>
          <w:fldChar w:fldCharType="separate"/>
        </w:r>
        <w:r w:rsidR="000B3B8F">
          <w:rPr>
            <w:noProof/>
          </w:rPr>
          <w:t>1</w:t>
        </w:r>
        <w:r>
          <w:rPr>
            <w:noProof/>
          </w:rPr>
          <w:fldChar w:fldCharType="end"/>
        </w:r>
      </w:p>
    </w:sdtContent>
  </w:sdt>
  <w:p w:rsidR="00C00019" w:rsidRDefault="00C00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04" w:rsidRDefault="002C5104" w:rsidP="00610E99">
      <w:pPr>
        <w:spacing w:after="0" w:line="240" w:lineRule="auto"/>
      </w:pPr>
      <w:r>
        <w:separator/>
      </w:r>
    </w:p>
  </w:footnote>
  <w:footnote w:type="continuationSeparator" w:id="0">
    <w:p w:rsidR="002C5104" w:rsidRDefault="002C5104" w:rsidP="00610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BF3"/>
    <w:multiLevelType w:val="hybridMultilevel"/>
    <w:tmpl w:val="0CA0B662"/>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97C130B"/>
    <w:multiLevelType w:val="hybridMultilevel"/>
    <w:tmpl w:val="A33A923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6B3F61"/>
    <w:multiLevelType w:val="hybridMultilevel"/>
    <w:tmpl w:val="638E97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D32BC7"/>
    <w:multiLevelType w:val="hybridMultilevel"/>
    <w:tmpl w:val="33A2365E"/>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50F22A6"/>
    <w:multiLevelType w:val="hybridMultilevel"/>
    <w:tmpl w:val="E5C2083A"/>
    <w:lvl w:ilvl="0" w:tplc="61C078DA">
      <w:start w:val="1"/>
      <w:numFmt w:val="bullet"/>
      <w:lvlText w:val=""/>
      <w:lvlJc w:val="left"/>
      <w:pPr>
        <w:ind w:left="644"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37B66"/>
    <w:multiLevelType w:val="hybridMultilevel"/>
    <w:tmpl w:val="964A37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075671D"/>
    <w:multiLevelType w:val="hybridMultilevel"/>
    <w:tmpl w:val="3AD44A8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D96886"/>
    <w:multiLevelType w:val="hybridMultilevel"/>
    <w:tmpl w:val="4B56A150"/>
    <w:lvl w:ilvl="0" w:tplc="61C078DA">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8A2196E"/>
    <w:multiLevelType w:val="hybridMultilevel"/>
    <w:tmpl w:val="8FCE4EBE"/>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F39674E"/>
    <w:multiLevelType w:val="hybridMultilevel"/>
    <w:tmpl w:val="EE2E033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33BE373B"/>
    <w:multiLevelType w:val="hybridMultilevel"/>
    <w:tmpl w:val="2850F682"/>
    <w:lvl w:ilvl="0" w:tplc="0402000D">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1">
    <w:nsid w:val="386773B7"/>
    <w:multiLevelType w:val="hybridMultilevel"/>
    <w:tmpl w:val="FE3CC986"/>
    <w:lvl w:ilvl="0" w:tplc="6AF83ED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0F1194F"/>
    <w:multiLevelType w:val="hybridMultilevel"/>
    <w:tmpl w:val="4F16954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68024B"/>
    <w:multiLevelType w:val="hybridMultilevel"/>
    <w:tmpl w:val="53848312"/>
    <w:lvl w:ilvl="0" w:tplc="61C078DA">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979591F"/>
    <w:multiLevelType w:val="hybridMultilevel"/>
    <w:tmpl w:val="9926D884"/>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BAF3B74"/>
    <w:multiLevelType w:val="hybridMultilevel"/>
    <w:tmpl w:val="02E2D0C6"/>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07D0948"/>
    <w:multiLevelType w:val="hybridMultilevel"/>
    <w:tmpl w:val="9FCAB59C"/>
    <w:lvl w:ilvl="0" w:tplc="2E54CD96">
      <w:start w:val="1"/>
      <w:numFmt w:val="decimal"/>
      <w:lvlText w:val="%1)"/>
      <w:lvlJc w:val="left"/>
      <w:pPr>
        <w:ind w:left="780" w:hanging="4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0B0352D"/>
    <w:multiLevelType w:val="hybridMultilevel"/>
    <w:tmpl w:val="590EF490"/>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653052D"/>
    <w:multiLevelType w:val="hybridMultilevel"/>
    <w:tmpl w:val="5A8871F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nsid w:val="565673D0"/>
    <w:multiLevelType w:val="multilevel"/>
    <w:tmpl w:val="1490324C"/>
    <w:lvl w:ilvl="0">
      <w:start w:val="1"/>
      <w:numFmt w:val="decimal"/>
      <w:lvlText w:val="%1."/>
      <w:lvlJc w:val="left"/>
      <w:pPr>
        <w:ind w:left="975" w:hanging="61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DBD6786"/>
    <w:multiLevelType w:val="hybridMultilevel"/>
    <w:tmpl w:val="7E363EF8"/>
    <w:lvl w:ilvl="0" w:tplc="097A0A9E">
      <w:start w:val="1"/>
      <w:numFmt w:val="bullet"/>
      <w:lvlText w:val=""/>
      <w:lvlJc w:val="left"/>
      <w:pPr>
        <w:ind w:left="720" w:hanging="360"/>
      </w:pPr>
      <w:rPr>
        <w:rFonts w:ascii="Symbol" w:hAnsi="Symbol" w:hint="default"/>
        <w:color w:val="E36C0A"/>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69B0796"/>
    <w:multiLevelType w:val="hybridMultilevel"/>
    <w:tmpl w:val="5EB2512E"/>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7D64E9E"/>
    <w:multiLevelType w:val="hybridMultilevel"/>
    <w:tmpl w:val="4B50CF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9275A6A"/>
    <w:multiLevelType w:val="hybridMultilevel"/>
    <w:tmpl w:val="A7669E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B823264"/>
    <w:multiLevelType w:val="hybridMultilevel"/>
    <w:tmpl w:val="A5845944"/>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DF80C85"/>
    <w:multiLevelType w:val="hybridMultilevel"/>
    <w:tmpl w:val="0DDC2736"/>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3316B41"/>
    <w:multiLevelType w:val="hybridMultilevel"/>
    <w:tmpl w:val="FB2EC10C"/>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3E31476"/>
    <w:multiLevelType w:val="hybridMultilevel"/>
    <w:tmpl w:val="6C0EC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0C5725"/>
    <w:multiLevelType w:val="hybridMultilevel"/>
    <w:tmpl w:val="BD7838EE"/>
    <w:lvl w:ilvl="0" w:tplc="097A0A9E">
      <w:start w:val="1"/>
      <w:numFmt w:val="bullet"/>
      <w:lvlText w:val=""/>
      <w:lvlJc w:val="left"/>
      <w:pPr>
        <w:ind w:left="720" w:hanging="360"/>
      </w:pPr>
      <w:rPr>
        <w:rFonts w:ascii="Symbol" w:hAnsi="Symbol" w:hint="default"/>
        <w:color w:val="E36C0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CDB2D6B"/>
    <w:multiLevelType w:val="multilevel"/>
    <w:tmpl w:val="9C2AA08A"/>
    <w:lvl w:ilvl="0">
      <w:start w:val="1"/>
      <w:numFmt w:val="decimal"/>
      <w:lvlText w:val="%1."/>
      <w:lvlJc w:val="left"/>
      <w:pPr>
        <w:ind w:left="1440" w:hanging="360"/>
      </w:pPr>
      <w:rPr>
        <w:rFonts w:hint="default"/>
        <w:b/>
        <w:color w:val="E36C0A"/>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0">
    <w:nsid w:val="7FF52355"/>
    <w:multiLevelType w:val="hybridMultilevel"/>
    <w:tmpl w:val="947A78F2"/>
    <w:lvl w:ilvl="0" w:tplc="6730F704">
      <w:start w:val="1"/>
      <w:numFmt w:val="decimal"/>
      <w:lvlText w:val="%1."/>
      <w:lvlJc w:val="left"/>
      <w:pPr>
        <w:ind w:left="720" w:hanging="360"/>
      </w:pPr>
      <w:rPr>
        <w:b/>
        <w:color w:val="E36C0A"/>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8"/>
  </w:num>
  <w:num w:numId="3">
    <w:abstractNumId w:val="28"/>
  </w:num>
  <w:num w:numId="4">
    <w:abstractNumId w:val="24"/>
  </w:num>
  <w:num w:numId="5">
    <w:abstractNumId w:val="16"/>
  </w:num>
  <w:num w:numId="6">
    <w:abstractNumId w:val="11"/>
  </w:num>
  <w:num w:numId="7">
    <w:abstractNumId w:val="26"/>
  </w:num>
  <w:num w:numId="8">
    <w:abstractNumId w:val="3"/>
  </w:num>
  <w:num w:numId="9">
    <w:abstractNumId w:val="23"/>
  </w:num>
  <w:num w:numId="10">
    <w:abstractNumId w:val="5"/>
  </w:num>
  <w:num w:numId="11">
    <w:abstractNumId w:val="21"/>
  </w:num>
  <w:num w:numId="12">
    <w:abstractNumId w:val="22"/>
  </w:num>
  <w:num w:numId="13">
    <w:abstractNumId w:val="18"/>
  </w:num>
  <w:num w:numId="14">
    <w:abstractNumId w:val="2"/>
  </w:num>
  <w:num w:numId="15">
    <w:abstractNumId w:val="12"/>
  </w:num>
  <w:num w:numId="16">
    <w:abstractNumId w:val="30"/>
  </w:num>
  <w:num w:numId="17">
    <w:abstractNumId w:val="17"/>
  </w:num>
  <w:num w:numId="18">
    <w:abstractNumId w:val="15"/>
  </w:num>
  <w:num w:numId="19">
    <w:abstractNumId w:val="0"/>
  </w:num>
  <w:num w:numId="20">
    <w:abstractNumId w:val="14"/>
  </w:num>
  <w:num w:numId="21">
    <w:abstractNumId w:val="29"/>
  </w:num>
  <w:num w:numId="22">
    <w:abstractNumId w:val="25"/>
  </w:num>
  <w:num w:numId="23">
    <w:abstractNumId w:val="4"/>
  </w:num>
  <w:num w:numId="24">
    <w:abstractNumId w:val="20"/>
  </w:num>
  <w:num w:numId="25">
    <w:abstractNumId w:val="10"/>
  </w:num>
  <w:num w:numId="26">
    <w:abstractNumId w:val="9"/>
  </w:num>
  <w:num w:numId="27">
    <w:abstractNumId w:val="13"/>
  </w:num>
  <w:num w:numId="28">
    <w:abstractNumId w:val="7"/>
  </w:num>
  <w:num w:numId="29">
    <w:abstractNumId w:val="6"/>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69"/>
    <w:rsid w:val="0000409B"/>
    <w:rsid w:val="00017696"/>
    <w:rsid w:val="00025654"/>
    <w:rsid w:val="00036CBF"/>
    <w:rsid w:val="000476CF"/>
    <w:rsid w:val="00051FEA"/>
    <w:rsid w:val="00053791"/>
    <w:rsid w:val="000577EC"/>
    <w:rsid w:val="00096062"/>
    <w:rsid w:val="000B3B8F"/>
    <w:rsid w:val="000F0041"/>
    <w:rsid w:val="000F6221"/>
    <w:rsid w:val="00101EC1"/>
    <w:rsid w:val="00115FA0"/>
    <w:rsid w:val="00127689"/>
    <w:rsid w:val="001330F9"/>
    <w:rsid w:val="00155D66"/>
    <w:rsid w:val="001609C6"/>
    <w:rsid w:val="00162E4B"/>
    <w:rsid w:val="00184528"/>
    <w:rsid w:val="00193D0E"/>
    <w:rsid w:val="001942B2"/>
    <w:rsid w:val="001B763B"/>
    <w:rsid w:val="001C2F40"/>
    <w:rsid w:val="001C696C"/>
    <w:rsid w:val="001D1AD6"/>
    <w:rsid w:val="001D5C73"/>
    <w:rsid w:val="001D630F"/>
    <w:rsid w:val="0021677B"/>
    <w:rsid w:val="00227823"/>
    <w:rsid w:val="002467CF"/>
    <w:rsid w:val="00256FB0"/>
    <w:rsid w:val="002617E2"/>
    <w:rsid w:val="00292C08"/>
    <w:rsid w:val="00294629"/>
    <w:rsid w:val="00296000"/>
    <w:rsid w:val="002B4B71"/>
    <w:rsid w:val="002C5104"/>
    <w:rsid w:val="002D2CF3"/>
    <w:rsid w:val="002F0669"/>
    <w:rsid w:val="002F7530"/>
    <w:rsid w:val="00300C6E"/>
    <w:rsid w:val="00327928"/>
    <w:rsid w:val="00336936"/>
    <w:rsid w:val="00352F16"/>
    <w:rsid w:val="00355BA6"/>
    <w:rsid w:val="00360A01"/>
    <w:rsid w:val="00376873"/>
    <w:rsid w:val="003A1051"/>
    <w:rsid w:val="003A26D7"/>
    <w:rsid w:val="003B1796"/>
    <w:rsid w:val="0040538F"/>
    <w:rsid w:val="00424914"/>
    <w:rsid w:val="004332BB"/>
    <w:rsid w:val="0047278A"/>
    <w:rsid w:val="0048387A"/>
    <w:rsid w:val="00496399"/>
    <w:rsid w:val="00497105"/>
    <w:rsid w:val="004A3981"/>
    <w:rsid w:val="004B1906"/>
    <w:rsid w:val="004F6484"/>
    <w:rsid w:val="004F7263"/>
    <w:rsid w:val="0050321C"/>
    <w:rsid w:val="00515BFC"/>
    <w:rsid w:val="00522FEA"/>
    <w:rsid w:val="00541C3F"/>
    <w:rsid w:val="00546CCB"/>
    <w:rsid w:val="00555BA2"/>
    <w:rsid w:val="00590937"/>
    <w:rsid w:val="00594630"/>
    <w:rsid w:val="005B396B"/>
    <w:rsid w:val="005B636D"/>
    <w:rsid w:val="005D767B"/>
    <w:rsid w:val="005E7AD8"/>
    <w:rsid w:val="005F3DE7"/>
    <w:rsid w:val="005F4D99"/>
    <w:rsid w:val="00601A07"/>
    <w:rsid w:val="00603D0A"/>
    <w:rsid w:val="0061002E"/>
    <w:rsid w:val="00610E99"/>
    <w:rsid w:val="006178C2"/>
    <w:rsid w:val="00631914"/>
    <w:rsid w:val="006334EE"/>
    <w:rsid w:val="006371B1"/>
    <w:rsid w:val="0064399F"/>
    <w:rsid w:val="00644237"/>
    <w:rsid w:val="0064453D"/>
    <w:rsid w:val="006A39F1"/>
    <w:rsid w:val="006B2B9B"/>
    <w:rsid w:val="006F6EDF"/>
    <w:rsid w:val="006F7396"/>
    <w:rsid w:val="00704236"/>
    <w:rsid w:val="0074063D"/>
    <w:rsid w:val="0075721B"/>
    <w:rsid w:val="00777102"/>
    <w:rsid w:val="00780E5B"/>
    <w:rsid w:val="007A53A0"/>
    <w:rsid w:val="007B3560"/>
    <w:rsid w:val="007B7725"/>
    <w:rsid w:val="007D4E21"/>
    <w:rsid w:val="007E104E"/>
    <w:rsid w:val="007F1930"/>
    <w:rsid w:val="008031F5"/>
    <w:rsid w:val="00803719"/>
    <w:rsid w:val="00804D39"/>
    <w:rsid w:val="00823E21"/>
    <w:rsid w:val="008264C5"/>
    <w:rsid w:val="00840EA0"/>
    <w:rsid w:val="00881E59"/>
    <w:rsid w:val="00882F21"/>
    <w:rsid w:val="0088539D"/>
    <w:rsid w:val="008A2CD2"/>
    <w:rsid w:val="008A6295"/>
    <w:rsid w:val="008A7D21"/>
    <w:rsid w:val="008F7E83"/>
    <w:rsid w:val="0090731F"/>
    <w:rsid w:val="0092467B"/>
    <w:rsid w:val="009266A0"/>
    <w:rsid w:val="009511A9"/>
    <w:rsid w:val="009618CE"/>
    <w:rsid w:val="00963EA3"/>
    <w:rsid w:val="009703B7"/>
    <w:rsid w:val="00971EA5"/>
    <w:rsid w:val="009766B9"/>
    <w:rsid w:val="009A3049"/>
    <w:rsid w:val="009D62D9"/>
    <w:rsid w:val="009E7B9C"/>
    <w:rsid w:val="009F25A9"/>
    <w:rsid w:val="009F6C3D"/>
    <w:rsid w:val="00A35737"/>
    <w:rsid w:val="00A36C6C"/>
    <w:rsid w:val="00A42776"/>
    <w:rsid w:val="00A46F4A"/>
    <w:rsid w:val="00A56D97"/>
    <w:rsid w:val="00A72BF9"/>
    <w:rsid w:val="00A80236"/>
    <w:rsid w:val="00A827FE"/>
    <w:rsid w:val="00A9222E"/>
    <w:rsid w:val="00A955D8"/>
    <w:rsid w:val="00AB0CE5"/>
    <w:rsid w:val="00AD2F31"/>
    <w:rsid w:val="00AD33EF"/>
    <w:rsid w:val="00AE35B9"/>
    <w:rsid w:val="00AE7264"/>
    <w:rsid w:val="00AE786C"/>
    <w:rsid w:val="00B02401"/>
    <w:rsid w:val="00B04C72"/>
    <w:rsid w:val="00B56A10"/>
    <w:rsid w:val="00B63508"/>
    <w:rsid w:val="00B83F66"/>
    <w:rsid w:val="00B842D9"/>
    <w:rsid w:val="00B87343"/>
    <w:rsid w:val="00BA26B5"/>
    <w:rsid w:val="00BB4D57"/>
    <w:rsid w:val="00BC7FD7"/>
    <w:rsid w:val="00BD021D"/>
    <w:rsid w:val="00BF202E"/>
    <w:rsid w:val="00C00019"/>
    <w:rsid w:val="00C1790E"/>
    <w:rsid w:val="00C17BFF"/>
    <w:rsid w:val="00C31927"/>
    <w:rsid w:val="00C31E6D"/>
    <w:rsid w:val="00C4175E"/>
    <w:rsid w:val="00C5328A"/>
    <w:rsid w:val="00CA38EB"/>
    <w:rsid w:val="00CB7CE9"/>
    <w:rsid w:val="00CC16C5"/>
    <w:rsid w:val="00D03DA2"/>
    <w:rsid w:val="00D351EE"/>
    <w:rsid w:val="00D36C58"/>
    <w:rsid w:val="00D50EF1"/>
    <w:rsid w:val="00D532FD"/>
    <w:rsid w:val="00D55A53"/>
    <w:rsid w:val="00D649DC"/>
    <w:rsid w:val="00DA530B"/>
    <w:rsid w:val="00DB7C0A"/>
    <w:rsid w:val="00DC3507"/>
    <w:rsid w:val="00DF26B2"/>
    <w:rsid w:val="00DF3C5F"/>
    <w:rsid w:val="00E00776"/>
    <w:rsid w:val="00E04786"/>
    <w:rsid w:val="00E16F66"/>
    <w:rsid w:val="00E20DE7"/>
    <w:rsid w:val="00E277EA"/>
    <w:rsid w:val="00E572C7"/>
    <w:rsid w:val="00E7216E"/>
    <w:rsid w:val="00E81FC2"/>
    <w:rsid w:val="00E84D8F"/>
    <w:rsid w:val="00E96F39"/>
    <w:rsid w:val="00EA150F"/>
    <w:rsid w:val="00EB33BE"/>
    <w:rsid w:val="00ED01F8"/>
    <w:rsid w:val="00EF1054"/>
    <w:rsid w:val="00EF1CBD"/>
    <w:rsid w:val="00EF38DA"/>
    <w:rsid w:val="00F03D95"/>
    <w:rsid w:val="00F052A9"/>
    <w:rsid w:val="00F70834"/>
    <w:rsid w:val="00F73262"/>
    <w:rsid w:val="00F821DA"/>
    <w:rsid w:val="00F96DB9"/>
    <w:rsid w:val="00FB0E53"/>
    <w:rsid w:val="00FC6D69"/>
    <w:rsid w:val="00FD3976"/>
    <w:rsid w:val="00FE3696"/>
    <w:rsid w:val="00FE4B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2F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52F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371B1"/>
    <w:pPr>
      <w:ind w:left="720"/>
      <w:contextualSpacing/>
    </w:pPr>
  </w:style>
  <w:style w:type="paragraph" w:styleId="Header">
    <w:name w:val="header"/>
    <w:basedOn w:val="Normal"/>
    <w:link w:val="HeaderChar"/>
    <w:uiPriority w:val="99"/>
    <w:unhideWhenUsed/>
    <w:rsid w:val="00610E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0E99"/>
  </w:style>
  <w:style w:type="paragraph" w:styleId="Footer">
    <w:name w:val="footer"/>
    <w:basedOn w:val="Normal"/>
    <w:link w:val="FooterChar"/>
    <w:uiPriority w:val="99"/>
    <w:unhideWhenUsed/>
    <w:rsid w:val="00610E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0E99"/>
  </w:style>
  <w:style w:type="paragraph" w:styleId="NormalWeb">
    <w:name w:val="Normal (Web)"/>
    <w:basedOn w:val="Normal"/>
    <w:uiPriority w:val="99"/>
    <w:unhideWhenUsed/>
    <w:rsid w:val="00B56A1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unhideWhenUsed/>
    <w:rsid w:val="004A3981"/>
    <w:rPr>
      <w:color w:val="0000FF" w:themeColor="hyperlink"/>
      <w:u w:val="single"/>
    </w:rPr>
  </w:style>
  <w:style w:type="paragraph" w:styleId="BalloonText">
    <w:name w:val="Balloon Text"/>
    <w:basedOn w:val="Normal"/>
    <w:link w:val="BalloonTextChar"/>
    <w:uiPriority w:val="99"/>
    <w:semiHidden/>
    <w:unhideWhenUsed/>
    <w:rsid w:val="00A7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F9"/>
    <w:rPr>
      <w:rFonts w:ascii="Tahoma" w:hAnsi="Tahoma" w:cs="Tahoma"/>
      <w:sz w:val="16"/>
      <w:szCs w:val="16"/>
    </w:rPr>
  </w:style>
  <w:style w:type="paragraph" w:styleId="FootnoteText">
    <w:name w:val="footnote text"/>
    <w:basedOn w:val="Normal"/>
    <w:link w:val="FootnoteTextChar"/>
    <w:uiPriority w:val="99"/>
    <w:semiHidden/>
    <w:unhideWhenUsed/>
    <w:rsid w:val="00EA1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50F"/>
    <w:rPr>
      <w:sz w:val="20"/>
      <w:szCs w:val="20"/>
    </w:rPr>
  </w:style>
  <w:style w:type="character" w:styleId="FootnoteReference">
    <w:name w:val="footnote reference"/>
    <w:aliases w:val="Footnote symbol,SUPERS"/>
    <w:uiPriority w:val="99"/>
    <w:rsid w:val="00EA150F"/>
    <w:rPr>
      <w:vertAlign w:val="superscript"/>
    </w:rPr>
  </w:style>
  <w:style w:type="character" w:styleId="CommentReference">
    <w:name w:val="annotation reference"/>
    <w:basedOn w:val="DefaultParagraphFont"/>
    <w:uiPriority w:val="99"/>
    <w:semiHidden/>
    <w:unhideWhenUsed/>
    <w:rsid w:val="00541C3F"/>
    <w:rPr>
      <w:sz w:val="16"/>
      <w:szCs w:val="16"/>
    </w:rPr>
  </w:style>
  <w:style w:type="paragraph" w:styleId="CommentText">
    <w:name w:val="annotation text"/>
    <w:basedOn w:val="Normal"/>
    <w:link w:val="CommentTextChar"/>
    <w:uiPriority w:val="99"/>
    <w:semiHidden/>
    <w:unhideWhenUsed/>
    <w:rsid w:val="00541C3F"/>
    <w:pPr>
      <w:spacing w:line="240" w:lineRule="auto"/>
    </w:pPr>
    <w:rPr>
      <w:sz w:val="20"/>
      <w:szCs w:val="20"/>
    </w:rPr>
  </w:style>
  <w:style w:type="character" w:customStyle="1" w:styleId="CommentTextChar">
    <w:name w:val="Comment Text Char"/>
    <w:basedOn w:val="DefaultParagraphFont"/>
    <w:link w:val="CommentText"/>
    <w:uiPriority w:val="99"/>
    <w:semiHidden/>
    <w:rsid w:val="00541C3F"/>
    <w:rPr>
      <w:sz w:val="20"/>
      <w:szCs w:val="20"/>
    </w:rPr>
  </w:style>
  <w:style w:type="paragraph" w:styleId="CommentSubject">
    <w:name w:val="annotation subject"/>
    <w:basedOn w:val="CommentText"/>
    <w:next w:val="CommentText"/>
    <w:link w:val="CommentSubjectChar"/>
    <w:uiPriority w:val="99"/>
    <w:semiHidden/>
    <w:unhideWhenUsed/>
    <w:rsid w:val="00541C3F"/>
    <w:rPr>
      <w:b/>
      <w:bCs/>
    </w:rPr>
  </w:style>
  <w:style w:type="character" w:customStyle="1" w:styleId="CommentSubjectChar">
    <w:name w:val="Comment Subject Char"/>
    <w:basedOn w:val="CommentTextChar"/>
    <w:link w:val="CommentSubject"/>
    <w:uiPriority w:val="99"/>
    <w:semiHidden/>
    <w:rsid w:val="00541C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2F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52F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371B1"/>
    <w:pPr>
      <w:ind w:left="720"/>
      <w:contextualSpacing/>
    </w:pPr>
  </w:style>
  <w:style w:type="paragraph" w:styleId="Header">
    <w:name w:val="header"/>
    <w:basedOn w:val="Normal"/>
    <w:link w:val="HeaderChar"/>
    <w:uiPriority w:val="99"/>
    <w:unhideWhenUsed/>
    <w:rsid w:val="00610E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0E99"/>
  </w:style>
  <w:style w:type="paragraph" w:styleId="Footer">
    <w:name w:val="footer"/>
    <w:basedOn w:val="Normal"/>
    <w:link w:val="FooterChar"/>
    <w:uiPriority w:val="99"/>
    <w:unhideWhenUsed/>
    <w:rsid w:val="00610E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0E99"/>
  </w:style>
  <w:style w:type="paragraph" w:styleId="NormalWeb">
    <w:name w:val="Normal (Web)"/>
    <w:basedOn w:val="Normal"/>
    <w:uiPriority w:val="99"/>
    <w:unhideWhenUsed/>
    <w:rsid w:val="00B56A1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unhideWhenUsed/>
    <w:rsid w:val="004A3981"/>
    <w:rPr>
      <w:color w:val="0000FF" w:themeColor="hyperlink"/>
      <w:u w:val="single"/>
    </w:rPr>
  </w:style>
  <w:style w:type="paragraph" w:styleId="BalloonText">
    <w:name w:val="Balloon Text"/>
    <w:basedOn w:val="Normal"/>
    <w:link w:val="BalloonTextChar"/>
    <w:uiPriority w:val="99"/>
    <w:semiHidden/>
    <w:unhideWhenUsed/>
    <w:rsid w:val="00A7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F9"/>
    <w:rPr>
      <w:rFonts w:ascii="Tahoma" w:hAnsi="Tahoma" w:cs="Tahoma"/>
      <w:sz w:val="16"/>
      <w:szCs w:val="16"/>
    </w:rPr>
  </w:style>
  <w:style w:type="paragraph" w:styleId="FootnoteText">
    <w:name w:val="footnote text"/>
    <w:basedOn w:val="Normal"/>
    <w:link w:val="FootnoteTextChar"/>
    <w:uiPriority w:val="99"/>
    <w:semiHidden/>
    <w:unhideWhenUsed/>
    <w:rsid w:val="00EA1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50F"/>
    <w:rPr>
      <w:sz w:val="20"/>
      <w:szCs w:val="20"/>
    </w:rPr>
  </w:style>
  <w:style w:type="character" w:styleId="FootnoteReference">
    <w:name w:val="footnote reference"/>
    <w:aliases w:val="Footnote symbol,SUPERS"/>
    <w:uiPriority w:val="99"/>
    <w:rsid w:val="00EA150F"/>
    <w:rPr>
      <w:vertAlign w:val="superscript"/>
    </w:rPr>
  </w:style>
  <w:style w:type="character" w:styleId="CommentReference">
    <w:name w:val="annotation reference"/>
    <w:basedOn w:val="DefaultParagraphFont"/>
    <w:uiPriority w:val="99"/>
    <w:semiHidden/>
    <w:unhideWhenUsed/>
    <w:rsid w:val="00541C3F"/>
    <w:rPr>
      <w:sz w:val="16"/>
      <w:szCs w:val="16"/>
    </w:rPr>
  </w:style>
  <w:style w:type="paragraph" w:styleId="CommentText">
    <w:name w:val="annotation text"/>
    <w:basedOn w:val="Normal"/>
    <w:link w:val="CommentTextChar"/>
    <w:uiPriority w:val="99"/>
    <w:semiHidden/>
    <w:unhideWhenUsed/>
    <w:rsid w:val="00541C3F"/>
    <w:pPr>
      <w:spacing w:line="240" w:lineRule="auto"/>
    </w:pPr>
    <w:rPr>
      <w:sz w:val="20"/>
      <w:szCs w:val="20"/>
    </w:rPr>
  </w:style>
  <w:style w:type="character" w:customStyle="1" w:styleId="CommentTextChar">
    <w:name w:val="Comment Text Char"/>
    <w:basedOn w:val="DefaultParagraphFont"/>
    <w:link w:val="CommentText"/>
    <w:uiPriority w:val="99"/>
    <w:semiHidden/>
    <w:rsid w:val="00541C3F"/>
    <w:rPr>
      <w:sz w:val="20"/>
      <w:szCs w:val="20"/>
    </w:rPr>
  </w:style>
  <w:style w:type="paragraph" w:styleId="CommentSubject">
    <w:name w:val="annotation subject"/>
    <w:basedOn w:val="CommentText"/>
    <w:next w:val="CommentText"/>
    <w:link w:val="CommentSubjectChar"/>
    <w:uiPriority w:val="99"/>
    <w:semiHidden/>
    <w:unhideWhenUsed/>
    <w:rsid w:val="00541C3F"/>
    <w:rPr>
      <w:b/>
      <w:bCs/>
    </w:rPr>
  </w:style>
  <w:style w:type="character" w:customStyle="1" w:styleId="CommentSubjectChar">
    <w:name w:val="Comment Subject Char"/>
    <w:basedOn w:val="CommentTextChar"/>
    <w:link w:val="CommentSubject"/>
    <w:uiPriority w:val="99"/>
    <w:semiHidden/>
    <w:rsid w:val="00541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720">
      <w:bodyDiv w:val="1"/>
      <w:marLeft w:val="0"/>
      <w:marRight w:val="0"/>
      <w:marTop w:val="0"/>
      <w:marBottom w:val="0"/>
      <w:divBdr>
        <w:top w:val="none" w:sz="0" w:space="0" w:color="auto"/>
        <w:left w:val="none" w:sz="0" w:space="0" w:color="auto"/>
        <w:bottom w:val="none" w:sz="0" w:space="0" w:color="auto"/>
        <w:right w:val="none" w:sz="0" w:space="0" w:color="auto"/>
      </w:divBdr>
    </w:div>
    <w:div w:id="520552949">
      <w:bodyDiv w:val="1"/>
      <w:marLeft w:val="0"/>
      <w:marRight w:val="0"/>
      <w:marTop w:val="0"/>
      <w:marBottom w:val="0"/>
      <w:divBdr>
        <w:top w:val="none" w:sz="0" w:space="0" w:color="auto"/>
        <w:left w:val="none" w:sz="0" w:space="0" w:color="auto"/>
        <w:bottom w:val="none" w:sz="0" w:space="0" w:color="auto"/>
        <w:right w:val="none" w:sz="0" w:space="0" w:color="auto"/>
      </w:divBdr>
      <w:divsChild>
        <w:div w:id="5535449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99412535">
      <w:bodyDiv w:val="1"/>
      <w:marLeft w:val="0"/>
      <w:marRight w:val="0"/>
      <w:marTop w:val="0"/>
      <w:marBottom w:val="0"/>
      <w:divBdr>
        <w:top w:val="none" w:sz="0" w:space="0" w:color="auto"/>
        <w:left w:val="none" w:sz="0" w:space="0" w:color="auto"/>
        <w:bottom w:val="none" w:sz="0" w:space="0" w:color="auto"/>
        <w:right w:val="none" w:sz="0" w:space="0" w:color="auto"/>
      </w:divBdr>
    </w:div>
    <w:div w:id="601376009">
      <w:bodyDiv w:val="1"/>
      <w:marLeft w:val="0"/>
      <w:marRight w:val="0"/>
      <w:marTop w:val="0"/>
      <w:marBottom w:val="0"/>
      <w:divBdr>
        <w:top w:val="none" w:sz="0" w:space="0" w:color="auto"/>
        <w:left w:val="none" w:sz="0" w:space="0" w:color="auto"/>
        <w:bottom w:val="none" w:sz="0" w:space="0" w:color="auto"/>
        <w:right w:val="none" w:sz="0" w:space="0" w:color="auto"/>
      </w:divBdr>
    </w:div>
    <w:div w:id="601649445">
      <w:bodyDiv w:val="1"/>
      <w:marLeft w:val="0"/>
      <w:marRight w:val="0"/>
      <w:marTop w:val="0"/>
      <w:marBottom w:val="0"/>
      <w:divBdr>
        <w:top w:val="none" w:sz="0" w:space="0" w:color="auto"/>
        <w:left w:val="none" w:sz="0" w:space="0" w:color="auto"/>
        <w:bottom w:val="none" w:sz="0" w:space="0" w:color="auto"/>
        <w:right w:val="none" w:sz="0" w:space="0" w:color="auto"/>
      </w:divBdr>
    </w:div>
    <w:div w:id="1159036399">
      <w:marLeft w:val="0"/>
      <w:marRight w:val="0"/>
      <w:marTop w:val="0"/>
      <w:marBottom w:val="0"/>
      <w:divBdr>
        <w:top w:val="none" w:sz="0" w:space="0" w:color="auto"/>
        <w:left w:val="none" w:sz="0" w:space="0" w:color="auto"/>
        <w:bottom w:val="none" w:sz="0" w:space="0" w:color="auto"/>
        <w:right w:val="none" w:sz="0" w:space="0" w:color="auto"/>
      </w:divBdr>
      <w:divsChild>
        <w:div w:id="1752697299">
          <w:marLeft w:val="0"/>
          <w:marRight w:val="0"/>
          <w:marTop w:val="0"/>
          <w:marBottom w:val="0"/>
          <w:divBdr>
            <w:top w:val="none" w:sz="0" w:space="0" w:color="auto"/>
            <w:left w:val="none" w:sz="0" w:space="0" w:color="auto"/>
            <w:bottom w:val="none" w:sz="0" w:space="0" w:color="auto"/>
            <w:right w:val="none" w:sz="0" w:space="0" w:color="auto"/>
          </w:divBdr>
        </w:div>
      </w:divsChild>
    </w:div>
    <w:div w:id="1186018836">
      <w:bodyDiv w:val="1"/>
      <w:marLeft w:val="0"/>
      <w:marRight w:val="0"/>
      <w:marTop w:val="0"/>
      <w:marBottom w:val="0"/>
      <w:divBdr>
        <w:top w:val="none" w:sz="0" w:space="0" w:color="auto"/>
        <w:left w:val="none" w:sz="0" w:space="0" w:color="auto"/>
        <w:bottom w:val="none" w:sz="0" w:space="0" w:color="auto"/>
        <w:right w:val="none" w:sz="0" w:space="0" w:color="auto"/>
      </w:divBdr>
    </w:div>
    <w:div w:id="1186358680">
      <w:bodyDiv w:val="1"/>
      <w:marLeft w:val="0"/>
      <w:marRight w:val="0"/>
      <w:marTop w:val="0"/>
      <w:marBottom w:val="0"/>
      <w:divBdr>
        <w:top w:val="none" w:sz="0" w:space="0" w:color="auto"/>
        <w:left w:val="none" w:sz="0" w:space="0" w:color="auto"/>
        <w:bottom w:val="none" w:sz="0" w:space="0" w:color="auto"/>
        <w:right w:val="none" w:sz="0" w:space="0" w:color="auto"/>
      </w:divBdr>
    </w:div>
    <w:div w:id="1634368921">
      <w:marLeft w:val="0"/>
      <w:marRight w:val="0"/>
      <w:marTop w:val="0"/>
      <w:marBottom w:val="0"/>
      <w:divBdr>
        <w:top w:val="none" w:sz="0" w:space="0" w:color="auto"/>
        <w:left w:val="none" w:sz="0" w:space="0" w:color="auto"/>
        <w:bottom w:val="none" w:sz="0" w:space="0" w:color="auto"/>
        <w:right w:val="none" w:sz="0" w:space="0" w:color="auto"/>
      </w:divBdr>
    </w:div>
    <w:div w:id="21064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ew.govet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egy.bg/PublicConsult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FA7D-97FC-48EC-86B0-00850C81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7502</Words>
  <Characters>42763</Characters>
  <Application>Microsoft Office Word</Application>
  <DocSecurity>0</DocSecurity>
  <Lines>356</Lines>
  <Paragraphs>100</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1</vt:i4>
      </vt:variant>
    </vt:vector>
  </HeadingPairs>
  <TitlesOfParts>
    <vt:vector size="3" baseType="lpstr">
      <vt:lpstr/>
      <vt:lpstr/>
      <vt:lpstr>        Приложение № 1 към чл. 16 от Наредбата за обхвата и методологията за извършване </vt:lpstr>
    </vt:vector>
  </TitlesOfParts>
  <Company/>
  <LinksUpToDate>false</LinksUpToDate>
  <CharactersWithSpaces>50165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Kalugerov</cp:lastModifiedBy>
  <cp:revision>2</cp:revision>
  <cp:lastPrinted>2018-03-02T16:02:00Z</cp:lastPrinted>
  <dcterms:created xsi:type="dcterms:W3CDTF">2019-01-04T12:51:00Z</dcterms:created>
  <dcterms:modified xsi:type="dcterms:W3CDTF">2019-01-04T12:51:00Z</dcterms:modified>
</cp:coreProperties>
</file>