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A4" w:rsidRDefault="00602DA4">
      <w:pPr>
        <w:sectPr w:rsidR="00602DA4" w:rsidSect="00551C3A">
          <w:footerReference w:type="default" r:id="rId8"/>
          <w:footerReference w:type="first" r:id="rId9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17"/>
        <w:gridCol w:w="2595"/>
        <w:gridCol w:w="708"/>
        <w:gridCol w:w="2222"/>
        <w:gridCol w:w="2881"/>
      </w:tblGrid>
      <w:tr w:rsidR="00602DA4" w:rsidRPr="007C039F" w:rsidTr="00F1178C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5E18" w:rsidRDefault="00602DA4" w:rsidP="00C45E18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394AA9">
              <w:rPr>
                <w:b/>
                <w:sz w:val="36"/>
                <w:szCs w:val="36"/>
              </w:rPr>
              <w:t xml:space="preserve">Становище на </w:t>
            </w:r>
          </w:p>
          <w:p w:rsidR="00602DA4" w:rsidRPr="00351063" w:rsidRDefault="00C45E18" w:rsidP="00C45E18">
            <w:pPr>
              <w:spacing w:after="240"/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:rsidR="00094215" w:rsidRPr="00094215" w:rsidRDefault="00094215" w:rsidP="00094215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551C3A" w:rsidRPr="007C039F" w:rsidTr="00F1178C"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551C3A" w:rsidRPr="00152F23" w:rsidRDefault="00551C3A" w:rsidP="00431CC4">
            <w:pPr>
              <w:jc w:val="both"/>
            </w:pPr>
            <w:r w:rsidRPr="00394AA9">
              <w:rPr>
                <w:b/>
                <w:sz w:val="24"/>
                <w:szCs w:val="24"/>
              </w:rPr>
              <w:t>Проект на акт:</w:t>
            </w:r>
          </w:p>
        </w:tc>
        <w:tc>
          <w:tcPr>
            <w:tcW w:w="2222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551C3A" w:rsidRPr="002061BC" w:rsidRDefault="00551C3A" w:rsidP="00551C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 оценка: </w:t>
            </w:r>
          </w:p>
        </w:tc>
        <w:tc>
          <w:tcPr>
            <w:tcW w:w="2881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551C3A" w:rsidRDefault="00551C3A" w:rsidP="00551C3A">
            <w:r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1" w:name="Dropdown1"/>
            <w:r>
              <w:rPr>
                <w:shd w:val="clear" w:color="auto" w:fill="FFFFFF" w:themeFill="background1"/>
              </w:rPr>
              <w:instrText xml:space="preserve"> FORMDROPDOWN </w:instrText>
            </w:r>
            <w:r w:rsidR="00E73778">
              <w:rPr>
                <w:shd w:val="clear" w:color="auto" w:fill="FFFFFF" w:themeFill="background1"/>
              </w:rPr>
            </w:r>
            <w:r w:rsidR="00E73778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bookmarkEnd w:id="1"/>
          </w:p>
        </w:tc>
      </w:tr>
      <w:tr w:rsidR="00551C3A" w:rsidRPr="007C039F" w:rsidTr="00F1178C">
        <w:trPr>
          <w:trHeight w:val="403"/>
        </w:trPr>
        <w:tc>
          <w:tcPr>
            <w:tcW w:w="4820" w:type="dxa"/>
            <w:gridSpan w:val="3"/>
            <w:vMerge w:val="restart"/>
            <w:tcBorders>
              <w:top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</w:tcPr>
          <w:p w:rsidR="00275A2F" w:rsidRDefault="00CE543F" w:rsidP="00BB4C16">
            <w:pPr>
              <w:spacing w:line="360" w:lineRule="auto"/>
              <w:ind w:left="38"/>
              <w:jc w:val="both"/>
              <w:rPr>
                <w:rFonts w:cstheme="minorHAnsi"/>
              </w:rPr>
            </w:pPr>
            <w:r w:rsidRPr="00CE543F">
              <w:rPr>
                <w:rFonts w:cstheme="minorHAnsi"/>
              </w:rPr>
              <w:t>Проект на Постановление на Министерския съвет за изменение и допълнение на Наредбата за излезли от употреба моторни превозни средства</w:t>
            </w:r>
          </w:p>
          <w:p w:rsidR="005E5955" w:rsidRPr="009C55BC" w:rsidRDefault="005E5955" w:rsidP="00A379E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222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:rsidR="00551C3A" w:rsidRPr="002061BC" w:rsidRDefault="00551C3A" w:rsidP="002B6CB5">
            <w:pPr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:rsidR="00551C3A" w:rsidRPr="00152F23" w:rsidRDefault="00551C3A" w:rsidP="002B6CB5"/>
        </w:tc>
      </w:tr>
      <w:tr w:rsidR="00602DA4" w:rsidRPr="007C039F" w:rsidTr="00F1178C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602DA4" w:rsidRPr="00152F23" w:rsidRDefault="00602DA4" w:rsidP="002B6CB5"/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:rsidR="00602DA4" w:rsidRPr="002061BC" w:rsidRDefault="00602DA4" w:rsidP="002B6CB5">
            <w:pPr>
              <w:rPr>
                <w:b/>
                <w:sz w:val="24"/>
                <w:szCs w:val="24"/>
              </w:rPr>
            </w:pPr>
            <w:r w:rsidRPr="002061BC">
              <w:rPr>
                <w:b/>
                <w:sz w:val="24"/>
                <w:szCs w:val="24"/>
              </w:rPr>
              <w:t>Становище по ред: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:rsidR="00602DA4" w:rsidRPr="00152F23" w:rsidRDefault="00D4506B" w:rsidP="002B6CB5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2" w:name="Dropdown2"/>
            <w:r>
              <w:instrText xml:space="preserve"> FORMDROPDOWN </w:instrText>
            </w:r>
            <w:r w:rsidR="00E73778">
              <w:fldChar w:fldCharType="separate"/>
            </w:r>
            <w:r>
              <w:fldChar w:fldCharType="end"/>
            </w:r>
            <w:bookmarkEnd w:id="2"/>
          </w:p>
        </w:tc>
      </w:tr>
      <w:tr w:rsidR="00602DA4" w:rsidRPr="007C039F" w:rsidTr="00F1178C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602DA4" w:rsidRPr="00152F23" w:rsidRDefault="00602DA4" w:rsidP="002B6CB5"/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:rsidR="00602DA4" w:rsidRPr="002061BC" w:rsidRDefault="00602DA4" w:rsidP="002B6CB5">
            <w:pPr>
              <w:rPr>
                <w:b/>
                <w:sz w:val="24"/>
                <w:szCs w:val="24"/>
              </w:rPr>
            </w:pPr>
            <w:r w:rsidRPr="002061BC">
              <w:rPr>
                <w:b/>
                <w:sz w:val="24"/>
                <w:szCs w:val="24"/>
              </w:rPr>
              <w:t xml:space="preserve">Дата:  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:rsidR="00602DA4" w:rsidRPr="00152F23" w:rsidRDefault="00E73778" w:rsidP="002B6CB5">
            <w:sdt>
              <w:sdtPr>
                <w:id w:val="417376458"/>
                <w:placeholder>
                  <w:docPart w:val="7DF3AF8EE27B4FCC89FB4F286468AFC0"/>
                </w:placeholder>
                <w:date w:fullDate="2020-03-18T00:00:00Z">
                  <w:dateFormat w:val="dd.MM.yyyy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="00CE543F">
                  <w:t>18.03.2020</w:t>
                </w:r>
              </w:sdtContent>
            </w:sdt>
          </w:p>
        </w:tc>
      </w:tr>
      <w:tr w:rsidR="00602DA4" w:rsidRPr="007C039F" w:rsidTr="00F1178C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602DA4" w:rsidRPr="00152F23" w:rsidRDefault="00602DA4" w:rsidP="002B6CB5"/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:rsidR="00602DA4" w:rsidRPr="002061BC" w:rsidRDefault="00602DA4" w:rsidP="002B6CB5">
            <w:pPr>
              <w:rPr>
                <w:b/>
                <w:sz w:val="24"/>
                <w:szCs w:val="24"/>
              </w:rPr>
            </w:pPr>
            <w:r w:rsidRPr="002061BC">
              <w:rPr>
                <w:b/>
                <w:sz w:val="24"/>
                <w:szCs w:val="24"/>
              </w:rPr>
              <w:t xml:space="preserve">В отговор на №:   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:rsidR="00602DA4" w:rsidRPr="00152F23" w:rsidRDefault="00E73778" w:rsidP="00CE543F">
            <w:sdt>
              <w:sdtPr>
                <w:id w:val="752936331"/>
                <w:placeholder>
                  <w:docPart w:val="03D8CEF4FFE64879A34A9CB95C4B837B"/>
                </w:placeholder>
              </w:sdtPr>
              <w:sdtEndPr/>
              <w:sdtContent>
                <w:sdt>
                  <w:sdtPr>
                    <w:id w:val="-2017300562"/>
                    <w:placeholder>
                      <w:docPart w:val="9481DE0B9388417793580E9BB6B138F7"/>
                    </w:placeholder>
                  </w:sdtPr>
                  <w:sdtEndPr/>
                  <w:sdtContent>
                    <w:r w:rsidR="00CE543F">
                      <w:t>03-00-93/13.03.2020</w:t>
                    </w:r>
                  </w:sdtContent>
                </w:sdt>
              </w:sdtContent>
            </w:sdt>
          </w:p>
        </w:tc>
      </w:tr>
      <w:tr w:rsidR="00602DA4" w:rsidRPr="007C039F" w:rsidTr="00F1178C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602DA4" w:rsidRPr="00152F23" w:rsidRDefault="00602DA4" w:rsidP="002B6CB5"/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602DA4" w:rsidRPr="002061BC" w:rsidRDefault="00602DA4" w:rsidP="00274543">
            <w:pPr>
              <w:rPr>
                <w:b/>
                <w:sz w:val="24"/>
                <w:szCs w:val="24"/>
              </w:rPr>
            </w:pPr>
            <w:r w:rsidRPr="002061BC">
              <w:rPr>
                <w:b/>
                <w:sz w:val="24"/>
                <w:szCs w:val="24"/>
              </w:rPr>
              <w:t>Институция</w:t>
            </w:r>
            <w:r>
              <w:rPr>
                <w:b/>
                <w:sz w:val="24"/>
                <w:szCs w:val="24"/>
              </w:rPr>
              <w:t>:</w:t>
            </w:r>
          </w:p>
        </w:tc>
        <w:sdt>
          <w:sdtPr>
            <w:id w:val="-390038682"/>
            <w:placeholder>
              <w:docPart w:val="778E35219DAA4A0A87336FBA4932B750"/>
            </w:placeholder>
          </w:sdtPr>
          <w:sdtEndPr/>
          <w:sdtContent>
            <w:sdt>
              <w:sdtPr>
                <w:id w:val="687492188"/>
                <w:placeholder>
                  <w:docPart w:val="09B54F11FA0D498C923D7F6F3B5F88A9"/>
                </w:placeholder>
              </w:sdtPr>
              <w:sdtEndPr/>
              <w:sdtContent>
                <w:tc>
                  <w:tcPr>
                    <w:tcW w:w="2881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</w:tcPr>
                  <w:p w:rsidR="00602DA4" w:rsidRPr="00152F23" w:rsidRDefault="00CE543F" w:rsidP="00CE543F">
                    <w:r>
                      <w:t>Министерство на околната среда и водите</w:t>
                    </w:r>
                  </w:p>
                </w:tc>
              </w:sdtContent>
            </w:sdt>
          </w:sdtContent>
        </w:sdt>
      </w:tr>
      <w:tr w:rsidR="00602DA4" w:rsidRPr="007C039F" w:rsidTr="00F1178C">
        <w:tc>
          <w:tcPr>
            <w:tcW w:w="4820" w:type="dxa"/>
            <w:gridSpan w:val="3"/>
            <w:vMerge/>
            <w:shd w:val="clear" w:color="auto" w:fill="FFFFFF" w:themeFill="background1"/>
          </w:tcPr>
          <w:p w:rsidR="00602DA4" w:rsidRPr="00152F23" w:rsidRDefault="00602DA4" w:rsidP="002B6CB5"/>
        </w:tc>
        <w:tc>
          <w:tcPr>
            <w:tcW w:w="5103" w:type="dxa"/>
            <w:gridSpan w:val="2"/>
            <w:tcBorders>
              <w:bottom w:val="single" w:sz="6" w:space="0" w:color="FFFFFF" w:themeColor="background1"/>
            </w:tcBorders>
            <w:shd w:val="clear" w:color="auto" w:fill="FFFFFF" w:themeFill="background1"/>
          </w:tcPr>
          <w:p w:rsidR="00602DA4" w:rsidRPr="00394AA9" w:rsidRDefault="00602DA4" w:rsidP="002B6CB5"/>
        </w:tc>
      </w:tr>
      <w:tr w:rsidR="00602DA4" w:rsidRPr="007C039F" w:rsidTr="00F1178C">
        <w:tc>
          <w:tcPr>
            <w:tcW w:w="1517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</w:tcPr>
          <w:p w:rsidR="00602DA4" w:rsidRPr="00E14879" w:rsidRDefault="00602DA4" w:rsidP="002B6CB5">
            <w:pPr>
              <w:rPr>
                <w:b/>
                <w:sz w:val="24"/>
                <w:szCs w:val="24"/>
              </w:rPr>
            </w:pPr>
            <w:r w:rsidRPr="00E14879">
              <w:rPr>
                <w:b/>
                <w:sz w:val="24"/>
                <w:szCs w:val="24"/>
              </w:rPr>
              <w:t>Диспозитив:</w:t>
            </w:r>
          </w:p>
        </w:tc>
        <w:tc>
          <w:tcPr>
            <w:tcW w:w="84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02DA4" w:rsidRPr="000257D5" w:rsidRDefault="00E73778" w:rsidP="002B6CB5">
            <w:hyperlink w:anchor="Dropdown3" w:tooltip="Съобразете текста от раздела с ограниченията спрямо диспозитива." w:history="1">
              <w:r w:rsidR="00602DA4" w:rsidRPr="000257D5">
                <w:rPr>
                  <w:rStyle w:val="Hyperlink"/>
                  <w:color w:val="auto"/>
                  <w:u w:val="none"/>
                </w:rPr>
                <w:fldChar w:fldCharType="begin">
                  <w:ffData>
                    <w:name w:val="Dropdown3"/>
                    <w:enabled/>
                    <w:calcOnExit w:val="0"/>
                    <w:ddList>
                      <w:result w:val="1"/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bookmarkStart w:id="3" w:name="Dropdown3"/>
              <w:r w:rsidR="00602DA4" w:rsidRPr="000257D5">
                <w:rPr>
                  <w:rStyle w:val="Hyperlink"/>
                  <w:color w:val="auto"/>
                  <w:u w:val="none"/>
                </w:rPr>
                <w:instrText xml:space="preserve"> FORMDROPDOWN </w:instrText>
              </w:r>
              <w:r>
                <w:rPr>
                  <w:rStyle w:val="Hyperlink"/>
                  <w:color w:val="auto"/>
                  <w:u w:val="none"/>
                </w:rPr>
              </w:r>
              <w:r>
                <w:rPr>
                  <w:rStyle w:val="Hyperlink"/>
                  <w:color w:val="auto"/>
                  <w:u w:val="none"/>
                </w:rPr>
                <w:fldChar w:fldCharType="separate"/>
              </w:r>
              <w:r w:rsidR="00602DA4" w:rsidRPr="000257D5">
                <w:rPr>
                  <w:rStyle w:val="Hyperlink"/>
                  <w:color w:val="auto"/>
                  <w:u w:val="none"/>
                </w:rPr>
                <w:fldChar w:fldCharType="end"/>
              </w:r>
              <w:bookmarkEnd w:id="3"/>
            </w:hyperlink>
          </w:p>
        </w:tc>
      </w:tr>
      <w:tr w:rsidR="00602DA4" w:rsidRPr="007C039F" w:rsidTr="00F1178C">
        <w:tc>
          <w:tcPr>
            <w:tcW w:w="1517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:rsidR="00602DA4" w:rsidRPr="00152F23" w:rsidRDefault="00602DA4" w:rsidP="002B6CB5">
            <w:r>
              <w:rPr>
                <w:b/>
                <w:sz w:val="24"/>
                <w:szCs w:val="24"/>
              </w:rPr>
              <w:t>Основание: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602DA4" w:rsidRPr="00152F23" w:rsidRDefault="00564081" w:rsidP="00564081">
            <w:r>
              <w:t>Чл. 30б, ал. 3, т. 2, б. “а</w:t>
            </w:r>
            <w:r w:rsidRPr="00564081">
              <w:rPr>
                <w:lang w:val="ru-RU"/>
              </w:rPr>
              <w:t>”</w:t>
            </w:r>
          </w:p>
        </w:tc>
        <w:tc>
          <w:tcPr>
            <w:tcW w:w="5811" w:type="dxa"/>
            <w:gridSpan w:val="3"/>
            <w:tcBorders>
              <w:left w:val="nil"/>
            </w:tcBorders>
            <w:shd w:val="clear" w:color="auto" w:fill="FFFFFF" w:themeFill="background1"/>
          </w:tcPr>
          <w:p w:rsidR="00602DA4" w:rsidRPr="006B1131" w:rsidRDefault="00602DA4" w:rsidP="002B6CB5">
            <w:r w:rsidRPr="006B1131">
              <w:t>от Устройствения правилник на Министерския съвет и на неговата администрация</w:t>
            </w:r>
          </w:p>
        </w:tc>
      </w:tr>
    </w:tbl>
    <w:p w:rsidR="00602DA4" w:rsidRDefault="00602DA4">
      <w:pPr>
        <w:sectPr w:rsidR="00602DA4" w:rsidSect="00602DA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9914" w:type="dxa"/>
        <w:tblInd w:w="-280" w:type="dxa"/>
        <w:tblLook w:val="04A0" w:firstRow="1" w:lastRow="0" w:firstColumn="1" w:lastColumn="0" w:noHBand="0" w:noVBand="1"/>
      </w:tblPr>
      <w:tblGrid>
        <w:gridCol w:w="9914"/>
      </w:tblGrid>
      <w:tr w:rsidR="00CE543F" w:rsidRPr="00E55825" w:rsidTr="00CE543F">
        <w:tc>
          <w:tcPr>
            <w:tcW w:w="9914" w:type="dxa"/>
          </w:tcPr>
          <w:p w:rsidR="00CE543F" w:rsidRPr="00E55825" w:rsidRDefault="00CE543F" w:rsidP="001E0DEE"/>
          <w:p w:rsidR="00CE543F" w:rsidRPr="00E55825" w:rsidRDefault="00CE543F" w:rsidP="001E0DEE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Относно раздел </w:t>
            </w:r>
            <w:r>
              <w:t>"</w:t>
            </w:r>
            <w:r w:rsidRPr="0005265F">
              <w:rPr>
                <w:b/>
                <w:sz w:val="28"/>
                <w:szCs w:val="28"/>
              </w:rPr>
              <w:t>Дефиниране на проблема</w:t>
            </w:r>
            <w:r>
              <w:t>"</w:t>
            </w:r>
            <w:r w:rsidRPr="0005265F">
              <w:rPr>
                <w:b/>
                <w:sz w:val="28"/>
                <w:szCs w:val="28"/>
              </w:rPr>
              <w:t xml:space="preserve">: </w:t>
            </w:r>
          </w:p>
        </w:tc>
      </w:tr>
      <w:tr w:rsidR="00CE543F" w:rsidRPr="00EC6886" w:rsidTr="00CE543F">
        <w:tc>
          <w:tcPr>
            <w:tcW w:w="9914" w:type="dxa"/>
          </w:tcPr>
          <w:p w:rsidR="00CE543F" w:rsidRDefault="00CE543F" w:rsidP="001E0DEE">
            <w:pPr>
              <w:spacing w:before="120" w:after="120" w:line="276" w:lineRule="auto"/>
              <w:ind w:firstLine="731"/>
              <w:jc w:val="both"/>
            </w:pPr>
            <w:r>
              <w:t xml:space="preserve">Необходимостта от транспонирането на посочените делегирани директиви представлява обосновка на варианта на действие, с който ще се изпълнят изисквания на законодателството на ЕС. Необходимо е информацията да бъде преформулирана, като се посочи конкретния проблем, който в този случай е несъответствие на националното законодателство с преразгледаните изключения от забраните за използване на олово, живак, кадмий и шествалентен хром в материалите и компонентите на превозните средства, пускани на пазара след 01 юли 2003 г. </w:t>
            </w:r>
          </w:p>
          <w:p w:rsidR="00CE543F" w:rsidRDefault="00CE543F" w:rsidP="001E0DEE">
            <w:pPr>
              <w:spacing w:before="120" w:after="120" w:line="276" w:lineRule="auto"/>
              <w:ind w:firstLine="731"/>
              <w:jc w:val="both"/>
            </w:pPr>
            <w:r>
              <w:t xml:space="preserve">За по-голяма яснота относно промените в законодателството на ЕС, които налагат предприемането на действия с оглед на прилагането им, предлагаме в описанието на проблема да се посочат и причините за промените в самото европейско законодателство (които са извършени в резултат на задължението за периодичното преразглеждане на въведените освобождавания от забрана), тъй като те са релевантни както за ЕС като цяло, така и за отделните страни. Причините са описани в основанията за приемането на посочените в оценката директиви за изменение на Приложение II към Директива 2000/53/ЕО на Европейския парламент и на Съвета и са следните: </w:t>
            </w:r>
          </w:p>
          <w:p w:rsidR="00CE543F" w:rsidRDefault="00CE543F" w:rsidP="001E0DEE">
            <w:pPr>
              <w:spacing w:before="120" w:after="120" w:line="276" w:lineRule="auto"/>
              <w:ind w:firstLine="731"/>
              <w:jc w:val="both"/>
            </w:pPr>
            <w:r>
              <w:t xml:space="preserve">□ Оценката на освобождаването по точка 14 с оглед на техническия и научния напредък е довела до заключението, че независимо от съществуването на подходящи алтернативни на шествалентния хром вещества, те все още не могат да бъдат използвани в продукти. </w:t>
            </w:r>
          </w:p>
          <w:p w:rsidR="00CE543F" w:rsidRDefault="00CE543F" w:rsidP="001E0DEE">
            <w:pPr>
              <w:spacing w:before="120" w:after="120" w:line="276" w:lineRule="auto"/>
              <w:ind w:firstLine="731"/>
              <w:jc w:val="both"/>
            </w:pPr>
            <w:r>
              <w:t xml:space="preserve">□ Оценката на освобождаването по точка 8, буква д) и точка 8 буква ж) е довела до заключението, че понастоящем няма подходяща алтернатива на употребата на олово в материалите и компонентите, обхванати от тези освобождения. Също така е посочено, че за да се позволи на автомобилната промишленост да се адаптира към тези промени, настоящият обхват за освобождаването по точка 8, буква ж) следва да се запази за превозните средства, чийто тип е одобрен </w:t>
            </w:r>
            <w:r>
              <w:lastRenderedPageBreak/>
              <w:t xml:space="preserve">преди 1 октомври 2022 г., докато по-тесният обхват на това освобождаване следва да се прилага за превозните средства, чийто тип е одобрен след тази дата. </w:t>
            </w:r>
          </w:p>
          <w:p w:rsidR="00CE543F" w:rsidRDefault="00CE543F" w:rsidP="001E0DEE">
            <w:pPr>
              <w:spacing w:before="120" w:after="120" w:line="276" w:lineRule="auto"/>
              <w:ind w:firstLine="731"/>
              <w:jc w:val="both"/>
            </w:pPr>
            <w:r>
              <w:t xml:space="preserve">□ Оценката на освобождаването по точка 8, буква е) и буква б) е довела до заключението, че употребата на олово в приложенията, обхванати от това освобождаване, следва да бъде прекратена, тъй като съществуват алтернативи на употребата на олово в тях. </w:t>
            </w:r>
          </w:p>
          <w:p w:rsidR="00CE543F" w:rsidRDefault="00CE543F" w:rsidP="001E0DEE">
            <w:pPr>
              <w:spacing w:before="120" w:after="120" w:line="276" w:lineRule="auto"/>
              <w:ind w:firstLine="731"/>
              <w:jc w:val="both"/>
            </w:pPr>
            <w:r>
              <w:t xml:space="preserve">□ Оценката на освобождаването по точка 8, буква й), което позволява освобождаване на употребата на олово в припой за запояване на многопластови стъкла, е довела до заключението, че за някои приложения има алтернативи на употребата на олово в припой за запояване на многопластови стъкла. Въпреки това, съществуват определени стъклени плоскости и определени приложения, при които не е сигурно, че към този момент съществуват подходящи алтернативи на употребата на олово. Поради това е определено ново, по-ограничено освобождаване по точка 8, буква к) за тези стъклени плоскости и приложения. </w:t>
            </w:r>
          </w:p>
          <w:p w:rsidR="00CE543F" w:rsidRDefault="00CE543F" w:rsidP="001E0DEE">
            <w:pPr>
              <w:spacing w:before="120" w:after="120" w:line="276" w:lineRule="auto"/>
              <w:ind w:firstLine="731"/>
              <w:jc w:val="both"/>
            </w:pPr>
            <w:r>
              <w:t>Информацията относно предложените промени в нормативната уредба следва да бъде посочена в избрания вариант на действие.</w:t>
            </w:r>
          </w:p>
          <w:p w:rsidR="00CE543F" w:rsidRPr="00EC6886" w:rsidRDefault="00CE543F" w:rsidP="001E0DEE">
            <w:pPr>
              <w:spacing w:before="120" w:after="120" w:line="276" w:lineRule="auto"/>
              <w:ind w:firstLine="731"/>
              <w:jc w:val="both"/>
            </w:pPr>
          </w:p>
        </w:tc>
      </w:tr>
      <w:tr w:rsidR="00CE543F" w:rsidRPr="0005265F" w:rsidTr="00CE543F">
        <w:tc>
          <w:tcPr>
            <w:tcW w:w="9914" w:type="dxa"/>
          </w:tcPr>
          <w:p w:rsidR="00CE543F" w:rsidRPr="0005265F" w:rsidRDefault="00CE543F" w:rsidP="001E0DEE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Относно раздел </w:t>
            </w:r>
            <w:r>
              <w:t>"</w:t>
            </w:r>
            <w:r w:rsidRPr="004568A7">
              <w:rPr>
                <w:b/>
                <w:sz w:val="28"/>
                <w:szCs w:val="28"/>
              </w:rPr>
              <w:t>Идентифициране на заинтересованите страни</w:t>
            </w:r>
            <w:r>
              <w:t>"</w:t>
            </w:r>
            <w:r w:rsidRPr="0005265F">
              <w:rPr>
                <w:b/>
                <w:sz w:val="28"/>
                <w:szCs w:val="28"/>
              </w:rPr>
              <w:t xml:space="preserve">: </w:t>
            </w:r>
          </w:p>
        </w:tc>
      </w:tr>
      <w:tr w:rsidR="00CE543F" w:rsidRPr="00EC6886" w:rsidTr="00CE543F">
        <w:tc>
          <w:tcPr>
            <w:tcW w:w="9914" w:type="dxa"/>
          </w:tcPr>
          <w:p w:rsidR="00CE543F" w:rsidRDefault="00CE543F" w:rsidP="001E0DEE">
            <w:pPr>
              <w:spacing w:before="120" w:after="120" w:line="276" w:lineRule="auto"/>
              <w:ind w:firstLine="731"/>
              <w:jc w:val="both"/>
            </w:pPr>
            <w:r>
              <w:t xml:space="preserve">Като заинтересовани страни са посочени юридическите лица, които произвеждат отделни компоненти и/или резервни части за превозни средства, в качеството си на подизпълнители на автомобилни производители в рамките на ЕС. Ако е налична информация за броя на посочените заинтересовани страни на местно ниво, тя следва да бъде представена </w:t>
            </w:r>
            <w:r w:rsidRPr="006A7EA1">
              <w:t xml:space="preserve">(информацията </w:t>
            </w:r>
            <w:r>
              <w:t xml:space="preserve">би могла </w:t>
            </w:r>
            <w:r w:rsidRPr="006A7EA1">
              <w:t>да бъде взета от регистри, статистическа информация, поддържана от институцията и др.)</w:t>
            </w:r>
            <w:r w:rsidRPr="00754993">
              <w:t>.</w:t>
            </w:r>
            <w:r>
              <w:t xml:space="preserve"> </w:t>
            </w:r>
          </w:p>
          <w:p w:rsidR="00CE543F" w:rsidRDefault="00CE543F" w:rsidP="001E0DEE">
            <w:pPr>
              <w:spacing w:before="120" w:after="120" w:line="276" w:lineRule="auto"/>
              <w:ind w:firstLine="731"/>
              <w:jc w:val="both"/>
            </w:pPr>
            <w:r>
              <w:t xml:space="preserve">Използваме възможността да Ви напомним, че при извършването на бъдещи оценки на въздействието, ако Ви е необходима конкретна информация,  с която не разполагате, бихте могли да я поискате от държавните органи и бюджетните организации по смисъла на Закона за публичните финанси. Основанието за това е въведено в чл. 23 от Закона за нормативните актове. </w:t>
            </w:r>
          </w:p>
          <w:p w:rsidR="00CE543F" w:rsidRPr="00EC6886" w:rsidRDefault="00CE543F" w:rsidP="001E0DEE">
            <w:pPr>
              <w:spacing w:before="120" w:after="120" w:line="276" w:lineRule="auto"/>
              <w:ind w:firstLine="731"/>
              <w:jc w:val="both"/>
            </w:pPr>
          </w:p>
        </w:tc>
      </w:tr>
      <w:tr w:rsidR="00CE543F" w:rsidRPr="0005265F" w:rsidTr="00CE543F">
        <w:tc>
          <w:tcPr>
            <w:tcW w:w="9914" w:type="dxa"/>
          </w:tcPr>
          <w:p w:rsidR="00CE543F" w:rsidRPr="0005265F" w:rsidRDefault="00CE543F" w:rsidP="001E0DEE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Относно раздел 4 </w:t>
            </w:r>
            <w:r>
              <w:t>"</w:t>
            </w:r>
            <w:r w:rsidRPr="004568A7">
              <w:rPr>
                <w:b/>
                <w:sz w:val="28"/>
                <w:szCs w:val="28"/>
              </w:rPr>
              <w:t>Варианти на действие</w:t>
            </w:r>
            <w:r>
              <w:t>"</w:t>
            </w:r>
            <w:r w:rsidRPr="0005265F">
              <w:rPr>
                <w:b/>
                <w:sz w:val="28"/>
                <w:szCs w:val="28"/>
              </w:rPr>
              <w:t xml:space="preserve">: </w:t>
            </w:r>
          </w:p>
        </w:tc>
      </w:tr>
      <w:tr w:rsidR="00CE543F" w:rsidRPr="00E633DC" w:rsidTr="00CE543F">
        <w:tc>
          <w:tcPr>
            <w:tcW w:w="9914" w:type="dxa"/>
          </w:tcPr>
          <w:p w:rsidR="00CE543F" w:rsidRPr="00E633DC" w:rsidRDefault="00CE543F" w:rsidP="001E0DEE">
            <w:pPr>
              <w:spacing w:before="120" w:after="120" w:line="276" w:lineRule="auto"/>
              <w:ind w:firstLine="731"/>
              <w:jc w:val="both"/>
            </w:pPr>
            <w:r>
              <w:t>В избрания вариант на действие следва да се посочат конкретните действия (предвидените промени в Наредбата за излезлите от употреба моторни превозни средства, с които ще се транспонират директивите</w:t>
            </w:r>
            <w:r w:rsidRPr="0095560C">
              <w:t xml:space="preserve"> за изменение на Приложение II към Директива 2000/53/ЕО на Европейския парламент и на Съвета</w:t>
            </w:r>
            <w:r>
              <w:t>), които се предлага да се предприемат с цел решаването на проблема.</w:t>
            </w:r>
          </w:p>
        </w:tc>
      </w:tr>
    </w:tbl>
    <w:p w:rsidR="00FA3536" w:rsidRDefault="00FA3536"/>
    <w:p w:rsidR="00F60C8D" w:rsidRDefault="00F60C8D"/>
    <w:tbl>
      <w:tblPr>
        <w:tblStyle w:val="TableGrid"/>
        <w:tblW w:w="9920" w:type="dxa"/>
        <w:tblInd w:w="-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A8338D" w:rsidRPr="00351063" w:rsidTr="00A8338D">
        <w:tc>
          <w:tcPr>
            <w:tcW w:w="9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8338D" w:rsidRDefault="00A8338D" w:rsidP="00A8338D">
            <w:pPr>
              <w:spacing w:before="120" w:after="120"/>
              <w:jc w:val="both"/>
            </w:pPr>
            <w:r>
              <w:t>*  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съвет и на неговата администрация.</w:t>
            </w:r>
          </w:p>
          <w:p w:rsidR="00A8338D" w:rsidRDefault="00236615" w:rsidP="00A8338D">
            <w:pPr>
              <w:spacing w:before="120" w:after="120"/>
              <w:jc w:val="both"/>
            </w:pPr>
            <w:r>
              <w:t>** </w:t>
            </w:r>
            <w:r w:rsidR="00A8338D">
              <w:t>При съгласуването по чл. 32 от Устройствения правилник на Министерския съвет и на неговата администрация се съпоставят кръгът от въпроси, проблеми и решения, разгледани в оценката на въздействието и кръгът от въпроси, засегнати от обхвата на нормативната намеса в проекта на акт.</w:t>
            </w:r>
          </w:p>
        </w:tc>
      </w:tr>
      <w:tr w:rsidR="00A8338D" w:rsidRPr="00351063" w:rsidTr="00A8338D">
        <w:tc>
          <w:tcPr>
            <w:tcW w:w="9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8338D" w:rsidRDefault="00236615" w:rsidP="00A8338D">
            <w:pPr>
              <w:spacing w:before="120" w:after="120"/>
              <w:jc w:val="both"/>
            </w:pPr>
            <w:r>
              <w:lastRenderedPageBreak/>
              <w:t>*** </w:t>
            </w:r>
            <w:r w:rsidR="00A8338D">
              <w:t>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</w:tc>
      </w:tr>
      <w:tr w:rsidR="00A8338D" w:rsidRPr="00351063" w:rsidTr="00A8338D">
        <w:tc>
          <w:tcPr>
            <w:tcW w:w="9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38D" w:rsidRDefault="00A8338D" w:rsidP="00A8338D">
            <w:pPr>
              <w:spacing w:before="120" w:after="120"/>
              <w:jc w:val="both"/>
            </w:pPr>
            <w:r>
              <w:t>****</w:t>
            </w:r>
            <w:r w:rsidR="002665A0">
              <w:rPr>
                <w:lang w:val="ru-RU"/>
              </w:rPr>
              <w:t> </w:t>
            </w:r>
            <w:r>
              <w:t>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351063" w:rsidTr="00A8338D"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081" w:rsidRDefault="00564081" w:rsidP="00773325">
            <w:pPr>
              <w:spacing w:before="20" w:after="20" w:line="276" w:lineRule="auto"/>
              <w:ind w:right="-6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B6AAE" w:rsidRDefault="00823BB8" w:rsidP="00FB6AAE">
            <w:pPr>
              <w:pStyle w:val="a0"/>
              <w:spacing w:before="0" w:after="0"/>
              <w:ind w:left="1647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4B06F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FB6AAE">
              <w:rPr>
                <w:rFonts w:asciiTheme="minorHAnsi" w:hAnsiTheme="minorHAnsi" w:cstheme="minorHAnsi"/>
                <w:sz w:val="28"/>
                <w:szCs w:val="28"/>
              </w:rPr>
              <w:t xml:space="preserve">ДИРЕКТОР НА ДИРЕКЦИЯ </w:t>
            </w:r>
          </w:p>
          <w:p w:rsidR="00FB6AAE" w:rsidRDefault="00FB6AAE" w:rsidP="00FB6AAE">
            <w:pPr>
              <w:pStyle w:val="a0"/>
              <w:spacing w:before="0" w:after="0"/>
              <w:contextualSpacing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      „МОДЕРНИЗАЦИЯ НА АДМИНИСТРАЦИЯТА</w:t>
            </w: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”    </w:t>
            </w:r>
          </w:p>
          <w:p w:rsidR="00FB6AAE" w:rsidRDefault="00FB6AAE" w:rsidP="00FB6AAE">
            <w:pPr>
              <w:pStyle w:val="a0"/>
              <w:spacing w:before="0" w:after="0"/>
              <w:contextualSpacing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  </w:t>
            </w:r>
          </w:p>
          <w:p w:rsidR="00FB6AAE" w:rsidRDefault="00FB6AAE" w:rsidP="00FB6AAE">
            <w:pPr>
              <w:pStyle w:val="a"/>
              <w:numPr>
                <w:ilvl w:val="0"/>
                <w:numId w:val="0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  <w:r>
              <w:rPr>
                <w:rFonts w:eastAsia="Times New Roman" w:cstheme="minorHAnsi"/>
              </w:rPr>
              <w:tab/>
            </w:r>
            <w:r>
              <w:rPr>
                <w:rFonts w:eastAsia="Times New Roman" w:cstheme="minorHAnsi"/>
              </w:rPr>
              <w:tab/>
            </w:r>
            <w:r>
              <w:rPr>
                <w:rFonts w:eastAsia="Times New Roman" w:cstheme="minorHAnsi"/>
              </w:rPr>
              <w:tab/>
            </w:r>
            <w:r>
              <w:rPr>
                <w:rFonts w:eastAsia="Times New Roman" w:cstheme="minorHAnsi"/>
              </w:rPr>
              <w:tab/>
            </w:r>
            <w:r>
              <w:rPr>
                <w:rFonts w:eastAsia="Times New Roman" w:cstheme="minorHAnsi"/>
              </w:rPr>
              <w:tab/>
            </w:r>
            <w:r>
              <w:rPr>
                <w:rFonts w:eastAsia="Times New Roman" w:cstheme="minorHAnsi"/>
              </w:rPr>
              <w:tab/>
              <w:t xml:space="preserve">                     </w:t>
            </w:r>
            <w:r w:rsidR="00E42EFE">
              <w:rPr>
                <w:rFonts w:eastAsia="Times New Roman" w:cstheme="minorHAnsi"/>
              </w:rPr>
              <w:t xml:space="preserve">    </w:t>
            </w:r>
            <w:r w:rsidR="009C55BC">
              <w:rPr>
                <w:rFonts w:eastAsia="Times New Roman" w:cstheme="minorHAnsi"/>
              </w:rPr>
              <w:t>/КРАСИМИР БОЖАНОВ</w:t>
            </w:r>
            <w:r>
              <w:rPr>
                <w:rFonts w:eastAsia="Times New Roman" w:cstheme="minorHAnsi"/>
              </w:rPr>
              <w:t>/</w:t>
            </w:r>
          </w:p>
          <w:p w:rsidR="00F1178C" w:rsidRPr="00351063" w:rsidRDefault="00FB6AAE" w:rsidP="00FB6AAE">
            <w:pPr>
              <w:pStyle w:val="a0"/>
              <w:spacing w:before="0" w:after="0"/>
              <w:ind w:left="1647" w:firstLine="0"/>
              <w:contextualSpacing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 xml:space="preserve">    </w:t>
            </w:r>
          </w:p>
        </w:tc>
      </w:tr>
    </w:tbl>
    <w:p w:rsidR="00773325" w:rsidRDefault="00773325">
      <w:pPr>
        <w:rPr>
          <w:sz w:val="16"/>
          <w:szCs w:val="16"/>
        </w:rPr>
      </w:pPr>
    </w:p>
    <w:p w:rsidR="00E10771" w:rsidRPr="00E97122" w:rsidRDefault="00E10771">
      <w:pPr>
        <w:rPr>
          <w:sz w:val="16"/>
          <w:szCs w:val="16"/>
        </w:rPr>
      </w:pPr>
    </w:p>
    <w:sectPr w:rsidR="00E10771" w:rsidRPr="00E97122" w:rsidSect="00773325">
      <w:type w:val="continuous"/>
      <w:pgSz w:w="11906" w:h="16838"/>
      <w:pgMar w:top="709" w:right="1417" w:bottom="56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778" w:rsidRDefault="00E73778" w:rsidP="004568A7">
      <w:pPr>
        <w:spacing w:after="0" w:line="240" w:lineRule="auto"/>
      </w:pPr>
      <w:r>
        <w:separator/>
      </w:r>
    </w:p>
  </w:endnote>
  <w:endnote w:type="continuationSeparator" w:id="0">
    <w:p w:rsidR="00E73778" w:rsidRDefault="00E73778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551C3A" w:rsidRDefault="00551C3A" w:rsidP="00551C3A">
    <w:pPr>
      <w:tabs>
        <w:tab w:val="center" w:pos="4153"/>
        <w:tab w:val="left" w:pos="4248"/>
        <w:tab w:val="left" w:pos="4956"/>
        <w:tab w:val="left" w:pos="5664"/>
      </w:tabs>
      <w:spacing w:after="0" w:line="240" w:lineRule="auto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</w:p>
  <w:p w:rsidR="004568A7" w:rsidRDefault="00E73778">
    <w:pPr>
      <w:pStyle w:val="Footer"/>
      <w:jc w:val="right"/>
    </w:pPr>
    <w:sdt>
      <w:sdtPr>
        <w:id w:val="-1931583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568A7">
          <w:fldChar w:fldCharType="begin"/>
        </w:r>
        <w:r w:rsidR="004568A7">
          <w:instrText xml:space="preserve"> PAGE   \* MERGEFORMAT </w:instrText>
        </w:r>
        <w:r w:rsidR="004568A7">
          <w:fldChar w:fldCharType="separate"/>
        </w:r>
        <w:r w:rsidR="002E792A">
          <w:rPr>
            <w:noProof/>
          </w:rPr>
          <w:t>2</w:t>
        </w:r>
        <w:r w:rsidR="004568A7">
          <w:rPr>
            <w:noProof/>
          </w:rPr>
          <w:fldChar w:fldCharType="end"/>
        </w:r>
      </w:sdtContent>
    </w:sdt>
  </w:p>
  <w:p w:rsidR="004568A7" w:rsidRDefault="00456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4568A7" w:rsidRDefault="00551C3A" w:rsidP="00551C3A">
    <w:pPr>
      <w:pBdr>
        <w:top w:val="single" w:sz="6" w:space="1" w:color="auto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</w:rPr>
    </w:pPr>
    <w:r w:rsidRPr="004568A7">
      <w:rPr>
        <w:rFonts w:ascii="Times New Roman" w:eastAsia="Times New Roman" w:hAnsi="Times New Roman" w:cs="Times New Roman"/>
        <w:i/>
        <w:sz w:val="20"/>
        <w:szCs w:val="20"/>
      </w:rPr>
      <w:t>София, бул. „Дондуков“ № 1, тел. централа: 02/ 940-29-99, факс: 02/ 981-81-70</w:t>
    </w:r>
  </w:p>
  <w:p w:rsidR="00551C3A" w:rsidRDefault="00551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778" w:rsidRDefault="00E73778" w:rsidP="004568A7">
      <w:pPr>
        <w:spacing w:after="0" w:line="240" w:lineRule="auto"/>
      </w:pPr>
      <w:r>
        <w:separator/>
      </w:r>
    </w:p>
  </w:footnote>
  <w:footnote w:type="continuationSeparator" w:id="0">
    <w:p w:rsidR="00E73778" w:rsidRDefault="00E73778" w:rsidP="00456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6226F5"/>
    <w:multiLevelType w:val="hybridMultilevel"/>
    <w:tmpl w:val="DED88912"/>
    <w:lvl w:ilvl="0" w:tplc="CB749E5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2A23"/>
    <w:rsid w:val="00003692"/>
    <w:rsid w:val="00022AF8"/>
    <w:rsid w:val="00023D4D"/>
    <w:rsid w:val="000257D5"/>
    <w:rsid w:val="00034C10"/>
    <w:rsid w:val="0005265F"/>
    <w:rsid w:val="00070725"/>
    <w:rsid w:val="000851AE"/>
    <w:rsid w:val="000879ED"/>
    <w:rsid w:val="00094215"/>
    <w:rsid w:val="000A68D9"/>
    <w:rsid w:val="000B35AF"/>
    <w:rsid w:val="000C6859"/>
    <w:rsid w:val="000F5A0B"/>
    <w:rsid w:val="001043BF"/>
    <w:rsid w:val="00105170"/>
    <w:rsid w:val="00116AF1"/>
    <w:rsid w:val="00122E4B"/>
    <w:rsid w:val="0012348A"/>
    <w:rsid w:val="00126555"/>
    <w:rsid w:val="00142A5E"/>
    <w:rsid w:val="00152F23"/>
    <w:rsid w:val="00160CB1"/>
    <w:rsid w:val="00174323"/>
    <w:rsid w:val="0017546E"/>
    <w:rsid w:val="00182180"/>
    <w:rsid w:val="001931EC"/>
    <w:rsid w:val="00194A8E"/>
    <w:rsid w:val="001A55A3"/>
    <w:rsid w:val="001C15E4"/>
    <w:rsid w:val="001C2972"/>
    <w:rsid w:val="001D691E"/>
    <w:rsid w:val="001D7F92"/>
    <w:rsid w:val="001E0A77"/>
    <w:rsid w:val="002061BC"/>
    <w:rsid w:val="00225046"/>
    <w:rsid w:val="00236615"/>
    <w:rsid w:val="002417F3"/>
    <w:rsid w:val="00247168"/>
    <w:rsid w:val="0024731C"/>
    <w:rsid w:val="00251A1C"/>
    <w:rsid w:val="002533C6"/>
    <w:rsid w:val="002665A0"/>
    <w:rsid w:val="00267F02"/>
    <w:rsid w:val="00274543"/>
    <w:rsid w:val="00275A2F"/>
    <w:rsid w:val="00277B2B"/>
    <w:rsid w:val="002802AD"/>
    <w:rsid w:val="0028039E"/>
    <w:rsid w:val="00292933"/>
    <w:rsid w:val="002C1D3A"/>
    <w:rsid w:val="002D2E7B"/>
    <w:rsid w:val="002D3CB0"/>
    <w:rsid w:val="002D5CBC"/>
    <w:rsid w:val="002E792A"/>
    <w:rsid w:val="0030529E"/>
    <w:rsid w:val="00311AA7"/>
    <w:rsid w:val="00314B6A"/>
    <w:rsid w:val="00324E9F"/>
    <w:rsid w:val="00351063"/>
    <w:rsid w:val="00367FFB"/>
    <w:rsid w:val="00372C00"/>
    <w:rsid w:val="00380C9B"/>
    <w:rsid w:val="003911F8"/>
    <w:rsid w:val="00394AA9"/>
    <w:rsid w:val="00394E59"/>
    <w:rsid w:val="00397B57"/>
    <w:rsid w:val="003A3CA8"/>
    <w:rsid w:val="003A4582"/>
    <w:rsid w:val="003B1FED"/>
    <w:rsid w:val="003C1E9E"/>
    <w:rsid w:val="003D5314"/>
    <w:rsid w:val="003D5CCC"/>
    <w:rsid w:val="003F3662"/>
    <w:rsid w:val="00421A3A"/>
    <w:rsid w:val="00422D91"/>
    <w:rsid w:val="004249D1"/>
    <w:rsid w:val="0042644C"/>
    <w:rsid w:val="004309DF"/>
    <w:rsid w:val="00431CC4"/>
    <w:rsid w:val="004460D7"/>
    <w:rsid w:val="004568A7"/>
    <w:rsid w:val="004717C8"/>
    <w:rsid w:val="00472B2D"/>
    <w:rsid w:val="0048550F"/>
    <w:rsid w:val="004B06F0"/>
    <w:rsid w:val="004B796D"/>
    <w:rsid w:val="004C2CDF"/>
    <w:rsid w:val="004C685C"/>
    <w:rsid w:val="0050294F"/>
    <w:rsid w:val="0052005D"/>
    <w:rsid w:val="0054673B"/>
    <w:rsid w:val="00551C3A"/>
    <w:rsid w:val="00562FF2"/>
    <w:rsid w:val="00564081"/>
    <w:rsid w:val="005717CC"/>
    <w:rsid w:val="005860E2"/>
    <w:rsid w:val="005960A5"/>
    <w:rsid w:val="00597DD4"/>
    <w:rsid w:val="005A0839"/>
    <w:rsid w:val="005A6B87"/>
    <w:rsid w:val="005A7C2F"/>
    <w:rsid w:val="005B5D75"/>
    <w:rsid w:val="005C52A5"/>
    <w:rsid w:val="005D3149"/>
    <w:rsid w:val="005D5C5F"/>
    <w:rsid w:val="005E5955"/>
    <w:rsid w:val="005F1939"/>
    <w:rsid w:val="005F2242"/>
    <w:rsid w:val="00602DA4"/>
    <w:rsid w:val="0064796D"/>
    <w:rsid w:val="00651198"/>
    <w:rsid w:val="00654092"/>
    <w:rsid w:val="00662C51"/>
    <w:rsid w:val="00664A4E"/>
    <w:rsid w:val="006717EA"/>
    <w:rsid w:val="006718A8"/>
    <w:rsid w:val="006758C3"/>
    <w:rsid w:val="0067769C"/>
    <w:rsid w:val="00677D7A"/>
    <w:rsid w:val="00691E92"/>
    <w:rsid w:val="006A2212"/>
    <w:rsid w:val="006A7ED1"/>
    <w:rsid w:val="006B1131"/>
    <w:rsid w:val="006C05A6"/>
    <w:rsid w:val="006C2860"/>
    <w:rsid w:val="006D4637"/>
    <w:rsid w:val="006D7A28"/>
    <w:rsid w:val="006F6E81"/>
    <w:rsid w:val="00701B6E"/>
    <w:rsid w:val="00704164"/>
    <w:rsid w:val="00704F5C"/>
    <w:rsid w:val="0071477D"/>
    <w:rsid w:val="00715FD8"/>
    <w:rsid w:val="00745795"/>
    <w:rsid w:val="00760CCA"/>
    <w:rsid w:val="00765A88"/>
    <w:rsid w:val="00773325"/>
    <w:rsid w:val="00787229"/>
    <w:rsid w:val="00791365"/>
    <w:rsid w:val="00794FF2"/>
    <w:rsid w:val="007C039F"/>
    <w:rsid w:val="007D0247"/>
    <w:rsid w:val="007D5CC8"/>
    <w:rsid w:val="007F3C2D"/>
    <w:rsid w:val="007F4B37"/>
    <w:rsid w:val="008055BD"/>
    <w:rsid w:val="0080564D"/>
    <w:rsid w:val="00805D9F"/>
    <w:rsid w:val="00820FB7"/>
    <w:rsid w:val="00823BB8"/>
    <w:rsid w:val="0082450B"/>
    <w:rsid w:val="008300F0"/>
    <w:rsid w:val="00832AFF"/>
    <w:rsid w:val="008356AE"/>
    <w:rsid w:val="00841685"/>
    <w:rsid w:val="00852EF9"/>
    <w:rsid w:val="008549A7"/>
    <w:rsid w:val="00856370"/>
    <w:rsid w:val="008569ED"/>
    <w:rsid w:val="00856A5E"/>
    <w:rsid w:val="00875660"/>
    <w:rsid w:val="00890309"/>
    <w:rsid w:val="008947BB"/>
    <w:rsid w:val="008A23F6"/>
    <w:rsid w:val="008B501E"/>
    <w:rsid w:val="008C099C"/>
    <w:rsid w:val="008C5F15"/>
    <w:rsid w:val="008D2926"/>
    <w:rsid w:val="008D649C"/>
    <w:rsid w:val="008E142D"/>
    <w:rsid w:val="008F0DE9"/>
    <w:rsid w:val="00921621"/>
    <w:rsid w:val="00930313"/>
    <w:rsid w:val="0094408C"/>
    <w:rsid w:val="00950CB6"/>
    <w:rsid w:val="00974EC2"/>
    <w:rsid w:val="00981CBD"/>
    <w:rsid w:val="009A3050"/>
    <w:rsid w:val="009B6F55"/>
    <w:rsid w:val="009C55BC"/>
    <w:rsid w:val="009D00BA"/>
    <w:rsid w:val="009D1A1B"/>
    <w:rsid w:val="009E3DA0"/>
    <w:rsid w:val="00A07BE3"/>
    <w:rsid w:val="00A15777"/>
    <w:rsid w:val="00A22CE2"/>
    <w:rsid w:val="00A305A4"/>
    <w:rsid w:val="00A379EB"/>
    <w:rsid w:val="00A51FF3"/>
    <w:rsid w:val="00A75737"/>
    <w:rsid w:val="00A75F5C"/>
    <w:rsid w:val="00A8338D"/>
    <w:rsid w:val="00A86130"/>
    <w:rsid w:val="00A86C30"/>
    <w:rsid w:val="00AA76D4"/>
    <w:rsid w:val="00AB16E3"/>
    <w:rsid w:val="00AC6248"/>
    <w:rsid w:val="00AD56A0"/>
    <w:rsid w:val="00AD6852"/>
    <w:rsid w:val="00AE009C"/>
    <w:rsid w:val="00AE4086"/>
    <w:rsid w:val="00B27733"/>
    <w:rsid w:val="00B3373B"/>
    <w:rsid w:val="00B41069"/>
    <w:rsid w:val="00B64AED"/>
    <w:rsid w:val="00B766F6"/>
    <w:rsid w:val="00B80303"/>
    <w:rsid w:val="00BB2188"/>
    <w:rsid w:val="00BB4C16"/>
    <w:rsid w:val="00BE68BC"/>
    <w:rsid w:val="00C04D06"/>
    <w:rsid w:val="00C05481"/>
    <w:rsid w:val="00C074E8"/>
    <w:rsid w:val="00C307F0"/>
    <w:rsid w:val="00C44982"/>
    <w:rsid w:val="00C45E18"/>
    <w:rsid w:val="00C61BAF"/>
    <w:rsid w:val="00C70D77"/>
    <w:rsid w:val="00C805CC"/>
    <w:rsid w:val="00C81B78"/>
    <w:rsid w:val="00C948E9"/>
    <w:rsid w:val="00CC5A32"/>
    <w:rsid w:val="00CD018A"/>
    <w:rsid w:val="00CD1444"/>
    <w:rsid w:val="00CE543F"/>
    <w:rsid w:val="00CF2A40"/>
    <w:rsid w:val="00CF6908"/>
    <w:rsid w:val="00D04285"/>
    <w:rsid w:val="00D125F2"/>
    <w:rsid w:val="00D14EA6"/>
    <w:rsid w:val="00D16B60"/>
    <w:rsid w:val="00D17CA5"/>
    <w:rsid w:val="00D34F0E"/>
    <w:rsid w:val="00D3630E"/>
    <w:rsid w:val="00D42D4F"/>
    <w:rsid w:val="00D4506B"/>
    <w:rsid w:val="00D50DE1"/>
    <w:rsid w:val="00D71609"/>
    <w:rsid w:val="00D84688"/>
    <w:rsid w:val="00D8762D"/>
    <w:rsid w:val="00D96A1B"/>
    <w:rsid w:val="00DA5512"/>
    <w:rsid w:val="00DB0697"/>
    <w:rsid w:val="00DB7F41"/>
    <w:rsid w:val="00DC0AF5"/>
    <w:rsid w:val="00DD7B26"/>
    <w:rsid w:val="00DE33AD"/>
    <w:rsid w:val="00E05D74"/>
    <w:rsid w:val="00E10771"/>
    <w:rsid w:val="00E12949"/>
    <w:rsid w:val="00E14879"/>
    <w:rsid w:val="00E40878"/>
    <w:rsid w:val="00E42EFE"/>
    <w:rsid w:val="00E57891"/>
    <w:rsid w:val="00E57CBF"/>
    <w:rsid w:val="00E70100"/>
    <w:rsid w:val="00E73778"/>
    <w:rsid w:val="00E7386E"/>
    <w:rsid w:val="00E94A73"/>
    <w:rsid w:val="00E97122"/>
    <w:rsid w:val="00EA3A95"/>
    <w:rsid w:val="00EB0B9D"/>
    <w:rsid w:val="00ED4250"/>
    <w:rsid w:val="00ED5798"/>
    <w:rsid w:val="00EE2581"/>
    <w:rsid w:val="00EE28ED"/>
    <w:rsid w:val="00F03555"/>
    <w:rsid w:val="00F1178C"/>
    <w:rsid w:val="00F14222"/>
    <w:rsid w:val="00F3067F"/>
    <w:rsid w:val="00F60C8D"/>
    <w:rsid w:val="00F8315B"/>
    <w:rsid w:val="00FA3536"/>
    <w:rsid w:val="00FB531B"/>
    <w:rsid w:val="00FB6AAE"/>
    <w:rsid w:val="00FC0F5A"/>
    <w:rsid w:val="00FC31C7"/>
    <w:rsid w:val="00FC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564081"/>
    <w:pPr>
      <w:spacing w:before="20" w:after="20" w:line="276" w:lineRule="auto"/>
      <w:ind w:right="-646" w:firstLine="567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0">
    <w:name w:val="Директор Char"/>
    <w:basedOn w:val="DefaultParagraphFont"/>
    <w:link w:val="a0"/>
    <w:rsid w:val="0056408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1743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F3AF8EE27B4FCC89FB4F286468A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373DC-8A78-4DF4-887A-633309772FD7}"/>
      </w:docPartPr>
      <w:docPartBody>
        <w:p w:rsidR="002B6C5A" w:rsidRDefault="00C769A9" w:rsidP="00C769A9">
          <w:pPr>
            <w:pStyle w:val="7DF3AF8EE27B4FCC89FB4F286468AFC0"/>
          </w:pPr>
          <w:r w:rsidRPr="006E5D96">
            <w:rPr>
              <w:rStyle w:val="PlaceholderText"/>
            </w:rPr>
            <w:t>Click here to enter a date.</w:t>
          </w:r>
        </w:p>
      </w:docPartBody>
    </w:docPart>
    <w:docPart>
      <w:docPartPr>
        <w:name w:val="03D8CEF4FFE64879A34A9CB95C4B8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B9DA2-08D7-42D0-8EB0-BEF09CEE06B6}"/>
      </w:docPartPr>
      <w:docPartBody>
        <w:p w:rsidR="002B6C5A" w:rsidRDefault="00C769A9" w:rsidP="00C769A9">
          <w:pPr>
            <w:pStyle w:val="03D8CEF4FFE64879A34A9CB95C4B837B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778E35219DAA4A0A87336FBA4932B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24975-19F4-4F8E-8EE5-A7853EB8ABEF}"/>
      </w:docPartPr>
      <w:docPartBody>
        <w:p w:rsidR="002B6C5A" w:rsidRDefault="00C769A9" w:rsidP="00C769A9">
          <w:pPr>
            <w:pStyle w:val="778E35219DAA4A0A87336FBA4932B750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9481DE0B9388417793580E9BB6B13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C01-6342-486E-86AE-949FFAFEECE7}"/>
      </w:docPartPr>
      <w:docPartBody>
        <w:p w:rsidR="002646CF" w:rsidRDefault="002F2554" w:rsidP="002F2554">
          <w:pPr>
            <w:pStyle w:val="9481DE0B9388417793580E9BB6B138F7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09B54F11FA0D498C923D7F6F3B5F8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378D3-52D1-4C37-8D79-58182E4889D4}"/>
      </w:docPartPr>
      <w:docPartBody>
        <w:p w:rsidR="002646CF" w:rsidRDefault="002F2554" w:rsidP="002F2554">
          <w:pPr>
            <w:pStyle w:val="09B54F11FA0D498C923D7F6F3B5F88A9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D51D1"/>
    <w:rsid w:val="000E292A"/>
    <w:rsid w:val="00161974"/>
    <w:rsid w:val="001D51CB"/>
    <w:rsid w:val="00217012"/>
    <w:rsid w:val="002646CF"/>
    <w:rsid w:val="002B6C5A"/>
    <w:rsid w:val="002F2554"/>
    <w:rsid w:val="00303941"/>
    <w:rsid w:val="0035473A"/>
    <w:rsid w:val="003A6AB6"/>
    <w:rsid w:val="003F4474"/>
    <w:rsid w:val="00406B88"/>
    <w:rsid w:val="004D1707"/>
    <w:rsid w:val="004E26DD"/>
    <w:rsid w:val="00573915"/>
    <w:rsid w:val="00672054"/>
    <w:rsid w:val="00677FA2"/>
    <w:rsid w:val="006A7644"/>
    <w:rsid w:val="006B0232"/>
    <w:rsid w:val="007B399F"/>
    <w:rsid w:val="007E7BAB"/>
    <w:rsid w:val="009157B9"/>
    <w:rsid w:val="0094156A"/>
    <w:rsid w:val="009E1631"/>
    <w:rsid w:val="009E6B4A"/>
    <w:rsid w:val="00A15891"/>
    <w:rsid w:val="00AB4BCA"/>
    <w:rsid w:val="00B26D53"/>
    <w:rsid w:val="00C769A9"/>
    <w:rsid w:val="00E33F30"/>
    <w:rsid w:val="00E84714"/>
    <w:rsid w:val="00EB62FC"/>
    <w:rsid w:val="00ED6597"/>
    <w:rsid w:val="00EE4BFD"/>
    <w:rsid w:val="00F0172C"/>
    <w:rsid w:val="00FD1615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2554"/>
    <w:rPr>
      <w:color w:val="808080"/>
    </w:rPr>
  </w:style>
  <w:style w:type="paragraph" w:customStyle="1" w:styleId="5EEC3FCA880B494882F3B6EDCCE1C1DE">
    <w:name w:val="5EEC3FCA880B494882F3B6EDCCE1C1DE"/>
    <w:rsid w:val="00C769A9"/>
  </w:style>
  <w:style w:type="paragraph" w:customStyle="1" w:styleId="EA701ABF50BB4B9B8CC69D5A7D2249F4">
    <w:name w:val="EA701ABF50BB4B9B8CC69D5A7D2249F4"/>
    <w:rsid w:val="00C769A9"/>
  </w:style>
  <w:style w:type="paragraph" w:customStyle="1" w:styleId="490D40914B854122B094CD3814237E77">
    <w:name w:val="490D40914B854122B094CD3814237E77"/>
    <w:rsid w:val="00C769A9"/>
  </w:style>
  <w:style w:type="paragraph" w:customStyle="1" w:styleId="8BD2037DD0B64A588BAD5CA79D8C679F">
    <w:name w:val="8BD2037DD0B64A588BAD5CA79D8C679F"/>
    <w:rsid w:val="00C769A9"/>
  </w:style>
  <w:style w:type="paragraph" w:customStyle="1" w:styleId="8E82C6ABDE354E2CBFC05D4C33428CEE">
    <w:name w:val="8E82C6ABDE354E2CBFC05D4C33428CEE"/>
    <w:rsid w:val="00C769A9"/>
  </w:style>
  <w:style w:type="paragraph" w:customStyle="1" w:styleId="08E2A59CA1094D6EB042B7C236F5EC35">
    <w:name w:val="08E2A59CA1094D6EB042B7C236F5EC35"/>
    <w:rsid w:val="00C769A9"/>
  </w:style>
  <w:style w:type="paragraph" w:customStyle="1" w:styleId="96A671839E434967BD00DB6649246EEA">
    <w:name w:val="96A671839E434967BD00DB6649246EEA"/>
    <w:rsid w:val="00C769A9"/>
  </w:style>
  <w:style w:type="paragraph" w:customStyle="1" w:styleId="293E38FF30C241DDAA9CBEB2FCC55441">
    <w:name w:val="293E38FF30C241DDAA9CBEB2FCC55441"/>
    <w:rsid w:val="00C769A9"/>
  </w:style>
  <w:style w:type="paragraph" w:customStyle="1" w:styleId="74525097260D4E459C32ADDD2E6E0BD5">
    <w:name w:val="74525097260D4E459C32ADDD2E6E0BD5"/>
    <w:rsid w:val="00C769A9"/>
  </w:style>
  <w:style w:type="paragraph" w:customStyle="1" w:styleId="5462A08E853B4248970107C1AF130845">
    <w:name w:val="5462A08E853B4248970107C1AF130845"/>
    <w:rsid w:val="00C769A9"/>
  </w:style>
  <w:style w:type="paragraph" w:customStyle="1" w:styleId="86C54DA6FC8B49719AD03C6210795AD9">
    <w:name w:val="86C54DA6FC8B49719AD03C6210795AD9"/>
    <w:rsid w:val="00C769A9"/>
  </w:style>
  <w:style w:type="paragraph" w:customStyle="1" w:styleId="09F0673517814B3180D57F38B5D9FFF1">
    <w:name w:val="09F0673517814B3180D57F38B5D9FFF1"/>
    <w:rsid w:val="00C769A9"/>
  </w:style>
  <w:style w:type="paragraph" w:customStyle="1" w:styleId="156F373891C842D7A16535D7CFF9283D">
    <w:name w:val="156F373891C842D7A16535D7CFF9283D"/>
    <w:rsid w:val="00C769A9"/>
  </w:style>
  <w:style w:type="paragraph" w:customStyle="1" w:styleId="21E68FE9083A4E139C1FA788A81BCE55">
    <w:name w:val="21E68FE9083A4E139C1FA788A81BCE55"/>
    <w:rsid w:val="00C769A9"/>
  </w:style>
  <w:style w:type="paragraph" w:customStyle="1" w:styleId="97054AA92ECB43D68EDC07DC3504A546">
    <w:name w:val="97054AA92ECB43D68EDC07DC3504A546"/>
    <w:rsid w:val="00C769A9"/>
  </w:style>
  <w:style w:type="paragraph" w:customStyle="1" w:styleId="EB5696BA1203483780174B3E29435B25">
    <w:name w:val="EB5696BA1203483780174B3E29435B25"/>
    <w:rsid w:val="00C769A9"/>
  </w:style>
  <w:style w:type="paragraph" w:customStyle="1" w:styleId="5E570CE034FD472C8D4E7202F0EE6E49">
    <w:name w:val="5E570CE034FD472C8D4E7202F0EE6E49"/>
    <w:rsid w:val="00C769A9"/>
  </w:style>
  <w:style w:type="paragraph" w:customStyle="1" w:styleId="1A27B4D3D3CE4493BF6B4E6067DF0BC2">
    <w:name w:val="1A27B4D3D3CE4493BF6B4E6067DF0BC2"/>
    <w:rsid w:val="00C769A9"/>
  </w:style>
  <w:style w:type="paragraph" w:customStyle="1" w:styleId="CCECC883264343FCA56FCF1CFDE1463C">
    <w:name w:val="CCECC883264343FCA56FCF1CFDE1463C"/>
    <w:rsid w:val="00C769A9"/>
  </w:style>
  <w:style w:type="paragraph" w:customStyle="1" w:styleId="3128ACF23F3F4910A3861859044968E3">
    <w:name w:val="3128ACF23F3F4910A3861859044968E3"/>
    <w:rsid w:val="00C769A9"/>
  </w:style>
  <w:style w:type="paragraph" w:customStyle="1" w:styleId="97D2DDD6B52A4B8487CCF87F0BC2CEC8">
    <w:name w:val="97D2DDD6B52A4B8487CCF87F0BC2CEC8"/>
    <w:rsid w:val="00C769A9"/>
  </w:style>
  <w:style w:type="paragraph" w:customStyle="1" w:styleId="2204227979AB4349B5CF7586CCE80FE4">
    <w:name w:val="2204227979AB4349B5CF7586CCE80FE4"/>
    <w:rsid w:val="00C769A9"/>
  </w:style>
  <w:style w:type="paragraph" w:customStyle="1" w:styleId="CF8A7E202CB14DED9D20D3A4CB14B5CB">
    <w:name w:val="CF8A7E202CB14DED9D20D3A4CB14B5CB"/>
    <w:rsid w:val="00C769A9"/>
  </w:style>
  <w:style w:type="paragraph" w:customStyle="1" w:styleId="EE8F9058131E4A38BF57F80E5695419B">
    <w:name w:val="EE8F9058131E4A38BF57F80E5695419B"/>
    <w:rsid w:val="00C769A9"/>
  </w:style>
  <w:style w:type="paragraph" w:customStyle="1" w:styleId="D2B7532EA24E41549A98628AFEE104DC">
    <w:name w:val="D2B7532EA24E41549A98628AFEE104DC"/>
    <w:rsid w:val="00C769A9"/>
  </w:style>
  <w:style w:type="paragraph" w:customStyle="1" w:styleId="898A5C6E89D8407180096A5EE7822F7F">
    <w:name w:val="898A5C6E89D8407180096A5EE7822F7F"/>
    <w:rsid w:val="00C769A9"/>
  </w:style>
  <w:style w:type="paragraph" w:customStyle="1" w:styleId="5D951E547AC7419C923AED0490D8EFA5">
    <w:name w:val="5D951E547AC7419C923AED0490D8EFA5"/>
    <w:rsid w:val="00C769A9"/>
  </w:style>
  <w:style w:type="paragraph" w:customStyle="1" w:styleId="A0AA5E1D40C74A60937DBED85553DD5F">
    <w:name w:val="A0AA5E1D40C74A60937DBED85553DD5F"/>
    <w:rsid w:val="00C769A9"/>
  </w:style>
  <w:style w:type="paragraph" w:customStyle="1" w:styleId="F4A869DB414E422CA087ECA56751E031">
    <w:name w:val="F4A869DB414E422CA087ECA56751E031"/>
    <w:rsid w:val="00C769A9"/>
  </w:style>
  <w:style w:type="paragraph" w:customStyle="1" w:styleId="B2626BDFD8364F9BA4B674AFA100E26F">
    <w:name w:val="B2626BDFD8364F9BA4B674AFA100E26F"/>
    <w:rsid w:val="00C769A9"/>
    <w:rPr>
      <w:rFonts w:eastAsiaTheme="minorHAnsi"/>
      <w:lang w:eastAsia="en-US"/>
    </w:rPr>
  </w:style>
  <w:style w:type="paragraph" w:customStyle="1" w:styleId="EF9A88DDFEF246A2AB280D40D6234068">
    <w:name w:val="EF9A88DDFEF246A2AB280D40D6234068"/>
    <w:rsid w:val="00C769A9"/>
  </w:style>
  <w:style w:type="paragraph" w:customStyle="1" w:styleId="AF56042085544F9DBC5559C859EA0DA4">
    <w:name w:val="AF56042085544F9DBC5559C859EA0DA4"/>
    <w:rsid w:val="00C769A9"/>
  </w:style>
  <w:style w:type="paragraph" w:customStyle="1" w:styleId="DC136A24B32941A8808379C8C5A22FA9">
    <w:name w:val="DC136A24B32941A8808379C8C5A22FA9"/>
    <w:rsid w:val="00C769A9"/>
  </w:style>
  <w:style w:type="paragraph" w:customStyle="1" w:styleId="D2A45C1FAF6C42259AC40EF03AC3E5F2">
    <w:name w:val="D2A45C1FAF6C42259AC40EF03AC3E5F2"/>
    <w:rsid w:val="00C769A9"/>
  </w:style>
  <w:style w:type="paragraph" w:customStyle="1" w:styleId="DDF7636FD3FF42FC88AC73A79153F995">
    <w:name w:val="DDF7636FD3FF42FC88AC73A79153F995"/>
    <w:rsid w:val="00C769A9"/>
  </w:style>
  <w:style w:type="paragraph" w:customStyle="1" w:styleId="7F048EB8CA984F4CB759E214B5FA739A">
    <w:name w:val="7F048EB8CA984F4CB759E214B5FA739A"/>
    <w:rsid w:val="00C769A9"/>
  </w:style>
  <w:style w:type="paragraph" w:customStyle="1" w:styleId="104A6B64BC2445D0A4F17E28245D4500">
    <w:name w:val="104A6B64BC2445D0A4F17E28245D4500"/>
    <w:rsid w:val="00C769A9"/>
  </w:style>
  <w:style w:type="paragraph" w:customStyle="1" w:styleId="7DF3AF8EE27B4FCC89FB4F286468AFC0">
    <w:name w:val="7DF3AF8EE27B4FCC89FB4F286468AFC0"/>
    <w:rsid w:val="00C769A9"/>
  </w:style>
  <w:style w:type="paragraph" w:customStyle="1" w:styleId="03D8CEF4FFE64879A34A9CB95C4B837B">
    <w:name w:val="03D8CEF4FFE64879A34A9CB95C4B837B"/>
    <w:rsid w:val="00C769A9"/>
  </w:style>
  <w:style w:type="paragraph" w:customStyle="1" w:styleId="778E35219DAA4A0A87336FBA4932B750">
    <w:name w:val="778E35219DAA4A0A87336FBA4932B750"/>
    <w:rsid w:val="00C769A9"/>
  </w:style>
  <w:style w:type="paragraph" w:customStyle="1" w:styleId="9481DE0B9388417793580E9BB6B138F7">
    <w:name w:val="9481DE0B9388417793580E9BB6B138F7"/>
    <w:rsid w:val="002F2554"/>
    <w:rPr>
      <w:lang w:val="en-US" w:eastAsia="en-US"/>
    </w:rPr>
  </w:style>
  <w:style w:type="paragraph" w:customStyle="1" w:styleId="09B54F11FA0D498C923D7F6F3B5F88A9">
    <w:name w:val="09B54F11FA0D498C923D7F6F3B5F88A9"/>
    <w:rsid w:val="002F255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421D7-778B-47DB-8641-76B869B1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Габровска</dc:creator>
  <cp:keywords/>
  <dc:description/>
  <cp:lastModifiedBy>Windows User</cp:lastModifiedBy>
  <cp:revision>2</cp:revision>
  <cp:lastPrinted>2020-01-15T06:48:00Z</cp:lastPrinted>
  <dcterms:created xsi:type="dcterms:W3CDTF">2020-03-18T14:43:00Z</dcterms:created>
  <dcterms:modified xsi:type="dcterms:W3CDTF">2020-03-18T14:43:00Z</dcterms:modified>
</cp:coreProperties>
</file>