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368"/>
        <w:gridCol w:w="2794"/>
        <w:gridCol w:w="13"/>
      </w:tblGrid>
      <w:tr w:rsidR="00602DA4" w:rsidRPr="00CD3A5D" w14:paraId="5658951F" w14:textId="77777777" w:rsidTr="004B641F">
        <w:tc>
          <w:tcPr>
            <w:tcW w:w="9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CD3A5D">
            <w:pPr>
              <w:spacing w:after="120"/>
              <w:ind w:left="312"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4B641F">
        <w:trPr>
          <w:gridAfter w:val="1"/>
          <w:wAfter w:w="13" w:type="dxa"/>
        </w:trPr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368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7531DB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7531DB">
            <w:pPr>
              <w:spacing w:line="276" w:lineRule="auto"/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86441D">
              <w:rPr>
                <w:shd w:val="clear" w:color="auto" w:fill="FFFFFF" w:themeFill="background1"/>
              </w:rPr>
            </w:r>
            <w:r w:rsidR="0086441D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CD3A5D" w14:paraId="5D8F94B7" w14:textId="77777777" w:rsidTr="004B641F">
        <w:trPr>
          <w:gridAfter w:val="1"/>
          <w:wAfter w:w="13" w:type="dxa"/>
          <w:trHeight w:val="317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294292E1" w:rsidR="000B1C3B" w:rsidRPr="00CD3A5D" w:rsidRDefault="004B641F" w:rsidP="007531DB">
                <w:pPr>
                  <w:spacing w:line="276" w:lineRule="auto"/>
                  <w:ind w:firstLine="0"/>
                  <w:jc w:val="both"/>
                </w:pPr>
                <w:r w:rsidRPr="004B641F">
                  <w:t>Постановление на Министерския съвет за изменение и допълнение на Наредбата за излезлите от употреба моторни превозни средства</w:t>
                </w:r>
              </w:p>
            </w:tc>
          </w:sdtContent>
        </w:sdt>
        <w:tc>
          <w:tcPr>
            <w:tcW w:w="2368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7531DB">
            <w:pPr>
              <w:spacing w:line="276" w:lineRule="auto"/>
              <w:rPr>
                <w:b/>
              </w:rPr>
            </w:pPr>
          </w:p>
        </w:tc>
        <w:tc>
          <w:tcPr>
            <w:tcW w:w="2794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CD3A5D" w:rsidRDefault="000B1C3B" w:rsidP="007531DB">
            <w:pPr>
              <w:spacing w:line="276" w:lineRule="auto"/>
            </w:pPr>
          </w:p>
        </w:tc>
      </w:tr>
      <w:tr w:rsidR="000B1C3B" w:rsidRPr="00CD3A5D" w14:paraId="5B737F46" w14:textId="77777777" w:rsidTr="004B641F">
        <w:trPr>
          <w:gridAfter w:val="1"/>
          <w:wAfter w:w="13" w:type="dxa"/>
        </w:trPr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7531DB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5646F0CC" w:rsidR="000B1C3B" w:rsidRPr="00CD3A5D" w:rsidRDefault="009C002D" w:rsidP="007531DB">
            <w:pPr>
              <w:spacing w:line="276" w:lineRule="auto"/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86441D">
              <w:fldChar w:fldCharType="separate"/>
            </w:r>
            <w:r>
              <w:fldChar w:fldCharType="end"/>
            </w:r>
            <w:bookmarkEnd w:id="2"/>
          </w:p>
        </w:tc>
      </w:tr>
      <w:tr w:rsidR="000B1C3B" w:rsidRPr="00CD3A5D" w14:paraId="647C8793" w14:textId="77777777" w:rsidTr="004B641F">
        <w:trPr>
          <w:gridAfter w:val="1"/>
          <w:wAfter w:w="13" w:type="dxa"/>
        </w:trPr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7531DB">
            <w:pPr>
              <w:spacing w:line="276" w:lineRule="auto"/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D3A5D" w:rsidRDefault="002B4EA4" w:rsidP="007531DB">
            <w:pPr>
              <w:spacing w:line="276" w:lineRule="auto"/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2pt;height:31.9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4B641F">
        <w:trPr>
          <w:gridAfter w:val="1"/>
          <w:wAfter w:w="13" w:type="dxa"/>
          <w:trHeight w:val="523"/>
        </w:trPr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7531DB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3FA9304A" w:rsidR="000B1C3B" w:rsidRPr="00CD3A5D" w:rsidRDefault="0086441D" w:rsidP="007531DB">
            <w:pPr>
              <w:spacing w:line="276" w:lineRule="auto"/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4B641F">
                  <w:t>03-00-118/10.04.2023 г</w:t>
                </w:r>
                <w:r w:rsidR="00F4388F" w:rsidRPr="00CD3A5D">
                  <w:t>.</w:t>
                </w:r>
              </w:sdtContent>
            </w:sdt>
          </w:p>
        </w:tc>
      </w:tr>
      <w:tr w:rsidR="000B1C3B" w:rsidRPr="00CD3A5D" w14:paraId="7926F6B0" w14:textId="77777777" w:rsidTr="004B641F">
        <w:trPr>
          <w:gridAfter w:val="1"/>
          <w:wAfter w:w="13" w:type="dxa"/>
        </w:trPr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7531DB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794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50EBA051" w:rsidR="000B1C3B" w:rsidRPr="00CD3A5D" w:rsidRDefault="004B641F" w:rsidP="007531DB">
                <w:pPr>
                  <w:spacing w:line="276" w:lineRule="auto"/>
                  <w:ind w:firstLine="0"/>
                </w:pPr>
                <w:r>
                  <w:t>М</w:t>
                </w:r>
                <w:r w:rsidRPr="004B641F">
                  <w:t>инистерство на околната среда и водите</w:t>
                </w:r>
              </w:p>
            </w:tc>
          </w:sdtContent>
        </w:sdt>
      </w:tr>
      <w:tr w:rsidR="00602DA4" w:rsidRPr="00CD3A5D" w14:paraId="28F9B30D" w14:textId="77777777" w:rsidTr="004B64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7531DB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1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C9E8ED" w14:textId="2C839B74" w:rsidR="00602DA4" w:rsidRPr="00CD3A5D" w:rsidRDefault="009B0661" w:rsidP="007531DB">
            <w:pPr>
              <w:spacing w:line="276" w:lineRule="auto"/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3" w:name="Dropdown3"/>
            <w:r>
              <w:instrText xml:space="preserve"> FORMDROPDOWN </w:instrText>
            </w:r>
            <w:r w:rsidR="0086441D">
              <w:fldChar w:fldCharType="separate"/>
            </w:r>
            <w:r>
              <w:fldChar w:fldCharType="end"/>
            </w:r>
            <w:bookmarkEnd w:id="3"/>
          </w:p>
        </w:tc>
      </w:tr>
      <w:tr w:rsidR="00602DA4" w:rsidRPr="00CD3A5D" w14:paraId="43DB9136" w14:textId="77777777" w:rsidTr="004B64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7531DB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ADC8831" w:rsidR="00602DA4" w:rsidRPr="00CD3A5D" w:rsidRDefault="00C05B7D" w:rsidP="007531DB">
            <w:pPr>
              <w:spacing w:line="276" w:lineRule="auto"/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>
              <w:instrText xml:space="preserve"> FORMDROPDOWN </w:instrText>
            </w:r>
            <w:r w:rsidR="0086441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598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72ABCCC5" w14:textId="77777777" w:rsidR="00602DA4" w:rsidRPr="00CD3A5D" w:rsidRDefault="00602DA4" w:rsidP="007531DB">
            <w:pPr>
              <w:spacing w:line="276" w:lineRule="auto"/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CD3A5D" w:rsidRDefault="00602DA4" w:rsidP="00C20834">
      <w:pPr>
        <w:sectPr w:rsidR="00602DA4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CD3A5D" w14:paraId="54E3E36B" w14:textId="77777777" w:rsidTr="00B0732D">
        <w:tc>
          <w:tcPr>
            <w:tcW w:w="9914" w:type="dxa"/>
            <w:shd w:val="clear" w:color="auto" w:fill="FFFFFF" w:themeFill="background1"/>
          </w:tcPr>
          <w:p w14:paraId="5989AE80" w14:textId="0CBAD7CB" w:rsidR="00C462DB" w:rsidRDefault="00C462DB" w:rsidP="00457416">
            <w:pPr>
              <w:pStyle w:val="Heading1"/>
              <w:spacing w:line="276" w:lineRule="auto"/>
              <w:ind w:left="874"/>
              <w:jc w:val="both"/>
              <w:outlineLvl w:val="0"/>
            </w:pPr>
            <w:r>
              <w:lastRenderedPageBreak/>
              <w:t>Относно раздел 1 „Проблем/проблеми за решаване“:</w:t>
            </w:r>
          </w:p>
          <w:p w14:paraId="58D09795" w14:textId="77777777" w:rsidR="00892514" w:rsidRDefault="00E607C9" w:rsidP="00457416">
            <w:pPr>
              <w:pStyle w:val="02"/>
              <w:jc w:val="both"/>
            </w:pPr>
            <w:r>
              <w:t>Така</w:t>
            </w:r>
            <w:r w:rsidR="002B361C">
              <w:t xml:space="preserve"> дефиниран</w:t>
            </w:r>
            <w:r>
              <w:t>,</w:t>
            </w:r>
            <w:r w:rsidR="002B361C">
              <w:t xml:space="preserve"> проблем</w:t>
            </w:r>
            <w:r>
              <w:t>ът</w:t>
            </w:r>
            <w:r w:rsidR="002B361C">
              <w:t xml:space="preserve"> е много общ и неясен.</w:t>
            </w:r>
            <w:r>
              <w:t xml:space="preserve"> Също така т</w:t>
            </w:r>
            <w:r w:rsidRPr="00E607C9">
              <w:t xml:space="preserve">ранспонирането и приложението на </w:t>
            </w:r>
            <w:r>
              <w:t>конкретната директива</w:t>
            </w:r>
            <w:r w:rsidRPr="00E607C9">
              <w:t xml:space="preserve"> не предвижда само формалното приемане на акта, а обхваща мерки, които подпомагат ефективното </w:t>
            </w:r>
            <w:r>
              <w:t xml:space="preserve">ѝ </w:t>
            </w:r>
            <w:r w:rsidRPr="00E607C9">
              <w:t>прилагане в националното ни законодателство.</w:t>
            </w:r>
            <w:r>
              <w:t xml:space="preserve"> </w:t>
            </w:r>
          </w:p>
          <w:p w14:paraId="4643B7FF" w14:textId="13E9C495" w:rsidR="002B361C" w:rsidRDefault="00B56A9C" w:rsidP="00457416">
            <w:pPr>
              <w:pStyle w:val="02"/>
              <w:jc w:val="both"/>
            </w:pPr>
            <w:r>
              <w:t xml:space="preserve">В тази връзка препоръчваме </w:t>
            </w:r>
            <w:r w:rsidRPr="00B56A9C">
              <w:t>проблем</w:t>
            </w:r>
            <w:r>
              <w:t>ът да се преформулира по ясен и прецизен начин</w:t>
            </w:r>
            <w:r w:rsidR="00892514">
              <w:t xml:space="preserve">, като отново </w:t>
            </w:r>
            <w:r w:rsidR="00E607C9">
              <w:t>напомняме, че к</w:t>
            </w:r>
            <w:r w:rsidR="00E607C9" w:rsidRPr="00E607C9">
              <w:t xml:space="preserve">огато оценката на въздействието е свързана с транспониране на делегирана директива (в случая </w:t>
            </w:r>
            <w:r w:rsidR="00E607C9" w:rsidRPr="00892514">
              <w:rPr>
                <w:i/>
              </w:rPr>
              <w:t>Директива (ЕС) 2023/544</w:t>
            </w:r>
            <w:r w:rsidR="00E607C9" w:rsidRPr="00E607C9">
              <w:t xml:space="preserve"> на Комисията от 16.12.2022 г. за изменение на Директива № 2000/53/ЕО на Европейския парламент и на Съвета), </w:t>
            </w:r>
            <w:r w:rsidR="00E607C9" w:rsidRPr="00B56A9C">
              <w:rPr>
                <w:b/>
              </w:rPr>
              <w:t>изследваният проблем по отношение</w:t>
            </w:r>
            <w:r w:rsidR="00E607C9" w:rsidRPr="00E607C9">
              <w:t xml:space="preserve"> на </w:t>
            </w:r>
            <w:r w:rsidR="00E607C9" w:rsidRPr="007531DB">
              <w:rPr>
                <w:i/>
              </w:rPr>
              <w:t>употребата на олово в алуминиеви сплави за целите на обработката на металорежещи машини, в медни сплави и в определени батерии</w:t>
            </w:r>
            <w:r w:rsidR="00E607C9">
              <w:t>,</w:t>
            </w:r>
            <w:r w:rsidR="00E607C9" w:rsidRPr="00E607C9">
              <w:t xml:space="preserve"> следва да бъде изложен </w:t>
            </w:r>
            <w:r w:rsidR="00E607C9">
              <w:t xml:space="preserve">подробно </w:t>
            </w:r>
            <w:r w:rsidR="00E607C9" w:rsidRPr="00E607C9">
              <w:t xml:space="preserve">в </w:t>
            </w:r>
            <w:r w:rsidR="00E607C9" w:rsidRPr="00B56A9C">
              <w:rPr>
                <w:b/>
              </w:rPr>
              <w:t>подточките 1.1 – 1.5 от раздела</w:t>
            </w:r>
            <w:r w:rsidR="00E607C9" w:rsidRPr="00E607C9">
              <w:t>.</w:t>
            </w:r>
          </w:p>
          <w:p w14:paraId="4BAD5A63" w14:textId="77777777" w:rsidR="007531DB" w:rsidRDefault="00B56A9C" w:rsidP="007531DB">
            <w:pPr>
              <w:pStyle w:val="02"/>
              <w:jc w:val="both"/>
            </w:pPr>
            <w:r>
              <w:t>Необходимо е разделът</w:t>
            </w:r>
            <w:r w:rsidR="00892514">
              <w:t xml:space="preserve"> да съдържа </w:t>
            </w:r>
            <w:r w:rsidR="0082242D">
              <w:t xml:space="preserve">по-подробна информация относно изискванията на </w:t>
            </w:r>
            <w:r w:rsidR="00892514" w:rsidRPr="00892514">
              <w:t>Директива (ЕС) 2023/544</w:t>
            </w:r>
            <w:r w:rsidR="0082242D">
              <w:t>, какви са констатираните проблеми/необходимост от приемането ѝ, какво е актуалното положение в ЕС и на национално ниво, какви са проблемите на национално ниво и как би следвало да се преодолеят, кои са пряко засегнатите и заинтересовани страни и кои са органите с ангажименти в процесите и т.н.</w:t>
            </w:r>
            <w:r w:rsidR="00892514">
              <w:t xml:space="preserve"> </w:t>
            </w:r>
          </w:p>
          <w:p w14:paraId="7E8A3E19" w14:textId="638DA2D9" w:rsidR="00C462DB" w:rsidRDefault="00C462DB" w:rsidP="007531DB">
            <w:pPr>
              <w:pStyle w:val="Heading1"/>
              <w:ind w:left="874"/>
              <w:outlineLvl w:val="0"/>
            </w:pPr>
            <w:r>
              <w:t>Относно раздел 2 „Цели“:</w:t>
            </w:r>
          </w:p>
          <w:p w14:paraId="25652F99" w14:textId="45AD474B" w:rsidR="00E5326B" w:rsidRDefault="00B56A9C" w:rsidP="007531DB">
            <w:pPr>
              <w:pStyle w:val="a1"/>
              <w:ind w:firstLine="874"/>
            </w:pPr>
            <w:r>
              <w:t xml:space="preserve">Аналогично </w:t>
            </w:r>
            <w:r w:rsidR="007531DB">
              <w:t>на раздел 1</w:t>
            </w:r>
            <w:r>
              <w:t xml:space="preserve">, </w:t>
            </w:r>
            <w:r w:rsidRPr="00B56A9C">
              <w:t>когато става въпрос за транспониране на директиви на ЕС, оценка</w:t>
            </w:r>
            <w:r w:rsidR="007531DB">
              <w:t>та</w:t>
            </w:r>
            <w:r w:rsidRPr="00B56A9C">
              <w:t xml:space="preserve"> на въздействието следва да включва целите, залегнали в изготвените от европейските институции оценки на въздействието на съответния нормативен акт.</w:t>
            </w:r>
            <w:r w:rsidR="00EC24D8">
              <w:t xml:space="preserve"> Също така е необходимо да </w:t>
            </w:r>
            <w:r w:rsidR="00715687" w:rsidRPr="00A941F3">
              <w:t xml:space="preserve">бъдат определени </w:t>
            </w:r>
            <w:r w:rsidR="00E5326B">
              <w:t xml:space="preserve">такива </w:t>
            </w:r>
            <w:r w:rsidR="00715687" w:rsidRPr="00A941F3">
              <w:t>цели, които</w:t>
            </w:r>
            <w:r w:rsidR="00E5326B">
              <w:t xml:space="preserve"> да</w:t>
            </w:r>
            <w:r w:rsidR="00715687" w:rsidRPr="00A941F3">
              <w:t xml:space="preserve"> съответстват на проблем</w:t>
            </w:r>
            <w:r w:rsidR="00E5326B">
              <w:t xml:space="preserve">а или проблемите (след </w:t>
            </w:r>
            <w:r w:rsidR="00715687" w:rsidRPr="00A941F3">
              <w:lastRenderedPageBreak/>
              <w:t>определянето на конкретни</w:t>
            </w:r>
            <w:r w:rsidR="00E5326B">
              <w:t>те</w:t>
            </w:r>
            <w:r w:rsidR="00715687" w:rsidRPr="00A941F3">
              <w:t xml:space="preserve"> проблеми по отношение на транспонирането на </w:t>
            </w:r>
            <w:r w:rsidR="00715687" w:rsidRPr="00A941F3">
              <w:rPr>
                <w:rFonts w:eastAsia="Times New Roman"/>
              </w:rPr>
              <w:t>Директива</w:t>
            </w:r>
            <w:r w:rsidR="00E5326B">
              <w:rPr>
                <w:rFonts w:eastAsia="Times New Roman"/>
              </w:rPr>
              <w:t> </w:t>
            </w:r>
            <w:r w:rsidR="00715687" w:rsidRPr="00A941F3">
              <w:rPr>
                <w:rFonts w:eastAsia="Times New Roman"/>
              </w:rPr>
              <w:t xml:space="preserve"> </w:t>
            </w:r>
            <w:r w:rsidR="00E5326B" w:rsidRPr="00E5326B">
              <w:rPr>
                <w:rFonts w:eastAsia="Times New Roman"/>
              </w:rPr>
              <w:t>(ЕС)</w:t>
            </w:r>
            <w:r w:rsidR="00E5326B">
              <w:rPr>
                <w:rFonts w:eastAsia="Times New Roman"/>
              </w:rPr>
              <w:t> </w:t>
            </w:r>
            <w:r w:rsidR="00E5326B" w:rsidRPr="00E5326B">
              <w:rPr>
                <w:rFonts w:eastAsia="Times New Roman"/>
              </w:rPr>
              <w:t xml:space="preserve"> 2023/544</w:t>
            </w:r>
            <w:r w:rsidR="00715687" w:rsidRPr="00A941F3">
              <w:rPr>
                <w:rFonts w:eastAsia="Times New Roman"/>
              </w:rPr>
              <w:t xml:space="preserve"> </w:t>
            </w:r>
            <w:r w:rsidR="00715687" w:rsidRPr="00A941F3">
              <w:t>в раздел 1)</w:t>
            </w:r>
            <w:r w:rsidR="00EC24D8">
              <w:t xml:space="preserve">, както и да бъдат </w:t>
            </w:r>
            <w:r w:rsidR="00715687" w:rsidRPr="00A941F3">
              <w:t xml:space="preserve">измерими, </w:t>
            </w:r>
            <w:r w:rsidR="00EC24D8">
              <w:t xml:space="preserve">с </w:t>
            </w:r>
            <w:r w:rsidR="00E5326B">
              <w:t xml:space="preserve">което ще </w:t>
            </w:r>
            <w:r w:rsidR="00EC24D8">
              <w:t xml:space="preserve">се </w:t>
            </w:r>
            <w:r w:rsidR="00E5326B">
              <w:t xml:space="preserve">даде </w:t>
            </w:r>
            <w:r w:rsidR="00E5326B" w:rsidRPr="004D35D5">
              <w:t xml:space="preserve">възможност </w:t>
            </w:r>
            <w:r w:rsidR="00E5326B">
              <w:t xml:space="preserve">в бъдеще </w:t>
            </w:r>
            <w:r w:rsidR="00E5326B" w:rsidRPr="004D35D5">
              <w:t xml:space="preserve">да </w:t>
            </w:r>
            <w:r w:rsidR="00EC24D8">
              <w:t xml:space="preserve">се </w:t>
            </w:r>
            <w:r w:rsidR="00E5326B" w:rsidRPr="004D35D5">
              <w:t>установен</w:t>
            </w:r>
            <w:r w:rsidR="00EC24D8">
              <w:t>и</w:t>
            </w:r>
            <w:r w:rsidR="00E5326B" w:rsidRPr="004D35D5">
              <w:t xml:space="preserve"> </w:t>
            </w:r>
            <w:r w:rsidR="00E5326B" w:rsidRPr="00E5326B">
              <w:t>дали поставената цел/цели са постигнати</w:t>
            </w:r>
            <w:r w:rsidR="00E5326B">
              <w:t>.</w:t>
            </w:r>
          </w:p>
          <w:p w14:paraId="5D00E1A3" w14:textId="65770F4B" w:rsidR="00DA7EEB" w:rsidRPr="007531DB" w:rsidRDefault="00DA7EEB" w:rsidP="007531DB">
            <w:pPr>
              <w:pStyle w:val="a1"/>
              <w:ind w:firstLine="1016"/>
              <w:rPr>
                <w:rStyle w:val="Hyperlink"/>
              </w:rPr>
            </w:pPr>
            <w:r w:rsidRPr="007531DB">
              <w:rPr>
                <w:rFonts w:eastAsia="Times New Roman"/>
              </w:rPr>
              <w:t xml:space="preserve">При определяне на целите препоръчваме да се използват насоките от </w:t>
            </w:r>
            <w:hyperlink r:id="rId11" w:history="1">
              <w:r w:rsidRPr="007531DB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Pr="007531DB">
              <w:rPr>
                <w:rStyle w:val="Hyperlink"/>
              </w:rPr>
              <w:t>.</w:t>
            </w:r>
          </w:p>
          <w:p w14:paraId="37B0D36C" w14:textId="4B1521BB" w:rsidR="00A339E0" w:rsidRDefault="00A339E0" w:rsidP="00457416">
            <w:pPr>
              <w:pStyle w:val="Heading1"/>
              <w:spacing w:line="276" w:lineRule="auto"/>
              <w:ind w:left="874"/>
              <w:jc w:val="both"/>
              <w:outlineLvl w:val="0"/>
            </w:pPr>
            <w:r>
              <w:t>Относно раздел 3 „Заинтересовани страни“</w:t>
            </w:r>
          </w:p>
          <w:p w14:paraId="04BBF102" w14:textId="7D145D88" w:rsidR="00A339E0" w:rsidRPr="00A339E0" w:rsidRDefault="005A7C95" w:rsidP="00457416">
            <w:pPr>
              <w:pStyle w:val="02"/>
              <w:jc w:val="both"/>
            </w:pPr>
            <w:r>
              <w:t xml:space="preserve">Необходимо е да се </w:t>
            </w:r>
            <w:r w:rsidRPr="005A7C95">
              <w:t>посочат</w:t>
            </w:r>
            <w:r w:rsidR="008A37DF">
              <w:t xml:space="preserve"> </w:t>
            </w:r>
            <w:r w:rsidR="001933FA">
              <w:t xml:space="preserve">кои са </w:t>
            </w:r>
            <w:r w:rsidR="008A37DF">
              <w:t>пря</w:t>
            </w:r>
            <w:r w:rsidR="001933FA">
              <w:t xml:space="preserve">ко и косвено засегнатите страни. </w:t>
            </w:r>
            <w:r>
              <w:t xml:space="preserve">Предлагаме </w:t>
            </w:r>
            <w:r w:rsidR="002112E4" w:rsidRPr="002112E4">
              <w:t>кръгът на заинтересованите страни да бъде разширен, като бъдат включени още</w:t>
            </w:r>
            <w:r w:rsidR="002112E4">
              <w:t xml:space="preserve"> </w:t>
            </w:r>
            <w:r w:rsidR="00A339E0">
              <w:t>общините,</w:t>
            </w:r>
            <w:r w:rsidR="008A37DF">
              <w:t xml:space="preserve"> </w:t>
            </w:r>
            <w:r w:rsidR="00A51A09">
              <w:t>с</w:t>
            </w:r>
            <w:r w:rsidR="00A51A09" w:rsidRPr="008A37DF">
              <w:t xml:space="preserve">обствениците на </w:t>
            </w:r>
            <w:r w:rsidR="00A51A09">
              <w:t>и</w:t>
            </w:r>
            <w:r w:rsidR="00A51A09" w:rsidRPr="008A37DF">
              <w:t>злезлите от употреба моторни превозни средства</w:t>
            </w:r>
            <w:r w:rsidR="00A51A09">
              <w:t xml:space="preserve"> (</w:t>
            </w:r>
            <w:r w:rsidR="00A51A09" w:rsidRPr="008A37DF">
              <w:t>ИУМПС</w:t>
            </w:r>
            <w:r w:rsidR="00A51A09">
              <w:t>), Изпълнителната агенция по околна среда</w:t>
            </w:r>
            <w:r w:rsidR="008A37DF">
              <w:t xml:space="preserve">, </w:t>
            </w:r>
            <w:r w:rsidR="008A37DF" w:rsidRPr="008A37DF">
              <w:t>Изпълнителна агенция "Автомобилна администрация"</w:t>
            </w:r>
            <w:r w:rsidR="008A37DF">
              <w:t xml:space="preserve"> </w:t>
            </w:r>
            <w:r w:rsidR="00A51A09">
              <w:t>или др.</w:t>
            </w:r>
            <w:r w:rsidR="002112E4">
              <w:t xml:space="preserve"> </w:t>
            </w:r>
            <w:r w:rsidR="00A51A09">
              <w:t>държавни</w:t>
            </w:r>
            <w:r w:rsidR="002112E4" w:rsidRPr="002112E4">
              <w:t xml:space="preserve"> институции, които ще имат контролни или други функции</w:t>
            </w:r>
            <w:r w:rsidR="00A51A09">
              <w:t>.</w:t>
            </w:r>
          </w:p>
          <w:p w14:paraId="1F050FFE" w14:textId="066A50F7" w:rsidR="00C462DB" w:rsidRDefault="00C462DB" w:rsidP="00457416">
            <w:pPr>
              <w:pStyle w:val="Heading1"/>
              <w:spacing w:line="276" w:lineRule="auto"/>
              <w:ind w:left="874"/>
              <w:jc w:val="both"/>
              <w:outlineLvl w:val="0"/>
            </w:pPr>
            <w:r>
              <w:t>Относно раздел 4 „Варианти на действие. Анализ на въздействията“:</w:t>
            </w:r>
          </w:p>
          <w:p w14:paraId="204348F6" w14:textId="3D3F5380" w:rsidR="00C462DB" w:rsidRDefault="002112E4" w:rsidP="00457416">
            <w:pPr>
              <w:pStyle w:val="02"/>
              <w:jc w:val="both"/>
            </w:pPr>
            <w:r>
              <w:t>П</w:t>
            </w:r>
            <w:r w:rsidR="0082242D" w:rsidRPr="0082242D">
              <w:t xml:space="preserve">ри представянето на </w:t>
            </w:r>
            <w:r w:rsidR="0082242D" w:rsidRPr="001933FA">
              <w:rPr>
                <w:i/>
              </w:rPr>
              <w:t>Вариант 1</w:t>
            </w:r>
            <w:r w:rsidR="0082242D" w:rsidRPr="0082242D">
              <w:t xml:space="preserve"> </w:t>
            </w:r>
            <w:r>
              <w:t xml:space="preserve">е необходимо </w:t>
            </w:r>
            <w:r w:rsidR="0082242D" w:rsidRPr="0082242D">
              <w:t xml:space="preserve">да </w:t>
            </w:r>
            <w:r w:rsidR="007531DB">
              <w:t xml:space="preserve">се </w:t>
            </w:r>
            <w:r w:rsidR="0082242D" w:rsidRPr="0082242D">
              <w:t>включ</w:t>
            </w:r>
            <w:r>
              <w:t>и</w:t>
            </w:r>
            <w:r w:rsidR="0082242D" w:rsidRPr="0082242D">
              <w:t xml:space="preserve"> описание на актуалното състояние </w:t>
            </w:r>
            <w:r w:rsidR="00A339E0">
              <w:t>и</w:t>
            </w:r>
            <w:r w:rsidR="0082242D" w:rsidRPr="0082242D">
              <w:t xml:space="preserve"> действащите правни норми </w:t>
            </w:r>
            <w:r w:rsidR="00A339E0" w:rsidRPr="00A339E0">
              <w:t>по отношение на изискванията за</w:t>
            </w:r>
            <w:r w:rsidR="001933FA">
              <w:t xml:space="preserve"> употребата </w:t>
            </w:r>
            <w:r w:rsidR="001933FA" w:rsidRPr="001933FA">
              <w:t>на олово</w:t>
            </w:r>
            <w:r w:rsidR="0082242D" w:rsidRPr="0082242D">
              <w:t xml:space="preserve">, а във </w:t>
            </w:r>
            <w:r w:rsidR="0082242D" w:rsidRPr="001933FA">
              <w:rPr>
                <w:i/>
              </w:rPr>
              <w:t>Вариант 2</w:t>
            </w:r>
            <w:r w:rsidR="0082242D" w:rsidRPr="0082242D">
              <w:t xml:space="preserve"> </w:t>
            </w:r>
            <w:r w:rsidR="001933FA">
              <w:t xml:space="preserve">да </w:t>
            </w:r>
            <w:r w:rsidR="0082242D" w:rsidRPr="0082242D">
              <w:t>се опи</w:t>
            </w:r>
            <w:r w:rsidR="001933FA">
              <w:t xml:space="preserve">шат </w:t>
            </w:r>
            <w:r w:rsidR="007531DB">
              <w:t>предлаганите промени.</w:t>
            </w:r>
          </w:p>
          <w:p w14:paraId="3386343D" w14:textId="77777777" w:rsidR="0082242D" w:rsidRPr="007531DB" w:rsidRDefault="0082242D" w:rsidP="00457416">
            <w:pPr>
              <w:pStyle w:val="02"/>
              <w:jc w:val="both"/>
              <w:rPr>
                <w:b/>
                <w:u w:val="single"/>
              </w:rPr>
            </w:pPr>
            <w:r w:rsidRPr="007531DB">
              <w:rPr>
                <w:b/>
                <w:u w:val="single"/>
              </w:rPr>
              <w:t>Относно Анализ на въздействията:</w:t>
            </w:r>
          </w:p>
          <w:p w14:paraId="3E8ECC32" w14:textId="59BAA26D" w:rsidR="0082242D" w:rsidRDefault="0082242D" w:rsidP="00457416">
            <w:pPr>
              <w:pStyle w:val="02"/>
              <w:jc w:val="both"/>
            </w:pPr>
            <w:r>
              <w:t>Необходимо е да се представят очакваните икономически, социални и екологични въздействия върху пряко засегнати</w:t>
            </w:r>
            <w:r w:rsidR="00A51A09">
              <w:t>те страни, чрез</w:t>
            </w:r>
            <w:r>
              <w:t xml:space="preserve"> отговарянето на примерните въпроси</w:t>
            </w:r>
            <w:r w:rsidR="007531DB">
              <w:t xml:space="preserve"> от </w:t>
            </w:r>
            <w:hyperlink r:id="rId12" w:history="1">
              <w:r w:rsidR="00A51A09" w:rsidRPr="007531DB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="00A51A09" w:rsidRPr="007531DB">
              <w:rPr>
                <w:rStyle w:val="Hyperlink"/>
              </w:rPr>
              <w:t>.</w:t>
            </w:r>
            <w:r w:rsidR="00A51A09">
              <w:t xml:space="preserve"> (</w:t>
            </w:r>
            <w:r>
              <w:t xml:space="preserve">стр. 28 </w:t>
            </w:r>
            <w:r w:rsidR="00A51A09">
              <w:t>–</w:t>
            </w:r>
            <w:r>
              <w:t xml:space="preserve"> 37</w:t>
            </w:r>
            <w:r w:rsidR="00A51A09">
              <w:t>)</w:t>
            </w:r>
            <w:r>
              <w:t xml:space="preserve">. </w:t>
            </w:r>
          </w:p>
          <w:p w14:paraId="6A4DDFC4" w14:textId="3A06A95F" w:rsidR="0082242D" w:rsidRDefault="007531DB" w:rsidP="00457416">
            <w:pPr>
              <w:pStyle w:val="02"/>
              <w:jc w:val="both"/>
            </w:pPr>
            <w:r>
              <w:t>П</w:t>
            </w:r>
            <w:r w:rsidR="0082242D">
              <w:t xml:space="preserve">редвид факта, че се транспонира акт от правото на ЕС, е допустимо да се цитират </w:t>
            </w:r>
            <w:r w:rsidR="00AF0C3F">
              <w:t xml:space="preserve">както </w:t>
            </w:r>
            <w:r w:rsidR="0082242D">
              <w:t xml:space="preserve">вече формулирани проблеми, </w:t>
            </w:r>
            <w:r w:rsidR="00AF0C3F">
              <w:t xml:space="preserve">така и </w:t>
            </w:r>
            <w:r w:rsidR="0082242D">
              <w:t>аналитични елементи и подобни, изготвени на ниво ЕС.</w:t>
            </w:r>
          </w:p>
          <w:p w14:paraId="5052B5FF" w14:textId="679F042F" w:rsidR="00C462DB" w:rsidRDefault="00C462DB" w:rsidP="00457416">
            <w:pPr>
              <w:pStyle w:val="Heading1"/>
              <w:spacing w:line="276" w:lineRule="auto"/>
              <w:ind w:left="874"/>
              <w:jc w:val="both"/>
              <w:outlineLvl w:val="0"/>
            </w:pPr>
            <w:r>
              <w:t xml:space="preserve">Относно раздел 5 </w:t>
            </w:r>
            <w:r w:rsidR="004F41A5">
              <w:t>и раздел 6</w:t>
            </w:r>
          </w:p>
          <w:p w14:paraId="62487D3D" w14:textId="6D698177" w:rsidR="00A51A09" w:rsidRPr="00A51A09" w:rsidRDefault="004F41A5" w:rsidP="00457416">
            <w:pPr>
              <w:pStyle w:val="02"/>
              <w:jc w:val="both"/>
              <w:rPr>
                <w:rFonts w:eastAsia="Times New Roman"/>
              </w:rPr>
            </w:pPr>
            <w:r w:rsidRPr="004F41A5">
              <w:rPr>
                <w:rStyle w:val="02Char"/>
              </w:rPr>
              <w:t xml:space="preserve">В изпратената за съгласуване частична предварителна оценка на въздействието </w:t>
            </w:r>
            <w:r w:rsidR="00A51A09" w:rsidRPr="00CC29EE">
              <w:rPr>
                <w:rStyle w:val="02Char"/>
              </w:rPr>
              <w:t xml:space="preserve">липсва </w:t>
            </w:r>
            <w:r w:rsidR="00A51A09" w:rsidRPr="004F41A5">
              <w:rPr>
                <w:rStyle w:val="02Char"/>
                <w:i/>
              </w:rPr>
              <w:t>раздел</w:t>
            </w:r>
            <w:r w:rsidR="00CC29EE" w:rsidRPr="004F41A5">
              <w:rPr>
                <w:rStyle w:val="02Char"/>
                <w:i/>
              </w:rPr>
              <w:t xml:space="preserve"> 5 „Сравняване</w:t>
            </w:r>
            <w:r w:rsidR="00CC29EE" w:rsidRPr="004F41A5">
              <w:rPr>
                <w:i/>
              </w:rPr>
              <w:t xml:space="preserve"> на вариантите”</w:t>
            </w:r>
            <w:r w:rsidR="00A51A09">
              <w:t xml:space="preserve"> </w:t>
            </w:r>
            <w:r w:rsidR="00CC29EE">
              <w:t xml:space="preserve">и </w:t>
            </w:r>
            <w:r w:rsidR="00CC29EE" w:rsidRPr="004F41A5">
              <w:rPr>
                <w:i/>
              </w:rPr>
              <w:t>раздел 6 „Избор на препоръчителен вариант“</w:t>
            </w:r>
            <w:r w:rsidR="00CC29EE" w:rsidRPr="00A51A09">
              <w:t xml:space="preserve"> </w:t>
            </w:r>
          </w:p>
          <w:p w14:paraId="2AA6ED33" w14:textId="61498E20" w:rsidR="00C462DB" w:rsidRDefault="00C462DB" w:rsidP="00457416">
            <w:pPr>
              <w:pStyle w:val="Heading1"/>
              <w:spacing w:line="276" w:lineRule="auto"/>
              <w:ind w:left="874"/>
              <w:jc w:val="both"/>
              <w:outlineLvl w:val="0"/>
            </w:pPr>
            <w:r>
              <w:t>Относно раздел 6.4. „По какъв начин препоръчителният вариант въздейства върху микро-, малките и средните предприятия (МСП)?“:</w:t>
            </w:r>
          </w:p>
          <w:p w14:paraId="272D7502" w14:textId="2501BBD4" w:rsidR="0098505A" w:rsidRDefault="0098505A" w:rsidP="00457416">
            <w:pPr>
              <w:spacing w:line="276" w:lineRule="auto"/>
              <w:jc w:val="both"/>
            </w:pPr>
            <w:r w:rsidRPr="0098505A">
              <w:t xml:space="preserve">В обхвата на заинтересованите страни са включени производители, доставчици, търговци и </w:t>
            </w:r>
            <w:r w:rsidR="00457416">
              <w:t>др</w:t>
            </w:r>
            <w:r w:rsidRPr="0098505A">
              <w:t>.</w:t>
            </w:r>
            <w:r>
              <w:t xml:space="preserve">, които </w:t>
            </w:r>
            <w:r w:rsidRPr="0098505A">
              <w:t xml:space="preserve">се </w:t>
            </w:r>
            <w:r>
              <w:t>явяват</w:t>
            </w:r>
            <w:r w:rsidRPr="0098505A">
              <w:t xml:space="preserve"> МСП. В</w:t>
            </w:r>
            <w:r>
              <w:t xml:space="preserve"> тази връзка следва да се ревизира твърдението </w:t>
            </w:r>
            <w:r w:rsidRPr="00457416">
              <w:rPr>
                <w:i/>
              </w:rPr>
              <w:t>„Актът на засяга МСП</w:t>
            </w:r>
            <w:r w:rsidR="00457416" w:rsidRPr="00457416">
              <w:rPr>
                <w:i/>
              </w:rPr>
              <w:t>“</w:t>
            </w:r>
            <w:r w:rsidR="00457416">
              <w:t>. В</w:t>
            </w:r>
            <w:r w:rsidRPr="0098505A">
              <w:t xml:space="preserve"> случай че твърдение</w:t>
            </w:r>
            <w:r w:rsidR="00457416">
              <w:t xml:space="preserve">то остава, </w:t>
            </w:r>
            <w:r w:rsidR="007531DB">
              <w:t xml:space="preserve">то </w:t>
            </w:r>
            <w:r w:rsidR="00457416">
              <w:t xml:space="preserve">следва </w:t>
            </w:r>
            <w:r w:rsidR="00457416" w:rsidRPr="00C048C7">
              <w:rPr>
                <w:rFonts w:eastAsia="Times New Roman" w:cstheme="minorHAnsi"/>
              </w:rPr>
              <w:t>да се обоснове с аргументи</w:t>
            </w:r>
            <w:r w:rsidR="007531DB">
              <w:rPr>
                <w:rFonts w:eastAsia="Times New Roman" w:cstheme="minorHAnsi"/>
              </w:rPr>
              <w:t>.</w:t>
            </w:r>
          </w:p>
          <w:p w14:paraId="65714150" w14:textId="04AAE90A" w:rsidR="00C462DB" w:rsidRDefault="00C462DB" w:rsidP="00AF0C3F">
            <w:pPr>
              <w:pStyle w:val="Heading1"/>
              <w:spacing w:line="276" w:lineRule="auto"/>
              <w:ind w:left="874"/>
              <w:jc w:val="both"/>
              <w:outlineLvl w:val="0"/>
            </w:pPr>
            <w:r>
              <w:t>Относно раздел 8 „Приемането на нормативния акт произтича ли от правото на Европейския съюз?“:</w:t>
            </w:r>
          </w:p>
          <w:p w14:paraId="1BEC5775" w14:textId="207AB451" w:rsidR="00C462DB" w:rsidRPr="00C462DB" w:rsidRDefault="00457416" w:rsidP="0026208D">
            <w:pPr>
              <w:spacing w:line="276" w:lineRule="auto"/>
              <w:jc w:val="both"/>
            </w:pPr>
            <w:r w:rsidRPr="00457416">
              <w:t>Предлагаме в този раздел накратко да се посочат какви са конкретните изисквания на Директива (ЕС) 2023/544, които следва да бъдат въведени в българското законодателство и ако е била извършвана оценка на въздействието на ниво ЕС, да се посочи връзка към източника.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AF0C3F">
            <w:pPr>
              <w:pStyle w:val="03"/>
            </w:pPr>
            <w:r w:rsidRPr="00CD3A5D">
              <w:lastRenderedPageBreak/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AF0C3F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597639A0" w:rsidR="00602DA4" w:rsidRPr="00CD3A5D" w:rsidRDefault="002D3CB0" w:rsidP="00AF0C3F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CD3A5D" w:rsidRDefault="002D3CB0" w:rsidP="00AF0C3F">
            <w:pPr>
              <w:pStyle w:val="03"/>
            </w:pPr>
            <w:r w:rsidRPr="00CD3A5D"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77C58612" w:rsidR="00094215" w:rsidRPr="00CD3A5D" w:rsidRDefault="00094215" w:rsidP="00AF0C3F">
            <w:pPr>
              <w:spacing w:before="240" w:line="276" w:lineRule="auto"/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CD3A5D" w:rsidRDefault="00094215" w:rsidP="00AF0C3F">
            <w:pPr>
              <w:spacing w:line="276" w:lineRule="auto"/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>„МОДЕРНИЗАЦИЯ НА АДМИНИСТРАЦИЯТА“</w:t>
            </w:r>
            <w:r w:rsidR="00CD3A5D" w:rsidRPr="00CD3A5D">
              <w:rPr>
                <w:b/>
              </w:rPr>
              <w:t>:</w:t>
            </w:r>
          </w:p>
          <w:p w14:paraId="3F10716B" w14:textId="77777777" w:rsidR="00094215" w:rsidRPr="00CD3A5D" w:rsidRDefault="002B4EA4" w:rsidP="00AF0C3F">
            <w:pPr>
              <w:spacing w:line="276" w:lineRule="auto"/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.25pt;height:95.75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71A0E6D" w:rsidR="00B70BF4" w:rsidRPr="00CD3A5D" w:rsidRDefault="00B70BF4" w:rsidP="00AF0C3F">
            <w:pPr>
              <w:tabs>
                <w:tab w:val="left" w:pos="5812"/>
              </w:tabs>
              <w:spacing w:after="120" w:line="276" w:lineRule="auto"/>
              <w:ind w:left="5846" w:firstLine="0"/>
              <w:jc w:val="center"/>
              <w:rPr>
                <w:b/>
                <w:lang w:val="en-US"/>
              </w:rPr>
            </w:pPr>
            <w:r w:rsidRPr="00CD3A5D">
              <w:rPr>
                <w:b/>
                <w:highlight w:val="white"/>
                <w:lang w:eastAsia="bg-BG"/>
              </w:rPr>
              <w:t>(</w:t>
            </w:r>
            <w:r w:rsidR="00266613" w:rsidRPr="00CD3A5D">
              <w:rPr>
                <w:b/>
                <w:highlight w:val="white"/>
                <w:lang w:eastAsia="bg-BG"/>
              </w:rPr>
              <w:t>НИКОЛИНА СТОЯНОВА</w:t>
            </w:r>
            <w:r w:rsidRPr="00CD3A5D">
              <w:rPr>
                <w:b/>
                <w:highlight w:val="white"/>
                <w:lang w:eastAsia="bg-BG"/>
              </w:rPr>
              <w:t>)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4EF4C" w14:textId="77777777" w:rsidR="0086441D" w:rsidRDefault="0086441D" w:rsidP="00C20834">
      <w:r>
        <w:separator/>
      </w:r>
    </w:p>
    <w:p w14:paraId="541D0A87" w14:textId="77777777" w:rsidR="0086441D" w:rsidRDefault="0086441D" w:rsidP="00C20834"/>
  </w:endnote>
  <w:endnote w:type="continuationSeparator" w:id="0">
    <w:p w14:paraId="52DDB0CE" w14:textId="77777777" w:rsidR="0086441D" w:rsidRDefault="0086441D" w:rsidP="00C20834">
      <w:r>
        <w:continuationSeparator/>
      </w:r>
    </w:p>
    <w:p w14:paraId="1DD4A5FB" w14:textId="77777777" w:rsidR="0086441D" w:rsidRDefault="0086441D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61C724D2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2B4EA4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2B4EA4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8AE4" w14:textId="77777777" w:rsidR="0086441D" w:rsidRDefault="0086441D" w:rsidP="00C20834">
      <w:r>
        <w:separator/>
      </w:r>
    </w:p>
    <w:p w14:paraId="34702C4A" w14:textId="77777777" w:rsidR="0086441D" w:rsidRDefault="0086441D" w:rsidP="00C20834"/>
  </w:footnote>
  <w:footnote w:type="continuationSeparator" w:id="0">
    <w:p w14:paraId="4DA52DEF" w14:textId="77777777" w:rsidR="0086441D" w:rsidRDefault="0086441D" w:rsidP="00C20834">
      <w:r>
        <w:continuationSeparator/>
      </w:r>
    </w:p>
    <w:p w14:paraId="54E01426" w14:textId="77777777" w:rsidR="0086441D" w:rsidRDefault="0086441D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2193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82180"/>
    <w:rsid w:val="001933FA"/>
    <w:rsid w:val="001B2BD0"/>
    <w:rsid w:val="001C53C5"/>
    <w:rsid w:val="001D2BFB"/>
    <w:rsid w:val="001D7F92"/>
    <w:rsid w:val="00204910"/>
    <w:rsid w:val="00204F7B"/>
    <w:rsid w:val="00205D16"/>
    <w:rsid w:val="002061BC"/>
    <w:rsid w:val="002112E4"/>
    <w:rsid w:val="002261F7"/>
    <w:rsid w:val="00247168"/>
    <w:rsid w:val="0026208D"/>
    <w:rsid w:val="0026367B"/>
    <w:rsid w:val="00266613"/>
    <w:rsid w:val="00274543"/>
    <w:rsid w:val="00277B2B"/>
    <w:rsid w:val="002802AD"/>
    <w:rsid w:val="00292933"/>
    <w:rsid w:val="002A7C7A"/>
    <w:rsid w:val="002B220F"/>
    <w:rsid w:val="002B361C"/>
    <w:rsid w:val="002B4EA4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50F06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57416"/>
    <w:rsid w:val="004B641F"/>
    <w:rsid w:val="004C6250"/>
    <w:rsid w:val="004C6C07"/>
    <w:rsid w:val="004C7E56"/>
    <w:rsid w:val="004F41A5"/>
    <w:rsid w:val="0050294F"/>
    <w:rsid w:val="00521568"/>
    <w:rsid w:val="00531912"/>
    <w:rsid w:val="0054028C"/>
    <w:rsid w:val="00551C3A"/>
    <w:rsid w:val="00562FF2"/>
    <w:rsid w:val="005717CC"/>
    <w:rsid w:val="00581534"/>
    <w:rsid w:val="00581898"/>
    <w:rsid w:val="005871E5"/>
    <w:rsid w:val="005A7C95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6F32C9"/>
    <w:rsid w:val="00707B5A"/>
    <w:rsid w:val="00715687"/>
    <w:rsid w:val="007531DB"/>
    <w:rsid w:val="007C039F"/>
    <w:rsid w:val="007C11F6"/>
    <w:rsid w:val="007C2031"/>
    <w:rsid w:val="007C448C"/>
    <w:rsid w:val="007D0247"/>
    <w:rsid w:val="007D5CC8"/>
    <w:rsid w:val="007F3EA9"/>
    <w:rsid w:val="0082242D"/>
    <w:rsid w:val="00823916"/>
    <w:rsid w:val="00840B3A"/>
    <w:rsid w:val="00843086"/>
    <w:rsid w:val="00852EF9"/>
    <w:rsid w:val="0085378E"/>
    <w:rsid w:val="00861841"/>
    <w:rsid w:val="0086441D"/>
    <w:rsid w:val="0088051F"/>
    <w:rsid w:val="00892514"/>
    <w:rsid w:val="008A37DF"/>
    <w:rsid w:val="00912F3B"/>
    <w:rsid w:val="00932950"/>
    <w:rsid w:val="00981CBD"/>
    <w:rsid w:val="0098505A"/>
    <w:rsid w:val="009B0661"/>
    <w:rsid w:val="009C002D"/>
    <w:rsid w:val="009E2316"/>
    <w:rsid w:val="009F0FB8"/>
    <w:rsid w:val="00A04C5A"/>
    <w:rsid w:val="00A07BE3"/>
    <w:rsid w:val="00A33936"/>
    <w:rsid w:val="00A339E0"/>
    <w:rsid w:val="00A51A09"/>
    <w:rsid w:val="00A75F5C"/>
    <w:rsid w:val="00A86130"/>
    <w:rsid w:val="00A86B07"/>
    <w:rsid w:val="00A87E18"/>
    <w:rsid w:val="00A972FD"/>
    <w:rsid w:val="00AA0476"/>
    <w:rsid w:val="00AC6248"/>
    <w:rsid w:val="00AD4774"/>
    <w:rsid w:val="00AE5C59"/>
    <w:rsid w:val="00AE72FE"/>
    <w:rsid w:val="00AF0C3F"/>
    <w:rsid w:val="00B06997"/>
    <w:rsid w:val="00B0732D"/>
    <w:rsid w:val="00B1377E"/>
    <w:rsid w:val="00B34391"/>
    <w:rsid w:val="00B401BA"/>
    <w:rsid w:val="00B56A9C"/>
    <w:rsid w:val="00B60D77"/>
    <w:rsid w:val="00B70BF4"/>
    <w:rsid w:val="00B925F8"/>
    <w:rsid w:val="00B96AB1"/>
    <w:rsid w:val="00BA1FC3"/>
    <w:rsid w:val="00BB2188"/>
    <w:rsid w:val="00BC3DF1"/>
    <w:rsid w:val="00C05B7D"/>
    <w:rsid w:val="00C20834"/>
    <w:rsid w:val="00C307F0"/>
    <w:rsid w:val="00C45E18"/>
    <w:rsid w:val="00C462DB"/>
    <w:rsid w:val="00C85426"/>
    <w:rsid w:val="00C94271"/>
    <w:rsid w:val="00CA5C7F"/>
    <w:rsid w:val="00CB4EB5"/>
    <w:rsid w:val="00CC29EE"/>
    <w:rsid w:val="00CD3A5D"/>
    <w:rsid w:val="00CE2DC3"/>
    <w:rsid w:val="00D04285"/>
    <w:rsid w:val="00D4506B"/>
    <w:rsid w:val="00D50DE1"/>
    <w:rsid w:val="00D71609"/>
    <w:rsid w:val="00D82CBF"/>
    <w:rsid w:val="00DA7EEB"/>
    <w:rsid w:val="00DE00B0"/>
    <w:rsid w:val="00DE33AD"/>
    <w:rsid w:val="00DE7A3D"/>
    <w:rsid w:val="00E01303"/>
    <w:rsid w:val="00E1478D"/>
    <w:rsid w:val="00E14879"/>
    <w:rsid w:val="00E3229E"/>
    <w:rsid w:val="00E374A5"/>
    <w:rsid w:val="00E5326B"/>
    <w:rsid w:val="00E5663E"/>
    <w:rsid w:val="00E57CBF"/>
    <w:rsid w:val="00E607C9"/>
    <w:rsid w:val="00EA6D4B"/>
    <w:rsid w:val="00EB342F"/>
    <w:rsid w:val="00EC24D8"/>
    <w:rsid w:val="00ED3D62"/>
    <w:rsid w:val="00EE2F6D"/>
    <w:rsid w:val="00F15F83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aliases w:val="List Paragraph1,List1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aliases w:val="List Paragraph1 Char,List1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paragraph" w:customStyle="1" w:styleId="a1">
    <w:name w:val="Текст"/>
    <w:basedOn w:val="Normal"/>
    <w:link w:val="Char1"/>
    <w:qFormat/>
    <w:rsid w:val="00715687"/>
    <w:pPr>
      <w:spacing w:after="120" w:line="276" w:lineRule="auto"/>
      <w:ind w:firstLine="720"/>
      <w:jc w:val="both"/>
    </w:pPr>
  </w:style>
  <w:style w:type="character" w:customStyle="1" w:styleId="Char1">
    <w:name w:val="Текст Char"/>
    <w:basedOn w:val="DefaultParagraphFont"/>
    <w:link w:val="a1"/>
    <w:rsid w:val="007156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rategy.bg/Publications/View.aspx?lang=bg-BG&amp;categoryId=16&amp;Id=297&amp;y=&amp;m=&amp;d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ategy.bg/Publications/View.aspx?lang=bg-BG&amp;categoryId=16&amp;Id=297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597B80"/>
    <w:rsid w:val="00627929"/>
    <w:rsid w:val="00672054"/>
    <w:rsid w:val="00697090"/>
    <w:rsid w:val="00725B05"/>
    <w:rsid w:val="00935050"/>
    <w:rsid w:val="0094156A"/>
    <w:rsid w:val="009C34EF"/>
    <w:rsid w:val="00A55B95"/>
    <w:rsid w:val="00AF0C3B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07A7F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4AF2-542A-4F5C-B880-B512066F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Kameliya Georgieva</cp:lastModifiedBy>
  <cp:revision>2</cp:revision>
  <cp:lastPrinted>2019-05-16T09:20:00Z</cp:lastPrinted>
  <dcterms:created xsi:type="dcterms:W3CDTF">2023-04-24T12:07:00Z</dcterms:created>
  <dcterms:modified xsi:type="dcterms:W3CDTF">2023-04-24T12:07:00Z</dcterms:modified>
</cp:coreProperties>
</file>