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BC" w:rsidRDefault="002711DD" w:rsidP="00680613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711DD">
        <w:rPr>
          <w:rFonts w:ascii="Times New Roman" w:hAnsi="Times New Roman" w:cs="Times New Roman"/>
          <w:b/>
          <w:sz w:val="24"/>
          <w:szCs w:val="24"/>
          <w:lang w:val="bg-BG"/>
        </w:rPr>
        <w:t>Представено от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A44BAB" w:rsidRPr="00A44B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„Ай Си Джи Би“ АД </w:t>
      </w:r>
      <w:r w:rsidR="00BB43BC" w:rsidRPr="00BB43BC">
        <w:rPr>
          <w:rFonts w:ascii="Times New Roman" w:hAnsi="Times New Roman" w:cs="Times New Roman"/>
          <w:b/>
          <w:sz w:val="24"/>
          <w:szCs w:val="24"/>
          <w:lang w:val="bg-BG"/>
        </w:rPr>
        <w:t xml:space="preserve">уведомление за инвестиционно предложение (ИП) </w:t>
      </w:r>
      <w:r w:rsidR="00A44BAB" w:rsidRPr="00A44B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„Промяна в размера на площите, необходими за организиране на временните спомагателни площадки за реализиране на </w:t>
      </w:r>
      <w:proofErr w:type="spellStart"/>
      <w:r w:rsidR="00A44BAB" w:rsidRPr="00A44BAB">
        <w:rPr>
          <w:rFonts w:ascii="Times New Roman" w:hAnsi="Times New Roman" w:cs="Times New Roman"/>
          <w:b/>
          <w:sz w:val="24"/>
          <w:szCs w:val="24"/>
          <w:lang w:val="bg-BG"/>
        </w:rPr>
        <w:t>безизкопното</w:t>
      </w:r>
      <w:proofErr w:type="spellEnd"/>
      <w:r w:rsidR="00A44BAB" w:rsidRPr="00A44BAB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преминаване под язовир „Студен кладенец“</w:t>
      </w:r>
    </w:p>
    <w:p w:rsidR="002711DD" w:rsidRPr="002711DD" w:rsidRDefault="002711DD" w:rsidP="00BB43B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11DD" w:rsidRDefault="002711DD" w:rsidP="00401EE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gramStart"/>
      <w:r w:rsidRPr="002711DD">
        <w:rPr>
          <w:rFonts w:ascii="Times New Roman" w:hAnsi="Times New Roman" w:cs="Times New Roman"/>
          <w:sz w:val="24"/>
          <w:szCs w:val="24"/>
        </w:rPr>
        <w:t>Във връзка с постъпило уведомление с вх.</w:t>
      </w:r>
      <w:proofErr w:type="gramEnd"/>
      <w:r w:rsidRPr="002711DD">
        <w:rPr>
          <w:rFonts w:ascii="Times New Roman" w:hAnsi="Times New Roman" w:cs="Times New Roman"/>
          <w:sz w:val="24"/>
          <w:szCs w:val="24"/>
        </w:rPr>
        <w:t xml:space="preserve"> № ОВОС-</w:t>
      </w:r>
      <w:r w:rsidR="00A44BAB"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D9288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2711DD">
        <w:rPr>
          <w:rFonts w:ascii="Times New Roman" w:hAnsi="Times New Roman" w:cs="Times New Roman"/>
          <w:sz w:val="24"/>
          <w:szCs w:val="24"/>
        </w:rPr>
        <w:t>/</w:t>
      </w:r>
      <w:r w:rsidR="00A44BAB">
        <w:rPr>
          <w:rFonts w:ascii="Times New Roman" w:hAnsi="Times New Roman" w:cs="Times New Roman"/>
          <w:sz w:val="24"/>
          <w:szCs w:val="24"/>
          <w:lang w:val="bg-BG"/>
        </w:rPr>
        <w:t>0</w:t>
      </w:r>
      <w:r w:rsidR="00D92884">
        <w:rPr>
          <w:rFonts w:ascii="Times New Roman" w:hAnsi="Times New Roman" w:cs="Times New Roman"/>
          <w:sz w:val="24"/>
          <w:szCs w:val="24"/>
          <w:lang w:val="bg-BG"/>
        </w:rPr>
        <w:t>2</w:t>
      </w:r>
      <w:r w:rsidRPr="002711DD">
        <w:rPr>
          <w:rFonts w:ascii="Times New Roman" w:hAnsi="Times New Roman" w:cs="Times New Roman"/>
          <w:sz w:val="24"/>
          <w:szCs w:val="24"/>
        </w:rPr>
        <w:t>.</w:t>
      </w:r>
      <w:r w:rsidR="00A44BAB">
        <w:rPr>
          <w:rFonts w:ascii="Times New Roman" w:hAnsi="Times New Roman" w:cs="Times New Roman"/>
          <w:sz w:val="24"/>
          <w:szCs w:val="24"/>
          <w:lang w:val="bg-BG"/>
        </w:rPr>
        <w:t>11</w:t>
      </w:r>
      <w:r w:rsidRPr="002711DD">
        <w:rPr>
          <w:rFonts w:ascii="Times New Roman" w:hAnsi="Times New Roman" w:cs="Times New Roman"/>
          <w:sz w:val="24"/>
          <w:szCs w:val="24"/>
        </w:rPr>
        <w:t>.20</w:t>
      </w:r>
      <w:r w:rsidR="00CD0914">
        <w:rPr>
          <w:rFonts w:ascii="Times New Roman" w:hAnsi="Times New Roman" w:cs="Times New Roman"/>
          <w:sz w:val="24"/>
          <w:szCs w:val="24"/>
          <w:lang w:val="bg-BG"/>
        </w:rPr>
        <w:t>20</w:t>
      </w:r>
      <w:r w:rsidRPr="002711DD">
        <w:rPr>
          <w:rFonts w:ascii="Times New Roman" w:hAnsi="Times New Roman" w:cs="Times New Roman"/>
          <w:sz w:val="24"/>
          <w:szCs w:val="24"/>
        </w:rPr>
        <w:t xml:space="preserve"> г. на 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Министерство на околната среда и водите (</w:t>
      </w:r>
      <w:r w:rsidRPr="002711DD">
        <w:rPr>
          <w:rFonts w:ascii="Times New Roman" w:hAnsi="Times New Roman" w:cs="Times New Roman"/>
          <w:sz w:val="24"/>
          <w:szCs w:val="24"/>
        </w:rPr>
        <w:t>МОСВ</w:t>
      </w:r>
      <w:r w:rsidR="00BB43BC">
        <w:rPr>
          <w:rFonts w:ascii="Times New Roman" w:hAnsi="Times New Roman" w:cs="Times New Roman"/>
          <w:sz w:val="24"/>
          <w:szCs w:val="24"/>
          <w:lang w:val="bg-BG"/>
        </w:rPr>
        <w:t>)</w:t>
      </w:r>
      <w:r w:rsidRPr="002711DD">
        <w:rPr>
          <w:rFonts w:ascii="Times New Roman" w:hAnsi="Times New Roman" w:cs="Times New Roman"/>
          <w:sz w:val="24"/>
          <w:szCs w:val="24"/>
        </w:rPr>
        <w:t xml:space="preserve"> от </w:t>
      </w:r>
      <w:r w:rsidR="00A44BAB" w:rsidRPr="00A44BAB">
        <w:rPr>
          <w:rFonts w:ascii="Times New Roman" w:hAnsi="Times New Roman" w:cs="Times New Roman"/>
          <w:sz w:val="24"/>
          <w:szCs w:val="24"/>
          <w:lang w:val="bg-BG"/>
        </w:rPr>
        <w:t>„Ай Си Джи Би</w:t>
      </w:r>
      <w:proofErr w:type="gramStart"/>
      <w:r w:rsidR="00A44BAB" w:rsidRPr="00A44BAB">
        <w:rPr>
          <w:rFonts w:ascii="Times New Roman" w:hAnsi="Times New Roman" w:cs="Times New Roman"/>
          <w:sz w:val="24"/>
          <w:szCs w:val="24"/>
          <w:lang w:val="bg-BG"/>
        </w:rPr>
        <w:t>“ АД</w:t>
      </w:r>
      <w:proofErr w:type="gramEnd"/>
      <w:r w:rsidR="00A44BAB" w:rsidRPr="00A44BA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2711DD">
        <w:rPr>
          <w:rFonts w:ascii="Times New Roman" w:hAnsi="Times New Roman" w:cs="Times New Roman"/>
          <w:sz w:val="24"/>
          <w:szCs w:val="24"/>
        </w:rPr>
        <w:t xml:space="preserve">за горепосоченото </w:t>
      </w:r>
      <w:r w:rsidR="00BB43BC">
        <w:rPr>
          <w:rFonts w:ascii="Times New Roman" w:hAnsi="Times New Roman" w:cs="Times New Roman"/>
          <w:sz w:val="24"/>
          <w:szCs w:val="24"/>
        </w:rPr>
        <w:t>ИП</w:t>
      </w:r>
      <w:r w:rsidR="00A604E3">
        <w:rPr>
          <w:rFonts w:ascii="Times New Roman" w:hAnsi="Times New Roman" w:cs="Times New Roman"/>
          <w:sz w:val="24"/>
          <w:szCs w:val="24"/>
        </w:rPr>
        <w:t>,</w:t>
      </w:r>
      <w:r w:rsidRPr="002711DD">
        <w:rPr>
          <w:rFonts w:ascii="Times New Roman" w:hAnsi="Times New Roman" w:cs="Times New Roman"/>
          <w:sz w:val="24"/>
          <w:szCs w:val="24"/>
        </w:rPr>
        <w:t xml:space="preserve"> 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на основание чл. </w:t>
      </w:r>
      <w:proofErr w:type="gramStart"/>
      <w:r w:rsidR="00A604E3" w:rsidRPr="00B13EB7">
        <w:rPr>
          <w:rFonts w:ascii="Times New Roman" w:hAnsi="Times New Roman" w:cs="Times New Roman"/>
          <w:sz w:val="24"/>
          <w:szCs w:val="24"/>
        </w:rPr>
        <w:t>5, ал.</w:t>
      </w:r>
      <w:proofErr w:type="gramEnd"/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04E3">
        <w:rPr>
          <w:rFonts w:ascii="Times New Roman" w:hAnsi="Times New Roman" w:cs="Times New Roman"/>
          <w:sz w:val="24"/>
          <w:szCs w:val="24"/>
        </w:rPr>
        <w:t>1</w:t>
      </w:r>
      <w:r w:rsidR="00A604E3" w:rsidRPr="00A604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04E3" w:rsidRPr="007F442C">
        <w:rPr>
          <w:rFonts w:ascii="Times New Roman" w:hAnsi="Times New Roman" w:cs="Times New Roman"/>
          <w:i/>
          <w:sz w:val="24"/>
          <w:szCs w:val="24"/>
        </w:rPr>
        <w:t>Наредбата за условията и реда за извършване на оценка на въздействието върху околната среда</w:t>
      </w:r>
      <w:r w:rsidR="00A604E3" w:rsidRPr="002711DD">
        <w:rPr>
          <w:rFonts w:ascii="Times New Roman" w:hAnsi="Times New Roman" w:cs="Times New Roman"/>
          <w:sz w:val="24"/>
          <w:szCs w:val="24"/>
        </w:rPr>
        <w:t xml:space="preserve"> (Наредбата за ОВОС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>), и в изпълнение разпоредбата на чл.</w:t>
      </w:r>
      <w:proofErr w:type="gramEnd"/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5, ал. 2</w:t>
      </w:r>
      <w:r w:rsidR="00A604E3" w:rsidRPr="00B13EB7">
        <w:rPr>
          <w:rFonts w:ascii="Times New Roman" w:hAnsi="Times New Roman" w:cs="Times New Roman"/>
          <w:sz w:val="24"/>
          <w:szCs w:val="24"/>
        </w:rPr>
        <w:t xml:space="preserve"> </w:t>
      </w:r>
      <w:r w:rsidRPr="002711DD">
        <w:rPr>
          <w:rFonts w:ascii="Times New Roman" w:hAnsi="Times New Roman" w:cs="Times New Roman"/>
          <w:sz w:val="24"/>
          <w:szCs w:val="24"/>
        </w:rPr>
        <w:t>от</w:t>
      </w:r>
      <w:r w:rsidR="00A604E3">
        <w:rPr>
          <w:rFonts w:ascii="Times New Roman" w:hAnsi="Times New Roman" w:cs="Times New Roman"/>
          <w:sz w:val="24"/>
          <w:szCs w:val="24"/>
          <w:lang w:val="bg-BG"/>
        </w:rPr>
        <w:t xml:space="preserve"> Наредбата за ОВОС</w:t>
      </w:r>
      <w:r w:rsidRPr="002711DD">
        <w:rPr>
          <w:rFonts w:ascii="Times New Roman" w:hAnsi="Times New Roman" w:cs="Times New Roman"/>
          <w:sz w:val="24"/>
          <w:szCs w:val="24"/>
        </w:rPr>
        <w:t xml:space="preserve">, </w:t>
      </w:r>
      <w:r w:rsidR="00B13EB7">
        <w:rPr>
          <w:rFonts w:ascii="Times New Roman" w:hAnsi="Times New Roman" w:cs="Times New Roman"/>
          <w:sz w:val="24"/>
          <w:szCs w:val="24"/>
          <w:lang w:val="bg-BG"/>
        </w:rPr>
        <w:t>МОСВ</w:t>
      </w:r>
      <w:r w:rsidR="00DE6307" w:rsidRPr="00DE6307">
        <w:rPr>
          <w:rFonts w:ascii="Times New Roman" w:hAnsi="Times New Roman" w:cs="Times New Roman"/>
          <w:sz w:val="24"/>
          <w:szCs w:val="24"/>
          <w:lang w:val="bg-BG"/>
        </w:rPr>
        <w:t xml:space="preserve"> информира за следното</w:t>
      </w:r>
      <w:r w:rsidRPr="002711DD">
        <w:rPr>
          <w:rFonts w:ascii="Times New Roman" w:hAnsi="Times New Roman" w:cs="Times New Roman"/>
          <w:sz w:val="24"/>
          <w:szCs w:val="24"/>
        </w:rPr>
        <w:t>:</w:t>
      </w:r>
    </w:p>
    <w:p w:rsidR="00A44BAB" w:rsidRPr="00A44BAB" w:rsidRDefault="00A44BAB" w:rsidP="00A4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І. По отношение на изискванията на </w:t>
      </w:r>
      <w:proofErr w:type="spellStart"/>
      <w:r w:rsidRPr="00A44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глава</w:t>
      </w:r>
      <w:proofErr w:type="spellEnd"/>
      <w:r w:rsidRPr="00A44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шеста от Закона за опазване на околната среда (ЗООС):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Предназначението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ИП за </w:t>
      </w:r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„Междусистемна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газова</w:t>
      </w:r>
      <w:proofErr w:type="spellEnd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връзка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Гърция</w:t>
      </w:r>
      <w:proofErr w:type="spellEnd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 България</w:t>
      </w:r>
      <w:proofErr w:type="gram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“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пренос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природен газ от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Комотини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Гърция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до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Стара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Загора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(България) и ще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свързва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газопреносните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системи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двете страни. С Решение № 452/07.06.2012 г.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Министерския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съвет, </w:t>
      </w:r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„Междусистемна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газова</w:t>
      </w:r>
      <w:proofErr w:type="spellEnd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връзка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Гърция</w:t>
      </w:r>
      <w:proofErr w:type="spellEnd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 България</w:t>
      </w:r>
      <w:proofErr w:type="gram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“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отсечката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която ще бъде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изградена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територията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Република България,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обявена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национален обект.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 ИП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„Междусистемна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газова</w:t>
      </w:r>
      <w:proofErr w:type="spellEnd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връзка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Гърция</w:t>
      </w:r>
      <w:proofErr w:type="spellEnd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 България“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проведена процедура по реда на Глава шеста, Раздел III от ЗООС и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постановено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Решение по оценка на въздействието върху околната среда (Решение по ОВОС) № 1-1/2013 г. на министъра на околната среда и водите, в което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заложено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следното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условие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(І.2): „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Пресичането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Марица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язовир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кладенец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осъществи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посредством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управляемо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хоризонтално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сондиране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(HDD)“.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изпълнение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безизкопното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преминаване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управляемо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хоризонтално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сондиране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(УХС)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язовир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кладенец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 са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увеличаване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сондажните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разполагане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монтажното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оборудване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както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подреждане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тръбите и монтаж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тръбния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(дюкер).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Предвид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големия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радиус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еластична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извивка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газопровода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ъгъла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сервитута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спрямо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изходната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изходната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точка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невъзможно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подреждането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тръбите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сглобяването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дюкера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осъществи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границите на сервитута и е необходимо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същото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изпълни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терените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право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преминаване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(сервитута на газопровода), по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продължителност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процеса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безизкопно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пресичане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непрекъснат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ще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отнеме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приблизително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месеца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свързана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предложената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промяна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ИП „Междусистемна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връзка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Гърция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България“, която не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била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обект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разглеждане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Доклада за ОВОС, е 6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,65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ha,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организиране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временните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спомагателни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безизкопното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преминаване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„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кладенец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“.</w:t>
      </w:r>
      <w:proofErr w:type="gramEnd"/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Всички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останали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параметри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ИП,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разгледани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оценени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Доклада за ОВОС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 ИП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„Междусистемна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връзка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Гърция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България“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залегнали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проект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запазват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като по отношение на същите не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предвижда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промяна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етап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проектиране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Запазва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взетото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проектиране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решение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отпадане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необходимостта от полагане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втора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байпасна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тръба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язовир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кладенец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разгледана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Доклада за ОВОС.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Промяната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ИП,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свързана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УХС при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кладенец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засяга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поземлени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имоти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Кърджали.</w:t>
      </w:r>
      <w:proofErr w:type="gramEnd"/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Методът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изпълнение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УХС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изисква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предварително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сглобяване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който ще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вкара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Поради тази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причина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 да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осигури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достатъчен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своята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дължина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дюкера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Същият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трябва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 бъде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разположен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протежение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което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налага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усвояване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същата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посока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приблизително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дължина – 1500 m 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ширина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40 m. Съгласно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направената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дейностите по УХС, 794,03 m от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полоса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дюкера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ще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бъдат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разположени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границите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язовира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характеристики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трасето на газопровода при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пресичането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Кладенец</w:t>
      </w:r>
      <w:proofErr w:type="spellEnd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 са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Хоризонтална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дължина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1365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,36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m; 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Входна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точка –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Kp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49+779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,25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Изходна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точка –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Kp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48+413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,89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Ъгъл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входа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9°50’;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Ъгъл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изхода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7°10’;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Радиус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1200 m;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Полагането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стоманен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тръбопровод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УХС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метода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случай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извършва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етапа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: 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Етап</w:t>
      </w:r>
      <w:proofErr w:type="spellEnd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I: </w:t>
      </w:r>
      <w:proofErr w:type="spellStart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Пилотен</w:t>
      </w:r>
      <w:proofErr w:type="spellEnd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отвор</w:t>
      </w:r>
      <w:proofErr w:type="spellEnd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Пробива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отвор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по-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малък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диаметър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управляемо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проектирана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предварително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изчислена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насочена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траектория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излезе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изходната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точна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пресичането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Етап</w:t>
      </w:r>
      <w:proofErr w:type="spellEnd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II: </w:t>
      </w:r>
      <w:proofErr w:type="spellStart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Разширяване</w:t>
      </w:r>
      <w:proofErr w:type="spellEnd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Пилотният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отвор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разширява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няколко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отделни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фази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подходящ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диаметър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по-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голям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външния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диаметър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тръбата.</w:t>
      </w:r>
      <w:proofErr w:type="gramEnd"/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•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  <w:proofErr w:type="spellStart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Етап</w:t>
      </w:r>
      <w:proofErr w:type="spellEnd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III: </w:t>
      </w:r>
      <w:proofErr w:type="spellStart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Изтегляне</w:t>
      </w:r>
      <w:proofErr w:type="spellEnd"/>
      <w:r w:rsidRPr="003A2B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Тръбният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участъка от газопровода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издърпва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обратна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посока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през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разширения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отвор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през който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пропуска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течност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за да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излезе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през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тунела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първоначалната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входна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точка.</w:t>
      </w:r>
      <w:proofErr w:type="gramEnd"/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безпроблемното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осъществяване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безизкопното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преминаване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язовир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кладенец</w:t>
      </w:r>
      <w:proofErr w:type="spellEnd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 е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увеличаване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първоначално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временни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технически проект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вход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 60х60 m,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сондажния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разтвор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20х20 m или общо 4000 m².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увеличават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8 764.66 m²,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едно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временна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сервитута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енергийния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обект.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усвояване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които не са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били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оценени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Доклада за ОВОС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  ИП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„Междусистемна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връзка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Гърция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– България“, са 5167.66 m².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техническия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проект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изход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разположена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полуостров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Студен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кладенец</w:t>
      </w:r>
      <w:proofErr w:type="spellEnd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“ в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местност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Островица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“.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60х40 m, като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североизточния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ѝ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край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долепена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отредена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водосборна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водите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след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хидравличното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изпитване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20х20 m.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изходната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предвижда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увеличение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първоначално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установените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размери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5 510.79 m²,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включващи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усвояване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временна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долепена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до) границите на сервитута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енергийния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обект.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Асиметричността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спрямо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сервитута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запазва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като 3 905.19 m² от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новопроектираната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неоценени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момента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ДОВОС.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подреждане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сглобяване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тръбния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низ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прокарването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газопровода (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дюкера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язовира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приблизителни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ширина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40 m и дължина 1416 m, като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необходима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изграждането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ѝ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57 472 m².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предлаганото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изменение на ИП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направата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дюкера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ще бъде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изграден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коридор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валиран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чакъл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дебелина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70 cm,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така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че да има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непрекъснат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достъп.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Ролките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върху които ще бъде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поставена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тръбата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изтеглянето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ѝ, ще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бъдат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инсталирани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също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рамките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този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коридор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своята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същност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процесът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управляемо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хоризонтално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сондиране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включва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изкопаване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броя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двата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бряга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обратно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засипване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отстраняване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излишния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земен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възстановяване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площадките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маркиране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трасето на газопровода.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Предполагаемата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дълбочина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входната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изходната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яма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приблизително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между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2-5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като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посредством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шпунтова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стена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участъците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които са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язовира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поради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факта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че те са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постоянно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наводнени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изкопни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работи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свързани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основно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изземването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около един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метър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почва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ще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положи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инертен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материал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D50 = 700 mm.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Предвидено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последващо изграждане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коридор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12,20 m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уплътнен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чакъл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протежение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цялата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дължина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допълнителната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земна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ивица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изпълнението на УХС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използва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сондажна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течност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която ще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приготвя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място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завършване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операцията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изтегляне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свързването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към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останалия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участък от газопровода, тръбата се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подлага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изпитване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целостта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покритието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ИП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представлява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разширение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изменение на ИП за </w:t>
      </w:r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„Междусистемна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газова</w:t>
      </w:r>
      <w:proofErr w:type="spellEnd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връзка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Гърция</w:t>
      </w:r>
      <w:proofErr w:type="spellEnd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– България</w:t>
      </w:r>
      <w:proofErr w:type="gram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“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по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смисъла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чл.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93, ал.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1, т. 3 от ЗООС и подлежи на процедура за преценяване на необходимостта от извършване на оценка на въздействието върху околната среда (ОВОС).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Съгласно чл.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93, ал.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2, т. 4 от ЗООС, компетентен орган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произнасяне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решение е министърът на околната среда и водите.</w:t>
      </w:r>
      <w:proofErr w:type="gramEnd"/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Предвид изискванията на чл.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4а, ал.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 от Наредбата за ОВОС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извършена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проверка относно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допустимостта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ИП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спрямо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режимите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определени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действащите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План за управление на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речните</w:t>
      </w:r>
      <w:proofErr w:type="spellEnd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басейни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(ПУРБ) и </w:t>
      </w:r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План за управление на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риска</w:t>
      </w:r>
      <w:proofErr w:type="spellEnd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от </w:t>
      </w:r>
      <w:proofErr w:type="spellStart"/>
      <w:r w:rsidRPr="00E708E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наводнения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(ПУРН)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територията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Басейнова дирекция „Източнобеломорски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“ (БДИБР).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БДИБР мотивирано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изразила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становище с изх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№ ПУ-02-171(1)/12.11.2020 г.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че ИП е допустимо от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гледна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точка на ПУРБ (2016 – 2021 г.) и ПУРН (2016-2021 г.) на Източнобеломорски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район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постигане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околната среда, при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спазване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условията посочени в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заключението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т. 1.4.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тяхното становище. </w:t>
      </w: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E708E4" w:rsidRP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E70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ІІ.</w:t>
      </w:r>
      <w:proofErr w:type="gramEnd"/>
      <w:r w:rsidRPr="00E70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отношение на изискванията на чл.</w:t>
      </w:r>
      <w:proofErr w:type="gramEnd"/>
      <w:r w:rsidRPr="00E70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31 от Закона за </w:t>
      </w:r>
      <w:proofErr w:type="spellStart"/>
      <w:r w:rsidRPr="00E70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биологичното</w:t>
      </w:r>
      <w:proofErr w:type="spellEnd"/>
      <w:r w:rsidRPr="00E70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разнообразие</w:t>
      </w:r>
      <w:proofErr w:type="spellEnd"/>
      <w:r w:rsidRPr="00E708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(ЗБР):</w:t>
      </w:r>
    </w:p>
    <w:p w:rsidR="00E708E4" w:rsidRDefault="00E708E4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ИП подлежи на процедура за преценяване на необходимостта от извършване на ОВОС на основание чл.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93, ал.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1, т. 3 от ЗООС.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тази връзка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попада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в обхвата на чл.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2, ал.</w:t>
      </w:r>
      <w:proofErr w:type="gram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1, т. 1 от </w:t>
      </w:r>
      <w:r w:rsidRPr="00B852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Наредба за условията и реда за извършване на оценка за </w:t>
      </w:r>
      <w:proofErr w:type="spellStart"/>
      <w:r w:rsidRPr="00B852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съвместимостта</w:t>
      </w:r>
      <w:proofErr w:type="spellEnd"/>
      <w:r w:rsidRPr="00B852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на планове, програми, проекти и инвестиционни предложения с </w:t>
      </w:r>
      <w:proofErr w:type="spellStart"/>
      <w:r w:rsidRPr="00B852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предмета</w:t>
      </w:r>
      <w:proofErr w:type="spellEnd"/>
      <w:r w:rsidRPr="00B852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и </w:t>
      </w:r>
      <w:proofErr w:type="spellStart"/>
      <w:r w:rsidRPr="00B852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целите</w:t>
      </w:r>
      <w:proofErr w:type="spellEnd"/>
      <w:r w:rsidRPr="00B8522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на опазване на защитените зони</w:t>
      </w:r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(Наредбата за ОС, ДВ, бр. 73/2007 г.,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изм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доп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.), поради което за него следва да бъде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извършена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оценка за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съвм</w:t>
      </w:r>
      <w:bookmarkStart w:id="0" w:name="_GoBack"/>
      <w:bookmarkEnd w:id="0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естимостта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му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предмета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целите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опазване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защитени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зони.</w:t>
      </w:r>
    </w:p>
    <w:p w:rsidR="00A44BAB" w:rsidRPr="00E708E4" w:rsidRDefault="00A44BAB" w:rsidP="00E708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proofErr w:type="spellStart"/>
      <w:proofErr w:type="gram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Копие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на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писмото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е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изпратено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до БДИБР, РИОСВ-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Хасково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Кърджали, кметство с.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Островица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и кметство с. </w:t>
      </w:r>
      <w:proofErr w:type="spellStart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Седловина</w:t>
      </w:r>
      <w:proofErr w:type="spellEnd"/>
      <w:r w:rsidRPr="00E708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</w:p>
    <w:p w:rsidR="00A44BAB" w:rsidRPr="00A44BAB" w:rsidRDefault="00A44BAB" w:rsidP="00A4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44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/отговорено от МОСВ на 10.12.2020 г</w:t>
      </w:r>
      <w:proofErr w:type="gramStart"/>
      <w:r w:rsidRPr="00A44B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./</w:t>
      </w:r>
      <w:proofErr w:type="gramEnd"/>
    </w:p>
    <w:p w:rsidR="003975E5" w:rsidRPr="00DD406E" w:rsidRDefault="003975E5" w:rsidP="00A44B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g-BG"/>
        </w:rPr>
      </w:pPr>
    </w:p>
    <w:sectPr w:rsidR="003975E5" w:rsidRPr="00DD406E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F6FB1"/>
    <w:multiLevelType w:val="hybridMultilevel"/>
    <w:tmpl w:val="1EE4846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92015B"/>
    <w:multiLevelType w:val="hybridMultilevel"/>
    <w:tmpl w:val="38A80AD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3A35511"/>
    <w:multiLevelType w:val="multilevel"/>
    <w:tmpl w:val="5DC4BB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184E61"/>
    <w:multiLevelType w:val="multilevel"/>
    <w:tmpl w:val="62EA1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BF742FE"/>
    <w:multiLevelType w:val="hybridMultilevel"/>
    <w:tmpl w:val="BE7C535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21618AA"/>
    <w:multiLevelType w:val="hybridMultilevel"/>
    <w:tmpl w:val="DBE8F2A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393"/>
    <w:rsid w:val="00194176"/>
    <w:rsid w:val="002711DD"/>
    <w:rsid w:val="003975E5"/>
    <w:rsid w:val="003A2BF0"/>
    <w:rsid w:val="00401EE8"/>
    <w:rsid w:val="00456F7C"/>
    <w:rsid w:val="00481143"/>
    <w:rsid w:val="0058399D"/>
    <w:rsid w:val="00680613"/>
    <w:rsid w:val="00777A4A"/>
    <w:rsid w:val="007D044C"/>
    <w:rsid w:val="007E0318"/>
    <w:rsid w:val="007F442C"/>
    <w:rsid w:val="00861DC9"/>
    <w:rsid w:val="008C6A1D"/>
    <w:rsid w:val="008E5887"/>
    <w:rsid w:val="00994D6A"/>
    <w:rsid w:val="00A44BAB"/>
    <w:rsid w:val="00A604E3"/>
    <w:rsid w:val="00B13EB7"/>
    <w:rsid w:val="00B26393"/>
    <w:rsid w:val="00B85228"/>
    <w:rsid w:val="00BA790D"/>
    <w:rsid w:val="00BB43BC"/>
    <w:rsid w:val="00C31B2B"/>
    <w:rsid w:val="00CD0914"/>
    <w:rsid w:val="00CE12DF"/>
    <w:rsid w:val="00D75FB7"/>
    <w:rsid w:val="00D92884"/>
    <w:rsid w:val="00DD406E"/>
    <w:rsid w:val="00DE6307"/>
    <w:rsid w:val="00DF773F"/>
    <w:rsid w:val="00E24FFB"/>
    <w:rsid w:val="00E708E4"/>
    <w:rsid w:val="00F3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4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1424</Words>
  <Characters>8120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PPetrov</dc:creator>
  <cp:keywords/>
  <dc:description/>
  <cp:lastModifiedBy>PPetrov</cp:lastModifiedBy>
  <cp:revision>18</cp:revision>
  <dcterms:created xsi:type="dcterms:W3CDTF">2018-04-04T07:34:00Z</dcterms:created>
  <dcterms:modified xsi:type="dcterms:W3CDTF">2020-12-10T14:57:00Z</dcterms:modified>
</cp:coreProperties>
</file>