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9" w:rsidRPr="008D4F3A" w:rsidRDefault="00381E88">
      <w:pPr>
        <w:pStyle w:val="Bodytext20"/>
        <w:shd w:val="clear" w:color="auto" w:fill="auto"/>
        <w:ind w:left="40" w:right="20"/>
      </w:pPr>
      <w:r>
        <w:rPr>
          <w:rStyle w:val="Bodytext2NotItalic"/>
          <w:b/>
          <w:bCs/>
        </w:rPr>
        <w:t xml:space="preserve">Представено от </w:t>
      </w:r>
      <w:r w:rsidR="00216FA3">
        <w:rPr>
          <w:rStyle w:val="Bodytext2NotItalic"/>
          <w:b/>
          <w:bCs/>
          <w:lang w:val="en-US"/>
        </w:rPr>
        <w:t xml:space="preserve">Министерство на околната среда и водите </w:t>
      </w:r>
      <w:r w:rsidR="008D4F3A" w:rsidRPr="008D4F3A">
        <w:rPr>
          <w:rStyle w:val="Bodytext2NotItalic"/>
          <w:b/>
          <w:bCs/>
          <w:lang w:val="en-US"/>
        </w:rPr>
        <w:t>проект на „</w:t>
      </w:r>
      <w:proofErr w:type="spellStart"/>
      <w:r w:rsidR="008D4F3A" w:rsidRPr="008D4F3A">
        <w:rPr>
          <w:rStyle w:val="Bodytext2NotItalic"/>
          <w:b/>
          <w:bCs/>
          <w:lang w:val="en-US"/>
        </w:rPr>
        <w:t>Интегрирана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</w:t>
      </w:r>
      <w:proofErr w:type="spellStart"/>
      <w:r w:rsidR="008D4F3A" w:rsidRPr="008D4F3A">
        <w:rPr>
          <w:rStyle w:val="Bodytext2NotItalic"/>
          <w:b/>
          <w:bCs/>
          <w:lang w:val="en-US"/>
        </w:rPr>
        <w:t>териториална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стратегия за развитие на </w:t>
      </w:r>
      <w:proofErr w:type="spellStart"/>
      <w:r w:rsidR="008D4F3A" w:rsidRPr="008D4F3A">
        <w:rPr>
          <w:rStyle w:val="Bodytext2NotItalic"/>
          <w:b/>
          <w:bCs/>
          <w:lang w:val="en-US"/>
        </w:rPr>
        <w:t>Североизточен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</w:t>
      </w:r>
      <w:proofErr w:type="spellStart"/>
      <w:r w:rsidR="008D4F3A" w:rsidRPr="008D4F3A">
        <w:rPr>
          <w:rStyle w:val="Bodytext2NotItalic"/>
          <w:b/>
          <w:bCs/>
          <w:lang w:val="en-US"/>
        </w:rPr>
        <w:t>регион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за </w:t>
      </w:r>
      <w:proofErr w:type="spellStart"/>
      <w:r w:rsidR="008D4F3A" w:rsidRPr="008D4F3A">
        <w:rPr>
          <w:rStyle w:val="Bodytext2NotItalic"/>
          <w:b/>
          <w:bCs/>
          <w:lang w:val="en-US"/>
        </w:rPr>
        <w:t>планиране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от </w:t>
      </w:r>
      <w:proofErr w:type="spellStart"/>
      <w:r w:rsidR="008D4F3A" w:rsidRPr="008D4F3A">
        <w:rPr>
          <w:rStyle w:val="Bodytext2NotItalic"/>
          <w:b/>
          <w:bCs/>
          <w:lang w:val="en-US"/>
        </w:rPr>
        <w:t>н</w:t>
      </w:r>
      <w:r w:rsidR="008D4F3A">
        <w:rPr>
          <w:rStyle w:val="Bodytext2NotItalic"/>
          <w:b/>
          <w:bCs/>
          <w:lang w:val="en-US"/>
        </w:rPr>
        <w:t>иво</w:t>
      </w:r>
      <w:proofErr w:type="spellEnd"/>
      <w:r w:rsidR="008D4F3A">
        <w:rPr>
          <w:rStyle w:val="Bodytext2NotItalic"/>
          <w:b/>
          <w:bCs/>
          <w:lang w:val="en-US"/>
        </w:rPr>
        <w:t xml:space="preserve"> 2 за периода 2021-2027 г.“</w:t>
      </w:r>
    </w:p>
    <w:p w:rsidR="00221129" w:rsidRDefault="00381E88">
      <w:pPr>
        <w:pStyle w:val="Bodytext30"/>
        <w:shd w:val="clear" w:color="auto" w:fill="auto"/>
        <w:spacing w:before="0"/>
        <w:ind w:left="40" w:right="20"/>
      </w:pPr>
      <w:r>
        <w:rPr>
          <w:rStyle w:val="Bodytext3NotItalic"/>
        </w:rPr>
        <w:t xml:space="preserve">В изпълнение на чл. 8, ал. 4 от </w:t>
      </w:r>
      <w:r>
        <w:t>Наредбата за условията и реда за извършване на екологична оценка на планове и програми</w:t>
      </w:r>
      <w:r>
        <w:rPr>
          <w:rStyle w:val="Bodytext3NotItalic"/>
        </w:rPr>
        <w:t xml:space="preserve"> (Наредба за ЕО), във връзка с постъпило в Министерство на околната среда и водите (МОСВ) </w:t>
      </w:r>
      <w:r w:rsidR="00EB2FE3">
        <w:rPr>
          <w:rStyle w:val="Bodytext3NotItalic"/>
        </w:rPr>
        <w:t>уведомление</w:t>
      </w:r>
      <w:r>
        <w:rPr>
          <w:rStyle w:val="Bodytext3NotItalic"/>
        </w:rPr>
        <w:t xml:space="preserve"> по чл. 8 от Наредбата за ЕО </w:t>
      </w:r>
      <w:r w:rsidR="00356517">
        <w:rPr>
          <w:rStyle w:val="Bodytext3NotItalic"/>
        </w:rPr>
        <w:t>с приложен проект на</w:t>
      </w:r>
      <w:r>
        <w:rPr>
          <w:rStyle w:val="Bodytext3NotItalic"/>
        </w:rPr>
        <w:t xml:space="preserve"> </w:t>
      </w:r>
      <w:r w:rsidR="00356517" w:rsidRPr="00356517">
        <w:t>„Интегрирана териториална стратегия за развитие на Североизточен регион за планиране от ниво 2 за периода 2021-2027 г.“</w:t>
      </w:r>
      <w:r w:rsidR="00356517">
        <w:t xml:space="preserve"> </w:t>
      </w:r>
      <w:r>
        <w:rPr>
          <w:rStyle w:val="Bodytext3NotItalic"/>
        </w:rPr>
        <w:t>МОСВ информира за следното:</w:t>
      </w:r>
    </w:p>
    <w:p w:rsidR="00356517" w:rsidRDefault="00356517">
      <w:pPr>
        <w:pStyle w:val="BodyText1"/>
        <w:shd w:val="clear" w:color="auto" w:fill="auto"/>
        <w:ind w:left="40" w:right="20" w:firstLine="700"/>
        <w:rPr>
          <w:b/>
        </w:rPr>
      </w:pPr>
      <w:r w:rsidRPr="00356517">
        <w:rPr>
          <w:b/>
        </w:rPr>
        <w:t>І. По отношение на изискванията на глава шеста на Закона за опазване на околната среда (ЗООС):</w:t>
      </w:r>
    </w:p>
    <w:p w:rsidR="00FA118F" w:rsidRPr="00FA118F" w:rsidRDefault="00FA118F" w:rsidP="00FA118F">
      <w:pPr>
        <w:pStyle w:val="BodyText1"/>
        <w:ind w:left="40" w:right="20" w:firstLine="700"/>
      </w:pPr>
      <w:r w:rsidRPr="00FA118F">
        <w:t xml:space="preserve">Интегрираната териториална стратегия за развитие (ИТСР) на Североизточен регион за планиране от ниво 2 е средносрочен стратегически планов документ, който определя политическата, икономическата, пространствената и тематична рамка на развитието на региона в годините на новия програмен период 2021-2027 г. Стратегията е разработена в съответствие с  Национална концепция за пространствено развитие за периода 2013-2025 г. (Актуализация 2019 г.) и отчита предвижданията на регионално ниво на секторните стратегии в областта на икономическото развитие, здравеопазването, образованието, науката, социалните услуги, транспорта, водния сектор, енергетиката, широколентовите комуникации, туризма и околната среда. Определените цели и приоритети за развитие на Североизточен регион в периода 2021-2027 г. са в съответствие с целите и стратегиите на Националната програма за развитие: България 2030, Актуализираната национална концепция за пространствено развитие, както и целите на политиките на ЕС за сближаване и регионално развитие след 2020 г. ИТСР на регион за планиране от ниво 2 е част от системата от документи за планиране на  пространственото развитие, регламентирани със Закона за регионалното развитие. </w:t>
      </w:r>
      <w:proofErr w:type="spellStart"/>
      <w:r w:rsidRPr="00FA118F">
        <w:t>Oпределени</w:t>
      </w:r>
      <w:proofErr w:type="spellEnd"/>
      <w:r w:rsidRPr="00FA118F">
        <w:t xml:space="preserve"> са три приоритета за развитието на региона:</w:t>
      </w:r>
    </w:p>
    <w:p w:rsidR="00FA118F" w:rsidRPr="00FA118F" w:rsidRDefault="00FA118F" w:rsidP="00FA118F">
      <w:pPr>
        <w:pStyle w:val="BodyText1"/>
        <w:tabs>
          <w:tab w:val="left" w:pos="1134"/>
        </w:tabs>
        <w:ind w:left="40" w:right="20" w:firstLine="700"/>
      </w:pPr>
      <w:r w:rsidRPr="00FA118F">
        <w:t>1.</w:t>
      </w:r>
      <w:r w:rsidRPr="00FA118F">
        <w:tab/>
        <w:t xml:space="preserve">Приоритет 1: Повишаване динамичността на региона в глобален мащаб – Специфични цели са насочени към повишаване на регионалната конкурентоспособност, научната и иновационна дейности, технологичното обновяване, новото индустриално развитие, създаването на привлекателна бизнес среда и подкрепа за малки и средни предприятия, ефективно и устойчиво  използване на специфичните местни ресурси чрез развитие на икономика, свързана с морето, аграрно производство и туризъм с повишена добавена стойност, съпровождащи икономиката действия по опазване на околната среда и щадящо използване на териториалните ресурси. Икономическото развитие ще бъде съчетано със съблюдаване принципа на устойчиво развитие и намаляване на консумацията на енергия и суровини, развитие на „зелена” и „синя” икономика. В този контекст могат да получат реализация идеите за нови иновационни бизнес зони в Търговище, Варна – обхващаща общините Варна, Аксаково, Белослав и Девня, Добрич. </w:t>
      </w:r>
    </w:p>
    <w:p w:rsidR="00FA118F" w:rsidRPr="00FA118F" w:rsidRDefault="00FA118F" w:rsidP="00FA118F">
      <w:pPr>
        <w:pStyle w:val="BodyText1"/>
        <w:tabs>
          <w:tab w:val="left" w:pos="1134"/>
        </w:tabs>
        <w:ind w:left="40" w:right="20" w:firstLine="700"/>
      </w:pPr>
      <w:r w:rsidRPr="00FA118F">
        <w:t>2.</w:t>
      </w:r>
      <w:r w:rsidRPr="00FA118F">
        <w:tab/>
        <w:t xml:space="preserve">Приоритет 2: Постигане на равен достъп до качествено образование, здравеопазване и социални услуги. Социално включване – Този приоритет е насочен към подобряване на човешкия капитал и осигуряване на равен достъп до образование, здравеопазване, социални услуги, пазар на труда, както и повишаване на качеството на публичните услуги от първостепенно значение – здравеопазване, социални услуги и ефективно реализиране на пазара на труда. За изпълване със съдържание действията по осъществяване </w:t>
      </w:r>
      <w:r w:rsidRPr="00FA118F">
        <w:lastRenderedPageBreak/>
        <w:t>целите на този приоритет ще се работи в направление осигуряване на равен достъп до качествено предучилищно и училищно образование, създаване на възможности за придобиване на знания, и умения в съответствие с пазара на труда, като се използва максимално капацитета и спецификата на наличните средни и висши учебни заведения.</w:t>
      </w:r>
    </w:p>
    <w:p w:rsidR="00FA118F" w:rsidRPr="00FA118F" w:rsidRDefault="00FA118F" w:rsidP="00FA118F">
      <w:pPr>
        <w:pStyle w:val="BodyText1"/>
        <w:tabs>
          <w:tab w:val="left" w:pos="1134"/>
        </w:tabs>
        <w:ind w:left="40" w:right="20" w:firstLine="700"/>
      </w:pPr>
      <w:r w:rsidRPr="00FA118F">
        <w:t>3.</w:t>
      </w:r>
      <w:r w:rsidRPr="00FA118F">
        <w:tab/>
        <w:t xml:space="preserve">Териториално развитие и сближаване – Преодоляването на значителните териториални неравновесия в региона ще се постига чрез подобряване на транспортната и комуникационна свързаност, което ще улеснява достъпа до публични услуги от по-висока степен, и чрез стимулиране развитието на градовете-центрове от различните йерархични равнища. Тук е важно доизграждане на АМ „Хемус”, АМ „Черно море”, скоростен път I-2 „Русе – Шумен”, Скоростен път „Варна – Шабла – Дуранкулак” и скоростен път “Силистра – Шумен – Карнобат – Ямбол – ГКПП Лесово. Добрата цифрова свързаност с високоскоростни мрежи е от решаващо значение за </w:t>
      </w:r>
      <w:proofErr w:type="spellStart"/>
      <w:r w:rsidRPr="00FA118F">
        <w:t>преходa</w:t>
      </w:r>
      <w:proofErr w:type="spellEnd"/>
      <w:r w:rsidRPr="00FA118F">
        <w:t xml:space="preserve"> към цифрови технологии на икономиките на Североизточен регион. Един от сериозните инструменти за насърчаване социално-икономическото развитие на граничните райони е трансграничното сътрудничество. Дефинираните приоритети и стратегически цели се оценяват като изключително важни за развитието на региона. Те ще бъдат изпълнени чрез взаимосвързани и интегрирани приоритети, които впоследствие ще бъдат </w:t>
      </w:r>
      <w:proofErr w:type="spellStart"/>
      <w:r w:rsidRPr="00FA118F">
        <w:t>обективизирани</w:t>
      </w:r>
      <w:proofErr w:type="spellEnd"/>
      <w:r w:rsidRPr="00FA118F">
        <w:t xml:space="preserve"> чрез мерки и дейности.</w:t>
      </w:r>
    </w:p>
    <w:p w:rsidR="00FA118F" w:rsidRPr="00FA118F" w:rsidRDefault="00FA118F" w:rsidP="00FA118F">
      <w:pPr>
        <w:pStyle w:val="BodyText1"/>
        <w:ind w:left="40" w:right="20" w:firstLine="700"/>
      </w:pPr>
      <w:r w:rsidRPr="00FA118F">
        <w:t xml:space="preserve">В териториалния обхват на Североизточния регион попадат териториите на областите: Варна, Добрич, Търговище и Шумен с общо 35 общини. </w:t>
      </w:r>
    </w:p>
    <w:p w:rsidR="00FA118F" w:rsidRDefault="00FA118F" w:rsidP="00FA118F">
      <w:pPr>
        <w:pStyle w:val="BodyText1"/>
        <w:shd w:val="clear" w:color="auto" w:fill="auto"/>
        <w:ind w:left="40" w:right="20" w:firstLine="700"/>
      </w:pPr>
      <w:r w:rsidRPr="00FA118F">
        <w:t xml:space="preserve">ИТСР на Североизточен регион попада в обхвата на чл. 85, ал. 1 от Закона за опазване на околната среда (ЗООС) и на основание чл. 2, ал. 1, т. 1 от Наредбата за ЕО, подлежи на процедура по екологична оценка (ЕО). Съгласно чл. 82, ал. 1 от ЗООС процедурата по ЕО се съвместява изцяло с действащите процедури по изготвяне на планове/измененията на планове и завършва преди тяхното одобряване. ИТСР на Североизточен регион за планиране от ниво 2 се одобрява от Министерския съвет по предложение на министъра на регионалното развитие и благоустройството, предвид което, на основание чл. 4, т. 1 от Наредбата за ЕО, както и чл. 4, т. 2 от </w:t>
      </w:r>
      <w:r w:rsidR="00F1726F">
        <w:t>същата наредба</w:t>
      </w:r>
      <w:r w:rsidRPr="00FA118F">
        <w:t>, във връзка с чл. 10, ал. 2, т. 4 от ЗООС,  компетентен орган за провеждане на процедурата по ЕО е министърът на околната среда и водите.</w:t>
      </w:r>
    </w:p>
    <w:p w:rsidR="001B2C22" w:rsidRPr="001B2C22" w:rsidRDefault="001B2C22" w:rsidP="00FA118F">
      <w:pPr>
        <w:pStyle w:val="BodyText1"/>
        <w:shd w:val="clear" w:color="auto" w:fill="auto"/>
        <w:ind w:left="40" w:right="20" w:firstLine="700"/>
        <w:rPr>
          <w:b/>
        </w:rPr>
      </w:pPr>
      <w:r w:rsidRPr="001B2C22">
        <w:rPr>
          <w:b/>
        </w:rPr>
        <w:t>ІІ. По отношение на изискванията на чл. 31 от Закона за биологичното разнообразие (ЗБР):</w:t>
      </w:r>
    </w:p>
    <w:p w:rsidR="001B2C22" w:rsidRPr="001B2C22" w:rsidRDefault="001B2C22" w:rsidP="001B2C22">
      <w:pPr>
        <w:pStyle w:val="BodyText1"/>
        <w:ind w:left="40" w:right="20" w:firstLine="700"/>
      </w:pPr>
      <w:r w:rsidRPr="001B2C22">
        <w:t>„Интегрираната териториална стратегия за развитие на Североизточен регион за планиране от ниво 2 за периода 2021-2027 г.“ подлежи на проце</w:t>
      </w:r>
      <w:bookmarkStart w:id="0" w:name="_GoBack"/>
      <w:bookmarkEnd w:id="0"/>
      <w:r w:rsidRPr="001B2C22">
        <w:t xml:space="preserve">дура по задължителна ЕО, в тази връзка попада и в обхвата на чл. 2, ал. 1, т. 1 от Наредбата за ОС, и подлежи на процедура по оценка за съвместимостта с предмета и целите на опазване на защитени зони, която съгласно чл. 31, ал. 4 във връзка с ал.1 от ЗБР се извършва чрез процедурата по ЕО. </w:t>
      </w:r>
    </w:p>
    <w:p w:rsidR="001B2C22" w:rsidRPr="001B2C22" w:rsidRDefault="001B2C22" w:rsidP="001B2C22">
      <w:pPr>
        <w:pStyle w:val="BodyText1"/>
        <w:ind w:left="40" w:right="20" w:firstLine="700"/>
      </w:pPr>
      <w:r w:rsidRPr="001B2C22">
        <w:t xml:space="preserve"> В територията на Североизточния регион попадат защитени територии, по смисъла на Закона за защитените територии (ЗЗТ) и защитени зони по смисъла на ЗБР, както следва:</w:t>
      </w:r>
    </w:p>
    <w:p w:rsidR="001B2C22" w:rsidRPr="001B2C22" w:rsidRDefault="001B2C22" w:rsidP="001B2C22">
      <w:pPr>
        <w:pStyle w:val="BodyText1"/>
        <w:ind w:left="40" w:right="20" w:firstLine="700"/>
      </w:pPr>
      <w:r w:rsidRPr="001B2C22">
        <w:t>- 89 бр. защитени територии, от които 18 бр. природни забележителности, 58 бр. защитени местности, 3 бр. резервати, 8 бр. поддържани резервати и 2 бр. природни парка;</w:t>
      </w:r>
    </w:p>
    <w:p w:rsidR="001B2C22" w:rsidRPr="001B2C22" w:rsidRDefault="001B2C22" w:rsidP="001B2C22">
      <w:pPr>
        <w:pStyle w:val="BodyText1"/>
        <w:ind w:left="40" w:right="20" w:firstLine="700"/>
      </w:pPr>
      <w:r w:rsidRPr="001B2C22">
        <w:t>- 37 бр. защитени зони за опазване на природните местообитания и на дивата флора и фауна, включени в приетите от Министерски съвет списъци;</w:t>
      </w:r>
    </w:p>
    <w:p w:rsidR="001B2C22" w:rsidRPr="001B2C22" w:rsidRDefault="001B2C22" w:rsidP="001B2C22">
      <w:pPr>
        <w:pStyle w:val="BodyText1"/>
        <w:ind w:left="40" w:right="20" w:firstLine="700"/>
      </w:pPr>
      <w:r w:rsidRPr="001B2C22">
        <w:t>- 18 бр. защитени зони за опазване на дивите птици, от които всички имат издадени от министъра на околната среда и водите заповеди за обявяването им.</w:t>
      </w:r>
    </w:p>
    <w:p w:rsidR="001B2C22" w:rsidRPr="001B2C22" w:rsidRDefault="001B2C22" w:rsidP="001B2C22">
      <w:pPr>
        <w:pStyle w:val="BodyText1"/>
        <w:ind w:left="40" w:right="20" w:firstLine="700"/>
      </w:pPr>
      <w:r w:rsidRPr="001B2C22">
        <w:t xml:space="preserve">При извършената проверка за допустимост по смисъла на чл. 36, ал. 2 от Наредбата за </w:t>
      </w:r>
      <w:r w:rsidRPr="001B2C22">
        <w:lastRenderedPageBreak/>
        <w:t>ОС се установи, че „Интегрираната териториална стратегия за развитие на Североизточен регион за планиране от ниво 2 за периода 2021-2027 г.“ е допустима при съобразяване на произтичащите от нея планове, програми, проекти и инвестиционни предложения с:</w:t>
      </w:r>
    </w:p>
    <w:p w:rsidR="001B2C22" w:rsidRPr="001B2C22" w:rsidRDefault="001B2C22" w:rsidP="001B2C22">
      <w:pPr>
        <w:pStyle w:val="BodyText1"/>
        <w:tabs>
          <w:tab w:val="left" w:pos="1134"/>
        </w:tabs>
        <w:ind w:left="40" w:right="20" w:firstLine="700"/>
      </w:pPr>
      <w:r w:rsidRPr="001B2C22">
        <w:t>-</w:t>
      </w:r>
      <w:r w:rsidRPr="001B2C22">
        <w:tab/>
        <w:t>режимите на защитените територии, определени със ЗЗТ, заповедите за обявяването им и с утвърдените планове за управлението им;</w:t>
      </w:r>
    </w:p>
    <w:p w:rsidR="001B2C22" w:rsidRPr="001B2C22" w:rsidRDefault="001B2C22" w:rsidP="001B2C22">
      <w:pPr>
        <w:pStyle w:val="BodyText1"/>
        <w:tabs>
          <w:tab w:val="left" w:pos="1134"/>
        </w:tabs>
        <w:ind w:left="40" w:right="20" w:firstLine="700"/>
      </w:pPr>
      <w:r w:rsidRPr="001B2C22">
        <w:t>-</w:t>
      </w:r>
      <w:r w:rsidRPr="001B2C22">
        <w:tab/>
        <w:t>режимите на защитените зони, определени със заповедите за обявяването им и с утвърдените планове за управлението им, при наличие на такива.</w:t>
      </w:r>
    </w:p>
    <w:p w:rsidR="00723A9A" w:rsidRDefault="001B2C22" w:rsidP="00723A9A">
      <w:pPr>
        <w:pStyle w:val="BodyText1"/>
        <w:ind w:left="40" w:right="20" w:firstLine="700"/>
        <w:rPr>
          <w:lang w:val="en-US"/>
        </w:rPr>
      </w:pPr>
      <w:r w:rsidRPr="001B2C22">
        <w:t>На основание чл. 36, ал. 3 от Наредбата за ОС е извършена преценка за вероятната степен на отрицателно въздействие, според която „Интегрираната териториална стратегия за развитие на Североизточен регион за планиране от ниво 2 за периода 2021-2027 г.“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 от мрежата Натура 2000</w:t>
      </w:r>
      <w:r w:rsidR="00723A9A">
        <w:rPr>
          <w:lang w:val="en-US"/>
        </w:rPr>
        <w:t>,</w:t>
      </w:r>
      <w:r w:rsidR="00723A9A" w:rsidRPr="00723A9A">
        <w:rPr>
          <w:lang w:val="en-US"/>
        </w:rPr>
        <w:t xml:space="preserve"> поради следнит</w:t>
      </w:r>
      <w:r w:rsidR="00723A9A">
        <w:rPr>
          <w:lang w:val="en-US"/>
        </w:rPr>
        <w:t xml:space="preserve">е  </w:t>
      </w:r>
    </w:p>
    <w:p w:rsidR="00723A9A" w:rsidRPr="00723A9A" w:rsidRDefault="00723A9A" w:rsidP="00723A9A">
      <w:pPr>
        <w:pStyle w:val="BodyText1"/>
        <w:ind w:left="40" w:right="20" w:firstLine="700"/>
        <w:rPr>
          <w:lang w:val="en-US"/>
        </w:rPr>
      </w:pPr>
    </w:p>
    <w:p w:rsidR="00723A9A" w:rsidRPr="00723A9A" w:rsidRDefault="00723A9A" w:rsidP="00723A9A">
      <w:pPr>
        <w:pStyle w:val="BodyText1"/>
        <w:ind w:left="40" w:right="20" w:hanging="40"/>
        <w:jc w:val="center"/>
        <w:rPr>
          <w:b/>
          <w:lang w:val="en-US"/>
        </w:rPr>
      </w:pPr>
      <w:r w:rsidRPr="00723A9A">
        <w:rPr>
          <w:b/>
          <w:lang w:val="en-US"/>
        </w:rPr>
        <w:t>М О Т И В И:</w:t>
      </w:r>
    </w:p>
    <w:p w:rsidR="00723A9A" w:rsidRPr="00723A9A" w:rsidRDefault="00723A9A" w:rsidP="006963FB">
      <w:pPr>
        <w:pStyle w:val="BodyText1"/>
        <w:tabs>
          <w:tab w:val="left" w:pos="1134"/>
        </w:tabs>
        <w:ind w:left="40" w:right="20" w:firstLine="700"/>
        <w:rPr>
          <w:lang w:val="en-US"/>
        </w:rPr>
      </w:pPr>
      <w:r w:rsidRPr="00723A9A">
        <w:rPr>
          <w:lang w:val="en-US"/>
        </w:rPr>
        <w:t>1.</w:t>
      </w:r>
      <w:r w:rsidRPr="00723A9A">
        <w:rPr>
          <w:lang w:val="en-US"/>
        </w:rPr>
        <w:tab/>
        <w:t xml:space="preserve">Предмет на ИТСР на </w:t>
      </w:r>
      <w:proofErr w:type="spellStart"/>
      <w:r w:rsidRPr="00723A9A">
        <w:rPr>
          <w:lang w:val="en-US"/>
        </w:rPr>
        <w:t>Североизточен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регион</w:t>
      </w:r>
      <w:proofErr w:type="spellEnd"/>
      <w:r w:rsidRPr="00723A9A">
        <w:rPr>
          <w:lang w:val="en-US"/>
        </w:rPr>
        <w:t xml:space="preserve"> не са </w:t>
      </w:r>
      <w:proofErr w:type="spellStart"/>
      <w:r w:rsidRPr="00723A9A">
        <w:rPr>
          <w:lang w:val="en-US"/>
        </w:rPr>
        <w:t>конкретни</w:t>
      </w:r>
      <w:proofErr w:type="spellEnd"/>
      <w:r w:rsidRPr="00723A9A">
        <w:rPr>
          <w:lang w:val="en-US"/>
        </w:rPr>
        <w:t xml:space="preserve"> планове, проекти, програми или инвестиционни предложения, а </w:t>
      </w:r>
      <w:proofErr w:type="spellStart"/>
      <w:r w:rsidRPr="00723A9A">
        <w:rPr>
          <w:lang w:val="en-US"/>
        </w:rPr>
        <w:t>общата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идейна</w:t>
      </w:r>
      <w:proofErr w:type="spellEnd"/>
      <w:r w:rsidRPr="00723A9A">
        <w:rPr>
          <w:lang w:val="en-US"/>
        </w:rPr>
        <w:t xml:space="preserve"> рамка на </w:t>
      </w:r>
      <w:proofErr w:type="spellStart"/>
      <w:r w:rsidRPr="00723A9A">
        <w:rPr>
          <w:lang w:val="en-US"/>
        </w:rPr>
        <w:t>визията</w:t>
      </w:r>
      <w:proofErr w:type="spellEnd"/>
      <w:r w:rsidRPr="00723A9A">
        <w:rPr>
          <w:lang w:val="en-US"/>
        </w:rPr>
        <w:t xml:space="preserve"> за развитие на </w:t>
      </w:r>
      <w:proofErr w:type="spellStart"/>
      <w:r w:rsidRPr="00723A9A">
        <w:rPr>
          <w:lang w:val="en-US"/>
        </w:rPr>
        <w:t>региона</w:t>
      </w:r>
      <w:proofErr w:type="spellEnd"/>
      <w:r w:rsidRPr="00723A9A">
        <w:rPr>
          <w:lang w:val="en-US"/>
        </w:rPr>
        <w:t xml:space="preserve">. Част от </w:t>
      </w:r>
      <w:proofErr w:type="spellStart"/>
      <w:r w:rsidRPr="00723A9A">
        <w:rPr>
          <w:lang w:val="en-US"/>
        </w:rPr>
        <w:t>формулираните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със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специфичните</w:t>
      </w:r>
      <w:proofErr w:type="spellEnd"/>
      <w:r w:rsidRPr="00723A9A">
        <w:rPr>
          <w:lang w:val="en-US"/>
        </w:rPr>
        <w:t xml:space="preserve"> цели дейности за </w:t>
      </w:r>
      <w:proofErr w:type="spellStart"/>
      <w:r w:rsidRPr="00723A9A">
        <w:rPr>
          <w:lang w:val="en-US"/>
        </w:rPr>
        <w:t>постигане</w:t>
      </w:r>
      <w:proofErr w:type="spellEnd"/>
      <w:r w:rsidRPr="00723A9A">
        <w:rPr>
          <w:lang w:val="en-US"/>
        </w:rPr>
        <w:t xml:space="preserve"> на </w:t>
      </w:r>
      <w:proofErr w:type="spellStart"/>
      <w:r w:rsidRPr="00723A9A">
        <w:rPr>
          <w:lang w:val="en-US"/>
        </w:rPr>
        <w:t>стратегическите</w:t>
      </w:r>
      <w:proofErr w:type="spellEnd"/>
      <w:r w:rsidRPr="00723A9A">
        <w:rPr>
          <w:lang w:val="en-US"/>
        </w:rPr>
        <w:t xml:space="preserve"> цели са свързани с изграждане на </w:t>
      </w:r>
      <w:proofErr w:type="spellStart"/>
      <w:r w:rsidRPr="00723A9A">
        <w:rPr>
          <w:lang w:val="en-US"/>
        </w:rPr>
        <w:t>бизнес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мрежи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стимулиране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развитието</w:t>
      </w:r>
      <w:proofErr w:type="spellEnd"/>
      <w:r w:rsidRPr="00723A9A">
        <w:rPr>
          <w:lang w:val="en-US"/>
        </w:rPr>
        <w:t xml:space="preserve"> на </w:t>
      </w:r>
      <w:proofErr w:type="spellStart"/>
      <w:r w:rsidRPr="00723A9A">
        <w:rPr>
          <w:lang w:val="en-US"/>
        </w:rPr>
        <w:t>различни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форми</w:t>
      </w:r>
      <w:proofErr w:type="spellEnd"/>
      <w:r w:rsidRPr="00723A9A">
        <w:rPr>
          <w:lang w:val="en-US"/>
        </w:rPr>
        <w:t xml:space="preserve"> на </w:t>
      </w:r>
      <w:proofErr w:type="spellStart"/>
      <w:r w:rsidRPr="00723A9A">
        <w:rPr>
          <w:lang w:val="en-US"/>
        </w:rPr>
        <w:t>туризъм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подобряване</w:t>
      </w:r>
      <w:proofErr w:type="spellEnd"/>
      <w:r w:rsidRPr="00723A9A">
        <w:rPr>
          <w:lang w:val="en-US"/>
        </w:rPr>
        <w:t xml:space="preserve"> на качеството на </w:t>
      </w:r>
      <w:proofErr w:type="spellStart"/>
      <w:r w:rsidRPr="00723A9A">
        <w:rPr>
          <w:lang w:val="en-US"/>
        </w:rPr>
        <w:t>живот</w:t>
      </w:r>
      <w:proofErr w:type="spellEnd"/>
      <w:r w:rsidRPr="00723A9A">
        <w:rPr>
          <w:lang w:val="en-US"/>
        </w:rPr>
        <w:t xml:space="preserve"> и на </w:t>
      </w:r>
      <w:proofErr w:type="spellStart"/>
      <w:r w:rsidRPr="00723A9A">
        <w:rPr>
          <w:lang w:val="en-US"/>
        </w:rPr>
        <w:t>свързаността</w:t>
      </w:r>
      <w:proofErr w:type="spellEnd"/>
      <w:r w:rsidRPr="00723A9A">
        <w:rPr>
          <w:lang w:val="en-US"/>
        </w:rPr>
        <w:t xml:space="preserve"> на </w:t>
      </w:r>
      <w:proofErr w:type="spellStart"/>
      <w:r w:rsidRPr="00723A9A">
        <w:rPr>
          <w:lang w:val="en-US"/>
        </w:rPr>
        <w:t>района</w:t>
      </w:r>
      <w:proofErr w:type="spellEnd"/>
      <w:r w:rsidRPr="00723A9A">
        <w:rPr>
          <w:lang w:val="en-US"/>
        </w:rPr>
        <w:t xml:space="preserve"> в национален и </w:t>
      </w:r>
      <w:proofErr w:type="spellStart"/>
      <w:r w:rsidRPr="00723A9A">
        <w:rPr>
          <w:lang w:val="en-US"/>
        </w:rPr>
        <w:t>международен</w:t>
      </w:r>
      <w:proofErr w:type="spellEnd"/>
      <w:r w:rsidRPr="00723A9A">
        <w:rPr>
          <w:lang w:val="en-US"/>
        </w:rPr>
        <w:t xml:space="preserve"> план, </w:t>
      </w:r>
      <w:proofErr w:type="spellStart"/>
      <w:r w:rsidRPr="00723A9A">
        <w:rPr>
          <w:lang w:val="en-US"/>
        </w:rPr>
        <w:t>подобряване</w:t>
      </w:r>
      <w:proofErr w:type="spellEnd"/>
      <w:r w:rsidRPr="00723A9A">
        <w:rPr>
          <w:lang w:val="en-US"/>
        </w:rPr>
        <w:t xml:space="preserve"> на </w:t>
      </w:r>
      <w:proofErr w:type="spellStart"/>
      <w:r w:rsidRPr="00723A9A">
        <w:rPr>
          <w:lang w:val="en-US"/>
        </w:rPr>
        <w:t>достъпа</w:t>
      </w:r>
      <w:proofErr w:type="spellEnd"/>
      <w:r w:rsidRPr="00723A9A">
        <w:rPr>
          <w:lang w:val="en-US"/>
        </w:rPr>
        <w:t xml:space="preserve"> до </w:t>
      </w:r>
      <w:proofErr w:type="spellStart"/>
      <w:r w:rsidRPr="00723A9A">
        <w:rPr>
          <w:lang w:val="en-US"/>
        </w:rPr>
        <w:t>образователни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здравни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социални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културни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услуги</w:t>
      </w:r>
      <w:proofErr w:type="spellEnd"/>
      <w:r w:rsidRPr="00723A9A">
        <w:rPr>
          <w:lang w:val="en-US"/>
        </w:rPr>
        <w:t xml:space="preserve"> и </w:t>
      </w:r>
      <w:proofErr w:type="spellStart"/>
      <w:r w:rsidRPr="00723A9A">
        <w:rPr>
          <w:lang w:val="en-US"/>
        </w:rPr>
        <w:t>спорт</w:t>
      </w:r>
      <w:proofErr w:type="spellEnd"/>
      <w:r w:rsidRPr="00723A9A">
        <w:rPr>
          <w:lang w:val="en-US"/>
        </w:rPr>
        <w:t xml:space="preserve"> и </w:t>
      </w:r>
      <w:proofErr w:type="spellStart"/>
      <w:r w:rsidRPr="00723A9A">
        <w:rPr>
          <w:lang w:val="en-US"/>
        </w:rPr>
        <w:t>др</w:t>
      </w:r>
      <w:proofErr w:type="spellEnd"/>
      <w:r w:rsidRPr="00723A9A">
        <w:rPr>
          <w:lang w:val="en-US"/>
        </w:rPr>
        <w:t xml:space="preserve">., поради което </w:t>
      </w:r>
      <w:proofErr w:type="spellStart"/>
      <w:r w:rsidRPr="00723A9A">
        <w:rPr>
          <w:lang w:val="en-US"/>
        </w:rPr>
        <w:t>няма</w:t>
      </w:r>
      <w:proofErr w:type="spellEnd"/>
      <w:r w:rsidRPr="00723A9A">
        <w:rPr>
          <w:lang w:val="en-US"/>
        </w:rPr>
        <w:t xml:space="preserve"> вероятност от </w:t>
      </w:r>
      <w:proofErr w:type="spellStart"/>
      <w:r w:rsidRPr="00723A9A">
        <w:rPr>
          <w:lang w:val="en-US"/>
        </w:rPr>
        <w:t>пряко</w:t>
      </w:r>
      <w:proofErr w:type="spellEnd"/>
      <w:r w:rsidRPr="00723A9A">
        <w:rPr>
          <w:lang w:val="en-US"/>
        </w:rPr>
        <w:t xml:space="preserve"> или </w:t>
      </w:r>
      <w:proofErr w:type="spellStart"/>
      <w:r w:rsidRPr="00723A9A">
        <w:rPr>
          <w:lang w:val="en-US"/>
        </w:rPr>
        <w:t>косвено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отрицателно</w:t>
      </w:r>
      <w:proofErr w:type="spellEnd"/>
      <w:r w:rsidRPr="00723A9A">
        <w:rPr>
          <w:lang w:val="en-US"/>
        </w:rPr>
        <w:t xml:space="preserve"> въздействие върху </w:t>
      </w:r>
      <w:proofErr w:type="spellStart"/>
      <w:r w:rsidRPr="00723A9A">
        <w:rPr>
          <w:lang w:val="en-US"/>
        </w:rPr>
        <w:t>ключовите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елементи</w:t>
      </w:r>
      <w:proofErr w:type="spellEnd"/>
      <w:r w:rsidRPr="00723A9A">
        <w:rPr>
          <w:lang w:val="en-US"/>
        </w:rPr>
        <w:t xml:space="preserve"> на защитените зони, включително върху </w:t>
      </w:r>
      <w:proofErr w:type="spellStart"/>
      <w:r w:rsidRPr="00723A9A">
        <w:rPr>
          <w:lang w:val="en-US"/>
        </w:rPr>
        <w:t>структурата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числеността</w:t>
      </w:r>
      <w:proofErr w:type="spellEnd"/>
      <w:r w:rsidRPr="00723A9A">
        <w:rPr>
          <w:lang w:val="en-US"/>
        </w:rPr>
        <w:t xml:space="preserve"> и </w:t>
      </w:r>
      <w:proofErr w:type="spellStart"/>
      <w:r w:rsidRPr="00723A9A">
        <w:rPr>
          <w:lang w:val="en-US"/>
        </w:rPr>
        <w:t>плътността</w:t>
      </w:r>
      <w:proofErr w:type="spellEnd"/>
      <w:r w:rsidRPr="00723A9A">
        <w:rPr>
          <w:lang w:val="en-US"/>
        </w:rPr>
        <w:t xml:space="preserve"> на </w:t>
      </w:r>
      <w:proofErr w:type="spellStart"/>
      <w:r w:rsidRPr="00723A9A">
        <w:rPr>
          <w:lang w:val="en-US"/>
        </w:rPr>
        <w:t>популациите</w:t>
      </w:r>
      <w:proofErr w:type="spellEnd"/>
      <w:r w:rsidRPr="00723A9A">
        <w:rPr>
          <w:lang w:val="en-US"/>
        </w:rPr>
        <w:t xml:space="preserve"> на </w:t>
      </w:r>
      <w:proofErr w:type="spellStart"/>
      <w:r w:rsidRPr="00723A9A">
        <w:rPr>
          <w:lang w:val="en-US"/>
        </w:rPr>
        <w:t>опазваните</w:t>
      </w:r>
      <w:proofErr w:type="spellEnd"/>
      <w:r w:rsidRPr="00723A9A">
        <w:rPr>
          <w:lang w:val="en-US"/>
        </w:rPr>
        <w:t xml:space="preserve"> в защитените зони </w:t>
      </w:r>
      <w:proofErr w:type="spellStart"/>
      <w:r w:rsidRPr="00723A9A">
        <w:rPr>
          <w:lang w:val="en-US"/>
        </w:rPr>
        <w:t>видове</w:t>
      </w:r>
      <w:proofErr w:type="spellEnd"/>
      <w:r w:rsidRPr="00723A9A">
        <w:rPr>
          <w:lang w:val="en-US"/>
        </w:rPr>
        <w:t xml:space="preserve">, вкл. </w:t>
      </w:r>
      <w:proofErr w:type="spellStart"/>
      <w:proofErr w:type="gramStart"/>
      <w:r w:rsidRPr="00723A9A">
        <w:rPr>
          <w:lang w:val="en-US"/>
        </w:rPr>
        <w:t>птици</w:t>
      </w:r>
      <w:proofErr w:type="spellEnd"/>
      <w:proofErr w:type="gramEnd"/>
      <w:r w:rsidRPr="00723A9A">
        <w:rPr>
          <w:lang w:val="en-US"/>
        </w:rPr>
        <w:t>;</w:t>
      </w:r>
    </w:p>
    <w:p w:rsidR="00FA118F" w:rsidRPr="00723A9A" w:rsidRDefault="00723A9A" w:rsidP="006963FB">
      <w:pPr>
        <w:pStyle w:val="BodyText1"/>
        <w:shd w:val="clear" w:color="auto" w:fill="auto"/>
        <w:tabs>
          <w:tab w:val="left" w:pos="1134"/>
        </w:tabs>
        <w:ind w:left="40" w:right="20" w:firstLine="700"/>
        <w:rPr>
          <w:b/>
          <w:lang w:val="en-US"/>
        </w:rPr>
      </w:pPr>
      <w:r w:rsidRPr="00723A9A">
        <w:rPr>
          <w:lang w:val="en-US"/>
        </w:rPr>
        <w:t>2.</w:t>
      </w:r>
      <w:r w:rsidRPr="00723A9A">
        <w:rPr>
          <w:lang w:val="en-US"/>
        </w:rPr>
        <w:tab/>
        <w:t xml:space="preserve">ИТСР на </w:t>
      </w:r>
      <w:proofErr w:type="spellStart"/>
      <w:r w:rsidRPr="00723A9A">
        <w:rPr>
          <w:lang w:val="en-US"/>
        </w:rPr>
        <w:t>Североизточен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регион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отчита</w:t>
      </w:r>
      <w:proofErr w:type="spellEnd"/>
      <w:r w:rsidRPr="00723A9A">
        <w:rPr>
          <w:lang w:val="en-US"/>
        </w:rPr>
        <w:t xml:space="preserve"> предвижданията на </w:t>
      </w:r>
      <w:proofErr w:type="spellStart"/>
      <w:r w:rsidRPr="00723A9A">
        <w:rPr>
          <w:lang w:val="en-US"/>
        </w:rPr>
        <w:t>регионално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ниво</w:t>
      </w:r>
      <w:proofErr w:type="spellEnd"/>
      <w:r w:rsidRPr="00723A9A">
        <w:rPr>
          <w:lang w:val="en-US"/>
        </w:rPr>
        <w:t xml:space="preserve"> на </w:t>
      </w:r>
      <w:proofErr w:type="spellStart"/>
      <w:r w:rsidRPr="00723A9A">
        <w:rPr>
          <w:lang w:val="en-US"/>
        </w:rPr>
        <w:t>секторните</w:t>
      </w:r>
      <w:proofErr w:type="spellEnd"/>
      <w:r w:rsidRPr="00723A9A">
        <w:rPr>
          <w:lang w:val="en-US"/>
        </w:rPr>
        <w:t xml:space="preserve"> стратегии в областта на </w:t>
      </w:r>
      <w:proofErr w:type="spellStart"/>
      <w:r w:rsidRPr="00723A9A">
        <w:rPr>
          <w:lang w:val="en-US"/>
        </w:rPr>
        <w:t>икономическото</w:t>
      </w:r>
      <w:proofErr w:type="spellEnd"/>
      <w:r w:rsidRPr="00723A9A">
        <w:rPr>
          <w:lang w:val="en-US"/>
        </w:rPr>
        <w:t xml:space="preserve"> развитие, здравеопазването, </w:t>
      </w:r>
      <w:proofErr w:type="spellStart"/>
      <w:r w:rsidRPr="00723A9A">
        <w:rPr>
          <w:lang w:val="en-US"/>
        </w:rPr>
        <w:t>образованието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науката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социалните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услуги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транспорта</w:t>
      </w:r>
      <w:proofErr w:type="spellEnd"/>
      <w:r w:rsidRPr="00723A9A">
        <w:rPr>
          <w:lang w:val="en-US"/>
        </w:rPr>
        <w:t xml:space="preserve">, водния сектор, </w:t>
      </w:r>
      <w:proofErr w:type="spellStart"/>
      <w:r w:rsidRPr="00723A9A">
        <w:rPr>
          <w:lang w:val="en-US"/>
        </w:rPr>
        <w:t>енергетиката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широколентовите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комуникации</w:t>
      </w:r>
      <w:proofErr w:type="spellEnd"/>
      <w:r w:rsidRPr="00723A9A">
        <w:rPr>
          <w:lang w:val="en-US"/>
        </w:rPr>
        <w:t xml:space="preserve">, </w:t>
      </w:r>
      <w:proofErr w:type="spellStart"/>
      <w:r w:rsidRPr="00723A9A">
        <w:rPr>
          <w:lang w:val="en-US"/>
        </w:rPr>
        <w:t>туризма</w:t>
      </w:r>
      <w:proofErr w:type="spellEnd"/>
      <w:r w:rsidRPr="00723A9A">
        <w:rPr>
          <w:lang w:val="en-US"/>
        </w:rPr>
        <w:t xml:space="preserve"> и околната среда и ще </w:t>
      </w:r>
      <w:proofErr w:type="spellStart"/>
      <w:r w:rsidRPr="00723A9A">
        <w:rPr>
          <w:lang w:val="en-US"/>
        </w:rPr>
        <w:t>допринесе</w:t>
      </w:r>
      <w:proofErr w:type="spellEnd"/>
      <w:r w:rsidRPr="00723A9A">
        <w:rPr>
          <w:lang w:val="en-US"/>
        </w:rPr>
        <w:t xml:space="preserve"> за тяхното </w:t>
      </w:r>
      <w:proofErr w:type="spellStart"/>
      <w:r w:rsidRPr="00723A9A">
        <w:rPr>
          <w:lang w:val="en-US"/>
        </w:rPr>
        <w:t>постигане</w:t>
      </w:r>
      <w:proofErr w:type="spellEnd"/>
      <w:r w:rsidRPr="00723A9A">
        <w:rPr>
          <w:lang w:val="en-US"/>
        </w:rPr>
        <w:t xml:space="preserve"> чрез </w:t>
      </w:r>
      <w:proofErr w:type="spellStart"/>
      <w:r w:rsidRPr="00723A9A">
        <w:rPr>
          <w:lang w:val="en-US"/>
        </w:rPr>
        <w:t>изпълнение</w:t>
      </w:r>
      <w:proofErr w:type="spellEnd"/>
      <w:r w:rsidRPr="00723A9A">
        <w:rPr>
          <w:lang w:val="en-US"/>
        </w:rPr>
        <w:t xml:space="preserve"> на заложените цели, като не се </w:t>
      </w:r>
      <w:proofErr w:type="spellStart"/>
      <w:r w:rsidRPr="00723A9A">
        <w:rPr>
          <w:lang w:val="en-US"/>
        </w:rPr>
        <w:t>очаква</w:t>
      </w:r>
      <w:proofErr w:type="spellEnd"/>
      <w:r w:rsidRPr="00723A9A">
        <w:rPr>
          <w:lang w:val="en-US"/>
        </w:rPr>
        <w:t xml:space="preserve"> това да </w:t>
      </w:r>
      <w:proofErr w:type="spellStart"/>
      <w:r w:rsidRPr="00723A9A">
        <w:rPr>
          <w:lang w:val="en-US"/>
        </w:rPr>
        <w:t>доведе</w:t>
      </w:r>
      <w:proofErr w:type="spellEnd"/>
      <w:r w:rsidRPr="00723A9A">
        <w:rPr>
          <w:lang w:val="en-US"/>
        </w:rPr>
        <w:t xml:space="preserve"> до </w:t>
      </w:r>
      <w:proofErr w:type="spellStart"/>
      <w:r w:rsidRPr="00723A9A">
        <w:rPr>
          <w:lang w:val="en-US"/>
        </w:rPr>
        <w:t>значителни</w:t>
      </w:r>
      <w:proofErr w:type="spellEnd"/>
      <w:r w:rsidRPr="00723A9A">
        <w:rPr>
          <w:lang w:val="en-US"/>
        </w:rPr>
        <w:t xml:space="preserve"> </w:t>
      </w:r>
      <w:proofErr w:type="spellStart"/>
      <w:r w:rsidRPr="00723A9A">
        <w:rPr>
          <w:lang w:val="en-US"/>
        </w:rPr>
        <w:t>отрицателни</w:t>
      </w:r>
      <w:proofErr w:type="spellEnd"/>
      <w:r w:rsidRPr="00723A9A">
        <w:rPr>
          <w:lang w:val="en-US"/>
        </w:rPr>
        <w:t xml:space="preserve"> въздействия върху територии от </w:t>
      </w:r>
      <w:proofErr w:type="spellStart"/>
      <w:r w:rsidRPr="00723A9A">
        <w:rPr>
          <w:lang w:val="en-US"/>
        </w:rPr>
        <w:t>мрежата</w:t>
      </w:r>
      <w:proofErr w:type="spellEnd"/>
      <w:r w:rsidRPr="00723A9A">
        <w:rPr>
          <w:lang w:val="en-US"/>
        </w:rPr>
        <w:t xml:space="preserve"> Натура 2000.</w:t>
      </w:r>
    </w:p>
    <w:p w:rsidR="00FA118F" w:rsidRDefault="001B2C22" w:rsidP="00FA118F">
      <w:pPr>
        <w:pStyle w:val="BodyText1"/>
        <w:shd w:val="clear" w:color="auto" w:fill="auto"/>
        <w:ind w:left="40" w:right="20" w:firstLine="700"/>
        <w:rPr>
          <w:b/>
        </w:rPr>
      </w:pPr>
      <w:r>
        <w:rPr>
          <w:b/>
        </w:rPr>
        <w:t xml:space="preserve">/отговорено от МОСВ на </w:t>
      </w:r>
      <w:r w:rsidR="00723A9A">
        <w:rPr>
          <w:b/>
          <w:lang w:val="en-US"/>
        </w:rPr>
        <w:t>01</w:t>
      </w:r>
      <w:r w:rsidRPr="001B2C22">
        <w:rPr>
          <w:b/>
        </w:rPr>
        <w:t>.0</w:t>
      </w:r>
      <w:r w:rsidR="00723A9A">
        <w:rPr>
          <w:b/>
          <w:lang w:val="en-US"/>
        </w:rPr>
        <w:t>6</w:t>
      </w:r>
      <w:r w:rsidRPr="001B2C22">
        <w:rPr>
          <w:b/>
        </w:rPr>
        <w:t>.2020 г./</w:t>
      </w:r>
    </w:p>
    <w:p w:rsidR="00221129" w:rsidRDefault="00221129">
      <w:pPr>
        <w:pStyle w:val="BodyText1"/>
        <w:shd w:val="clear" w:color="auto" w:fill="auto"/>
        <w:spacing w:line="230" w:lineRule="exact"/>
        <w:ind w:left="40"/>
      </w:pPr>
    </w:p>
    <w:sectPr w:rsidR="00221129">
      <w:type w:val="continuous"/>
      <w:pgSz w:w="12240" w:h="16838"/>
      <w:pgMar w:top="2349" w:right="1392" w:bottom="2349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28" w:rsidRDefault="00750728">
      <w:r>
        <w:separator/>
      </w:r>
    </w:p>
  </w:endnote>
  <w:endnote w:type="continuationSeparator" w:id="0">
    <w:p w:rsidR="00750728" w:rsidRDefault="0075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28" w:rsidRDefault="00750728"/>
  </w:footnote>
  <w:footnote w:type="continuationSeparator" w:id="0">
    <w:p w:rsidR="00750728" w:rsidRDefault="007507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1129"/>
    <w:rsid w:val="0008681A"/>
    <w:rsid w:val="001B2C22"/>
    <w:rsid w:val="001C3D0E"/>
    <w:rsid w:val="00216FA3"/>
    <w:rsid w:val="00221129"/>
    <w:rsid w:val="00356517"/>
    <w:rsid w:val="00381E88"/>
    <w:rsid w:val="005F2AA7"/>
    <w:rsid w:val="006963FB"/>
    <w:rsid w:val="00723A9A"/>
    <w:rsid w:val="00750728"/>
    <w:rsid w:val="008D4F3A"/>
    <w:rsid w:val="00EB2FE3"/>
    <w:rsid w:val="00F1726F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cp:lastModifiedBy>PPetrov</cp:lastModifiedBy>
  <cp:revision>9</cp:revision>
  <dcterms:created xsi:type="dcterms:W3CDTF">2020-05-29T08:31:00Z</dcterms:created>
  <dcterms:modified xsi:type="dcterms:W3CDTF">2020-06-01T12:57:00Z</dcterms:modified>
</cp:coreProperties>
</file>