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DD" w:rsidRPr="00D91525" w:rsidRDefault="002711DD" w:rsidP="00D915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E3F43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DE3F43" w:rsidRPr="00DE3F43">
        <w:rPr>
          <w:rFonts w:ascii="Times New Roman" w:hAnsi="Times New Roman" w:cs="Times New Roman"/>
          <w:b/>
          <w:sz w:val="24"/>
          <w:szCs w:val="24"/>
          <w:lang w:val="bg-BG"/>
        </w:rPr>
        <w:t>Булгартрансгаз</w:t>
      </w:r>
      <w:r w:rsidR="00DE3F43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DE3F43" w:rsidRPr="00DE3F4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ЕАД</w:t>
      </w:r>
      <w:r w:rsidR="00A44BAB" w:rsidRPr="00A44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уведомление за инвестиционно предложение (ИП) </w:t>
      </w:r>
      <w:r w:rsidR="00DE3F43" w:rsidRPr="00DE3F43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„Проектиране и изграждане на нови надземни съоръжения – компресорна станция с всичките ѝ прилежащи технически съоръжения за обезпечаване надеждна и непрекъсната работа в режими нагнетяване и добив на газ, както и нова </w:t>
      </w:r>
      <w:proofErr w:type="spellStart"/>
      <w:r w:rsidR="00DE3F43" w:rsidRPr="00DE3F43">
        <w:rPr>
          <w:rFonts w:ascii="Times New Roman" w:hAnsi="Times New Roman" w:cs="Times New Roman"/>
          <w:b/>
          <w:i/>
          <w:sz w:val="24"/>
          <w:szCs w:val="24"/>
          <w:lang w:val="bg-BG"/>
        </w:rPr>
        <w:t>газоизмервателна</w:t>
      </w:r>
      <w:proofErr w:type="spellEnd"/>
      <w:r w:rsidR="00DE3F43" w:rsidRPr="00DE3F43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станция (ГИС), във връзка с разширение капацитета на подземно газово хранилище (ПГХ) „Чирен“ и връзката им със съществуващите такива“</w:t>
      </w: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№ ОВОС-</w:t>
      </w:r>
      <w:r w:rsidR="00DE3F43">
        <w:rPr>
          <w:rFonts w:ascii="Times New Roman" w:hAnsi="Times New Roman" w:cs="Times New Roman"/>
          <w:sz w:val="24"/>
          <w:szCs w:val="24"/>
        </w:rPr>
        <w:t>17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DE3F43">
        <w:rPr>
          <w:rFonts w:ascii="Times New Roman" w:hAnsi="Times New Roman" w:cs="Times New Roman"/>
          <w:sz w:val="24"/>
          <w:szCs w:val="24"/>
        </w:rPr>
        <w:t>05</w:t>
      </w:r>
      <w:r w:rsidRPr="002711DD">
        <w:rPr>
          <w:rFonts w:ascii="Times New Roman" w:hAnsi="Times New Roman" w:cs="Times New Roman"/>
          <w:sz w:val="24"/>
          <w:szCs w:val="24"/>
        </w:rPr>
        <w:t>.</w:t>
      </w:r>
      <w:r w:rsidR="00DE3F43">
        <w:rPr>
          <w:rFonts w:ascii="Times New Roman" w:hAnsi="Times New Roman" w:cs="Times New Roman"/>
          <w:sz w:val="24"/>
          <w:szCs w:val="24"/>
        </w:rPr>
        <w:t>02</w:t>
      </w:r>
      <w:r w:rsidRPr="002711DD">
        <w:rPr>
          <w:rFonts w:ascii="Times New Roman" w:hAnsi="Times New Roman" w:cs="Times New Roman"/>
          <w:sz w:val="24"/>
          <w:szCs w:val="24"/>
        </w:rPr>
        <w:t>.20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E3F43">
        <w:rPr>
          <w:rFonts w:ascii="Times New Roman" w:hAnsi="Times New Roman" w:cs="Times New Roman"/>
          <w:sz w:val="24"/>
          <w:szCs w:val="24"/>
        </w:rPr>
        <w:t>1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на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от </w:t>
      </w:r>
      <w:r w:rsidR="00DE3F43" w:rsidRPr="00DE3F43">
        <w:rPr>
          <w:rFonts w:ascii="Times New Roman" w:hAnsi="Times New Roman" w:cs="Times New Roman"/>
          <w:sz w:val="24"/>
          <w:szCs w:val="24"/>
          <w:lang w:val="bg-BG"/>
        </w:rPr>
        <w:t>„Булгартрансгаз</w:t>
      </w:r>
      <w:proofErr w:type="gramStart"/>
      <w:r w:rsidR="00DE3F43" w:rsidRPr="00DE3F43">
        <w:rPr>
          <w:rFonts w:ascii="Times New Roman" w:hAnsi="Times New Roman" w:cs="Times New Roman"/>
          <w:sz w:val="24"/>
          <w:szCs w:val="24"/>
          <w:lang w:val="bg-BG"/>
        </w:rPr>
        <w:t>“ ЕАД</w:t>
      </w:r>
      <w:proofErr w:type="gramEnd"/>
      <w:r w:rsidR="00DE3F43" w:rsidRPr="00DE3F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 xml:space="preserve">за горепосоченото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="00A604E3">
        <w:rPr>
          <w:rFonts w:ascii="Times New Roman" w:hAnsi="Times New Roman" w:cs="Times New Roman"/>
          <w:sz w:val="24"/>
          <w:szCs w:val="24"/>
        </w:rPr>
        <w:t>,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="00A604E3" w:rsidRPr="00B13EB7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4E3">
        <w:rPr>
          <w:rFonts w:ascii="Times New Roman" w:hAnsi="Times New Roman" w:cs="Times New Roman"/>
          <w:sz w:val="24"/>
          <w:szCs w:val="24"/>
        </w:rPr>
        <w:t>1</w:t>
      </w:r>
      <w:r w:rsidR="00A604E3" w:rsidRPr="00A6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4E3" w:rsidRPr="007F442C">
        <w:rPr>
          <w:rFonts w:ascii="Times New Roman" w:hAnsi="Times New Roman" w:cs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 (Наредбата за ОВОС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), и в изпълнение разпоредбата на чл.</w:t>
      </w:r>
      <w:proofErr w:type="gramEnd"/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5, ал. 2</w:t>
      </w:r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>от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ОВОС</w:t>
      </w:r>
      <w:r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D91525" w:rsidRPr="0099007C" w:rsidRDefault="00D91525" w:rsidP="00D91525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663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І. По отношение на изискванията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>Г</w:t>
      </w:r>
      <w:r w:rsidRPr="00663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лава шеста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и Глава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>седма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Раздел I и II </w:t>
      </w:r>
      <w:r w:rsidRPr="00663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>от ЗООС:</w:t>
      </w:r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Възложителят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предвижда</w:t>
      </w:r>
      <w:proofErr w:type="spellEnd"/>
      <w:r w:rsidRPr="00B510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510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поетапното</w:t>
      </w:r>
      <w:proofErr w:type="spellEnd"/>
      <w:r w:rsidRPr="00B510D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8A0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разширение</w:t>
      </w:r>
      <w:proofErr w:type="spellEnd"/>
      <w:r w:rsidRPr="008A0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8A0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капацитета</w:t>
      </w:r>
      <w:proofErr w:type="spellEnd"/>
      <w:r w:rsidRPr="008A0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8A0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подземно</w:t>
      </w:r>
      <w:proofErr w:type="spellEnd"/>
      <w:r w:rsidRPr="008A0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газово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хранилище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(ПГХ)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да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постигнат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целите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разширението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ще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работи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направления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: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1.</w:t>
      </w: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ab/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Проектиране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изграждане на нови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надземни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съоръжения – компресорна станция (КС) с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всичките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ѝ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прилежащи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технически съоръжения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обезпечаване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надеждна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непрекъсната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работа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режими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нагнетяване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добив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газ, както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газоизмервателна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станция (ГИС). 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2.</w:t>
      </w: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ab/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Проектиране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изграждане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подземни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съоръжения –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десет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нови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високодебитни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експлоатационни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наблюдателни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сондажа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ликвидация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някои от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старите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сондажи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които не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отговарят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изискванията за увеличаване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пластовото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налягане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резервоара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както и нови шлейфи,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свързващи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експлоатационните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сондажи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КС. 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3.</w:t>
      </w: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ab/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Проектиране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изграждане на газопровод,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свързващ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ПГХ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 с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газопровод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Балкански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поток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“. </w:t>
      </w:r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Настоящото ИП е свързано с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изпълнение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дейностите от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първото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направления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именно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Проектиране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изграждане на нови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надземни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съоръжения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разширение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ПГХ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най-малко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следните съоръжения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инсталации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: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КС, в т.ч.: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-</w:t>
      </w: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ab/>
      </w: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монтаж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необходимия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брой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нискоемисионни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газотурбинни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компресорни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агрегата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(ГТКА);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-</w:t>
      </w: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ab/>
      </w: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изграждане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входни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изходен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колектори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входно-изходните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газопроводни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шлейфи на КС;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-</w:t>
      </w: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ab/>
      </w: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изграждане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общостанционен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блок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подготовка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горивен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газ (БПГГ)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ГТКА;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-</w:t>
      </w: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ab/>
      </w: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изграждане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станционните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тръбопроводни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/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газопроводни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мрежи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инсталации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КС;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входна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сепарация;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обща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ГИС;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манифолд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възел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индивидуална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сепарация;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lastRenderedPageBreak/>
        <w:t>нов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възел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Подгряване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инсталации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регулиране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възел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Обща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сепарация“;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възел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сепарация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разделяне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пластовите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флуиди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инсталация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изсушаване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разширение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електрическата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система на ПГХ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система за управление на ПГХ;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канализация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битови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дъждовни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води;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противопожарен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пръстен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/система;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производствено-експлоатационен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блок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(ПЕБ);</w:t>
      </w:r>
    </w:p>
    <w:p w:rsidR="00D91525" w:rsidRPr="00DD2969" w:rsidRDefault="00D91525" w:rsidP="00D91525">
      <w:pPr>
        <w:pStyle w:val="ListParagraph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необходимите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пътища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Част от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съоръжения ще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бъдат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разположени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сгради,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най-малко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4 броя: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Сграда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ПЕБ;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Сграда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Блок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подготовка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горивен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газ (БПГГ);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Сграда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контролно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пропускателен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пункт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(КПП);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Сграда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ГИС.</w:t>
      </w:r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Основният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технологичен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процес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който ще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реализира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чрез ИП,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нагнетяване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/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добив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природен газ, с цел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съхранение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природен газ в ПГХ „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“, като експлоатацията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хранилището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циклична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периодът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нагнетяване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природен газ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април-октомври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периодът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добив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ноември-март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r w:rsidRPr="00DD2969">
        <w:t xml:space="preserve"> </w:t>
      </w:r>
      <w:proofErr w:type="spellStart"/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централно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предварително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подгряване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централното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регулиране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налягането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предварително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подгряване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предвижда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инсталирането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нагревателни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котли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(indirect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waterbath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heater).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Необходимата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обща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топлинна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мощност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предварителното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загряване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около 7 292 kW.</w:t>
      </w:r>
      <w:proofErr w:type="gramEnd"/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Инсталацията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изсушаване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ще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включва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следното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оборудване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: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Абсорбционна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колона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Дегазатор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триетиленгликол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Топлообменник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TEG-TEG;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>Филтри</w:t>
      </w:r>
      <w:proofErr w:type="spellEnd"/>
      <w:r w:rsidRPr="00DD29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>триетиленгликол</w:t>
      </w:r>
      <w:proofErr w:type="spellEnd"/>
      <w:r w:rsidRPr="00DD29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Помпи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триетиленгликол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Помпи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резервоар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инжектиране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противопенещи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химикали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;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Въздухоохладител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др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Измерването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количествата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природен газ ще се извършва в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реверсивна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ГИС и ще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осъществява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чрез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автоматични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измервателни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линии,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измервателни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системи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средства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измерване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При изграждане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КС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монтаж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необходимия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брой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нискоемисионни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ГТКА в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конфигурация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:</w:t>
      </w:r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2 броя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работещи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ГТКА и 1 брой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като при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този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вариант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номиналната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входяща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топлинна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мощност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всеки ГТКА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няма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превишава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42 MW </w:t>
      </w:r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или</w:t>
      </w:r>
      <w:proofErr w:type="gramEnd"/>
    </w:p>
    <w:p w:rsidR="00D91525" w:rsidRPr="00DD2969" w:rsidRDefault="00D91525" w:rsidP="00D91525">
      <w:pPr>
        <w:pStyle w:val="ListParagraph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вариант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втори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при който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работещи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са 3 броя ГТКА и 1 брой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резервен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като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номиналната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входяща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топлинна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мощност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всеки ГТКА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няма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превишава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36 MW.</w:t>
      </w:r>
    </w:p>
    <w:p w:rsidR="00D91525" w:rsidRPr="00DD2969" w:rsidRDefault="00D91525" w:rsidP="00D9152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Изборът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вариант ще бъде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направен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етапа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проектиране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При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всички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възможни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варианти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общата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номинална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топлинна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мощност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КС ще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надвишава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50 MW.</w:t>
      </w:r>
      <w:proofErr w:type="gramEnd"/>
    </w:p>
    <w:p w:rsidR="00D91525" w:rsidRPr="00DD2969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След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КС ще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увеличи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дневната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производителност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10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млн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м³/ден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сега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максимум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4,7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млн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м³/ден при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форсиран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режим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), ще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повиши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lastRenderedPageBreak/>
        <w:t>резервоарното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налягане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150 bar (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сега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110 bar) и ще се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увеличи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обема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активния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газ до 1.0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млрд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м³ (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сега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0,55 млрд.м³).</w:t>
      </w:r>
    </w:p>
    <w:p w:rsidR="00D91525" w:rsidRPr="00633794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Реализирането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ИП има за цел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нови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надземни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съоръжения, които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бъдат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разположени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технологична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Необходимата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площ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разполагането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съоръжения съгласно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технологичните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противопожарните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строителните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изисквания е около 100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дка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в т.ч. 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учредяването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сервитут по 10.0 м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извън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проектната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ограда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В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зависимост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необходимостта от изграждане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трасета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електрически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кабели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ВиК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мрежи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входно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изходни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шлейфи и/или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друга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инженерна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инфраструктура  е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по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възможност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трасетата</w:t>
      </w:r>
      <w:proofErr w:type="spellEnd"/>
      <w:r w:rsidRPr="00DD29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</w:t>
      </w:r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новата</w:t>
      </w:r>
      <w:proofErr w:type="spellEnd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инженерна</w:t>
      </w:r>
      <w:proofErr w:type="spellEnd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инфраструктура да се разполагат в сервитутите на </w:t>
      </w:r>
      <w:proofErr w:type="spellStart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съществуващите</w:t>
      </w:r>
      <w:proofErr w:type="spellEnd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 газопроводи и шлейфи в </w:t>
      </w:r>
      <w:proofErr w:type="spellStart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близост</w:t>
      </w:r>
      <w:proofErr w:type="spellEnd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ПГХ „</w:t>
      </w:r>
      <w:proofErr w:type="spellStart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D8118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</w:p>
    <w:p w:rsidR="00D91525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ИП</w:t>
      </w:r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част от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разширението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съществуващото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действащо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ПГХ „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  <w:proofErr w:type="gram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да се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осъществи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връзка  (шлейфи) от газопроводи „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Враца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1“ и „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Враца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2“ (DN 500 PN 63), както и да се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създаде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възможност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присъединяване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бъдеще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газопровод „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Балкански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поток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 (DN 700).</w:t>
      </w:r>
      <w:r w:rsidRPr="00BE6E9E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ИП</w:t>
      </w:r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се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реализира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изцяло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единствено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землището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с.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община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Враца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област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Враца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Предпочитаното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местоположение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новата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бъде в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непосредствена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близост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южно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ПГХ „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proofErr w:type="gram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“ (</w:t>
      </w:r>
      <w:proofErr w:type="spellStart"/>
      <w:proofErr w:type="gram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двата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имота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имат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обща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граница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). </w:t>
      </w:r>
      <w:proofErr w:type="gram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Към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настоящият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момент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се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предвижда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бъде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засегнат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само един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поземлен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имот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земеделска</w:t>
      </w:r>
      <w:proofErr w:type="spellEnd"/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територия,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общинска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частна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– </w:t>
      </w:r>
      <w:r w:rsidRPr="00BE6E9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ПИ №81400.125.283.</w:t>
      </w:r>
      <w:proofErr w:type="gramEnd"/>
    </w:p>
    <w:p w:rsidR="00D91525" w:rsidRPr="00C77545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C775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</w:t>
      </w:r>
      <w:r w:rsidRPr="00C775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шение № 755 от 21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септември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2004 г. на Министерски съвет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газохранилище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е определен като национален обект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смисъла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r w:rsidRPr="005B43D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§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5, ал.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1, т. 62 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Допълнителните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разпоредби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r w:rsidRPr="005B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Закона за </w:t>
      </w:r>
      <w:proofErr w:type="spellStart"/>
      <w:r w:rsidRPr="005B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устройство</w:t>
      </w:r>
      <w:proofErr w:type="spellEnd"/>
      <w:r w:rsidRPr="005B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5B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територията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</w:p>
    <w:p w:rsidR="00D91525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4"/>
        </w:rPr>
      </w:pPr>
      <w:proofErr w:type="spellStart"/>
      <w:r w:rsidRPr="00071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Така</w:t>
      </w:r>
      <w:proofErr w:type="spellEnd"/>
      <w:r w:rsidRPr="00071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071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заявено</w:t>
      </w:r>
      <w:proofErr w:type="spellEnd"/>
      <w:r w:rsidRPr="00071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ИП </w:t>
      </w:r>
      <w:proofErr w:type="spellStart"/>
      <w:r w:rsidRPr="00071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 w:rsidRPr="00071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обхвата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на </w:t>
      </w:r>
      <w:r w:rsidRPr="00F530F5">
        <w:rPr>
          <w:rFonts w:ascii="Times New Roman" w:hAnsi="Times New Roman"/>
          <w:color w:val="000000" w:themeColor="text1"/>
          <w:sz w:val="24"/>
        </w:rPr>
        <w:t>т.</w:t>
      </w:r>
      <w:r>
        <w:rPr>
          <w:rFonts w:ascii="Times New Roman" w:hAnsi="Times New Roman"/>
          <w:color w:val="000000" w:themeColor="text1"/>
          <w:sz w:val="24"/>
        </w:rPr>
        <w:t xml:space="preserve"> 2.1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Топлоелектрически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централи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и други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горивни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инсталации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с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номинална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входяща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топлинна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мощност</w:t>
      </w:r>
      <w:proofErr w:type="spellEnd"/>
      <w:r w:rsidRPr="00F530F5">
        <w:rPr>
          <w:rFonts w:ascii="Times New Roman" w:hAnsi="Times New Roman"/>
          <w:i/>
          <w:color w:val="000000" w:themeColor="text1"/>
          <w:sz w:val="24"/>
        </w:rPr>
        <w:t xml:space="preserve"> 50 MW или </w:t>
      </w:r>
      <w:proofErr w:type="spellStart"/>
      <w:r w:rsidRPr="00F530F5">
        <w:rPr>
          <w:rFonts w:ascii="Times New Roman" w:hAnsi="Times New Roman"/>
          <w:i/>
          <w:color w:val="000000" w:themeColor="text1"/>
          <w:sz w:val="24"/>
        </w:rPr>
        <w:t>повече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F530F5">
        <w:rPr>
          <w:rFonts w:ascii="Times New Roman" w:hAnsi="Times New Roman"/>
          <w:color w:val="000000" w:themeColor="text1"/>
          <w:sz w:val="24"/>
        </w:rPr>
        <w:t>на Приложение №</w:t>
      </w:r>
      <w:r>
        <w:rPr>
          <w:rFonts w:ascii="Times New Roman" w:hAnsi="Times New Roman"/>
          <w:color w:val="000000" w:themeColor="text1"/>
          <w:sz w:val="24"/>
        </w:rPr>
        <w:t xml:space="preserve"> 1 от ЗООС и </w:t>
      </w:r>
      <w:r w:rsidRPr="008164CD">
        <w:rPr>
          <w:rFonts w:ascii="Times New Roman" w:hAnsi="Times New Roman"/>
          <w:color w:val="000000" w:themeColor="text1"/>
          <w:sz w:val="24"/>
        </w:rPr>
        <w:t>на основание</w:t>
      </w:r>
      <w:r w:rsidRPr="00663A4B">
        <w:rPr>
          <w:rFonts w:ascii="Times New Roman" w:hAnsi="Times New Roman"/>
          <w:color w:val="000000" w:themeColor="text1"/>
          <w:sz w:val="24"/>
        </w:rPr>
        <w:t xml:space="preserve"> чл. </w:t>
      </w:r>
      <w:proofErr w:type="gramStart"/>
      <w:r w:rsidRPr="00663A4B">
        <w:rPr>
          <w:rFonts w:ascii="Times New Roman" w:hAnsi="Times New Roman"/>
          <w:color w:val="000000" w:themeColor="text1"/>
          <w:sz w:val="24"/>
        </w:rPr>
        <w:t xml:space="preserve">92, </w:t>
      </w:r>
      <w:r>
        <w:rPr>
          <w:rFonts w:ascii="Times New Roman" w:hAnsi="Times New Roman"/>
          <w:color w:val="000000" w:themeColor="text1"/>
          <w:sz w:val="24"/>
        </w:rPr>
        <w:t>т</w:t>
      </w:r>
      <w:r w:rsidRPr="00663A4B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663A4B">
        <w:rPr>
          <w:rFonts w:ascii="Times New Roman" w:hAnsi="Times New Roman"/>
          <w:color w:val="000000" w:themeColor="text1"/>
          <w:sz w:val="24"/>
        </w:rPr>
        <w:t xml:space="preserve">1 от ЗООС подлежи на </w:t>
      </w:r>
      <w:proofErr w:type="spellStart"/>
      <w:r w:rsidRPr="00663A4B">
        <w:rPr>
          <w:rFonts w:ascii="Times New Roman" w:hAnsi="Times New Roman"/>
          <w:color w:val="000000" w:themeColor="text1"/>
          <w:sz w:val="24"/>
        </w:rPr>
        <w:t>задължителна</w:t>
      </w:r>
      <w:proofErr w:type="spellEnd"/>
      <w:r w:rsidRPr="00663A4B">
        <w:rPr>
          <w:rFonts w:ascii="Times New Roman" w:hAnsi="Times New Roman"/>
          <w:color w:val="000000" w:themeColor="text1"/>
          <w:sz w:val="24"/>
        </w:rPr>
        <w:t xml:space="preserve"> оценка на въздействието върху околната среда (ОВОС).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</w:rPr>
        <w:t>Съгласно чл.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</w:rPr>
        <w:t>94, ал.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</w:rPr>
        <w:t>1, т. 5 от ЗООС, както и на основание чл.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</w:rPr>
        <w:t>94, ал.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</w:rPr>
        <w:t xml:space="preserve">1, т. 9 от ЗООС, предвид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заявеното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от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възложителя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, компетентен орган за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вземане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на решение по ОВОС е министърът на околната среда и водите.</w:t>
      </w:r>
      <w:proofErr w:type="gramEnd"/>
    </w:p>
    <w:p w:rsidR="00D91525" w:rsidRPr="00D91525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bg-BG" w:eastAsia="bg-BG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</w:rPr>
        <w:t>Постъпилото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уведомление </w:t>
      </w:r>
      <w:r w:rsidRPr="00663A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 вх.</w:t>
      </w:r>
      <w:proofErr w:type="gramEnd"/>
      <w:r w:rsidRPr="00663A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2115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№ ОВОС-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17</w:t>
      </w:r>
      <w:r w:rsidRPr="002115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/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05</w:t>
      </w:r>
      <w:r w:rsidRPr="002115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0</w:t>
      </w:r>
      <w:r w:rsidRPr="002115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2.202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</w:t>
      </w:r>
      <w:r w:rsidRPr="002115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МОСВ 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изпратено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изпълнителния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директор на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Изпълнителната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агенция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околна среда (ИАОС) за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произнасяне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компетентност</w:t>
      </w:r>
      <w:r w:rsidRPr="00346C4E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по отношение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процедурите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по реда на Глава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седма</w:t>
      </w:r>
      <w:proofErr w:type="spellEnd"/>
      <w:r>
        <w:rPr>
          <w:rFonts w:ascii="Times New Roman" w:hAnsi="Times New Roman"/>
          <w:color w:val="000000" w:themeColor="text1"/>
          <w:sz w:val="24"/>
        </w:rPr>
        <w:t>, раздел I и II от ЗООС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становищата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изх.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№№ 539/18.02.2021 г. и 648/01.03.2021 г.,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компетентният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орган е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констатира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следното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</w:t>
      </w:r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редвидената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КС с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прилежащите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ѝ технически съоръжения, както и на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нова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ГИС се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изграждат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във връзка с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разширение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капацитета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ПГХ „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–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предприятие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висок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рисков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потенциал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 на което е издадено Решение № 124-</w:t>
      </w:r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А2/17.05.2017 г. за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одобряване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r w:rsidRPr="000F6AD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актуализиран доклад за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безопасност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r w:rsidRPr="000F6ADB">
        <w:t xml:space="preserve">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Двата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имота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 на които са КС и ПГХ „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са с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обща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граница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от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юг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обща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инфраструктура, дейност,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под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контрола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един и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същ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оператор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са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притежание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едно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също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лице</w:t>
      </w:r>
      <w:proofErr w:type="spellEnd"/>
      <w:r w:rsidRPr="000F6A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</w:p>
    <w:p w:rsidR="00D91525" w:rsidRPr="00C421DA" w:rsidRDefault="00D91525" w:rsidP="00D91525">
      <w:pPr>
        <w:pStyle w:val="ListParagraph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C421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По отношение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</w:t>
      </w:r>
      <w:r w:rsidRPr="00C421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лава </w:t>
      </w:r>
      <w:proofErr w:type="spellStart"/>
      <w:r w:rsidRPr="00C421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седма</w:t>
      </w:r>
      <w:proofErr w:type="spellEnd"/>
      <w:r w:rsidRPr="00C421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раздел I от ЗООС: </w:t>
      </w:r>
    </w:p>
    <w:p w:rsidR="00D91525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конкретния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случай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изграждането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КС</w:t>
      </w:r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към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газопреносно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то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съоръжение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не може да бъде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отнесено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към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изключенията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 посочени в чл.</w:t>
      </w:r>
      <w:proofErr w:type="gram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103, ал.</w:t>
      </w:r>
      <w:proofErr w:type="gram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8, т. 4 на ЗООС,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тъй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като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предвидената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изграждане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площадка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ще е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неразривно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свързана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територията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предприятието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чл.</w:t>
      </w:r>
      <w:proofErr w:type="gram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103, ал.</w:t>
      </w:r>
      <w:proofErr w:type="gram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2 от ЗООС.</w:t>
      </w:r>
      <w:proofErr w:type="gram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смисъла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§ 1, т. 31 от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Допълнителните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lastRenderedPageBreak/>
        <w:t>разпоредби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(ДР) от ЗООС двете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площадки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КС</w:t>
      </w:r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ПГХ „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“ следва да се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считат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едно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предприятие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за което </w:t>
      </w:r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следва да бъде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одобрен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общ</w:t>
      </w:r>
      <w:proofErr w:type="spellEnd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актуализиран доклад за </w:t>
      </w:r>
      <w:proofErr w:type="spellStart"/>
      <w:r w:rsidRPr="00346C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безопасност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</w:p>
    <w:p w:rsidR="00D91525" w:rsidRPr="00EA4A2D" w:rsidRDefault="00D91525" w:rsidP="00D91525">
      <w:pPr>
        <w:pStyle w:val="ListParagraph"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r w:rsidRPr="00EA4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отношение на Г</w:t>
      </w:r>
      <w:r w:rsidRPr="00EA4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лава </w:t>
      </w:r>
      <w:proofErr w:type="spellStart"/>
      <w:r w:rsidRPr="00EA4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седма</w:t>
      </w:r>
      <w:proofErr w:type="spellEnd"/>
      <w:r w:rsidRPr="00EA4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 раздел II от ЗООС</w:t>
      </w:r>
      <w:r w:rsidRPr="003A02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:</w:t>
      </w:r>
      <w:r w:rsidRPr="004C7E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D91525" w:rsidRPr="00D91525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</w:t>
      </w:r>
      <w:r w:rsidRPr="00225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зграждането</w:t>
      </w:r>
      <w:proofErr w:type="spellEnd"/>
      <w:r w:rsidRPr="00225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експлоатацията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КС</w:t>
      </w:r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прилежащите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й технически съоръжения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</w:t>
      </w:r>
      <w:r w:rsidRPr="00225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във връзка с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разширение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капацитет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ПГХ </w:t>
      </w:r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225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така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заявеното</w:t>
      </w:r>
      <w:proofErr w:type="spellEnd"/>
      <w:r w:rsidRPr="00225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</w:t>
      </w:r>
      <w:r w:rsidRPr="00225C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следва да бъде издадено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комплексно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разрешително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(КР) съгласно </w:t>
      </w:r>
      <w:r w:rsidRPr="00F60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чл. </w:t>
      </w:r>
      <w:proofErr w:type="gramStart"/>
      <w:r w:rsidRPr="00F60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117, ал.</w:t>
      </w:r>
      <w:proofErr w:type="gramEnd"/>
      <w:r w:rsidRPr="00F60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F60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 от ЗООС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  <w:r w:rsidRPr="00F604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Предвид, че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двата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имота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описаното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местоположение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граничат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един с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друг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пряко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са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притежание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едно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също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лице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КР </w:t>
      </w:r>
      <w:r w:rsidRPr="00DC2D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следва да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обхваща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предвидената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изграждане КС и ПГХ „</w:t>
      </w:r>
      <w:proofErr w:type="spellStart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EA4A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“.</w:t>
      </w:r>
      <w:proofErr w:type="gramEnd"/>
    </w:p>
    <w:p w:rsidR="00D91525" w:rsidRPr="00966437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0A362D">
        <w:rPr>
          <w:rFonts w:ascii="Times New Roman" w:hAnsi="Times New Roman"/>
          <w:color w:val="000000" w:themeColor="text1"/>
          <w:sz w:val="24"/>
        </w:rPr>
        <w:t>Предвид изискванията на чл.</w:t>
      </w:r>
      <w:proofErr w:type="gramEnd"/>
      <w:r w:rsidRPr="000A362D">
        <w:rPr>
          <w:rFonts w:ascii="Times New Roman" w:hAnsi="Times New Roman"/>
          <w:color w:val="000000" w:themeColor="text1"/>
          <w:sz w:val="24"/>
        </w:rPr>
        <w:t xml:space="preserve"> 4а от Наредбата за ОВОС е </w:t>
      </w:r>
      <w:proofErr w:type="spellStart"/>
      <w:r w:rsidRPr="000A362D">
        <w:rPr>
          <w:rFonts w:ascii="Times New Roman" w:hAnsi="Times New Roman"/>
          <w:color w:val="000000" w:themeColor="text1"/>
          <w:sz w:val="24"/>
        </w:rPr>
        <w:t>извършена</w:t>
      </w:r>
      <w:proofErr w:type="spellEnd"/>
      <w:r w:rsidRPr="000A362D">
        <w:rPr>
          <w:rFonts w:ascii="Times New Roman" w:hAnsi="Times New Roman"/>
          <w:color w:val="000000" w:themeColor="text1"/>
          <w:sz w:val="24"/>
        </w:rPr>
        <w:t xml:space="preserve"> проверка относно </w:t>
      </w:r>
      <w:proofErr w:type="spellStart"/>
      <w:r w:rsidRPr="000A362D">
        <w:rPr>
          <w:rFonts w:ascii="Times New Roman" w:hAnsi="Times New Roman"/>
          <w:color w:val="000000" w:themeColor="text1"/>
          <w:sz w:val="24"/>
        </w:rPr>
        <w:t>допустимостта</w:t>
      </w:r>
      <w:proofErr w:type="spellEnd"/>
      <w:r w:rsidRPr="000A362D">
        <w:rPr>
          <w:rFonts w:ascii="Times New Roman" w:hAnsi="Times New Roman"/>
          <w:color w:val="000000" w:themeColor="text1"/>
          <w:sz w:val="24"/>
        </w:rPr>
        <w:t xml:space="preserve"> на ИП </w:t>
      </w:r>
      <w:proofErr w:type="spellStart"/>
      <w:r w:rsidRPr="000A362D">
        <w:rPr>
          <w:rFonts w:ascii="Times New Roman" w:hAnsi="Times New Roman"/>
          <w:color w:val="000000" w:themeColor="text1"/>
          <w:sz w:val="24"/>
        </w:rPr>
        <w:t>спрямо</w:t>
      </w:r>
      <w:proofErr w:type="spellEnd"/>
      <w:r w:rsidRPr="000A362D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A362D">
        <w:rPr>
          <w:rFonts w:ascii="Times New Roman" w:hAnsi="Times New Roman"/>
          <w:color w:val="000000" w:themeColor="text1"/>
          <w:sz w:val="24"/>
        </w:rPr>
        <w:t>режимите</w:t>
      </w:r>
      <w:proofErr w:type="spellEnd"/>
      <w:r w:rsidRPr="000A362D">
        <w:rPr>
          <w:rFonts w:ascii="Times New Roman" w:hAnsi="Times New Roman"/>
          <w:color w:val="000000" w:themeColor="text1"/>
          <w:sz w:val="24"/>
        </w:rPr>
        <w:t xml:space="preserve">, </w:t>
      </w:r>
      <w:proofErr w:type="spellStart"/>
      <w:r w:rsidRPr="000A362D">
        <w:rPr>
          <w:rFonts w:ascii="Times New Roman" w:hAnsi="Times New Roman"/>
          <w:color w:val="000000" w:themeColor="text1"/>
          <w:sz w:val="24"/>
        </w:rPr>
        <w:t>определени</w:t>
      </w:r>
      <w:proofErr w:type="spellEnd"/>
      <w:r w:rsidRPr="000A362D">
        <w:rPr>
          <w:rFonts w:ascii="Times New Roman" w:hAnsi="Times New Roman"/>
          <w:color w:val="000000" w:themeColor="text1"/>
          <w:sz w:val="24"/>
        </w:rPr>
        <w:t xml:space="preserve"> в </w:t>
      </w:r>
      <w:proofErr w:type="spellStart"/>
      <w:r w:rsidRPr="000A362D">
        <w:rPr>
          <w:rFonts w:ascii="Times New Roman" w:hAnsi="Times New Roman"/>
          <w:color w:val="000000" w:themeColor="text1"/>
          <w:sz w:val="24"/>
        </w:rPr>
        <w:t>действащите</w:t>
      </w:r>
      <w:proofErr w:type="spellEnd"/>
      <w:r w:rsidRPr="000A362D">
        <w:rPr>
          <w:rFonts w:ascii="Times New Roman" w:hAnsi="Times New Roman"/>
          <w:color w:val="000000" w:themeColor="text1"/>
          <w:sz w:val="24"/>
        </w:rPr>
        <w:t xml:space="preserve"> </w:t>
      </w:r>
      <w:r w:rsidRPr="004F668E">
        <w:rPr>
          <w:rFonts w:ascii="Times New Roman" w:hAnsi="Times New Roman"/>
          <w:i/>
          <w:color w:val="000000" w:themeColor="text1"/>
          <w:sz w:val="24"/>
        </w:rPr>
        <w:t xml:space="preserve">План за управление на </w:t>
      </w:r>
      <w:proofErr w:type="spellStart"/>
      <w:r w:rsidRPr="004F668E">
        <w:rPr>
          <w:rFonts w:ascii="Times New Roman" w:hAnsi="Times New Roman"/>
          <w:i/>
          <w:color w:val="000000" w:themeColor="text1"/>
          <w:sz w:val="24"/>
        </w:rPr>
        <w:t>речните</w:t>
      </w:r>
      <w:proofErr w:type="spellEnd"/>
      <w:r w:rsidRPr="004F668E">
        <w:rPr>
          <w:rFonts w:ascii="Times New Roman" w:hAnsi="Times New Roman"/>
          <w:i/>
          <w:color w:val="000000" w:themeColor="text1"/>
          <w:sz w:val="24"/>
        </w:rPr>
        <w:t xml:space="preserve"> </w:t>
      </w:r>
      <w:proofErr w:type="spellStart"/>
      <w:r w:rsidRPr="004F668E">
        <w:rPr>
          <w:rFonts w:ascii="Times New Roman" w:hAnsi="Times New Roman"/>
          <w:i/>
          <w:color w:val="000000" w:themeColor="text1"/>
          <w:sz w:val="24"/>
        </w:rPr>
        <w:t>басейни</w:t>
      </w:r>
      <w:proofErr w:type="spellEnd"/>
      <w:r w:rsidRPr="004F668E">
        <w:rPr>
          <w:rFonts w:ascii="Times New Roman" w:hAnsi="Times New Roman"/>
          <w:i/>
          <w:color w:val="000000" w:themeColor="text1"/>
          <w:sz w:val="24"/>
        </w:rPr>
        <w:t xml:space="preserve"> 2016-2021 г.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A362D">
        <w:rPr>
          <w:rFonts w:ascii="Times New Roman" w:hAnsi="Times New Roman"/>
          <w:color w:val="000000" w:themeColor="text1"/>
          <w:sz w:val="24"/>
        </w:rPr>
        <w:t>(ПУРБ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A362D">
        <w:rPr>
          <w:rFonts w:ascii="Times New Roman" w:hAnsi="Times New Roman"/>
          <w:color w:val="000000" w:themeColor="text1"/>
          <w:sz w:val="24"/>
        </w:rPr>
        <w:t xml:space="preserve">2016-2021 г.) и </w:t>
      </w:r>
      <w:r w:rsidRPr="004F668E">
        <w:rPr>
          <w:rFonts w:ascii="Times New Roman" w:hAnsi="Times New Roman"/>
          <w:i/>
          <w:color w:val="000000" w:themeColor="text1"/>
          <w:sz w:val="24"/>
        </w:rPr>
        <w:t xml:space="preserve">План за управление на </w:t>
      </w:r>
      <w:proofErr w:type="spellStart"/>
      <w:r w:rsidRPr="004F668E">
        <w:rPr>
          <w:rFonts w:ascii="Times New Roman" w:hAnsi="Times New Roman"/>
          <w:i/>
          <w:color w:val="000000" w:themeColor="text1"/>
          <w:sz w:val="24"/>
        </w:rPr>
        <w:t>риска</w:t>
      </w:r>
      <w:proofErr w:type="spellEnd"/>
      <w:r w:rsidRPr="004F668E">
        <w:rPr>
          <w:rFonts w:ascii="Times New Roman" w:hAnsi="Times New Roman"/>
          <w:i/>
          <w:color w:val="000000" w:themeColor="text1"/>
          <w:sz w:val="24"/>
        </w:rPr>
        <w:t xml:space="preserve"> от </w:t>
      </w:r>
      <w:proofErr w:type="spellStart"/>
      <w:r w:rsidRPr="004F668E">
        <w:rPr>
          <w:rFonts w:ascii="Times New Roman" w:hAnsi="Times New Roman"/>
          <w:i/>
          <w:color w:val="000000" w:themeColor="text1"/>
          <w:sz w:val="24"/>
        </w:rPr>
        <w:t>наводнения</w:t>
      </w:r>
      <w:proofErr w:type="spellEnd"/>
      <w:r w:rsidRPr="004F668E">
        <w:rPr>
          <w:rFonts w:ascii="Times New Roman" w:hAnsi="Times New Roman"/>
          <w:i/>
          <w:color w:val="000000" w:themeColor="text1"/>
          <w:sz w:val="24"/>
        </w:rPr>
        <w:t xml:space="preserve"> 2016-2021 г.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A362D">
        <w:rPr>
          <w:rFonts w:ascii="Times New Roman" w:hAnsi="Times New Roman"/>
          <w:color w:val="000000" w:themeColor="text1"/>
          <w:sz w:val="24"/>
        </w:rPr>
        <w:t>(ПУРН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0A362D">
        <w:rPr>
          <w:rFonts w:ascii="Times New Roman" w:hAnsi="Times New Roman"/>
          <w:color w:val="000000" w:themeColor="text1"/>
          <w:sz w:val="24"/>
        </w:rPr>
        <w:t xml:space="preserve">2016-2021 г.) на </w:t>
      </w:r>
      <w:proofErr w:type="spellStart"/>
      <w:r w:rsidRPr="000A362D">
        <w:rPr>
          <w:rFonts w:ascii="Times New Roman" w:hAnsi="Times New Roman"/>
          <w:color w:val="000000" w:themeColor="text1"/>
          <w:sz w:val="24"/>
        </w:rPr>
        <w:t>територията</w:t>
      </w:r>
      <w:proofErr w:type="spellEnd"/>
      <w:r w:rsidRPr="000A362D">
        <w:rPr>
          <w:rFonts w:ascii="Times New Roman" w:hAnsi="Times New Roman"/>
          <w:color w:val="000000" w:themeColor="text1"/>
          <w:sz w:val="24"/>
        </w:rPr>
        <w:t xml:space="preserve"> на Басейнова дирекция</w:t>
      </w:r>
      <w:r>
        <w:rPr>
          <w:rFonts w:ascii="Times New Roman" w:hAnsi="Times New Roman"/>
          <w:color w:val="000000" w:themeColor="text1"/>
          <w:sz w:val="24"/>
        </w:rPr>
        <w:t xml:space="preserve"> „</w:t>
      </w:r>
      <w:proofErr w:type="spellStart"/>
      <w:r>
        <w:rPr>
          <w:rFonts w:ascii="Times New Roman" w:hAnsi="Times New Roman"/>
          <w:color w:val="000000" w:themeColor="text1"/>
          <w:sz w:val="24"/>
        </w:rPr>
        <w:t>Дунавски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район</w:t>
      </w:r>
      <w:proofErr w:type="spellEnd"/>
      <w:r>
        <w:rPr>
          <w:rFonts w:ascii="Times New Roman" w:hAnsi="Times New Roman"/>
          <w:color w:val="000000" w:themeColor="text1"/>
          <w:sz w:val="24"/>
        </w:rPr>
        <w:t>“ (БДДР).</w:t>
      </w:r>
    </w:p>
    <w:p w:rsidR="00D91525" w:rsidRPr="00D91525" w:rsidRDefault="00D91525" w:rsidP="00D915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proofErr w:type="gramStart"/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БД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Д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Р мотивирано е </w:t>
      </w:r>
      <w:proofErr w:type="spellStart"/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изразила</w:t>
      </w:r>
      <w:proofErr w:type="spellEnd"/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становище с изх.</w:t>
      </w:r>
      <w:proofErr w:type="gramEnd"/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№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У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-0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1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128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1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)/1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7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2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.2021 г., че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реализирането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на </w:t>
      </w:r>
      <w:r w:rsidRPr="00B523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ИП </w:t>
      </w:r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за </w:t>
      </w:r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„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Проектиране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и изграждане на нови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надземни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съоръжения – компресорна станция с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всичките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ѝ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прилежащи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технически съоръжения за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обезпечаване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надеждна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непрекъсната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работа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в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режими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нагнетяване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добив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на газ, както и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нова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газоизмервателна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станция (ГИС), във връзка с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разширение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капацитета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подземно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газово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хранилище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(ПГХ) „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Чирен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“ и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връзката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им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със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>съществуващите</w:t>
      </w:r>
      <w:proofErr w:type="spellEnd"/>
      <w:r w:rsidRPr="007D42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bg-BG"/>
        </w:rPr>
        <w:t xml:space="preserve"> такива“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няма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да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окаже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значително въздействие върху водите и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водните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екосистеми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и е допустимо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спрямо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мелите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за опазване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па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околната среда, заложени в ПУРБ 2016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–</w:t>
      </w:r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2021 г. и ПУРН 2016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–</w:t>
      </w:r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2021 г., както и с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предвидените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в плановете мерки за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постигане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на тези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мели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, при </w:t>
      </w:r>
      <w:proofErr w:type="spell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условие</w:t>
      </w:r>
      <w:proofErr w:type="spell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, че се спазват посочените мерки в т. 1.1.2. </w:t>
      </w:r>
      <w:proofErr w:type="gram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и</w:t>
      </w:r>
      <w:proofErr w:type="gram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нормативните изисквания посочени в т. 2. </w:t>
      </w:r>
      <w:proofErr w:type="gramStart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от</w:t>
      </w:r>
      <w:proofErr w:type="gramEnd"/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тяхното</w:t>
      </w:r>
      <w:r w:rsidRPr="007D427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становище.</w:t>
      </w:r>
    </w:p>
    <w:p w:rsidR="00D91525" w:rsidRPr="00C4699C" w:rsidRDefault="00D91525" w:rsidP="00D9152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>ІІ.</w:t>
      </w:r>
      <w:proofErr w:type="gramEnd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>По отношение на изискванията на чл.</w:t>
      </w:r>
      <w:proofErr w:type="gramEnd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31 от Закона за </w:t>
      </w:r>
      <w:proofErr w:type="spellStart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>биологичното</w:t>
      </w:r>
      <w:proofErr w:type="spellEnd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>разнообразие</w:t>
      </w:r>
      <w:proofErr w:type="spellEnd"/>
      <w:r w:rsidRPr="00C469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(ЗБР):</w:t>
      </w:r>
    </w:p>
    <w:p w:rsidR="00D91525" w:rsidRPr="00701B78" w:rsidRDefault="00D91525" w:rsidP="00D9152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bg-BG"/>
        </w:rPr>
      </w:pP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При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извършена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проверка, относно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местоположението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територията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предмет на ИП </w:t>
      </w:r>
      <w:r w:rsidRPr="00C469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–</w:t>
      </w:r>
      <w:r w:rsidRPr="00701B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bg-BG"/>
        </w:rPr>
        <w:t xml:space="preserve"> ПИ №</w:t>
      </w:r>
      <w:r w:rsidRPr="00C469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701B7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81400.125.283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 се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установи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че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същата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не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границите на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територии по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смисъла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Закона за защитените територии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както и в границите на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защитени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 (Натура 2000 места) по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смисъла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r w:rsidRPr="00EB04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ЗБР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bg-BG"/>
        </w:rPr>
        <w:t>.</w:t>
      </w:r>
      <w:r w:rsidRPr="00701B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:rsidR="00D91525" w:rsidRPr="00701B78" w:rsidRDefault="00D91525" w:rsidP="00D9152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gramStart"/>
      <w:r w:rsidRPr="00C469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ИП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подлежи на процедура по ОВОС,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тъй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като самостоятелно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 обхвата на Приложение №</w:t>
      </w:r>
      <w:r w:rsidRPr="00C469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1 от ЗООС.</w:t>
      </w:r>
      <w:proofErr w:type="gram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 тази връзка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то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попада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в обхвата на чл.</w:t>
      </w:r>
      <w:proofErr w:type="gram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2, ал.</w:t>
      </w:r>
      <w:proofErr w:type="gram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1, т. 1 от </w:t>
      </w:r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Наредба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та</w:t>
      </w:r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условията и реда за извършване на оценка за </w:t>
      </w:r>
      <w:proofErr w:type="spellStart"/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съвместимостта</w:t>
      </w:r>
      <w:proofErr w:type="spellEnd"/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планове, програми, проекти и инвестиционни предложения с </w:t>
      </w:r>
      <w:proofErr w:type="spellStart"/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предмета</w:t>
      </w:r>
      <w:proofErr w:type="spellEnd"/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>целите</w:t>
      </w:r>
      <w:proofErr w:type="spellEnd"/>
      <w:r w:rsidRPr="00701B7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опазване на защитените зони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r w:rsidRPr="00A135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(Наредбата за ОС, ДВ, бр.73/2007 г., </w:t>
      </w:r>
      <w:proofErr w:type="spellStart"/>
      <w:r w:rsidRPr="00A135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изм</w:t>
      </w:r>
      <w:proofErr w:type="spellEnd"/>
      <w:r w:rsidRPr="00A135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. и </w:t>
      </w:r>
      <w:proofErr w:type="spellStart"/>
      <w:r w:rsidRPr="00A135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доп</w:t>
      </w:r>
      <w:proofErr w:type="spellEnd"/>
      <w:r w:rsidRPr="00A135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.),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поради което за него следва да бъде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извършена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оценка за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съвместимостта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му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с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предмета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целите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опазване на защитени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зони. </w:t>
      </w:r>
    </w:p>
    <w:p w:rsidR="00D91525" w:rsidRPr="00701B78" w:rsidRDefault="00D91525" w:rsidP="00D9152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</w:pPr>
      <w:proofErr w:type="spellStart"/>
      <w:proofErr w:type="gram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След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преглед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представената информация и документация и на основание чл.</w:t>
      </w:r>
      <w:proofErr w:type="gram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39, ал.</w:t>
      </w:r>
      <w:proofErr w:type="gram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3 </w:t>
      </w:r>
      <w:r w:rsidRPr="003D44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от Наредбата за ОС, 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въз основа на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критериите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по чл.</w:t>
      </w:r>
      <w:proofErr w:type="gram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gram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16 от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нея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преценката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вероятната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степен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отрицателно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въздействие е, че </w:t>
      </w:r>
      <w:r w:rsidRPr="00C469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ИП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Pr="00701B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няма</w:t>
      </w:r>
      <w:proofErr w:type="spellEnd"/>
      <w:r w:rsidRPr="00701B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вероятност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да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окаже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значително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отрицателно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въздействие върху природни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,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популации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местообитания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на </w:t>
      </w:r>
      <w:proofErr w:type="spellStart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видове</w:t>
      </w:r>
      <w:proofErr w:type="spellEnd"/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, предмет на опазване в защитени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те</w:t>
      </w:r>
      <w:r w:rsidRPr="00701B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 xml:space="preserve"> зони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bg-BG"/>
        </w:rPr>
        <w:t>.</w:t>
      </w:r>
      <w:proofErr w:type="gramEnd"/>
    </w:p>
    <w:p w:rsidR="00DE3F43" w:rsidRPr="00DE3F43" w:rsidRDefault="00DE3F43" w:rsidP="00DE3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3F43" w:rsidRPr="00D91525" w:rsidRDefault="00DE3F43" w:rsidP="00D91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proofErr w:type="spellStart"/>
      <w:proofErr w:type="gramStart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</w:t>
      </w:r>
      <w:proofErr w:type="spellEnd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писмото</w:t>
      </w:r>
      <w:proofErr w:type="spellEnd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изпратено</w:t>
      </w:r>
      <w:proofErr w:type="spellEnd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БДДР, РИОСВ-</w:t>
      </w:r>
      <w:proofErr w:type="spellStart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Враца</w:t>
      </w:r>
      <w:proofErr w:type="spellEnd"/>
      <w:r w:rsidRP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ИАОС, км</w:t>
      </w:r>
      <w:r w:rsid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етство с. </w:t>
      </w:r>
      <w:proofErr w:type="spellStart"/>
      <w:r w:rsid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Чирен</w:t>
      </w:r>
      <w:proofErr w:type="spellEnd"/>
      <w:r w:rsid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Враца</w:t>
      </w:r>
      <w:proofErr w:type="spellEnd"/>
      <w:r w:rsidR="00D915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3975E5" w:rsidRPr="00D91525" w:rsidRDefault="00DE3F43" w:rsidP="00D91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E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/отговорено от МОСВ на 16.03.2021 г</w:t>
      </w:r>
      <w:proofErr w:type="gramStart"/>
      <w:r w:rsidRPr="00DE3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./</w:t>
      </w:r>
      <w:bookmarkStart w:id="0" w:name="_GoBack"/>
      <w:bookmarkEnd w:id="0"/>
      <w:proofErr w:type="gramEnd"/>
    </w:p>
    <w:sectPr w:rsidR="003975E5" w:rsidRPr="00D915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2015B"/>
    <w:multiLevelType w:val="hybridMultilevel"/>
    <w:tmpl w:val="38A80A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35511"/>
    <w:multiLevelType w:val="multilevel"/>
    <w:tmpl w:val="5DC4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A43E8"/>
    <w:multiLevelType w:val="hybridMultilevel"/>
    <w:tmpl w:val="BA86541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184E61"/>
    <w:multiLevelType w:val="multilevel"/>
    <w:tmpl w:val="62E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742FE"/>
    <w:multiLevelType w:val="hybridMultilevel"/>
    <w:tmpl w:val="BE7C53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414250"/>
    <w:multiLevelType w:val="hybridMultilevel"/>
    <w:tmpl w:val="6B3E877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94176"/>
    <w:rsid w:val="002711DD"/>
    <w:rsid w:val="003975E5"/>
    <w:rsid w:val="003A2BF0"/>
    <w:rsid w:val="00401EE8"/>
    <w:rsid w:val="00456F7C"/>
    <w:rsid w:val="00481143"/>
    <w:rsid w:val="0058399D"/>
    <w:rsid w:val="00680613"/>
    <w:rsid w:val="00777A4A"/>
    <w:rsid w:val="007D044C"/>
    <w:rsid w:val="007E0318"/>
    <w:rsid w:val="007F442C"/>
    <w:rsid w:val="00861DC9"/>
    <w:rsid w:val="008C6A1D"/>
    <w:rsid w:val="008E5887"/>
    <w:rsid w:val="00994D6A"/>
    <w:rsid w:val="00A44BAB"/>
    <w:rsid w:val="00A604E3"/>
    <w:rsid w:val="00B13EB7"/>
    <w:rsid w:val="00B26393"/>
    <w:rsid w:val="00B85228"/>
    <w:rsid w:val="00BA790D"/>
    <w:rsid w:val="00BB43BC"/>
    <w:rsid w:val="00C31B2B"/>
    <w:rsid w:val="00CD0914"/>
    <w:rsid w:val="00CE12DF"/>
    <w:rsid w:val="00D41FC2"/>
    <w:rsid w:val="00D75FB7"/>
    <w:rsid w:val="00D91525"/>
    <w:rsid w:val="00D92884"/>
    <w:rsid w:val="00DD406E"/>
    <w:rsid w:val="00DE3F43"/>
    <w:rsid w:val="00DE6307"/>
    <w:rsid w:val="00DF773F"/>
    <w:rsid w:val="00E24FFB"/>
    <w:rsid w:val="00E708E4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19</cp:revision>
  <dcterms:created xsi:type="dcterms:W3CDTF">2018-04-04T07:34:00Z</dcterms:created>
  <dcterms:modified xsi:type="dcterms:W3CDTF">2021-03-18T09:31:00Z</dcterms:modified>
</cp:coreProperties>
</file>