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EA1D" w14:textId="77777777" w:rsidR="00D076BA" w:rsidRPr="00D076BA" w:rsidRDefault="00D076BA" w:rsidP="00B21A87">
      <w:pPr>
        <w:spacing w:before="120"/>
        <w:jc w:val="center"/>
        <w:rPr>
          <w:b/>
        </w:rPr>
      </w:pPr>
      <w:r w:rsidRPr="00D076BA">
        <w:rPr>
          <w:b/>
        </w:rPr>
        <w:t>МОТИВИ</w:t>
      </w:r>
    </w:p>
    <w:p w14:paraId="74EE6CCC" w14:textId="65672DF9" w:rsidR="00FD6D9C" w:rsidRPr="00B337D8" w:rsidRDefault="00D076BA" w:rsidP="00B21A87">
      <w:pPr>
        <w:spacing w:before="120"/>
        <w:jc w:val="center"/>
        <w:rPr>
          <w:b/>
          <w:bCs/>
          <w:color w:val="333333"/>
          <w:bdr w:val="none" w:sz="0" w:space="0" w:color="auto" w:frame="1"/>
          <w:lang w:val="ru-RU"/>
        </w:rPr>
      </w:pPr>
      <w:r w:rsidRPr="008C109F">
        <w:rPr>
          <w:b/>
        </w:rPr>
        <w:t xml:space="preserve">към </w:t>
      </w:r>
      <w:r w:rsidR="00736D1A">
        <w:rPr>
          <w:b/>
        </w:rPr>
        <w:t>п</w:t>
      </w:r>
      <w:r w:rsidR="00736D1A" w:rsidRPr="00736D1A">
        <w:rPr>
          <w:b/>
        </w:rPr>
        <w:t xml:space="preserve">роект на Закон за ратифициране на </w:t>
      </w:r>
      <w:r w:rsidR="00DD2988">
        <w:rPr>
          <w:b/>
        </w:rPr>
        <w:t xml:space="preserve">Международната </w:t>
      </w:r>
      <w:r w:rsidR="00DD2988" w:rsidRPr="00736D1A">
        <w:rPr>
          <w:b/>
        </w:rPr>
        <w:t xml:space="preserve">конвенция </w:t>
      </w:r>
      <w:r w:rsidR="00736D1A" w:rsidRPr="00736D1A">
        <w:rPr>
          <w:b/>
        </w:rPr>
        <w:t>от Хонконг относно безопасно и екологосъобразно рециклиране на кораби</w:t>
      </w:r>
      <w:r w:rsidR="00DD2988">
        <w:rPr>
          <w:b/>
        </w:rPr>
        <w:t>, 2009 г.</w:t>
      </w:r>
    </w:p>
    <w:p w14:paraId="79D0CA6A" w14:textId="77777777" w:rsidR="00FD6D9C" w:rsidRPr="00B337D8" w:rsidRDefault="00FD6D9C" w:rsidP="00B21A87">
      <w:pPr>
        <w:spacing w:before="120"/>
        <w:contextualSpacing/>
        <w:jc w:val="both"/>
        <w:rPr>
          <w:b/>
          <w:bCs/>
          <w:color w:val="333333"/>
          <w:sz w:val="20"/>
          <w:szCs w:val="20"/>
          <w:bdr w:val="none" w:sz="0" w:space="0" w:color="auto" w:frame="1"/>
          <w:lang w:val="ru-RU"/>
        </w:rPr>
      </w:pPr>
    </w:p>
    <w:p w14:paraId="1CC4663B" w14:textId="77777777" w:rsidR="00033C5D" w:rsidRDefault="00033C5D" w:rsidP="00B21A87">
      <w:pPr>
        <w:spacing w:before="120"/>
        <w:ind w:firstLine="708"/>
        <w:jc w:val="both"/>
      </w:pPr>
    </w:p>
    <w:p w14:paraId="29FD38C5" w14:textId="6D5CD0D5" w:rsidR="00736D1A" w:rsidRDefault="00AA44AD" w:rsidP="00B21A87">
      <w:pPr>
        <w:spacing w:before="120"/>
        <w:ind w:firstLine="708"/>
        <w:jc w:val="both"/>
        <w:rPr>
          <w:rFonts w:eastAsia="Calibri"/>
        </w:rPr>
      </w:pPr>
      <w:r>
        <w:t xml:space="preserve">Международната </w:t>
      </w:r>
      <w:r>
        <w:rPr>
          <w:rFonts w:eastAsia="Calibri"/>
        </w:rPr>
        <w:t xml:space="preserve">конвенция </w:t>
      </w:r>
      <w:r w:rsidR="00736D1A">
        <w:rPr>
          <w:rFonts w:eastAsia="Calibri"/>
        </w:rPr>
        <w:t xml:space="preserve">от Хонконг </w:t>
      </w:r>
      <w:r>
        <w:t>за</w:t>
      </w:r>
      <w:r w:rsidRPr="004F0F38">
        <w:t xml:space="preserve"> безопасно и екологосъобразно рециклиране на кораби</w:t>
      </w:r>
      <w:r>
        <w:t xml:space="preserve">, 2009 г. </w:t>
      </w:r>
      <w:r w:rsidR="00736D1A">
        <w:rPr>
          <w:rFonts w:eastAsia="Calibri"/>
        </w:rPr>
        <w:t>(</w:t>
      </w:r>
      <w:r w:rsidR="00736D1A" w:rsidRPr="009E7D30">
        <w:rPr>
          <w:rFonts w:eastAsia="Calibri"/>
        </w:rPr>
        <w:t>Конвенцията</w:t>
      </w:r>
      <w:r w:rsidR="00736D1A">
        <w:rPr>
          <w:rFonts w:eastAsia="Calibri"/>
        </w:rPr>
        <w:t xml:space="preserve">) </w:t>
      </w:r>
      <w:r w:rsidR="00736D1A" w:rsidRPr="000C49E6">
        <w:rPr>
          <w:rFonts w:eastAsia="Calibri"/>
        </w:rPr>
        <w:t>е приета на 15 май 2009 г.</w:t>
      </w:r>
      <w:r w:rsidR="00736D1A">
        <w:rPr>
          <w:rFonts w:eastAsia="Calibri"/>
        </w:rPr>
        <w:t xml:space="preserve"> </w:t>
      </w:r>
      <w:r w:rsidR="00736D1A" w:rsidRPr="00855BDC">
        <w:rPr>
          <w:rFonts w:eastAsia="Calibri"/>
        </w:rPr>
        <w:t>под егидата на Межд</w:t>
      </w:r>
      <w:r w:rsidR="00736D1A">
        <w:rPr>
          <w:rFonts w:eastAsia="Calibri"/>
        </w:rPr>
        <w:t xml:space="preserve">ународната морска организация </w:t>
      </w:r>
      <w:r w:rsidR="00736D1A" w:rsidRPr="00855BDC">
        <w:rPr>
          <w:rFonts w:eastAsia="Calibri"/>
        </w:rPr>
        <w:t>в резултат на разискванията на Международната конференция за безопасно и екологосъобразно рециклиране на кораби</w:t>
      </w:r>
      <w:r w:rsidR="00A945AF">
        <w:rPr>
          <w:rFonts w:eastAsia="Calibri"/>
        </w:rPr>
        <w:t xml:space="preserve">. </w:t>
      </w:r>
      <w:r w:rsidR="00A945AF">
        <w:t xml:space="preserve">Конвенцията беше </w:t>
      </w:r>
      <w:r w:rsidR="00A945AF" w:rsidRPr="00233668">
        <w:t xml:space="preserve">открита за подписване </w:t>
      </w:r>
      <w:r w:rsidR="00A945AF">
        <w:t>в периода</w:t>
      </w:r>
      <w:r w:rsidR="00A945AF" w:rsidRPr="00233668">
        <w:t xml:space="preserve"> от 1 септември 2009</w:t>
      </w:r>
      <w:r w:rsidR="00A945AF">
        <w:t> </w:t>
      </w:r>
      <w:r w:rsidR="00A945AF" w:rsidRPr="00233668">
        <w:t>г. до 31 август 2010</w:t>
      </w:r>
      <w:r w:rsidR="00A945AF">
        <w:t> </w:t>
      </w:r>
      <w:r w:rsidR="00A945AF" w:rsidRPr="00233668">
        <w:t>г.</w:t>
      </w:r>
      <w:r w:rsidR="00A945AF">
        <w:t>,</w:t>
      </w:r>
      <w:r w:rsidR="00A945AF" w:rsidRPr="00233668">
        <w:t xml:space="preserve"> </w:t>
      </w:r>
      <w:r w:rsidR="00A945AF">
        <w:t>а</w:t>
      </w:r>
      <w:r w:rsidR="00A945AF" w:rsidRPr="00233668">
        <w:t xml:space="preserve"> </w:t>
      </w:r>
      <w:r w:rsidR="00A945AF">
        <w:t>към настоящия момент е</w:t>
      </w:r>
      <w:r w:rsidR="00A945AF" w:rsidRPr="00233668">
        <w:t xml:space="preserve"> открита за присъединяване</w:t>
      </w:r>
      <w:r w:rsidR="00A945AF">
        <w:t>.</w:t>
      </w:r>
    </w:p>
    <w:p w14:paraId="7277A951" w14:textId="6B616836" w:rsidR="00736D1A" w:rsidRPr="0053395F" w:rsidRDefault="00E526FF" w:rsidP="00B21A87">
      <w:pPr>
        <w:spacing w:before="120"/>
        <w:ind w:firstLine="708"/>
        <w:jc w:val="both"/>
        <w:rPr>
          <w:rFonts w:eastAsia="Calibri"/>
        </w:rPr>
      </w:pPr>
      <w:r w:rsidRPr="00B87FAF">
        <w:t xml:space="preserve">Съгласно предвиденото в чл. 17 от Конвенцията, тя ще влезе в сила 24 (двадесет и четири) месеца след кумулативното изпълнение на 3 (три) условия, а именно: </w:t>
      </w:r>
      <w:r w:rsidRPr="00E35392">
        <w:rPr>
          <w:b/>
        </w:rPr>
        <w:t>1)</w:t>
      </w:r>
      <w:r w:rsidRPr="00E35392">
        <w:t xml:space="preserve"> не по-малко от 15 държави са </w:t>
      </w:r>
      <w:r w:rsidRPr="0056599E">
        <w:t xml:space="preserve">я подписали без резерви по отношение на ратификация, приемане или утвърждаване, или са депозирали необходимия документ за ратификация, приемане, утвърждаване или присъединяване; </w:t>
      </w:r>
      <w:r w:rsidRPr="0056599E">
        <w:rPr>
          <w:b/>
        </w:rPr>
        <w:t>2)</w:t>
      </w:r>
      <w:r w:rsidRPr="007A7137">
        <w:t xml:space="preserve"> комбинираните търговски флоти на </w:t>
      </w:r>
      <w:r w:rsidRPr="00A7232C">
        <w:t>тези държави представляват не по-малко от 40% от брутния тонаж на световното търговско корабоплаване и</w:t>
      </w:r>
      <w:r w:rsidRPr="00074341">
        <w:t xml:space="preserve"> </w:t>
      </w:r>
      <w:r w:rsidRPr="00074341">
        <w:rPr>
          <w:b/>
        </w:rPr>
        <w:t>3)</w:t>
      </w:r>
      <w:r w:rsidRPr="00074341">
        <w:t xml:space="preserve"> общият максимален годишен обем на рециклиране на кораби на тези държави през предходните 10 години</w:t>
      </w:r>
      <w:r w:rsidRPr="009F2D0B">
        <w:t xml:space="preserve"> представлява не по-малко от 3% от брутния тонаж на комбинираното търговско корабоплаване на същите държави. </w:t>
      </w:r>
      <w:r w:rsidR="006D3D92">
        <w:t>На</w:t>
      </w:r>
      <w:r w:rsidR="006D3D92" w:rsidRPr="0062503C">
        <w:t xml:space="preserve"> </w:t>
      </w:r>
      <w:r w:rsidR="006D3D92">
        <w:t>26 юни 2023 г. и трите условия са изпълнени –</w:t>
      </w:r>
      <w:r w:rsidRPr="0062503C">
        <w:t xml:space="preserve"> </w:t>
      </w:r>
      <w:r>
        <w:t xml:space="preserve">страни по Конвенцията са </w:t>
      </w:r>
      <w:r w:rsidR="006D3D92" w:rsidRPr="00A34AFA">
        <w:t>22</w:t>
      </w:r>
      <w:r w:rsidR="006D3D92">
        <w:t xml:space="preserve"> </w:t>
      </w:r>
      <w:r>
        <w:t>държави, в това число 1</w:t>
      </w:r>
      <w:r w:rsidR="00EE0F71" w:rsidRPr="00A34AFA">
        <w:t>1</w:t>
      </w:r>
      <w:r>
        <w:t xml:space="preserve"> държави – членки на ЕС, </w:t>
      </w:r>
      <w:r w:rsidR="00EE0F71" w:rsidRPr="007A7137">
        <w:t xml:space="preserve">комбинираните търговски флоти на </w:t>
      </w:r>
      <w:r w:rsidR="00EE0F71" w:rsidRPr="00A7232C">
        <w:t>тези държави представляват 4</w:t>
      </w:r>
      <w:r w:rsidR="00EE0F71">
        <w:t>5,81</w:t>
      </w:r>
      <w:r w:rsidR="00EE0F71" w:rsidRPr="00A7232C">
        <w:t>% от брутния тонаж на световното търговско корабоплаване</w:t>
      </w:r>
      <w:r w:rsidR="00EE0F71">
        <w:t xml:space="preserve"> и </w:t>
      </w:r>
      <w:r w:rsidR="00EE0F71" w:rsidRPr="00074341">
        <w:t>общият максимален годишен обем на рециклиране на кораби на тези държави през предходните 10 години</w:t>
      </w:r>
      <w:r w:rsidR="00EE0F71" w:rsidRPr="009F2D0B">
        <w:t xml:space="preserve"> представлява 3</w:t>
      </w:r>
      <w:r w:rsidR="00EE0F71">
        <w:t>,31</w:t>
      </w:r>
      <w:r w:rsidR="00EE0F71" w:rsidRPr="009F2D0B">
        <w:t>% от брутния тонаж на комбинираното търговско корабоплаване на същите държави</w:t>
      </w:r>
      <w:r>
        <w:t>, поради което</w:t>
      </w:r>
      <w:r w:rsidRPr="00E35392">
        <w:t xml:space="preserve"> </w:t>
      </w:r>
      <w:r>
        <w:t>международният договор</w:t>
      </w:r>
      <w:r w:rsidRPr="00E35392">
        <w:t xml:space="preserve"> </w:t>
      </w:r>
      <w:r w:rsidR="00EE0F71">
        <w:t>щ</w:t>
      </w:r>
      <w:r>
        <w:t xml:space="preserve">е </w:t>
      </w:r>
      <w:r w:rsidRPr="00E35392">
        <w:t>вл</w:t>
      </w:r>
      <w:r w:rsidR="00F120B2">
        <w:t>е</w:t>
      </w:r>
      <w:r w:rsidRPr="00E35392">
        <w:t>з</w:t>
      </w:r>
      <w:r w:rsidR="00F120B2">
        <w:t>е</w:t>
      </w:r>
      <w:r w:rsidRPr="00E35392">
        <w:t xml:space="preserve"> в сила</w:t>
      </w:r>
      <w:r w:rsidR="00F120B2" w:rsidRPr="00F120B2">
        <w:t xml:space="preserve"> </w:t>
      </w:r>
      <w:r w:rsidR="00F120B2">
        <w:t>на 26 юни 2025 г</w:t>
      </w:r>
      <w:r w:rsidRPr="00E35392">
        <w:t>.</w:t>
      </w:r>
    </w:p>
    <w:p w14:paraId="73A77AC3" w14:textId="0D8C0148" w:rsidR="00736D1A" w:rsidRDefault="00736D1A" w:rsidP="00B21A87">
      <w:pPr>
        <w:spacing w:before="120"/>
        <w:ind w:firstLine="708"/>
        <w:jc w:val="both"/>
        <w:rPr>
          <w:rFonts w:eastAsia="Calibri"/>
        </w:rPr>
      </w:pPr>
      <w:r w:rsidRPr="009E7D30">
        <w:rPr>
          <w:rFonts w:eastAsia="Calibri"/>
        </w:rPr>
        <w:t>Конвенцията установява на глобално равнище задължителни изисквания за гарантиране на безопасното и екологосъобразно рециклиране на кораби по ефикасен и ефективен начин. За повишаване на нивото на стандартите при рециклирането на кораби, Конвенцията се основава по-специално на инспектирането и сертифицирането на кораби, издаването на разрешения за експлоатация на съоръженията за рециклиране на кораби и на специфични изисквания</w:t>
      </w:r>
      <w:r w:rsidR="009E2663">
        <w:rPr>
          <w:rFonts w:eastAsia="Calibri"/>
        </w:rPr>
        <w:t xml:space="preserve"> </w:t>
      </w:r>
      <w:r w:rsidR="009E2663">
        <w:t>(регламентирани в Приложението към Конвенцията, представляващо съгласно чл. 1, ал. 5 неразделна част от нея)</w:t>
      </w:r>
      <w:r w:rsidRPr="009E7D30">
        <w:rPr>
          <w:rFonts w:eastAsia="Calibri"/>
        </w:rPr>
        <w:t xml:space="preserve">, като например задължението </w:t>
      </w:r>
      <w:proofErr w:type="spellStart"/>
      <w:r w:rsidRPr="009E7D30">
        <w:rPr>
          <w:rFonts w:eastAsia="Calibri"/>
        </w:rPr>
        <w:t>корабособствениците</w:t>
      </w:r>
      <w:proofErr w:type="spellEnd"/>
      <w:r w:rsidRPr="009E7D30">
        <w:rPr>
          <w:rFonts w:eastAsia="Calibri"/>
        </w:rPr>
        <w:t xml:space="preserve"> да съставят опис на опасните материали на борда на своите кораби, притежателите на съоръжения за рециклиране на кораби да изготвят съответен план за рециклиране, а държавите, под чи</w:t>
      </w:r>
      <w:r w:rsidR="007917CA">
        <w:rPr>
          <w:rFonts w:eastAsia="Calibri"/>
        </w:rPr>
        <w:t>е</w:t>
      </w:r>
      <w:r w:rsidRPr="009E7D30">
        <w:rPr>
          <w:rFonts w:eastAsia="Calibri"/>
        </w:rPr>
        <w:t xml:space="preserve">то </w:t>
      </w:r>
      <w:r w:rsidR="007917CA">
        <w:rPr>
          <w:rFonts w:eastAsia="Calibri"/>
        </w:rPr>
        <w:t>знаме</w:t>
      </w:r>
      <w:r w:rsidR="007917CA" w:rsidRPr="009E7D30">
        <w:rPr>
          <w:rFonts w:eastAsia="Calibri"/>
        </w:rPr>
        <w:t xml:space="preserve"> </w:t>
      </w:r>
      <w:r w:rsidRPr="009E7D30">
        <w:rPr>
          <w:rFonts w:eastAsia="Calibri"/>
        </w:rPr>
        <w:t xml:space="preserve">плават корабите, да извършват окончателна инспекция с оглед издаването на </w:t>
      </w:r>
      <w:r w:rsidR="007917CA">
        <w:rPr>
          <w:rFonts w:eastAsia="Calibri"/>
        </w:rPr>
        <w:t>свидетелство</w:t>
      </w:r>
      <w:r w:rsidRPr="009E7D30">
        <w:rPr>
          <w:rFonts w:eastAsia="Calibri"/>
        </w:rPr>
        <w:t xml:space="preserve"> за годност за рециклиране. Важен елемент е ограничението за използване на опасни материали в корабостроенето.</w:t>
      </w:r>
    </w:p>
    <w:p w14:paraId="7B1D923B" w14:textId="4E2F22EC" w:rsidR="00736D1A" w:rsidRDefault="005713AD" w:rsidP="00B21A87">
      <w:pPr>
        <w:spacing w:before="120"/>
        <w:ind w:firstLine="708"/>
        <w:jc w:val="both"/>
        <w:rPr>
          <w:rFonts w:eastAsia="Calibri"/>
        </w:rPr>
      </w:pPr>
      <w:r>
        <w:t xml:space="preserve">В приложното поле на Международната </w:t>
      </w:r>
      <w:r w:rsidRPr="00D77C0B">
        <w:rPr>
          <w:rFonts w:eastAsia="Calibri"/>
        </w:rPr>
        <w:t xml:space="preserve">конвенция </w:t>
      </w:r>
      <w:r>
        <w:t>от Хонконг за</w:t>
      </w:r>
      <w:r w:rsidRPr="004F0F38">
        <w:t xml:space="preserve"> безопасно и екологосъобразно рециклиране на кораби</w:t>
      </w:r>
      <w:r>
        <w:t xml:space="preserve">, 2009 г., попадат морските кораби с </w:t>
      </w:r>
      <w:r w:rsidR="00CC0ADC">
        <w:t xml:space="preserve">бруто </w:t>
      </w:r>
      <w:r w:rsidR="00D64C36">
        <w:t xml:space="preserve">тонаж </w:t>
      </w:r>
      <w:r w:rsidR="00EB5153">
        <w:t>не по-малък от</w:t>
      </w:r>
      <w:r w:rsidR="00D64C36">
        <w:t xml:space="preserve"> 500 БТ</w:t>
      </w:r>
      <w:r>
        <w:t>, плаващи под знамето на държава – страна по Конвенцията, както и съоръженията за рециклиране на кораби (</w:t>
      </w:r>
      <w:r w:rsidRPr="00254A39">
        <w:t>определена зона, представляваща обект, работна площадка или съоръжение, използвани за рециклирането на кораби</w:t>
      </w:r>
      <w:r>
        <w:t>), които се намират под юрисдикцията на държава – страна по Конвенцията.</w:t>
      </w:r>
      <w:r w:rsidR="00736D1A" w:rsidRPr="00D77C0B">
        <w:rPr>
          <w:rFonts w:eastAsia="Calibri"/>
        </w:rPr>
        <w:t xml:space="preserve"> </w:t>
      </w:r>
      <w:r w:rsidRPr="00D77C0B">
        <w:rPr>
          <w:rFonts w:eastAsia="Calibri"/>
        </w:rPr>
        <w:t>Цел</w:t>
      </w:r>
      <w:r>
        <w:rPr>
          <w:rFonts w:eastAsia="Calibri"/>
        </w:rPr>
        <w:t>та ѝ е</w:t>
      </w:r>
      <w:r w:rsidRPr="00D77C0B">
        <w:rPr>
          <w:rFonts w:eastAsia="Calibri"/>
        </w:rPr>
        <w:t xml:space="preserve"> </w:t>
      </w:r>
      <w:r w:rsidR="00736D1A" w:rsidRPr="00D77C0B">
        <w:rPr>
          <w:rFonts w:eastAsia="Calibri"/>
        </w:rPr>
        <w:t xml:space="preserve">да </w:t>
      </w:r>
      <w:r>
        <w:rPr>
          <w:rFonts w:eastAsia="Calibri"/>
        </w:rPr>
        <w:t xml:space="preserve">бъдат създадени </w:t>
      </w:r>
      <w:r w:rsidR="00736D1A" w:rsidRPr="00D77C0B">
        <w:rPr>
          <w:rFonts w:eastAsia="Calibri"/>
        </w:rPr>
        <w:t>гаран</w:t>
      </w:r>
      <w:r>
        <w:rPr>
          <w:rFonts w:eastAsia="Calibri"/>
        </w:rPr>
        <w:t>ци</w:t>
      </w:r>
      <w:r w:rsidR="00736D1A" w:rsidRPr="00D77C0B">
        <w:rPr>
          <w:rFonts w:eastAsia="Calibri"/>
        </w:rPr>
        <w:t xml:space="preserve">и, че корабите, които са в процес на разглобяване за скрап след </w:t>
      </w:r>
      <w:r w:rsidR="00736D1A" w:rsidRPr="00D77C0B">
        <w:rPr>
          <w:rFonts w:eastAsia="Calibri"/>
        </w:rPr>
        <w:lastRenderedPageBreak/>
        <w:t xml:space="preserve">края на експлоатационния им срок, не създават ненужен риск за човешкото здраве и безопасност, както и за околната среда. </w:t>
      </w:r>
    </w:p>
    <w:p w14:paraId="387FEA54" w14:textId="6B66A010" w:rsidR="00736D1A" w:rsidRPr="00D63FB3" w:rsidRDefault="00736D1A" w:rsidP="00B21A87">
      <w:pPr>
        <w:spacing w:before="120"/>
        <w:ind w:firstLine="708"/>
        <w:jc w:val="both"/>
        <w:rPr>
          <w:rFonts w:eastAsia="Calibri"/>
        </w:rPr>
      </w:pPr>
      <w:r w:rsidRPr="005713AD">
        <w:rPr>
          <w:rFonts w:eastAsia="Calibri"/>
        </w:rPr>
        <w:t>На европейско ниво през 2007 г. ЕК прие Зелена книга за подобряване на разглобяването на кораби за скрап, а през 20</w:t>
      </w:r>
      <w:r w:rsidRPr="009A5A92">
        <w:rPr>
          <w:rFonts w:eastAsia="Calibri"/>
        </w:rPr>
        <w:t xml:space="preserve">08 г. </w:t>
      </w:r>
      <w:r w:rsidR="002712DB" w:rsidRPr="002712DB">
        <w:rPr>
          <w:rFonts w:eastAsia="Calibri"/>
        </w:rPr>
        <w:t>–</w:t>
      </w:r>
      <w:r w:rsidRPr="009A5A92">
        <w:rPr>
          <w:rFonts w:eastAsia="Calibri"/>
        </w:rPr>
        <w:t xml:space="preserve"> съобщение, в което се предлага стратегия на ЕС за разглобяването на кораби за скрап</w:t>
      </w:r>
      <w:r w:rsidRPr="005713AD">
        <w:rPr>
          <w:rFonts w:eastAsia="Calibri"/>
        </w:rPr>
        <w:t xml:space="preserve"> (Съобщение COM (2008) 767 окончателен от 19 ноември 2008 г</w:t>
      </w:r>
      <w:r w:rsidR="00B21A87">
        <w:rPr>
          <w:rFonts w:eastAsia="Calibri"/>
        </w:rPr>
        <w:t>.)</w:t>
      </w:r>
      <w:r w:rsidRPr="005713AD">
        <w:rPr>
          <w:rFonts w:eastAsia="Calibri"/>
        </w:rPr>
        <w:t xml:space="preserve">. В тази стратегия са предложени мерки за подобряване на условията за разглобяване на кораби за скрап във възможно най-кратък срок, включително и през преходния период до влизане в сила на </w:t>
      </w:r>
      <w:r w:rsidR="002712DB" w:rsidRPr="00A7232C">
        <w:t>Конвенция</w:t>
      </w:r>
      <w:r w:rsidR="002712DB">
        <w:t>та</w:t>
      </w:r>
      <w:r w:rsidRPr="005713AD">
        <w:rPr>
          <w:rFonts w:eastAsia="Calibri"/>
        </w:rPr>
        <w:t>: подготовка за установяване на мерки относно ключови елемент</w:t>
      </w:r>
      <w:r w:rsidRPr="009A5A92">
        <w:rPr>
          <w:rFonts w:eastAsia="Calibri"/>
        </w:rPr>
        <w:t xml:space="preserve">и на Конвенцията, насърчаване на доброволни действия от страна на бранша, предоставяне на техническа помощ и подпомагане на развиващите се страни и по-добро прилагане на действащото законодателство. </w:t>
      </w:r>
    </w:p>
    <w:p w14:paraId="1E4D6CF6" w14:textId="36F745B5" w:rsidR="00736D1A" w:rsidRDefault="00736D1A" w:rsidP="00B21A87">
      <w:pPr>
        <w:spacing w:before="120"/>
        <w:ind w:firstLine="708"/>
        <w:jc w:val="both"/>
        <w:rPr>
          <w:rFonts w:eastAsia="Calibri"/>
        </w:rPr>
      </w:pPr>
      <w:r w:rsidRPr="00F13ACC">
        <w:rPr>
          <w:rFonts w:eastAsia="Calibri"/>
        </w:rPr>
        <w:t>В своите заключения по стратегията на ЕС за рециклиране на кораби Съветът подкреп</w:t>
      </w:r>
      <w:r>
        <w:rPr>
          <w:rFonts w:eastAsia="Calibri"/>
        </w:rPr>
        <w:t>я</w:t>
      </w:r>
      <w:r w:rsidRPr="00F13ACC">
        <w:rPr>
          <w:rFonts w:eastAsia="Calibri"/>
        </w:rPr>
        <w:t xml:space="preserve"> </w:t>
      </w:r>
      <w:r w:rsidR="00BB1936" w:rsidRPr="00A7232C">
        <w:t>Конвенция</w:t>
      </w:r>
      <w:r w:rsidR="00BB1936">
        <w:t>та</w:t>
      </w:r>
      <w:r w:rsidR="001454C0">
        <w:t xml:space="preserve">, </w:t>
      </w:r>
      <w:r>
        <w:rPr>
          <w:rFonts w:eastAsia="Calibri"/>
        </w:rPr>
        <w:t>като</w:t>
      </w:r>
      <w:r w:rsidRPr="00F13ACC">
        <w:rPr>
          <w:rFonts w:eastAsia="Calibri"/>
        </w:rPr>
        <w:t xml:space="preserve"> подчерта</w:t>
      </w:r>
      <w:r>
        <w:rPr>
          <w:rFonts w:eastAsia="Calibri"/>
        </w:rPr>
        <w:t>ва,</w:t>
      </w:r>
      <w:r w:rsidRPr="00F13ACC">
        <w:rPr>
          <w:rFonts w:eastAsia="Calibri"/>
        </w:rPr>
        <w:t xml:space="preserve"> че тя представлява значително постижение за международната общност, че предоставя всеобхватна система за контрол и правоприлагане през целия период на експлоатация на</w:t>
      </w:r>
      <w:r w:rsidR="002D5311">
        <w:rPr>
          <w:rFonts w:eastAsia="Calibri"/>
        </w:rPr>
        <w:t xml:space="preserve"> кораба („от люлката до гроба“)</w:t>
      </w:r>
      <w:r w:rsidRPr="00F13ACC">
        <w:rPr>
          <w:rFonts w:eastAsia="Calibri"/>
        </w:rPr>
        <w:t xml:space="preserve"> и настоятелно насърч</w:t>
      </w:r>
      <w:r>
        <w:rPr>
          <w:rFonts w:eastAsia="Calibri"/>
        </w:rPr>
        <w:t>ава</w:t>
      </w:r>
      <w:r w:rsidRPr="00F13ACC">
        <w:rPr>
          <w:rFonts w:eastAsia="Calibri"/>
        </w:rPr>
        <w:t xml:space="preserve"> държавите</w:t>
      </w:r>
      <w:r w:rsidR="00A844D1">
        <w:rPr>
          <w:rFonts w:eastAsia="Calibri"/>
        </w:rPr>
        <w:t xml:space="preserve"> – </w:t>
      </w:r>
      <w:r w:rsidRPr="00F13ACC">
        <w:rPr>
          <w:rFonts w:eastAsia="Calibri"/>
        </w:rPr>
        <w:t>членки на ЕС</w:t>
      </w:r>
      <w:r w:rsidR="001C7322">
        <w:rPr>
          <w:rFonts w:eastAsia="Calibri"/>
        </w:rPr>
        <w:t>,</w:t>
      </w:r>
      <w:r w:rsidRPr="00F13ACC">
        <w:rPr>
          <w:rFonts w:eastAsia="Calibri"/>
        </w:rPr>
        <w:t xml:space="preserve"> да ратифицират Конвенцията като приоритетен въпрос, за да се ускори в максимална степен нейното влизане в сила и да се постигне реална и </w:t>
      </w:r>
      <w:r w:rsidR="00F90FA3">
        <w:rPr>
          <w:rFonts w:eastAsia="Calibri"/>
        </w:rPr>
        <w:t>ефективна промяна в тази област</w:t>
      </w:r>
      <w:r w:rsidRPr="00F13ACC">
        <w:rPr>
          <w:rFonts w:eastAsia="Calibri"/>
        </w:rPr>
        <w:t>.</w:t>
      </w:r>
    </w:p>
    <w:p w14:paraId="1883AF79" w14:textId="4A27CF6A" w:rsidR="00D61611" w:rsidRDefault="00736D1A" w:rsidP="00B21A87">
      <w:pPr>
        <w:spacing w:before="120"/>
        <w:ind w:firstLine="708"/>
        <w:jc w:val="both"/>
      </w:pPr>
      <w:r>
        <w:rPr>
          <w:rFonts w:eastAsia="Calibri"/>
        </w:rPr>
        <w:t xml:space="preserve">В последствие е приет </w:t>
      </w:r>
      <w:r w:rsidRPr="00F13ACC">
        <w:rPr>
          <w:rFonts w:eastAsia="Calibri"/>
        </w:rPr>
        <w:t xml:space="preserve">Регламент (ЕС) № 1257/2013 на Европейския </w:t>
      </w:r>
      <w:r w:rsidR="005D2D52" w:rsidRPr="00F13ACC">
        <w:rPr>
          <w:rFonts w:eastAsia="Calibri"/>
        </w:rPr>
        <w:t xml:space="preserve">парламент </w:t>
      </w:r>
      <w:r w:rsidRPr="00F13ACC">
        <w:rPr>
          <w:rFonts w:eastAsia="Calibri"/>
        </w:rPr>
        <w:t>и на Съвета</w:t>
      </w:r>
      <w:r w:rsidRPr="006D3D92">
        <w:rPr>
          <w:rFonts w:eastAsia="Calibri"/>
        </w:rPr>
        <w:t xml:space="preserve"> </w:t>
      </w:r>
      <w:r w:rsidRPr="00F13ACC">
        <w:rPr>
          <w:rFonts w:eastAsia="Calibri"/>
        </w:rPr>
        <w:t>от 20 ноември 2013 година</w:t>
      </w:r>
      <w:r w:rsidRPr="006D3D92">
        <w:rPr>
          <w:rFonts w:eastAsia="Calibri"/>
        </w:rPr>
        <w:t xml:space="preserve"> </w:t>
      </w:r>
      <w:r w:rsidRPr="00F13ACC">
        <w:rPr>
          <w:rFonts w:eastAsia="Calibri"/>
        </w:rPr>
        <w:t>относно рециклирането на кораби и за изменение на Регламент (ЕО) № 1013/2006 и Директива 2009/16/ЕО</w:t>
      </w:r>
      <w:r w:rsidR="005D2D52">
        <w:rPr>
          <w:rFonts w:eastAsia="Calibri"/>
        </w:rPr>
        <w:t xml:space="preserve"> </w:t>
      </w:r>
      <w:r w:rsidR="005D2D52" w:rsidRPr="007A7137">
        <w:t>(ОВ, L</w:t>
      </w:r>
      <w:r w:rsidR="005D2D52" w:rsidRPr="004B51E7">
        <w:t> 330, 10</w:t>
      </w:r>
      <w:r w:rsidR="005D2D52" w:rsidRPr="00504369">
        <w:t xml:space="preserve"> декември 2013 г.</w:t>
      </w:r>
      <w:r w:rsidR="005D2D52" w:rsidRPr="00A7232C">
        <w:t>)</w:t>
      </w:r>
      <w:r>
        <w:rPr>
          <w:rFonts w:eastAsia="Calibri"/>
        </w:rPr>
        <w:t xml:space="preserve">, </w:t>
      </w:r>
      <w:r w:rsidR="00D61611" w:rsidRPr="00504369">
        <w:t xml:space="preserve">изменен с </w:t>
      </w:r>
      <w:r w:rsidR="00D61611" w:rsidRPr="007A7137">
        <w:t>Решение (ЕС) 2018/853 на Европейския парламент и на Съвета от 30 май 2018 година</w:t>
      </w:r>
      <w:r w:rsidR="00D61611" w:rsidRPr="00A7232C">
        <w:t xml:space="preserve"> (ОВ, L 150, 14 юни 2018 г.; попр., ОВ, L 039, 12 февруари 2020 г.), </w:t>
      </w:r>
      <w:r>
        <w:rPr>
          <w:rFonts w:eastAsia="Calibri"/>
        </w:rPr>
        <w:t xml:space="preserve">който </w:t>
      </w:r>
      <w:r w:rsidRPr="00FC3519">
        <w:rPr>
          <w:rFonts w:eastAsia="Calibri"/>
        </w:rPr>
        <w:t xml:space="preserve">има за цел да способства за </w:t>
      </w:r>
      <w:r w:rsidR="00D61611">
        <w:rPr>
          <w:rFonts w:eastAsia="Calibri"/>
        </w:rPr>
        <w:t xml:space="preserve">своевременното </w:t>
      </w:r>
      <w:r w:rsidRPr="00FC3519">
        <w:rPr>
          <w:rFonts w:eastAsia="Calibri"/>
        </w:rPr>
        <w:t xml:space="preserve">ратифициране на </w:t>
      </w:r>
      <w:r>
        <w:rPr>
          <w:rFonts w:eastAsia="Calibri"/>
        </w:rPr>
        <w:t>К</w:t>
      </w:r>
      <w:r w:rsidRPr="00FC3519">
        <w:rPr>
          <w:rFonts w:eastAsia="Calibri"/>
        </w:rPr>
        <w:t>онвенция</w:t>
      </w:r>
      <w:r>
        <w:rPr>
          <w:rFonts w:eastAsia="Calibri"/>
        </w:rPr>
        <w:t>та</w:t>
      </w:r>
      <w:r w:rsidR="00D61611" w:rsidRPr="00D61611">
        <w:t xml:space="preserve"> </w:t>
      </w:r>
      <w:r w:rsidR="00D61611" w:rsidRPr="007A7137">
        <w:t>чрез прилагане на пропорционални механизми за контрол по отношение на кораби и съоръжения за рециклиране на кораби въз основа на Конвенция</w:t>
      </w:r>
      <w:r w:rsidR="00D61611">
        <w:t>та</w:t>
      </w:r>
      <w:r w:rsidR="00D61611" w:rsidRPr="007A7137">
        <w:t>.</w:t>
      </w:r>
    </w:p>
    <w:p w14:paraId="1B59E80B" w14:textId="2CBDF492" w:rsidR="00736D1A" w:rsidRDefault="00D61611" w:rsidP="00B21A87">
      <w:pPr>
        <w:spacing w:before="120"/>
        <w:ind w:firstLine="708"/>
        <w:jc w:val="both"/>
        <w:rPr>
          <w:rFonts w:eastAsia="Calibri"/>
        </w:rPr>
      </w:pPr>
      <w:r>
        <w:t xml:space="preserve">На </w:t>
      </w:r>
      <w:r w:rsidRPr="00A7232C">
        <w:t>14 април 2014</w:t>
      </w:r>
      <w:r>
        <w:t> </w:t>
      </w:r>
      <w:r w:rsidRPr="00A7232C">
        <w:t>г</w:t>
      </w:r>
      <w:r>
        <w:t>.</w:t>
      </w:r>
      <w:r w:rsidRPr="00A7232C">
        <w:t xml:space="preserve"> </w:t>
      </w:r>
      <w:r>
        <w:t xml:space="preserve">беше прието и </w:t>
      </w:r>
      <w:r w:rsidRPr="00A7232C">
        <w:t>Решение на Съвета относно ратификацията или присъединяването на държавите членки в интерес на Европейския съюз към Международната конвенция от Хонконг от 2009</w:t>
      </w:r>
      <w:r>
        <w:t> </w:t>
      </w:r>
      <w:r w:rsidRPr="00A7232C">
        <w:t>г. за безопасно и екологосъобразно рециклиране на кораби (2014/241/ЕС)</w:t>
      </w:r>
      <w:r>
        <w:t xml:space="preserve"> (ОВ, </w:t>
      </w:r>
      <w:r>
        <w:rPr>
          <w:lang w:val="en-US"/>
        </w:rPr>
        <w:t>L</w:t>
      </w:r>
      <w:r>
        <w:t xml:space="preserve"> 128, 30 април 2014 г.), с което се разрешава на държавите членки </w:t>
      </w:r>
      <w:r w:rsidRPr="00A7232C">
        <w:t>да ратифицират или да се присъединят към Международната конвенция от Хонконг за безопасно и екологосъобразно рециклиране на кораби, 2009</w:t>
      </w:r>
      <w:r>
        <w:t> </w:t>
      </w:r>
      <w:r w:rsidRPr="00A7232C">
        <w:t>г.</w:t>
      </w:r>
      <w:r>
        <w:t>,</w:t>
      </w:r>
      <w:r w:rsidRPr="00A7232C">
        <w:t xml:space="preserve"> що се отнася до частите, попадащи в обхвата на изключителната компетентност на Съюза</w:t>
      </w:r>
      <w:r w:rsidR="00736D1A">
        <w:rPr>
          <w:rFonts w:eastAsia="Calibri"/>
        </w:rPr>
        <w:t>.</w:t>
      </w:r>
    </w:p>
    <w:p w14:paraId="03833B64" w14:textId="3B95A1F2" w:rsidR="002D02CE" w:rsidRDefault="00736D1A" w:rsidP="00B21A87">
      <w:pPr>
        <w:spacing w:before="120"/>
        <w:ind w:firstLine="708"/>
        <w:jc w:val="both"/>
      </w:pPr>
      <w:r>
        <w:rPr>
          <w:rFonts w:eastAsia="Calibri"/>
        </w:rPr>
        <w:t>На национално ниво задълженията и отговорностите, свързани с екологосъобразното рециклиране на кораби са регламентирани в Закона за управление на отпадъците</w:t>
      </w:r>
      <w:r w:rsidR="00213813">
        <w:t xml:space="preserve">, а правомощията, свързани с контрола за изпълнение на изискванията по отношение на морските кораби и издаването на </w:t>
      </w:r>
      <w:r w:rsidR="00213813" w:rsidRPr="00074341">
        <w:t>свидетелств</w:t>
      </w:r>
      <w:r w:rsidR="00213813">
        <w:t>а</w:t>
      </w:r>
      <w:r w:rsidR="00213813" w:rsidRPr="00074341">
        <w:t xml:space="preserve"> за инвентарния опис на опасните материали</w:t>
      </w:r>
      <w:r w:rsidR="00213813">
        <w:t xml:space="preserve"> и </w:t>
      </w:r>
      <w:r w:rsidR="00213813" w:rsidRPr="00074341">
        <w:t>за годност за рециклиране</w:t>
      </w:r>
      <w:r w:rsidR="00213813">
        <w:t xml:space="preserve"> на корабите – в Кодекса на търговското </w:t>
      </w:r>
      <w:r w:rsidR="00213813" w:rsidRPr="0062503C">
        <w:t>корабоплаване</w:t>
      </w:r>
      <w:r w:rsidR="00933369">
        <w:t xml:space="preserve"> и</w:t>
      </w:r>
      <w:r w:rsidR="00213813" w:rsidRPr="0062503C">
        <w:t xml:space="preserve"> в три подзаконови акта по неговото прилагане (Наредба № 5 </w:t>
      </w:r>
      <w:r w:rsidR="00213813" w:rsidRPr="0062503C">
        <w:rPr>
          <w:color w:val="000000"/>
        </w:rPr>
        <w:t>от 2004</w:t>
      </w:r>
      <w:r w:rsidR="00213813">
        <w:rPr>
          <w:color w:val="000000"/>
        </w:rPr>
        <w:t> </w:t>
      </w:r>
      <w:r w:rsidR="00213813" w:rsidRPr="0062503C">
        <w:rPr>
          <w:color w:val="000000"/>
        </w:rPr>
        <w:t>г. за корабните документи</w:t>
      </w:r>
      <w:r w:rsidR="00213813">
        <w:rPr>
          <w:color w:val="000000"/>
        </w:rPr>
        <w:t>,</w:t>
      </w:r>
      <w:r w:rsidR="00213813" w:rsidRPr="0062503C">
        <w:t xml:space="preserve"> Наредба № 11 от 2004 г. за прегледите на корабите и </w:t>
      </w:r>
      <w:proofErr w:type="spellStart"/>
      <w:r w:rsidR="00213813" w:rsidRPr="0062503C">
        <w:t>корабопритежателите</w:t>
      </w:r>
      <w:proofErr w:type="spellEnd"/>
      <w:r w:rsidR="00213813" w:rsidRPr="0062503C">
        <w:t xml:space="preserve"> и Наредба № 12 от 2010 г. за проверките по реда на</w:t>
      </w:r>
      <w:r w:rsidR="00213813" w:rsidRPr="009F2D0B">
        <w:t xml:space="preserve"> държавния пристанищен контрол</w:t>
      </w:r>
      <w:r w:rsidR="00213813">
        <w:t>)</w:t>
      </w:r>
      <w:r>
        <w:rPr>
          <w:rFonts w:eastAsia="Calibri"/>
        </w:rPr>
        <w:t>.</w:t>
      </w:r>
      <w:r w:rsidR="002D02CE" w:rsidRPr="002D02CE">
        <w:t xml:space="preserve"> </w:t>
      </w:r>
    </w:p>
    <w:p w14:paraId="6327BD32" w14:textId="11DA6AFE" w:rsidR="00736D1A" w:rsidRDefault="002D02CE" w:rsidP="00B21A87">
      <w:pPr>
        <w:spacing w:before="120"/>
        <w:ind w:firstLine="708"/>
        <w:jc w:val="both"/>
        <w:rPr>
          <w:rFonts w:eastAsia="Calibri"/>
        </w:rPr>
      </w:pPr>
      <w:r>
        <w:t xml:space="preserve">Съгласно чл. 16, ал. 6 от Конвенцията </w:t>
      </w:r>
      <w:r w:rsidRPr="000F4550">
        <w:t xml:space="preserve">в момента, в който </w:t>
      </w:r>
      <w:r>
        <w:t xml:space="preserve">дадена държава </w:t>
      </w:r>
      <w:r w:rsidRPr="000F4550">
        <w:t>изрази съгласието си да бъде обвързана от Конвенция</w:t>
      </w:r>
      <w:r>
        <w:t>та</w:t>
      </w:r>
      <w:r w:rsidR="0013750F">
        <w:t>,</w:t>
      </w:r>
      <w:r w:rsidRPr="000F4550">
        <w:t xml:space="preserve"> </w:t>
      </w:r>
      <w:r>
        <w:t xml:space="preserve">трябва да </w:t>
      </w:r>
      <w:r w:rsidRPr="000F4550">
        <w:t xml:space="preserve">декларира дали изисква изрично или мълчаливо одобрение на плана за рециклиране на кораби, преди корабът да може да бъде рециклиран в оторизирано съоръжение за рециклиране на кораби. </w:t>
      </w:r>
      <w:r>
        <w:lastRenderedPageBreak/>
        <w:t xml:space="preserve">Съдържанието на декларацията, включена в </w:t>
      </w:r>
      <w:r w:rsidR="00637786">
        <w:t xml:space="preserve">проекта на Закон за ратифициране на Международната </w:t>
      </w:r>
      <w:r w:rsidR="00637786">
        <w:rPr>
          <w:rFonts w:eastAsia="Calibri"/>
        </w:rPr>
        <w:t xml:space="preserve">конвенция от Хонконг </w:t>
      </w:r>
      <w:r w:rsidR="00637786">
        <w:t>за</w:t>
      </w:r>
      <w:r w:rsidR="00637786" w:rsidRPr="004F0F38">
        <w:t xml:space="preserve"> безопасно и екологосъобразно рециклиране на кораби</w:t>
      </w:r>
      <w:r w:rsidR="00637786">
        <w:t>, 2009 г.,</w:t>
      </w:r>
      <w:r>
        <w:t xml:space="preserve"> е съобразено със съществуващото в националното законодателство (чл. 53а, ал. 5 от Закона за управление на отпадъците) изискване за изрично одобряване на плана за рециклиране на кораби.</w:t>
      </w:r>
    </w:p>
    <w:p w14:paraId="0EA178D2" w14:textId="77777777" w:rsidR="00B01F91" w:rsidRPr="007C2538" w:rsidRDefault="00B01F91" w:rsidP="00B21A87">
      <w:pPr>
        <w:spacing w:before="120"/>
        <w:ind w:firstLine="1134"/>
        <w:jc w:val="both"/>
        <w:rPr>
          <w:highlight w:val="yellow"/>
        </w:rPr>
      </w:pPr>
    </w:p>
    <w:p w14:paraId="63A4C0D7" w14:textId="46983A3A" w:rsidR="00F60607" w:rsidRPr="00736D1A" w:rsidRDefault="00ED6EFF" w:rsidP="00B21A87">
      <w:pPr>
        <w:spacing w:before="120"/>
        <w:ind w:firstLine="360"/>
        <w:jc w:val="both"/>
        <w:rPr>
          <w:b/>
          <w:bCs/>
          <w:i/>
        </w:rPr>
      </w:pPr>
      <w:r w:rsidRPr="00736D1A">
        <w:rPr>
          <w:b/>
          <w:i/>
          <w:iCs/>
        </w:rPr>
        <w:t xml:space="preserve">Основни цели </w:t>
      </w:r>
      <w:r w:rsidR="00F60607" w:rsidRPr="00736D1A">
        <w:rPr>
          <w:b/>
          <w:i/>
          <w:iCs/>
        </w:rPr>
        <w:t xml:space="preserve">на </w:t>
      </w:r>
      <w:r w:rsidR="00736D1A" w:rsidRPr="00736D1A">
        <w:rPr>
          <w:b/>
          <w:i/>
          <w:iCs/>
        </w:rPr>
        <w:t>Конвенцията</w:t>
      </w:r>
      <w:r w:rsidR="00F60607" w:rsidRPr="00736D1A">
        <w:rPr>
          <w:b/>
          <w:i/>
          <w:iCs/>
        </w:rPr>
        <w:t>:</w:t>
      </w:r>
    </w:p>
    <w:p w14:paraId="5A4489C2" w14:textId="06110AFF" w:rsidR="00736D1A" w:rsidRPr="00736D1A" w:rsidRDefault="00736D1A" w:rsidP="00B21A87">
      <w:pPr>
        <w:pStyle w:val="ListParagraph"/>
        <w:numPr>
          <w:ilvl w:val="0"/>
          <w:numId w:val="2"/>
        </w:numPr>
        <w:spacing w:before="120"/>
        <w:jc w:val="both"/>
      </w:pPr>
      <w:r w:rsidRPr="00736D1A">
        <w:t xml:space="preserve">Предотвратяване, намаляване, свеждане до минимум и, доколкото е практически възможно, премахване </w:t>
      </w:r>
      <w:r w:rsidR="00AE633C">
        <w:t xml:space="preserve">на </w:t>
      </w:r>
      <w:r w:rsidRPr="00736D1A">
        <w:t xml:space="preserve">произшествията, нараняванията и други неблагоприятни въздействия върху човешкото здраве и околната среда, причинени от рециклирането на кораби. </w:t>
      </w:r>
    </w:p>
    <w:p w14:paraId="164BBD90" w14:textId="027C32A1" w:rsidR="00736D1A" w:rsidRPr="00736D1A" w:rsidRDefault="00736D1A" w:rsidP="00B21A87">
      <w:pPr>
        <w:pStyle w:val="ListParagraph"/>
        <w:numPr>
          <w:ilvl w:val="0"/>
          <w:numId w:val="2"/>
        </w:numPr>
        <w:spacing w:before="120"/>
        <w:jc w:val="both"/>
      </w:pPr>
      <w:r w:rsidRPr="00736D1A">
        <w:t xml:space="preserve">Повишаване безопасността и осигуряване на по-добра защита на човешкото здраве и на морската среда по време на жизнения цикъл на </w:t>
      </w:r>
      <w:r w:rsidR="00AE633C">
        <w:t xml:space="preserve">морските </w:t>
      </w:r>
      <w:r w:rsidRPr="00736D1A">
        <w:t xml:space="preserve">кораби, по-специално като се гарантира, че опасните отпадъци от рециклирането </w:t>
      </w:r>
      <w:r w:rsidR="00AE633C">
        <w:t>им</w:t>
      </w:r>
      <w:r w:rsidRPr="00736D1A">
        <w:t xml:space="preserve"> подлежат на екологосъобразно управление</w:t>
      </w:r>
      <w:r w:rsidR="00C14E99">
        <w:t>.</w:t>
      </w:r>
    </w:p>
    <w:p w14:paraId="7CD5BF4B" w14:textId="77777777" w:rsidR="00736D1A" w:rsidRPr="00736D1A" w:rsidRDefault="00736D1A" w:rsidP="00B21A87">
      <w:pPr>
        <w:spacing w:before="120"/>
        <w:jc w:val="both"/>
        <w:rPr>
          <w:highlight w:val="yellow"/>
        </w:rPr>
      </w:pPr>
    </w:p>
    <w:p w14:paraId="0B41F686" w14:textId="3C05FBAC" w:rsidR="008B57F6" w:rsidRPr="00055949" w:rsidRDefault="00AE01E0" w:rsidP="00B21A87">
      <w:pPr>
        <w:spacing w:before="120"/>
        <w:ind w:firstLine="360"/>
        <w:jc w:val="both"/>
        <w:rPr>
          <w:b/>
          <w:bCs/>
          <w:i/>
        </w:rPr>
      </w:pPr>
      <w:r w:rsidRPr="00055949">
        <w:rPr>
          <w:b/>
          <w:i/>
        </w:rPr>
        <w:t>Очаквани</w:t>
      </w:r>
      <w:r w:rsidR="008B57F6" w:rsidRPr="00055949">
        <w:rPr>
          <w:b/>
          <w:i/>
        </w:rPr>
        <w:t xml:space="preserve"> резултати от приемането на Закона за ратифи</w:t>
      </w:r>
      <w:r w:rsidR="00A328E4" w:rsidRPr="00055949">
        <w:rPr>
          <w:b/>
          <w:i/>
        </w:rPr>
        <w:t>циране</w:t>
      </w:r>
      <w:r w:rsidR="008B57F6" w:rsidRPr="00055949">
        <w:rPr>
          <w:b/>
          <w:i/>
        </w:rPr>
        <w:t xml:space="preserve"> на</w:t>
      </w:r>
      <w:r w:rsidR="008B57F6" w:rsidRPr="00055949">
        <w:rPr>
          <w:i/>
        </w:rPr>
        <w:t xml:space="preserve"> </w:t>
      </w:r>
      <w:r w:rsidR="00951463">
        <w:rPr>
          <w:b/>
          <w:bCs/>
          <w:i/>
        </w:rPr>
        <w:t>Конвенцията</w:t>
      </w:r>
      <w:r w:rsidRPr="00736D1A">
        <w:rPr>
          <w:b/>
          <w:bCs/>
          <w:i/>
        </w:rPr>
        <w:t>:</w:t>
      </w:r>
    </w:p>
    <w:p w14:paraId="0EBF6D7E" w14:textId="5E3FED82" w:rsidR="00736D1A" w:rsidRDefault="00736D1A" w:rsidP="00B21A87">
      <w:pPr>
        <w:spacing w:before="120"/>
        <w:ind w:firstLine="709"/>
        <w:jc w:val="both"/>
      </w:pPr>
      <w:r w:rsidRPr="009B0324">
        <w:t>Ратифицирането</w:t>
      </w:r>
      <w:r w:rsidRPr="00412257">
        <w:t xml:space="preserve"> на </w:t>
      </w:r>
      <w:r w:rsidR="001454C0" w:rsidRPr="00A7232C">
        <w:t xml:space="preserve">Международната конвенция от Хонконг </w:t>
      </w:r>
      <w:r w:rsidRPr="00412257">
        <w:t>относно безопасното и екологосъобразно рециклиране на кораби</w:t>
      </w:r>
      <w:r w:rsidR="001454C0">
        <w:t>, 2009 г.</w:t>
      </w:r>
      <w:r w:rsidR="00F677F3">
        <w:t>,</w:t>
      </w:r>
      <w:r>
        <w:t xml:space="preserve"> ще допринесе за повишаване на</w:t>
      </w:r>
      <w:r w:rsidRPr="00412257">
        <w:t xml:space="preserve"> безопасността и осигур</w:t>
      </w:r>
      <w:r>
        <w:t>яване на</w:t>
      </w:r>
      <w:r w:rsidRPr="00412257">
        <w:t xml:space="preserve"> по-добра защита на</w:t>
      </w:r>
      <w:r>
        <w:t xml:space="preserve"> </w:t>
      </w:r>
      <w:r w:rsidRPr="00412257">
        <w:t xml:space="preserve">човешкото здраве и на морската среда по време на жизнения цикъл на </w:t>
      </w:r>
      <w:r w:rsidR="00A37388">
        <w:t xml:space="preserve">морските </w:t>
      </w:r>
      <w:r w:rsidRPr="00412257">
        <w:t>кораби</w:t>
      </w:r>
      <w:r w:rsidR="00A37388">
        <w:t xml:space="preserve"> </w:t>
      </w:r>
      <w:r w:rsidR="00A37388" w:rsidRPr="00167552">
        <w:t>(при тяхн</w:t>
      </w:r>
      <w:r w:rsidR="0013750F">
        <w:t>а</w:t>
      </w:r>
      <w:r w:rsidR="00A37388" w:rsidRPr="00167552">
        <w:t>т</w:t>
      </w:r>
      <w:r w:rsidR="0013750F">
        <w:t>а</w:t>
      </w:r>
      <w:r w:rsidR="00A37388" w:rsidRPr="00167552">
        <w:t xml:space="preserve"> </w:t>
      </w:r>
      <w:r w:rsidR="0013750F" w:rsidRPr="00167552">
        <w:t>експлоатация</w:t>
      </w:r>
      <w:r w:rsidR="0013750F">
        <w:t>,</w:t>
      </w:r>
      <w:r w:rsidR="0013750F" w:rsidRPr="00167552">
        <w:t xml:space="preserve"> поддръжка </w:t>
      </w:r>
      <w:r w:rsidR="0013750F">
        <w:t xml:space="preserve">и </w:t>
      </w:r>
      <w:r w:rsidR="00A37388" w:rsidRPr="00167552">
        <w:t>рециклиране)</w:t>
      </w:r>
      <w:r w:rsidRPr="00412257">
        <w:t xml:space="preserve">, по-специално като се гарантира, че опасните отпадъци от рециклирането </w:t>
      </w:r>
      <w:r w:rsidR="00A37388">
        <w:t>им</w:t>
      </w:r>
      <w:r w:rsidRPr="00412257">
        <w:t xml:space="preserve"> подлежат на екологосъобразно управление.</w:t>
      </w:r>
    </w:p>
    <w:p w14:paraId="473BBB96" w14:textId="5B86770F" w:rsidR="00E619CA" w:rsidRDefault="00E619CA" w:rsidP="00E619CA">
      <w:pPr>
        <w:spacing w:before="120"/>
        <w:jc w:val="both"/>
      </w:pPr>
    </w:p>
    <w:p w14:paraId="50925BDB" w14:textId="00D2670C" w:rsidR="00E619CA" w:rsidRDefault="00E619CA" w:rsidP="00E619CA">
      <w:pPr>
        <w:spacing w:before="120"/>
        <w:jc w:val="both"/>
      </w:pPr>
      <w:bookmarkStart w:id="0" w:name="_GoBack"/>
      <w:bookmarkEnd w:id="0"/>
    </w:p>
    <w:sectPr w:rsidR="00E619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663C" w14:textId="77777777" w:rsidR="00AA5382" w:rsidRDefault="00AA5382" w:rsidP="00B21A87">
      <w:r>
        <w:separator/>
      </w:r>
    </w:p>
  </w:endnote>
  <w:endnote w:type="continuationSeparator" w:id="0">
    <w:p w14:paraId="0ACE2C79" w14:textId="77777777" w:rsidR="00AA5382" w:rsidRDefault="00AA5382" w:rsidP="00B2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839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DA3CA5" w14:textId="2B965CE1" w:rsidR="00B21A87" w:rsidRDefault="00B21A87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2140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2140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34F162D" w14:textId="77777777" w:rsidR="00B21A87" w:rsidRDefault="00B2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AD94" w14:textId="77777777" w:rsidR="00AA5382" w:rsidRDefault="00AA5382" w:rsidP="00B21A87">
      <w:r>
        <w:separator/>
      </w:r>
    </w:p>
  </w:footnote>
  <w:footnote w:type="continuationSeparator" w:id="0">
    <w:p w14:paraId="4DE51400" w14:textId="77777777" w:rsidR="00AA5382" w:rsidRDefault="00AA5382" w:rsidP="00B2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520"/>
    <w:multiLevelType w:val="hybridMultilevel"/>
    <w:tmpl w:val="5ED6AA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7390C"/>
    <w:multiLevelType w:val="hybridMultilevel"/>
    <w:tmpl w:val="3C5023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FF"/>
    <w:rsid w:val="00001AA6"/>
    <w:rsid w:val="00033C5D"/>
    <w:rsid w:val="00044A61"/>
    <w:rsid w:val="0005541D"/>
    <w:rsid w:val="00055949"/>
    <w:rsid w:val="000945CE"/>
    <w:rsid w:val="000A4477"/>
    <w:rsid w:val="000A448D"/>
    <w:rsid w:val="00116E1C"/>
    <w:rsid w:val="0013750F"/>
    <w:rsid w:val="001454C0"/>
    <w:rsid w:val="001A45E7"/>
    <w:rsid w:val="001A6F0E"/>
    <w:rsid w:val="001C19F2"/>
    <w:rsid w:val="001C60ED"/>
    <w:rsid w:val="001C7322"/>
    <w:rsid w:val="00213813"/>
    <w:rsid w:val="00267E01"/>
    <w:rsid w:val="002712DB"/>
    <w:rsid w:val="0029217F"/>
    <w:rsid w:val="002A5DE3"/>
    <w:rsid w:val="002D02CE"/>
    <w:rsid w:val="002D5311"/>
    <w:rsid w:val="002F44D2"/>
    <w:rsid w:val="0034049E"/>
    <w:rsid w:val="00355CEF"/>
    <w:rsid w:val="003821CF"/>
    <w:rsid w:val="003B77ED"/>
    <w:rsid w:val="003E58E4"/>
    <w:rsid w:val="004027C7"/>
    <w:rsid w:val="00406C78"/>
    <w:rsid w:val="004402AE"/>
    <w:rsid w:val="00493BD9"/>
    <w:rsid w:val="004D31A2"/>
    <w:rsid w:val="004D65CF"/>
    <w:rsid w:val="004E3495"/>
    <w:rsid w:val="004E4DE4"/>
    <w:rsid w:val="004F3FB7"/>
    <w:rsid w:val="0054086B"/>
    <w:rsid w:val="00542298"/>
    <w:rsid w:val="00544FEE"/>
    <w:rsid w:val="00564DF4"/>
    <w:rsid w:val="005713AD"/>
    <w:rsid w:val="005D2D52"/>
    <w:rsid w:val="005D6AFF"/>
    <w:rsid w:val="005E50EE"/>
    <w:rsid w:val="00613EC4"/>
    <w:rsid w:val="00637786"/>
    <w:rsid w:val="00646F70"/>
    <w:rsid w:val="0065186E"/>
    <w:rsid w:val="00661231"/>
    <w:rsid w:val="00676F57"/>
    <w:rsid w:val="006D3D92"/>
    <w:rsid w:val="006F3AD5"/>
    <w:rsid w:val="006F70FB"/>
    <w:rsid w:val="00720A1B"/>
    <w:rsid w:val="00736D1A"/>
    <w:rsid w:val="0076781E"/>
    <w:rsid w:val="00790AEA"/>
    <w:rsid w:val="007917CA"/>
    <w:rsid w:val="007C2538"/>
    <w:rsid w:val="007E59C7"/>
    <w:rsid w:val="0080390A"/>
    <w:rsid w:val="00811DBF"/>
    <w:rsid w:val="00825C76"/>
    <w:rsid w:val="008B446D"/>
    <w:rsid w:val="008B57F6"/>
    <w:rsid w:val="008B736A"/>
    <w:rsid w:val="008C109F"/>
    <w:rsid w:val="008E681F"/>
    <w:rsid w:val="008F66E1"/>
    <w:rsid w:val="00904080"/>
    <w:rsid w:val="0092140D"/>
    <w:rsid w:val="00933369"/>
    <w:rsid w:val="00951463"/>
    <w:rsid w:val="00984D60"/>
    <w:rsid w:val="0099606C"/>
    <w:rsid w:val="009A5A92"/>
    <w:rsid w:val="009A66EA"/>
    <w:rsid w:val="009D6EFF"/>
    <w:rsid w:val="009E2663"/>
    <w:rsid w:val="00A133CD"/>
    <w:rsid w:val="00A24419"/>
    <w:rsid w:val="00A328E4"/>
    <w:rsid w:val="00A34AFA"/>
    <w:rsid w:val="00A37388"/>
    <w:rsid w:val="00A47641"/>
    <w:rsid w:val="00A52085"/>
    <w:rsid w:val="00A538A8"/>
    <w:rsid w:val="00A844D1"/>
    <w:rsid w:val="00A945AF"/>
    <w:rsid w:val="00AA44AD"/>
    <w:rsid w:val="00AA5382"/>
    <w:rsid w:val="00AC09C4"/>
    <w:rsid w:val="00AE01E0"/>
    <w:rsid w:val="00AE2BF3"/>
    <w:rsid w:val="00AE633C"/>
    <w:rsid w:val="00B01F91"/>
    <w:rsid w:val="00B13A80"/>
    <w:rsid w:val="00B1649D"/>
    <w:rsid w:val="00B21A87"/>
    <w:rsid w:val="00B32781"/>
    <w:rsid w:val="00B337D8"/>
    <w:rsid w:val="00B57F00"/>
    <w:rsid w:val="00B81C46"/>
    <w:rsid w:val="00B91220"/>
    <w:rsid w:val="00BA1697"/>
    <w:rsid w:val="00BB0819"/>
    <w:rsid w:val="00BB1936"/>
    <w:rsid w:val="00BE0081"/>
    <w:rsid w:val="00BE3130"/>
    <w:rsid w:val="00C14E99"/>
    <w:rsid w:val="00C25A2F"/>
    <w:rsid w:val="00C31393"/>
    <w:rsid w:val="00C461F1"/>
    <w:rsid w:val="00C6187E"/>
    <w:rsid w:val="00C77E8A"/>
    <w:rsid w:val="00CB20B3"/>
    <w:rsid w:val="00CC0ADC"/>
    <w:rsid w:val="00CC517B"/>
    <w:rsid w:val="00CD3561"/>
    <w:rsid w:val="00CF0636"/>
    <w:rsid w:val="00D00504"/>
    <w:rsid w:val="00D076BA"/>
    <w:rsid w:val="00D31CE2"/>
    <w:rsid w:val="00D55218"/>
    <w:rsid w:val="00D61611"/>
    <w:rsid w:val="00D63FB3"/>
    <w:rsid w:val="00D64BDD"/>
    <w:rsid w:val="00D64C36"/>
    <w:rsid w:val="00DA180E"/>
    <w:rsid w:val="00DD2988"/>
    <w:rsid w:val="00DE0E3E"/>
    <w:rsid w:val="00DE76D1"/>
    <w:rsid w:val="00DF39C8"/>
    <w:rsid w:val="00E37538"/>
    <w:rsid w:val="00E526FF"/>
    <w:rsid w:val="00E619CA"/>
    <w:rsid w:val="00E83CEF"/>
    <w:rsid w:val="00E936E1"/>
    <w:rsid w:val="00EA6325"/>
    <w:rsid w:val="00EB5153"/>
    <w:rsid w:val="00ED6EFF"/>
    <w:rsid w:val="00EE05B3"/>
    <w:rsid w:val="00EE0F71"/>
    <w:rsid w:val="00F00464"/>
    <w:rsid w:val="00F03B83"/>
    <w:rsid w:val="00F120B2"/>
    <w:rsid w:val="00F60607"/>
    <w:rsid w:val="00F677F3"/>
    <w:rsid w:val="00F90FA3"/>
    <w:rsid w:val="00FC6C2C"/>
    <w:rsid w:val="00FD50EF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BB3"/>
  <w15:docId w15:val="{E4FCE096-72A4-44CA-B060-1A96577D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6C2C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uiPriority w:val="99"/>
    <w:semiHidden/>
    <w:unhideWhenUsed/>
    <w:rsid w:val="00540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8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086B"/>
    <w:rPr>
      <w:rFonts w:ascii="Times New Roman" w:eastAsia="Times New Roman" w:hAnsi="Times New Roman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8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086B"/>
    <w:rPr>
      <w:rFonts w:ascii="Times New Roman" w:eastAsia="Times New Roman" w:hAnsi="Times New Roman"/>
      <w:b/>
      <w:bCs/>
      <w:lang w:val="bg-BG" w:eastAsia="bg-BG"/>
    </w:rPr>
  </w:style>
  <w:style w:type="character" w:customStyle="1" w:styleId="jlqj4b">
    <w:name w:val="jlqj4b"/>
    <w:rsid w:val="00D31CE2"/>
  </w:style>
  <w:style w:type="paragraph" w:styleId="ListParagraph">
    <w:name w:val="List Paragraph"/>
    <w:basedOn w:val="Normal"/>
    <w:uiPriority w:val="34"/>
    <w:qFormat/>
    <w:rsid w:val="00736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A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8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1A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Bakardzhieva</dc:creator>
  <cp:keywords/>
  <cp:lastModifiedBy>Diana Baleva</cp:lastModifiedBy>
  <cp:revision>19</cp:revision>
  <cp:lastPrinted>2023-11-10T09:33:00Z</cp:lastPrinted>
  <dcterms:created xsi:type="dcterms:W3CDTF">2022-09-29T13:49:00Z</dcterms:created>
  <dcterms:modified xsi:type="dcterms:W3CDTF">2023-11-10T09:33:00Z</dcterms:modified>
</cp:coreProperties>
</file>