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F" w:rsidRPr="00480CA1" w:rsidRDefault="009078BF" w:rsidP="009A1F4D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МОТИВИ ЗА РАЗРАБОТВАНЕ НА НАРЕДБА ЗА ИЗМЕ</w:t>
      </w:r>
      <w:r w:rsidR="00480CA1">
        <w:rPr>
          <w:rFonts w:ascii="Times New Roman" w:eastAsia="Times New Roman" w:hAnsi="Times New Roman"/>
          <w:b/>
          <w:sz w:val="24"/>
          <w:szCs w:val="24"/>
        </w:rPr>
        <w:t xml:space="preserve">НЕНИЕ И ДОПЪЛНЕНИЕ НА НАРЕДБА №1 ЗА </w:t>
      </w:r>
      <w:r w:rsidR="00480CA1">
        <w:rPr>
          <w:rFonts w:ascii="Times New Roman" w:eastAsia="Times New Roman" w:hAnsi="Times New Roman"/>
          <w:b/>
          <w:sz w:val="24"/>
          <w:szCs w:val="24"/>
          <w:lang w:val="bg-BG"/>
        </w:rPr>
        <w:t>РЕДА И ОБРАЗЦИТЕ, ПО КОИТО СЕ ПРЕДОСТАВЯ ИНФОРМАЦИЯ ЗА ДЕЙНОСТИТЕ ПО ОТПАДЪЦИТЕ, КАКТО И РЕДА ЗА ВОДЕНЕ НА ПУБЛИЧНИ РЕГИСТРИ</w:t>
      </w:r>
    </w:p>
    <w:p w:rsidR="00A24E8F" w:rsidRDefault="00A24E8F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480CA1" w:rsidRPr="00FB5B6C" w:rsidRDefault="00480CA1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A24E8F" w:rsidRPr="00FB5B6C" w:rsidRDefault="00A24E8F" w:rsidP="009A1F4D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Причини, коит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о налагат разработването на Наредба за изменение и допълнение на Наредба №</w:t>
      </w:r>
      <w:r w:rsidR="00F07F7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97239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1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proofErr w:type="spellStart"/>
      <w:r w:rsidR="0097239C" w:rsidRPr="0097239C">
        <w:rPr>
          <w:rFonts w:ascii="Times New Roman" w:hAnsi="Times New Roman"/>
          <w:b/>
          <w:bCs/>
          <w:color w:val="000000"/>
          <w:spacing w:val="-12"/>
          <w:kern w:val="36"/>
          <w:sz w:val="24"/>
          <w:szCs w:val="24"/>
        </w:rPr>
        <w:t>от</w:t>
      </w:r>
      <w:proofErr w:type="spellEnd"/>
      <w:r w:rsidR="0097239C" w:rsidRPr="0097239C">
        <w:rPr>
          <w:rFonts w:ascii="Times New Roman" w:hAnsi="Times New Roman"/>
          <w:b/>
          <w:bCs/>
          <w:color w:val="000000"/>
          <w:spacing w:val="-12"/>
          <w:kern w:val="36"/>
          <w:sz w:val="24"/>
          <w:szCs w:val="24"/>
        </w:rPr>
        <w:t xml:space="preserve"> 04 </w:t>
      </w:r>
      <w:r w:rsidR="0097239C" w:rsidRPr="009A1F4D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юни</w:t>
      </w:r>
      <w:r w:rsidR="0097239C" w:rsidRPr="0097239C">
        <w:rPr>
          <w:rFonts w:ascii="Times New Roman" w:hAnsi="Times New Roman"/>
          <w:b/>
          <w:bCs/>
          <w:color w:val="000000"/>
          <w:spacing w:val="-12"/>
          <w:kern w:val="36"/>
          <w:sz w:val="24"/>
          <w:szCs w:val="24"/>
        </w:rPr>
        <w:t xml:space="preserve"> 2014 г. </w:t>
      </w:r>
      <w:r w:rsidR="0097239C" w:rsidRPr="009A1F4D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за реда и образците, по които се предоставя информация за дейностите по отпадъците, както и реда за водене на публични регистри</w:t>
      </w: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:</w:t>
      </w:r>
    </w:p>
    <w:p w:rsidR="00A24E8F" w:rsidRPr="00FB5B6C" w:rsidRDefault="00A24E8F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67374F" w:rsidRDefault="0067374F" w:rsidP="000D175B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67374F">
        <w:rPr>
          <w:rFonts w:ascii="Times New Roman" w:hAnsi="Times New Roman"/>
          <w:sz w:val="24"/>
          <w:szCs w:val="24"/>
          <w:lang w:val="bg-BG"/>
        </w:rPr>
        <w:t xml:space="preserve"> § 22 от Преходните и заключителни разпоредби </w:t>
      </w:r>
      <w:r w:rsidR="00A762CF">
        <w:rPr>
          <w:rFonts w:ascii="Times New Roman" w:hAnsi="Times New Roman"/>
          <w:sz w:val="24"/>
          <w:szCs w:val="24"/>
          <w:lang w:val="bg-BG"/>
        </w:rPr>
        <w:t xml:space="preserve">(ПРЗ) </w:t>
      </w:r>
      <w:r w:rsidRPr="0067374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9462B">
        <w:rPr>
          <w:rFonts w:ascii="Times New Roman" w:hAnsi="Times New Roman"/>
          <w:sz w:val="24"/>
          <w:szCs w:val="24"/>
          <w:lang w:val="bg-BG"/>
        </w:rPr>
        <w:t>Закона за управление на отпадъците</w:t>
      </w:r>
      <w:r w:rsidR="0029462B" w:rsidRPr="006737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462B">
        <w:rPr>
          <w:rFonts w:ascii="Times New Roman" w:hAnsi="Times New Roman"/>
          <w:sz w:val="24"/>
          <w:szCs w:val="24"/>
          <w:lang w:val="bg-BG"/>
        </w:rPr>
        <w:t>(</w:t>
      </w:r>
      <w:r w:rsidRPr="0067374F">
        <w:rPr>
          <w:rFonts w:ascii="Times New Roman" w:hAnsi="Times New Roman"/>
          <w:sz w:val="24"/>
          <w:szCs w:val="24"/>
          <w:lang w:val="bg-BG"/>
        </w:rPr>
        <w:t>ЗУО</w:t>
      </w:r>
      <w:r w:rsidR="0029462B">
        <w:rPr>
          <w:rFonts w:ascii="Times New Roman" w:hAnsi="Times New Roman"/>
          <w:sz w:val="24"/>
          <w:szCs w:val="24"/>
          <w:lang w:val="bg-BG"/>
        </w:rPr>
        <w:t>)</w:t>
      </w:r>
      <w:r w:rsidRPr="0067374F">
        <w:rPr>
          <w:rFonts w:ascii="Times New Roman" w:hAnsi="Times New Roman"/>
          <w:sz w:val="24"/>
          <w:szCs w:val="24"/>
          <w:lang w:val="bg-BG"/>
        </w:rPr>
        <w:t xml:space="preserve"> е предвидено, че подаването на заявления и документи по електронен път се прилага след въвеждане в действие на НИСО, обезпечаваща тяхната обработка в съответствие с изискванията на Закона за електронния документ и електронните удостоверителни услуги</w:t>
      </w:r>
      <w:r w:rsidR="00791641">
        <w:rPr>
          <w:rFonts w:ascii="Times New Roman" w:hAnsi="Times New Roman"/>
          <w:sz w:val="24"/>
          <w:szCs w:val="24"/>
          <w:lang w:val="bg-BG"/>
        </w:rPr>
        <w:t xml:space="preserve"> (ЗЕДЕУУ)</w:t>
      </w:r>
      <w:r w:rsidRPr="0067374F">
        <w:rPr>
          <w:rFonts w:ascii="Times New Roman" w:hAnsi="Times New Roman"/>
          <w:sz w:val="24"/>
          <w:szCs w:val="24"/>
          <w:lang w:val="bg-BG"/>
        </w:rPr>
        <w:t>.</w:t>
      </w:r>
    </w:p>
    <w:p w:rsidR="0029462B" w:rsidRDefault="0029462B" w:rsidP="003C1E3B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bg-BG"/>
        </w:rPr>
        <w:t>т 01.01.2021 г. е влязла в сила разпоредбата на чл. 48, ал. 8 от ЗУО</w:t>
      </w:r>
      <w:r w:rsidR="00C16662">
        <w:rPr>
          <w:rFonts w:ascii="Times New Roman" w:hAnsi="Times New Roman"/>
          <w:sz w:val="24"/>
          <w:szCs w:val="24"/>
          <w:lang w:val="bg-BG"/>
        </w:rPr>
        <w:t xml:space="preserve">, която предвижда </w:t>
      </w:r>
      <w:r w:rsidR="000B5642">
        <w:rPr>
          <w:rFonts w:ascii="Times New Roman" w:hAnsi="Times New Roman"/>
          <w:sz w:val="24"/>
          <w:szCs w:val="24"/>
          <w:lang w:val="bg-BG"/>
        </w:rPr>
        <w:t>в</w:t>
      </w:r>
      <w:r w:rsidR="00C16662" w:rsidRPr="00C16662">
        <w:rPr>
          <w:rFonts w:ascii="Times New Roman" w:hAnsi="Times New Roman"/>
          <w:sz w:val="24"/>
          <w:szCs w:val="24"/>
          <w:lang w:val="bg-BG"/>
        </w:rPr>
        <w:t>оденето на публичните регистри по чл. 45, ал. 1</w:t>
      </w:r>
      <w:r w:rsidR="000B5642">
        <w:rPr>
          <w:rFonts w:ascii="Times New Roman" w:hAnsi="Times New Roman"/>
          <w:sz w:val="24"/>
          <w:szCs w:val="24"/>
          <w:lang w:val="bg-BG"/>
        </w:rPr>
        <w:t xml:space="preserve"> от ЗУО и </w:t>
      </w:r>
      <w:r w:rsidR="00C16662" w:rsidRPr="00C16662">
        <w:rPr>
          <w:rFonts w:ascii="Times New Roman" w:hAnsi="Times New Roman"/>
          <w:sz w:val="24"/>
          <w:szCs w:val="24"/>
          <w:lang w:val="bg-BG"/>
        </w:rPr>
        <w:t>отчетността и предоставянето на информация</w:t>
      </w:r>
      <w:r w:rsidR="000B5642">
        <w:rPr>
          <w:rFonts w:ascii="Times New Roman" w:hAnsi="Times New Roman"/>
          <w:sz w:val="24"/>
          <w:szCs w:val="24"/>
          <w:lang w:val="bg-BG"/>
        </w:rPr>
        <w:t>, да</w:t>
      </w:r>
      <w:r w:rsidR="00C16662" w:rsidRPr="00C16662">
        <w:rPr>
          <w:rFonts w:ascii="Times New Roman" w:hAnsi="Times New Roman"/>
          <w:sz w:val="24"/>
          <w:szCs w:val="24"/>
          <w:lang w:val="bg-BG"/>
        </w:rPr>
        <w:t xml:space="preserve"> се извършват съгласно наредбите по ал. 1</w:t>
      </w:r>
      <w:r w:rsidR="003C1E3B">
        <w:rPr>
          <w:rFonts w:ascii="Times New Roman" w:hAnsi="Times New Roman"/>
          <w:sz w:val="24"/>
          <w:szCs w:val="24"/>
          <w:lang w:val="bg-BG"/>
        </w:rPr>
        <w:t xml:space="preserve"> на чл. 48</w:t>
      </w:r>
      <w:r w:rsidR="00C16662" w:rsidRPr="00C16662">
        <w:rPr>
          <w:rFonts w:ascii="Times New Roman" w:hAnsi="Times New Roman"/>
          <w:sz w:val="24"/>
          <w:szCs w:val="24"/>
          <w:lang w:val="bg-BG"/>
        </w:rPr>
        <w:t xml:space="preserve"> и чл. 13, ал.</w:t>
      </w:r>
      <w:r w:rsidR="003C1E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662" w:rsidRPr="00C16662">
        <w:rPr>
          <w:rFonts w:ascii="Times New Roman" w:hAnsi="Times New Roman"/>
          <w:sz w:val="24"/>
          <w:szCs w:val="24"/>
          <w:lang w:val="bg-BG"/>
        </w:rPr>
        <w:t>1 и в случаите, определени в тях, чрез Национална информационна система "Отпадъци" (НИСО),</w:t>
      </w:r>
      <w:r w:rsidR="003C1E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662" w:rsidRPr="00C16662">
        <w:rPr>
          <w:rFonts w:ascii="Times New Roman" w:hAnsi="Times New Roman"/>
          <w:sz w:val="24"/>
          <w:szCs w:val="24"/>
          <w:lang w:val="bg-BG"/>
        </w:rPr>
        <w:t>поддържана от ИАОС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D175B" w:rsidRDefault="00F60FC5" w:rsidP="00F30D80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r>
        <w:rPr>
          <w:rFonts w:ascii="Times New Roman" w:hAnsi="Times New Roman"/>
          <w:sz w:val="24"/>
          <w:szCs w:val="24"/>
          <w:lang w:val="bg-BG"/>
        </w:rPr>
        <w:t>Във връ</w:t>
      </w:r>
      <w:r w:rsidR="00E30B27">
        <w:rPr>
          <w:rFonts w:ascii="Times New Roman" w:hAnsi="Times New Roman"/>
          <w:sz w:val="24"/>
          <w:szCs w:val="24"/>
          <w:lang w:val="bg-BG"/>
        </w:rPr>
        <w:t>зка с това възниква двусмислено тълкуване</w:t>
      </w:r>
      <w:r>
        <w:rPr>
          <w:rFonts w:ascii="Times New Roman" w:hAnsi="Times New Roman"/>
          <w:sz w:val="24"/>
          <w:szCs w:val="24"/>
          <w:lang w:val="bg-BG"/>
        </w:rPr>
        <w:t xml:space="preserve"> при някои от сегашните текстове на </w:t>
      </w:r>
      <w:r w:rsidR="00E30B27">
        <w:rPr>
          <w:rFonts w:ascii="Times New Roman" w:hAnsi="Times New Roman"/>
          <w:sz w:val="24"/>
          <w:szCs w:val="24"/>
          <w:lang w:val="bg-BG"/>
        </w:rPr>
        <w:t xml:space="preserve">Наредбата по отношение на </w:t>
      </w:r>
      <w:r w:rsidR="00EB31C6">
        <w:rPr>
          <w:rFonts w:ascii="Times New Roman" w:hAnsi="Times New Roman"/>
          <w:sz w:val="24"/>
          <w:szCs w:val="24"/>
          <w:lang w:val="bg-BG"/>
        </w:rPr>
        <w:t>притежаването от задължените лица на квалифициран електронен подпис</w:t>
      </w:r>
      <w:r w:rsidR="00850E18">
        <w:rPr>
          <w:rFonts w:ascii="Times New Roman" w:hAnsi="Times New Roman"/>
          <w:sz w:val="24"/>
          <w:szCs w:val="24"/>
          <w:lang w:val="bg-BG"/>
        </w:rPr>
        <w:t>, липсата на който би ги освободило от задължението за водене на отчетност чрез НИСО</w:t>
      </w:r>
      <w:r w:rsidR="006D39C0">
        <w:rPr>
          <w:rFonts w:ascii="Times New Roman" w:hAnsi="Times New Roman"/>
          <w:sz w:val="24"/>
          <w:szCs w:val="24"/>
          <w:lang w:val="bg-BG"/>
        </w:rPr>
        <w:t xml:space="preserve">, което противоречи на целта за която НИСО </w:t>
      </w:r>
      <w:r w:rsidR="00F30D80">
        <w:rPr>
          <w:rFonts w:ascii="Times New Roman" w:hAnsi="Times New Roman"/>
          <w:sz w:val="24"/>
          <w:szCs w:val="24"/>
          <w:lang w:val="bg-BG"/>
        </w:rPr>
        <w:t>е определена.</w:t>
      </w:r>
      <w:bookmarkEnd w:id="0"/>
      <w:r w:rsidR="00F30D80">
        <w:rPr>
          <w:rFonts w:ascii="Times New Roman" w:hAnsi="Times New Roman"/>
          <w:sz w:val="24"/>
          <w:szCs w:val="24"/>
          <w:lang w:val="bg-BG"/>
        </w:rPr>
        <w:t xml:space="preserve"> Това </w:t>
      </w:r>
      <w:r w:rsidR="000F191D">
        <w:rPr>
          <w:rFonts w:ascii="Times New Roman" w:hAnsi="Times New Roman"/>
          <w:sz w:val="24"/>
          <w:szCs w:val="24"/>
          <w:lang w:val="bg-BG"/>
        </w:rPr>
        <w:t>налага да се и</w:t>
      </w:r>
      <w:r w:rsidR="00C51DB1">
        <w:rPr>
          <w:rFonts w:ascii="Times New Roman" w:hAnsi="Times New Roman"/>
          <w:sz w:val="24"/>
          <w:szCs w:val="24"/>
          <w:lang w:val="bg-BG"/>
        </w:rPr>
        <w:t>звършват промени в наредбата</w:t>
      </w:r>
      <w:r w:rsidR="000D175B">
        <w:rPr>
          <w:rFonts w:ascii="Times New Roman" w:hAnsi="Times New Roman"/>
          <w:sz w:val="24"/>
          <w:szCs w:val="24"/>
          <w:lang w:val="bg-BG"/>
        </w:rPr>
        <w:t>, с които да се отрази задължителното</w:t>
      </w:r>
      <w:r w:rsidR="000D175B" w:rsidRPr="00BB0C0E">
        <w:rPr>
          <w:rFonts w:ascii="Times New Roman" w:hAnsi="Times New Roman"/>
          <w:sz w:val="24"/>
          <w:szCs w:val="24"/>
          <w:lang w:val="bg-BG"/>
        </w:rPr>
        <w:t xml:space="preserve"> водене на отчетност и предоставянето на информация да става в електронна среда</w:t>
      </w:r>
      <w:r w:rsidR="000F191D">
        <w:rPr>
          <w:rFonts w:ascii="Times New Roman" w:hAnsi="Times New Roman"/>
          <w:sz w:val="24"/>
          <w:szCs w:val="24"/>
          <w:lang w:val="bg-BG"/>
        </w:rPr>
        <w:t>.</w:t>
      </w:r>
      <w:r w:rsidR="000D175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80CA1" w:rsidRPr="00FB5B6C" w:rsidRDefault="00480CA1" w:rsidP="009A1F4D">
      <w:pPr>
        <w:spacing w:after="0"/>
        <w:ind w:right="-286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</w:p>
    <w:p w:rsidR="00835545" w:rsidRPr="00FB5B6C" w:rsidRDefault="00835545" w:rsidP="009A1F4D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Цели, които се поставят</w:t>
      </w:r>
      <w:r w:rsidRPr="00FB5B6C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35545" w:rsidRPr="00FB5B6C" w:rsidRDefault="00835545" w:rsidP="009A1F4D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F191D" w:rsidRDefault="00366B84" w:rsidP="00BB2D9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Цел</w:t>
      </w:r>
      <w:r w:rsidR="000F191D">
        <w:rPr>
          <w:rFonts w:ascii="Times New Roman" w:hAnsi="Times New Roman"/>
          <w:sz w:val="24"/>
          <w:szCs w:val="24"/>
          <w:lang w:val="ru-RU" w:eastAsia="bg-BG"/>
        </w:rPr>
        <w:t xml:space="preserve">ите </w:t>
      </w:r>
      <w:r>
        <w:rPr>
          <w:rFonts w:ascii="Times New Roman" w:hAnsi="Times New Roman"/>
          <w:sz w:val="24"/>
          <w:szCs w:val="24"/>
          <w:lang w:val="ru-RU" w:eastAsia="bg-BG"/>
        </w:rPr>
        <w:t>на пром</w:t>
      </w:r>
      <w:r w:rsidR="000F191D">
        <w:rPr>
          <w:rFonts w:ascii="Times New Roman" w:hAnsi="Times New Roman"/>
          <w:sz w:val="24"/>
          <w:szCs w:val="24"/>
          <w:lang w:val="ru-RU" w:eastAsia="bg-BG"/>
        </w:rPr>
        <w:t>ените са следните:</w:t>
      </w:r>
    </w:p>
    <w:p w:rsidR="00EF1CA4" w:rsidRDefault="00EF1CA4" w:rsidP="00BB2D9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- разпоредбите на наредбата да отговарят на изискванията на чл. 48, ал. 8 </w:t>
      </w:r>
      <w:r w:rsidR="006D24FB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и </w:t>
      </w:r>
      <w:r w:rsidR="006D24FB">
        <w:rPr>
          <w:rFonts w:ascii="Times New Roman" w:hAnsi="Times New Roman"/>
          <w:sz w:val="24"/>
          <w:szCs w:val="24"/>
          <w:lang w:val="bg-BG"/>
        </w:rPr>
        <w:t>§ 22 от ПРЗ</w:t>
      </w:r>
      <w:r w:rsidR="006D24FB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от ЗУО;</w:t>
      </w:r>
    </w:p>
    <w:p w:rsidR="00BB0579" w:rsidRDefault="00256C4F" w:rsidP="00BB2D9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- да се избегне</w:t>
      </w:r>
      <w:r w:rsidR="00BB0579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възможността за двусмислено тълкуване на текстове в Н</w:t>
      </w:r>
      <w:r w:rsidR="00785D62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аредбата, с което </w:t>
      </w:r>
      <w:r w:rsidR="00240A85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да се опорочи прилагането на чл. 48, ал. 8 </w:t>
      </w:r>
      <w:r w:rsidR="00A762CF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и </w:t>
      </w:r>
      <w:r w:rsidR="00A762CF">
        <w:rPr>
          <w:rFonts w:ascii="Times New Roman" w:hAnsi="Times New Roman"/>
          <w:sz w:val="24"/>
          <w:szCs w:val="24"/>
          <w:lang w:val="bg-BG"/>
        </w:rPr>
        <w:t>§ 22 от ПРЗ</w:t>
      </w:r>
      <w:r w:rsidR="00A762CF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на</w:t>
      </w:r>
      <w:r w:rsidR="00240A85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ЗУО</w:t>
      </w:r>
      <w:r w:rsidR="009E74F2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. </w:t>
      </w:r>
    </w:p>
    <w:p w:rsidR="00366B84" w:rsidRDefault="00366B84" w:rsidP="00D979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835545" w:rsidRPr="002A33EE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A356C7" w:rsidRDefault="00835545" w:rsidP="009A1F4D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Предложеният проект на </w:t>
      </w:r>
      <w:r w:rsidR="007617F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НИД на Наредба № 1 </w:t>
      </w:r>
      <w:r w:rsidR="00A26C9A">
        <w:rPr>
          <w:rFonts w:ascii="Times New Roman" w:eastAsia="Times New Roman" w:hAnsi="Times New Roman"/>
          <w:sz w:val="24"/>
          <w:szCs w:val="24"/>
          <w:lang w:val="ru-RU"/>
        </w:rPr>
        <w:t>не води до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въздействие върху държавния бюджет,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тъй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като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прилагане </w:t>
      </w:r>
      <w:r w:rsidRPr="002A33EE">
        <w:rPr>
          <w:rFonts w:ascii="Times New Roman" w:eastAsia="Times New Roman" w:hAnsi="Times New Roman"/>
          <w:sz w:val="24"/>
          <w:szCs w:val="24"/>
          <w:lang w:val="bg-BG"/>
        </w:rPr>
        <w:t>на наредбата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не се изисква използването на средства от държавния бюджет.</w:t>
      </w:r>
      <w:r w:rsidR="00A356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5545" w:rsidRPr="00A356C7" w:rsidRDefault="003A1B3B" w:rsidP="009A1F4D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3A1B3B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За изпълнение на изискванията на наредбата не се </w:t>
      </w:r>
      <w:r w:rsidR="00B93E07">
        <w:rPr>
          <w:rFonts w:ascii="Times New Roman" w:eastAsia="Times New Roman" w:hAnsi="Times New Roman"/>
          <w:sz w:val="24"/>
          <w:szCs w:val="24"/>
          <w:lang w:val="bg-BG"/>
        </w:rPr>
        <w:t>налага разходване на допълнителни финансови</w:t>
      </w: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 средства от задължените субекти.</w:t>
      </w:r>
    </w:p>
    <w:p w:rsidR="007617F0" w:rsidRDefault="007617F0" w:rsidP="00EF1CA4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7617F0" w:rsidRPr="00F10298" w:rsidRDefault="007617F0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. Очаквани резултати от прилагането на 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НИД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916C3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1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</w:p>
    <w:p w:rsidR="007617F0" w:rsidRDefault="007617F0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D2530" w:rsidRDefault="00480CA1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A1159E">
        <w:rPr>
          <w:rFonts w:ascii="Times New Roman" w:hAnsi="Times New Roman"/>
          <w:bCs/>
          <w:sz w:val="24"/>
          <w:szCs w:val="24"/>
          <w:lang w:val="bg-BG"/>
        </w:rPr>
        <w:tab/>
      </w:r>
      <w:r w:rsidR="000E2546">
        <w:rPr>
          <w:rFonts w:ascii="Times New Roman" w:hAnsi="Times New Roman"/>
          <w:bCs/>
          <w:sz w:val="24"/>
          <w:szCs w:val="24"/>
          <w:lang w:val="bg-BG"/>
        </w:rPr>
        <w:t>Привеждане на текстовете от Наредбата в съответствие с разпоредбите на</w:t>
      </w:r>
      <w:r w:rsidR="000E2546" w:rsidRPr="000E2546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="000E2546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чл. 48, ал. 8 и </w:t>
      </w:r>
      <w:r w:rsidR="000E2546">
        <w:rPr>
          <w:rFonts w:ascii="Times New Roman" w:hAnsi="Times New Roman"/>
          <w:sz w:val="24"/>
          <w:szCs w:val="24"/>
          <w:lang w:val="bg-BG"/>
        </w:rPr>
        <w:t>§ 22 от ПРЗ</w:t>
      </w:r>
      <w:r w:rsidR="000E2546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на ЗУО</w:t>
      </w:r>
      <w:r w:rsidR="00C377C6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.</w:t>
      </w:r>
      <w:r w:rsidR="000E2546">
        <w:rPr>
          <w:rFonts w:ascii="Times New Roman" w:hAnsi="Times New Roman"/>
          <w:bCs/>
          <w:sz w:val="24"/>
          <w:szCs w:val="24"/>
          <w:lang w:val="bg-BG"/>
        </w:rPr>
        <w:t xml:space="preserve"> Премахване на текстове от Н</w:t>
      </w:r>
      <w:r w:rsidR="00FE4FF1">
        <w:rPr>
          <w:rFonts w:ascii="Times New Roman" w:hAnsi="Times New Roman"/>
          <w:bCs/>
          <w:sz w:val="24"/>
          <w:szCs w:val="24"/>
          <w:lang w:val="bg-BG"/>
        </w:rPr>
        <w:t xml:space="preserve">аредбата, които биха дали възможност за двусмислено тълкуване на </w:t>
      </w:r>
      <w:r w:rsidR="008B3395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чл. 48, ал. 8</w:t>
      </w:r>
      <w:r w:rsidR="006D24FB" w:rsidRPr="006D24FB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="006D24FB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и </w:t>
      </w:r>
      <w:r w:rsidR="006D24FB">
        <w:rPr>
          <w:rFonts w:ascii="Times New Roman" w:hAnsi="Times New Roman"/>
          <w:sz w:val="24"/>
          <w:szCs w:val="24"/>
          <w:lang w:val="bg-BG"/>
        </w:rPr>
        <w:t>§ 22 от ПРЗ</w:t>
      </w:r>
      <w:r w:rsidR="006D24FB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на ЗУО</w:t>
      </w:r>
      <w:r w:rsidR="009658F2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 и водещи до объркване при задължените лица относно възможностите за подаване на документи и отчетност</w:t>
      </w:r>
      <w:r w:rsidR="00DD2530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.</w:t>
      </w:r>
    </w:p>
    <w:p w:rsidR="00916C32" w:rsidRDefault="00DD2530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ab/>
      </w:r>
      <w:r w:rsidR="0024397C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Подпомагане на контролните органи при работата с НИСО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.</w:t>
      </w:r>
    </w:p>
    <w:p w:rsidR="00DD2530" w:rsidRDefault="00DD2530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 с правото на Европейския съюз:</w:t>
      </w: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16FE7" w:rsidRPr="00182D82" w:rsidRDefault="00D16FE7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82D82">
        <w:rPr>
          <w:rFonts w:ascii="Times New Roman" w:hAnsi="Times New Roman"/>
          <w:sz w:val="24"/>
          <w:szCs w:val="24"/>
          <w:lang w:val="bg-BG"/>
        </w:rPr>
        <w:t xml:space="preserve">Не се налага да бъде изготвена справка за съответствие с европейското право, тъй като предлаганото изменение </w:t>
      </w:r>
      <w:r w:rsidR="00DD2530">
        <w:rPr>
          <w:rFonts w:ascii="Times New Roman" w:hAnsi="Times New Roman"/>
          <w:sz w:val="24"/>
          <w:szCs w:val="24"/>
          <w:lang w:val="bg-BG"/>
        </w:rPr>
        <w:t>не се въвеждат текстове от правото на Европ</w:t>
      </w:r>
      <w:r w:rsidR="00825060">
        <w:rPr>
          <w:rFonts w:ascii="Times New Roman" w:hAnsi="Times New Roman"/>
          <w:sz w:val="24"/>
          <w:szCs w:val="24"/>
          <w:lang w:val="bg-BG"/>
        </w:rPr>
        <w:t xml:space="preserve">ейския съюз. </w:t>
      </w:r>
    </w:p>
    <w:sectPr w:rsidR="00D16FE7" w:rsidRPr="00182D82" w:rsidSect="00605A89"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F8" w:rsidRDefault="000210F8">
      <w:pPr>
        <w:spacing w:after="0" w:line="240" w:lineRule="auto"/>
      </w:pPr>
      <w:r>
        <w:separator/>
      </w:r>
    </w:p>
  </w:endnote>
  <w:endnote w:type="continuationSeparator" w:id="0">
    <w:p w:rsidR="000210F8" w:rsidRDefault="0002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DE" w:rsidRPr="009A1F4D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9A1F4D">
      <w:rPr>
        <w:rStyle w:val="PageNumber"/>
        <w:rFonts w:ascii="Times New Roman" w:hAnsi="Times New Roman"/>
      </w:rPr>
      <w:fldChar w:fldCharType="begin"/>
    </w:r>
    <w:r w:rsidRPr="009A1F4D">
      <w:rPr>
        <w:rStyle w:val="PageNumber"/>
        <w:rFonts w:ascii="Times New Roman" w:hAnsi="Times New Roman"/>
      </w:rPr>
      <w:instrText xml:space="preserve">PAGE  </w:instrText>
    </w:r>
    <w:r w:rsidRPr="009A1F4D">
      <w:rPr>
        <w:rStyle w:val="PageNumber"/>
        <w:rFonts w:ascii="Times New Roman" w:hAnsi="Times New Roman"/>
      </w:rPr>
      <w:fldChar w:fldCharType="separate"/>
    </w:r>
    <w:r w:rsidR="00256C4F">
      <w:rPr>
        <w:rStyle w:val="PageNumber"/>
        <w:rFonts w:ascii="Times New Roman" w:hAnsi="Times New Roman"/>
        <w:noProof/>
      </w:rPr>
      <w:t>2</w:t>
    </w:r>
    <w:r w:rsidRPr="009A1F4D">
      <w:rPr>
        <w:rStyle w:val="PageNumber"/>
        <w:rFonts w:ascii="Times New Roman" w:hAnsi="Times New Roman"/>
      </w:rPr>
      <w:fldChar w:fldCharType="end"/>
    </w:r>
  </w:p>
  <w:p w:rsidR="00FE38DE" w:rsidRDefault="000210F8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901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42A" w:rsidRDefault="00296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C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38DE" w:rsidRPr="00605A89" w:rsidRDefault="000210F8" w:rsidP="00D87DE8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F8" w:rsidRDefault="000210F8">
      <w:pPr>
        <w:spacing w:after="0" w:line="240" w:lineRule="auto"/>
      </w:pPr>
      <w:r>
        <w:separator/>
      </w:r>
    </w:p>
  </w:footnote>
  <w:footnote w:type="continuationSeparator" w:id="0">
    <w:p w:rsidR="000210F8" w:rsidRDefault="0002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8F"/>
    <w:rsid w:val="000210F8"/>
    <w:rsid w:val="00056ACE"/>
    <w:rsid w:val="00082060"/>
    <w:rsid w:val="000B5642"/>
    <w:rsid w:val="000D175B"/>
    <w:rsid w:val="000E2546"/>
    <w:rsid w:val="000F191D"/>
    <w:rsid w:val="00103477"/>
    <w:rsid w:val="00114AC5"/>
    <w:rsid w:val="0011634C"/>
    <w:rsid w:val="00126FB9"/>
    <w:rsid w:val="00152F72"/>
    <w:rsid w:val="00155899"/>
    <w:rsid w:val="00167F34"/>
    <w:rsid w:val="00176C85"/>
    <w:rsid w:val="001C1B5B"/>
    <w:rsid w:val="001F5FA3"/>
    <w:rsid w:val="00206204"/>
    <w:rsid w:val="00207EDD"/>
    <w:rsid w:val="00240A85"/>
    <w:rsid w:val="0024397C"/>
    <w:rsid w:val="00256C4F"/>
    <w:rsid w:val="0027634E"/>
    <w:rsid w:val="0029462B"/>
    <w:rsid w:val="0029642A"/>
    <w:rsid w:val="002A33EE"/>
    <w:rsid w:val="002C56A5"/>
    <w:rsid w:val="00344CFB"/>
    <w:rsid w:val="00347161"/>
    <w:rsid w:val="003615DE"/>
    <w:rsid w:val="00366B84"/>
    <w:rsid w:val="003A1B3B"/>
    <w:rsid w:val="003B4A87"/>
    <w:rsid w:val="003C1E3B"/>
    <w:rsid w:val="003C7583"/>
    <w:rsid w:val="003E04B0"/>
    <w:rsid w:val="00413F3F"/>
    <w:rsid w:val="00451E26"/>
    <w:rsid w:val="00460927"/>
    <w:rsid w:val="00480CA1"/>
    <w:rsid w:val="0048325D"/>
    <w:rsid w:val="00491BF2"/>
    <w:rsid w:val="004B180E"/>
    <w:rsid w:val="004D1011"/>
    <w:rsid w:val="004D3D3E"/>
    <w:rsid w:val="005154AC"/>
    <w:rsid w:val="00541E0E"/>
    <w:rsid w:val="00585F86"/>
    <w:rsid w:val="00601D60"/>
    <w:rsid w:val="00605A89"/>
    <w:rsid w:val="006134D1"/>
    <w:rsid w:val="00650453"/>
    <w:rsid w:val="00662580"/>
    <w:rsid w:val="0067374F"/>
    <w:rsid w:val="006A3A25"/>
    <w:rsid w:val="006D24FB"/>
    <w:rsid w:val="006D39C0"/>
    <w:rsid w:val="007111D5"/>
    <w:rsid w:val="00733D11"/>
    <w:rsid w:val="007617F0"/>
    <w:rsid w:val="00764407"/>
    <w:rsid w:val="00785D62"/>
    <w:rsid w:val="00791641"/>
    <w:rsid w:val="00791F58"/>
    <w:rsid w:val="007C5BCF"/>
    <w:rsid w:val="007D0A2E"/>
    <w:rsid w:val="007E301A"/>
    <w:rsid w:val="007F14AB"/>
    <w:rsid w:val="0081495A"/>
    <w:rsid w:val="00820AEF"/>
    <w:rsid w:val="00825060"/>
    <w:rsid w:val="00835545"/>
    <w:rsid w:val="00850E18"/>
    <w:rsid w:val="00852AD8"/>
    <w:rsid w:val="008630B4"/>
    <w:rsid w:val="00890144"/>
    <w:rsid w:val="008A3CFB"/>
    <w:rsid w:val="008B3395"/>
    <w:rsid w:val="0090192E"/>
    <w:rsid w:val="009078BF"/>
    <w:rsid w:val="00910631"/>
    <w:rsid w:val="00916C32"/>
    <w:rsid w:val="009658F2"/>
    <w:rsid w:val="0097239C"/>
    <w:rsid w:val="00986C1D"/>
    <w:rsid w:val="00995CF9"/>
    <w:rsid w:val="009A0D64"/>
    <w:rsid w:val="009A1F4D"/>
    <w:rsid w:val="009E74F2"/>
    <w:rsid w:val="00A06644"/>
    <w:rsid w:val="00A07147"/>
    <w:rsid w:val="00A1159E"/>
    <w:rsid w:val="00A24E8F"/>
    <w:rsid w:val="00A26C9A"/>
    <w:rsid w:val="00A276A0"/>
    <w:rsid w:val="00A356C7"/>
    <w:rsid w:val="00A43D78"/>
    <w:rsid w:val="00A46D7C"/>
    <w:rsid w:val="00A62541"/>
    <w:rsid w:val="00A762CF"/>
    <w:rsid w:val="00A82978"/>
    <w:rsid w:val="00AB39FA"/>
    <w:rsid w:val="00AE27EA"/>
    <w:rsid w:val="00AF2636"/>
    <w:rsid w:val="00B0652E"/>
    <w:rsid w:val="00B17947"/>
    <w:rsid w:val="00B256D4"/>
    <w:rsid w:val="00B325C2"/>
    <w:rsid w:val="00B3663E"/>
    <w:rsid w:val="00B93E07"/>
    <w:rsid w:val="00BA2C2F"/>
    <w:rsid w:val="00BB0579"/>
    <w:rsid w:val="00BB2D9C"/>
    <w:rsid w:val="00BC476E"/>
    <w:rsid w:val="00BE3737"/>
    <w:rsid w:val="00C16662"/>
    <w:rsid w:val="00C377C6"/>
    <w:rsid w:val="00C37EA7"/>
    <w:rsid w:val="00C51DB1"/>
    <w:rsid w:val="00C52084"/>
    <w:rsid w:val="00CB7B6F"/>
    <w:rsid w:val="00CE470F"/>
    <w:rsid w:val="00D16FE7"/>
    <w:rsid w:val="00D1720E"/>
    <w:rsid w:val="00D31C52"/>
    <w:rsid w:val="00D36818"/>
    <w:rsid w:val="00D469E4"/>
    <w:rsid w:val="00D5730B"/>
    <w:rsid w:val="00D979DF"/>
    <w:rsid w:val="00DB6C75"/>
    <w:rsid w:val="00DC7E98"/>
    <w:rsid w:val="00DD2530"/>
    <w:rsid w:val="00E03DF2"/>
    <w:rsid w:val="00E30B27"/>
    <w:rsid w:val="00E71188"/>
    <w:rsid w:val="00EB31C6"/>
    <w:rsid w:val="00EE20B7"/>
    <w:rsid w:val="00EE447F"/>
    <w:rsid w:val="00EF1CA4"/>
    <w:rsid w:val="00F0252F"/>
    <w:rsid w:val="00F07F72"/>
    <w:rsid w:val="00F10298"/>
    <w:rsid w:val="00F30D80"/>
    <w:rsid w:val="00F3215A"/>
    <w:rsid w:val="00F324BD"/>
    <w:rsid w:val="00F55777"/>
    <w:rsid w:val="00F55939"/>
    <w:rsid w:val="00F60FC5"/>
    <w:rsid w:val="00F61FA9"/>
    <w:rsid w:val="00F8784A"/>
    <w:rsid w:val="00FB0996"/>
    <w:rsid w:val="00FB375B"/>
    <w:rsid w:val="00FB5B6C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5BA5"/>
  <w15:docId w15:val="{BBBA72DD-3C42-44B8-A9C2-C1FD6E87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62CD-EE1F-4CE3-A327-8B7BEE52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Atanas Dishkelov</cp:lastModifiedBy>
  <cp:revision>9</cp:revision>
  <cp:lastPrinted>2022-08-09T09:01:00Z</cp:lastPrinted>
  <dcterms:created xsi:type="dcterms:W3CDTF">2022-08-08T11:03:00Z</dcterms:created>
  <dcterms:modified xsi:type="dcterms:W3CDTF">2022-08-22T08:32:00Z</dcterms:modified>
</cp:coreProperties>
</file>