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BE306C" w14:textId="66B80129" w:rsidR="008B3A79" w:rsidRPr="00D82FCB" w:rsidRDefault="008B3A79" w:rsidP="008B3A79">
      <w:pPr>
        <w:pStyle w:val="Caption"/>
      </w:pPr>
      <w:bookmarkStart w:id="0" w:name="_Toc173107531"/>
      <w:r w:rsidRPr="00D82FCB">
        <w:t>Зони за защита на подземни води, предназначени за питейно-битово водоснабдяване, попадащи в обхвата на ИП</w:t>
      </w:r>
      <w:bookmarkEnd w:id="0"/>
    </w:p>
    <w:tbl>
      <w:tblPr>
        <w:tblStyle w:val="MediumShading1-Accent1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204"/>
        <w:gridCol w:w="3295"/>
        <w:gridCol w:w="1441"/>
      </w:tblGrid>
      <w:tr w:rsidR="008B3A79" w:rsidRPr="00CD3AD9" w14:paraId="5743253B" w14:textId="77777777" w:rsidTr="00F229C5">
        <w:trPr>
          <w:cnfStyle w:val="100000000000" w:firstRow="1" w:lastRow="0" w:firstColumn="0" w:lastColumn="0" w:oddVBand="0" w:evenVBand="0" w:oddHBand="0" w:evenHBand="0" w:firstRowFirstColumn="0" w:firstRowLastColumn="0" w:lastRowFirstColumn="0" w:lastRowLastColumn="0"/>
          <w:trHeight w:val="600"/>
          <w:tblHeader/>
        </w:trPr>
        <w:tc>
          <w:tcPr>
            <w:cnfStyle w:val="001000000000" w:firstRow="0" w:lastRow="0" w:firstColumn="1" w:lastColumn="0" w:oddVBand="0" w:evenVBand="0" w:oddHBand="0" w:evenHBand="0" w:firstRowFirstColumn="0" w:firstRowLastColumn="0" w:lastRowFirstColumn="0" w:lastRowLastColumn="0"/>
            <w:tcW w:w="1171" w:type="pct"/>
            <w:tcBorders>
              <w:top w:val="none" w:sz="0" w:space="0" w:color="auto"/>
              <w:left w:val="none" w:sz="0" w:space="0" w:color="auto"/>
              <w:bottom w:val="none" w:sz="0" w:space="0" w:color="auto"/>
              <w:right w:val="none" w:sz="0" w:space="0" w:color="auto"/>
            </w:tcBorders>
            <w:shd w:val="clear" w:color="auto" w:fill="auto"/>
            <w:vAlign w:val="center"/>
            <w:hideMark/>
          </w:tcPr>
          <w:p w14:paraId="5A546AB0" w14:textId="77777777" w:rsidR="008B3A79" w:rsidRPr="00CD3AD9" w:rsidRDefault="008B3A79" w:rsidP="00F229C5">
            <w:pPr>
              <w:pStyle w:val="a"/>
              <w:spacing w:after="60" w:line="266" w:lineRule="auto"/>
              <w:ind w:firstLine="0"/>
              <w:jc w:val="center"/>
              <w:rPr>
                <w:rFonts w:ascii="Arial Narrow" w:hAnsi="Arial Narrow"/>
                <w:color w:val="000000" w:themeColor="text1"/>
                <w:szCs w:val="22"/>
              </w:rPr>
            </w:pPr>
            <w:r w:rsidRPr="00CD3AD9">
              <w:rPr>
                <w:rFonts w:ascii="Arial Narrow" w:hAnsi="Arial Narrow"/>
                <w:color w:val="000000" w:themeColor="text1"/>
                <w:szCs w:val="22"/>
              </w:rPr>
              <w:t>Код на зона</w:t>
            </w:r>
          </w:p>
        </w:tc>
        <w:tc>
          <w:tcPr>
            <w:tcW w:w="1216" w:type="pct"/>
            <w:tcBorders>
              <w:top w:val="none" w:sz="0" w:space="0" w:color="auto"/>
              <w:left w:val="none" w:sz="0" w:space="0" w:color="auto"/>
              <w:bottom w:val="none" w:sz="0" w:space="0" w:color="auto"/>
              <w:right w:val="none" w:sz="0" w:space="0" w:color="auto"/>
            </w:tcBorders>
            <w:shd w:val="clear" w:color="auto" w:fill="auto"/>
            <w:vAlign w:val="center"/>
            <w:hideMark/>
          </w:tcPr>
          <w:p w14:paraId="738DB867" w14:textId="77777777" w:rsidR="008B3A79" w:rsidRPr="00CD3AD9" w:rsidRDefault="008B3A79" w:rsidP="00F229C5">
            <w:pPr>
              <w:pStyle w:val="a"/>
              <w:spacing w:after="60" w:line="266" w:lineRule="auto"/>
              <w:ind w:firstLine="0"/>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Код на подземно водно тяло</w:t>
            </w:r>
          </w:p>
        </w:tc>
        <w:tc>
          <w:tcPr>
            <w:tcW w:w="1818" w:type="pct"/>
            <w:tcBorders>
              <w:top w:val="none" w:sz="0" w:space="0" w:color="auto"/>
              <w:left w:val="none" w:sz="0" w:space="0" w:color="auto"/>
              <w:bottom w:val="none" w:sz="0" w:space="0" w:color="auto"/>
              <w:right w:val="none" w:sz="0" w:space="0" w:color="auto"/>
            </w:tcBorders>
            <w:shd w:val="clear" w:color="auto" w:fill="auto"/>
            <w:vAlign w:val="center"/>
            <w:hideMark/>
          </w:tcPr>
          <w:p w14:paraId="1EE838C9" w14:textId="77777777" w:rsidR="008B3A79" w:rsidRPr="00CD3AD9" w:rsidRDefault="008B3A79" w:rsidP="00F229C5">
            <w:pPr>
              <w:pStyle w:val="a"/>
              <w:spacing w:after="60" w:line="266" w:lineRule="auto"/>
              <w:ind w:firstLine="0"/>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Име на подземно водно тяло</w:t>
            </w:r>
          </w:p>
        </w:tc>
        <w:tc>
          <w:tcPr>
            <w:tcW w:w="795" w:type="pct"/>
            <w:tcBorders>
              <w:top w:val="none" w:sz="0" w:space="0" w:color="auto"/>
              <w:left w:val="none" w:sz="0" w:space="0" w:color="auto"/>
              <w:bottom w:val="none" w:sz="0" w:space="0" w:color="auto"/>
              <w:right w:val="none" w:sz="0" w:space="0" w:color="auto"/>
            </w:tcBorders>
            <w:shd w:val="clear" w:color="auto" w:fill="auto"/>
            <w:vAlign w:val="center"/>
            <w:hideMark/>
          </w:tcPr>
          <w:p w14:paraId="4DD74A1D" w14:textId="77777777" w:rsidR="008B3A79" w:rsidRPr="00CD3AD9" w:rsidRDefault="008B3A79" w:rsidP="00F229C5">
            <w:pPr>
              <w:pStyle w:val="a"/>
              <w:spacing w:after="60" w:line="266" w:lineRule="auto"/>
              <w:ind w:firstLine="0"/>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Обща площ, km</w:t>
            </w:r>
            <w:r w:rsidRPr="00CD3AD9">
              <w:rPr>
                <w:rFonts w:ascii="Arial Narrow" w:hAnsi="Arial Narrow"/>
                <w:color w:val="000000" w:themeColor="text1"/>
                <w:szCs w:val="22"/>
                <w:vertAlign w:val="superscript"/>
              </w:rPr>
              <w:t>2</w:t>
            </w:r>
          </w:p>
        </w:tc>
      </w:tr>
      <w:tr w:rsidR="008B3A79" w:rsidRPr="00CD3AD9" w14:paraId="448D1FD4" w14:textId="77777777" w:rsidTr="00F229C5">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171" w:type="pct"/>
            <w:tcBorders>
              <w:right w:val="none" w:sz="0" w:space="0" w:color="auto"/>
            </w:tcBorders>
            <w:shd w:val="clear" w:color="auto" w:fill="auto"/>
            <w:vAlign w:val="center"/>
          </w:tcPr>
          <w:p w14:paraId="45F83B73" w14:textId="77777777" w:rsidR="008B3A79" w:rsidRPr="00D82FCB" w:rsidRDefault="008B3A79" w:rsidP="00F229C5">
            <w:pPr>
              <w:pStyle w:val="a"/>
              <w:spacing w:after="60" w:line="266" w:lineRule="auto"/>
              <w:ind w:firstLine="0"/>
              <w:jc w:val="center"/>
              <w:rPr>
                <w:rFonts w:ascii="Arial Narrow" w:hAnsi="Arial Narrow"/>
                <w:b w:val="0"/>
                <w:bCs w:val="0"/>
                <w:color w:val="000000" w:themeColor="text1"/>
                <w:szCs w:val="22"/>
              </w:rPr>
            </w:pPr>
            <w:r w:rsidRPr="00D82FCB">
              <w:rPr>
                <w:rFonts w:ascii="Arial Narrow" w:hAnsi="Arial Narrow"/>
                <w:b w:val="0"/>
                <w:bCs w:val="0"/>
                <w:color w:val="000000" w:themeColor="text1"/>
                <w:szCs w:val="22"/>
              </w:rPr>
              <w:t>BG4DGW000000Q007</w:t>
            </w:r>
          </w:p>
        </w:tc>
        <w:tc>
          <w:tcPr>
            <w:tcW w:w="1216" w:type="pct"/>
            <w:tcBorders>
              <w:left w:val="none" w:sz="0" w:space="0" w:color="auto"/>
              <w:right w:val="none" w:sz="0" w:space="0" w:color="auto"/>
            </w:tcBorders>
            <w:shd w:val="clear" w:color="auto" w:fill="auto"/>
            <w:noWrap/>
            <w:vAlign w:val="center"/>
          </w:tcPr>
          <w:p w14:paraId="5F0D7DA5" w14:textId="77777777" w:rsidR="008B3A79" w:rsidRPr="00CD3AD9" w:rsidRDefault="008B3A79" w:rsidP="00F229C5">
            <w:pPr>
              <w:pStyle w:val="a"/>
              <w:spacing w:after="60" w:line="266" w:lineRule="auto"/>
              <w:ind w:firstLine="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BG4G000000Q007</w:t>
            </w:r>
          </w:p>
        </w:tc>
        <w:tc>
          <w:tcPr>
            <w:tcW w:w="1818" w:type="pct"/>
            <w:tcBorders>
              <w:left w:val="none" w:sz="0" w:space="0" w:color="auto"/>
              <w:right w:val="none" w:sz="0" w:space="0" w:color="auto"/>
            </w:tcBorders>
            <w:shd w:val="clear" w:color="auto" w:fill="auto"/>
            <w:noWrap/>
            <w:vAlign w:val="center"/>
          </w:tcPr>
          <w:p w14:paraId="239A1F1A" w14:textId="77777777" w:rsidR="008B3A79" w:rsidRPr="00CD3AD9" w:rsidRDefault="008B3A79" w:rsidP="00F229C5">
            <w:pPr>
              <w:pStyle w:val="a"/>
              <w:spacing w:after="60" w:line="266" w:lineRule="auto"/>
              <w:ind w:firstLine="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Кватернер - Радомир-Брезник</w:t>
            </w:r>
          </w:p>
        </w:tc>
        <w:tc>
          <w:tcPr>
            <w:tcW w:w="795" w:type="pct"/>
            <w:tcBorders>
              <w:left w:val="none" w:sz="0" w:space="0" w:color="auto"/>
            </w:tcBorders>
            <w:shd w:val="clear" w:color="auto" w:fill="auto"/>
            <w:noWrap/>
            <w:vAlign w:val="center"/>
          </w:tcPr>
          <w:p w14:paraId="6AA7DB18" w14:textId="77777777" w:rsidR="008B3A79" w:rsidRPr="00CD3AD9" w:rsidRDefault="008B3A79" w:rsidP="00F229C5">
            <w:pPr>
              <w:pStyle w:val="a"/>
              <w:spacing w:after="60" w:line="266" w:lineRule="auto"/>
              <w:ind w:firstLine="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350</w:t>
            </w:r>
            <w:r>
              <w:rPr>
                <w:rFonts w:ascii="Arial Narrow" w:hAnsi="Arial Narrow"/>
                <w:color w:val="000000" w:themeColor="text1"/>
                <w:szCs w:val="22"/>
              </w:rPr>
              <w:t>.</w:t>
            </w:r>
            <w:r w:rsidRPr="00CD3AD9">
              <w:rPr>
                <w:rFonts w:ascii="Arial Narrow" w:hAnsi="Arial Narrow"/>
                <w:color w:val="000000" w:themeColor="text1"/>
                <w:szCs w:val="22"/>
              </w:rPr>
              <w:t>27</w:t>
            </w:r>
          </w:p>
        </w:tc>
      </w:tr>
      <w:tr w:rsidR="008B3A79" w:rsidRPr="00CD3AD9" w14:paraId="6EE56A7B" w14:textId="77777777" w:rsidTr="00F229C5">
        <w:trPr>
          <w:cnfStyle w:val="000000010000" w:firstRow="0" w:lastRow="0" w:firstColumn="0" w:lastColumn="0" w:oddVBand="0" w:evenVBand="0" w:oddHBand="0" w:evenHBand="1"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171" w:type="pct"/>
            <w:tcBorders>
              <w:right w:val="none" w:sz="0" w:space="0" w:color="auto"/>
            </w:tcBorders>
            <w:shd w:val="clear" w:color="auto" w:fill="auto"/>
            <w:vAlign w:val="center"/>
          </w:tcPr>
          <w:p w14:paraId="750AE85F" w14:textId="77777777" w:rsidR="008B3A79" w:rsidRPr="00D82FCB" w:rsidRDefault="008B3A79" w:rsidP="00F229C5">
            <w:pPr>
              <w:pStyle w:val="a"/>
              <w:spacing w:after="60" w:line="266" w:lineRule="auto"/>
              <w:ind w:firstLine="0"/>
              <w:jc w:val="center"/>
              <w:rPr>
                <w:rFonts w:ascii="Arial Narrow" w:hAnsi="Arial Narrow"/>
                <w:b w:val="0"/>
                <w:bCs w:val="0"/>
                <w:color w:val="000000" w:themeColor="text1"/>
                <w:szCs w:val="22"/>
              </w:rPr>
            </w:pPr>
            <w:r w:rsidRPr="00D82FCB">
              <w:rPr>
                <w:rFonts w:ascii="Arial Narrow" w:hAnsi="Arial Narrow"/>
                <w:b w:val="0"/>
                <w:bCs w:val="0"/>
                <w:color w:val="000000" w:themeColor="text1"/>
                <w:szCs w:val="22"/>
              </w:rPr>
              <w:t>BG4DGW00001PG038</w:t>
            </w:r>
          </w:p>
        </w:tc>
        <w:tc>
          <w:tcPr>
            <w:tcW w:w="1216" w:type="pct"/>
            <w:tcBorders>
              <w:left w:val="none" w:sz="0" w:space="0" w:color="auto"/>
              <w:right w:val="none" w:sz="0" w:space="0" w:color="auto"/>
            </w:tcBorders>
            <w:shd w:val="clear" w:color="auto" w:fill="auto"/>
            <w:noWrap/>
            <w:vAlign w:val="center"/>
          </w:tcPr>
          <w:p w14:paraId="3E8174FB" w14:textId="77777777" w:rsidR="008B3A79" w:rsidRPr="00CD3AD9" w:rsidRDefault="008B3A79" w:rsidP="00F229C5">
            <w:pPr>
              <w:pStyle w:val="a"/>
              <w:spacing w:after="60" w:line="266" w:lineRule="auto"/>
              <w:ind w:firstLine="0"/>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BG4G00001Pg038</w:t>
            </w:r>
          </w:p>
        </w:tc>
        <w:tc>
          <w:tcPr>
            <w:tcW w:w="1818" w:type="pct"/>
            <w:tcBorders>
              <w:left w:val="none" w:sz="0" w:space="0" w:color="auto"/>
              <w:right w:val="none" w:sz="0" w:space="0" w:color="auto"/>
            </w:tcBorders>
            <w:shd w:val="clear" w:color="auto" w:fill="auto"/>
            <w:noWrap/>
            <w:vAlign w:val="center"/>
          </w:tcPr>
          <w:p w14:paraId="07718D64" w14:textId="77777777" w:rsidR="008B3A79" w:rsidRPr="00CD3AD9" w:rsidRDefault="008B3A79" w:rsidP="00F229C5">
            <w:pPr>
              <w:pStyle w:val="a"/>
              <w:spacing w:after="60" w:line="266" w:lineRule="auto"/>
              <w:ind w:firstLine="0"/>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Порови води в палеогенски седиментен комплекс в източните склонове на Влахина планина</w:t>
            </w:r>
          </w:p>
        </w:tc>
        <w:tc>
          <w:tcPr>
            <w:tcW w:w="795" w:type="pct"/>
            <w:tcBorders>
              <w:left w:val="none" w:sz="0" w:space="0" w:color="auto"/>
            </w:tcBorders>
            <w:shd w:val="clear" w:color="auto" w:fill="auto"/>
            <w:noWrap/>
            <w:vAlign w:val="center"/>
          </w:tcPr>
          <w:p w14:paraId="2A49DE64" w14:textId="77777777" w:rsidR="008B3A79" w:rsidRPr="00CD3AD9" w:rsidRDefault="008B3A79" w:rsidP="00F229C5">
            <w:pPr>
              <w:pStyle w:val="a"/>
              <w:spacing w:after="60" w:line="266" w:lineRule="auto"/>
              <w:ind w:firstLine="0"/>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110</w:t>
            </w:r>
            <w:r>
              <w:rPr>
                <w:rFonts w:ascii="Arial Narrow" w:hAnsi="Arial Narrow"/>
                <w:color w:val="000000" w:themeColor="text1"/>
                <w:szCs w:val="22"/>
              </w:rPr>
              <w:t>.</w:t>
            </w:r>
            <w:r w:rsidRPr="00CD3AD9">
              <w:rPr>
                <w:rFonts w:ascii="Arial Narrow" w:hAnsi="Arial Narrow"/>
                <w:color w:val="000000" w:themeColor="text1"/>
                <w:szCs w:val="22"/>
              </w:rPr>
              <w:t>41</w:t>
            </w:r>
          </w:p>
        </w:tc>
      </w:tr>
      <w:tr w:rsidR="008B3A79" w:rsidRPr="00CD3AD9" w14:paraId="15D2D931" w14:textId="77777777" w:rsidTr="00F229C5">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171" w:type="pct"/>
            <w:tcBorders>
              <w:right w:val="none" w:sz="0" w:space="0" w:color="auto"/>
            </w:tcBorders>
            <w:shd w:val="clear" w:color="auto" w:fill="auto"/>
            <w:vAlign w:val="center"/>
          </w:tcPr>
          <w:p w14:paraId="7232EDD0" w14:textId="77777777" w:rsidR="008B3A79" w:rsidRPr="00D82FCB" w:rsidRDefault="008B3A79" w:rsidP="00F229C5">
            <w:pPr>
              <w:pStyle w:val="a"/>
              <w:spacing w:after="60" w:line="266" w:lineRule="auto"/>
              <w:ind w:firstLine="0"/>
              <w:jc w:val="center"/>
              <w:rPr>
                <w:rFonts w:ascii="Arial Narrow" w:hAnsi="Arial Narrow"/>
                <w:b w:val="0"/>
                <w:bCs w:val="0"/>
                <w:color w:val="000000" w:themeColor="text1"/>
                <w:szCs w:val="22"/>
              </w:rPr>
            </w:pPr>
            <w:r w:rsidRPr="00D82FCB">
              <w:rPr>
                <w:rFonts w:ascii="Arial Narrow" w:hAnsi="Arial Narrow"/>
                <w:b w:val="0"/>
                <w:bCs w:val="0"/>
                <w:color w:val="000000" w:themeColor="text1"/>
                <w:szCs w:val="22"/>
              </w:rPr>
              <w:t>BG4DGW00001PG238</w:t>
            </w:r>
          </w:p>
        </w:tc>
        <w:tc>
          <w:tcPr>
            <w:tcW w:w="1216" w:type="pct"/>
            <w:tcBorders>
              <w:left w:val="none" w:sz="0" w:space="0" w:color="auto"/>
              <w:right w:val="none" w:sz="0" w:space="0" w:color="auto"/>
            </w:tcBorders>
            <w:shd w:val="clear" w:color="auto" w:fill="auto"/>
            <w:noWrap/>
            <w:vAlign w:val="center"/>
          </w:tcPr>
          <w:p w14:paraId="26DA2B97" w14:textId="77777777" w:rsidR="008B3A79" w:rsidRPr="00CD3AD9" w:rsidRDefault="008B3A79" w:rsidP="00F229C5">
            <w:pPr>
              <w:pStyle w:val="a"/>
              <w:spacing w:after="60" w:line="266" w:lineRule="auto"/>
              <w:ind w:firstLine="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BG4G00001Pg238</w:t>
            </w:r>
          </w:p>
        </w:tc>
        <w:tc>
          <w:tcPr>
            <w:tcW w:w="1818" w:type="pct"/>
            <w:tcBorders>
              <w:left w:val="none" w:sz="0" w:space="0" w:color="auto"/>
              <w:right w:val="none" w:sz="0" w:space="0" w:color="auto"/>
            </w:tcBorders>
            <w:shd w:val="clear" w:color="auto" w:fill="auto"/>
            <w:noWrap/>
            <w:vAlign w:val="center"/>
          </w:tcPr>
          <w:p w14:paraId="1AC71068" w14:textId="77777777" w:rsidR="008B3A79" w:rsidRPr="00CD3AD9" w:rsidRDefault="008B3A79" w:rsidP="00F229C5">
            <w:pPr>
              <w:pStyle w:val="a"/>
              <w:spacing w:after="60" w:line="266" w:lineRule="auto"/>
              <w:ind w:firstLine="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Порови води в палеогенски седиментен комплекс на Пернишка котловина</w:t>
            </w:r>
          </w:p>
        </w:tc>
        <w:tc>
          <w:tcPr>
            <w:tcW w:w="795" w:type="pct"/>
            <w:tcBorders>
              <w:left w:val="none" w:sz="0" w:space="0" w:color="auto"/>
            </w:tcBorders>
            <w:shd w:val="clear" w:color="auto" w:fill="auto"/>
            <w:noWrap/>
            <w:vAlign w:val="center"/>
          </w:tcPr>
          <w:p w14:paraId="61CD235F" w14:textId="77777777" w:rsidR="008B3A79" w:rsidRPr="00CD3AD9" w:rsidRDefault="008B3A79" w:rsidP="00F229C5">
            <w:pPr>
              <w:pStyle w:val="a"/>
              <w:spacing w:after="60" w:line="266" w:lineRule="auto"/>
              <w:ind w:firstLine="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246</w:t>
            </w:r>
            <w:r>
              <w:rPr>
                <w:rFonts w:ascii="Arial Narrow" w:hAnsi="Arial Narrow"/>
                <w:color w:val="000000" w:themeColor="text1"/>
                <w:szCs w:val="22"/>
              </w:rPr>
              <w:t>.</w:t>
            </w:r>
            <w:r w:rsidRPr="00CD3AD9">
              <w:rPr>
                <w:rFonts w:ascii="Arial Narrow" w:hAnsi="Arial Narrow"/>
                <w:color w:val="000000" w:themeColor="text1"/>
                <w:szCs w:val="22"/>
              </w:rPr>
              <w:t>75</w:t>
            </w:r>
          </w:p>
        </w:tc>
      </w:tr>
      <w:tr w:rsidR="008B3A79" w:rsidRPr="00CD3AD9" w14:paraId="7C9B749D" w14:textId="77777777" w:rsidTr="00F229C5">
        <w:trPr>
          <w:cnfStyle w:val="000000010000" w:firstRow="0" w:lastRow="0" w:firstColumn="0" w:lastColumn="0" w:oddVBand="0" w:evenVBand="0" w:oddHBand="0" w:evenHBand="1"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171" w:type="pct"/>
            <w:tcBorders>
              <w:right w:val="none" w:sz="0" w:space="0" w:color="auto"/>
            </w:tcBorders>
            <w:shd w:val="clear" w:color="auto" w:fill="auto"/>
            <w:vAlign w:val="center"/>
          </w:tcPr>
          <w:p w14:paraId="54E2F2EF" w14:textId="77777777" w:rsidR="008B3A79" w:rsidRPr="00D82FCB" w:rsidRDefault="008B3A79" w:rsidP="00F229C5">
            <w:pPr>
              <w:pStyle w:val="a"/>
              <w:spacing w:after="60" w:line="266" w:lineRule="auto"/>
              <w:ind w:firstLine="0"/>
              <w:jc w:val="center"/>
              <w:rPr>
                <w:rFonts w:ascii="Arial Narrow" w:hAnsi="Arial Narrow"/>
                <w:b w:val="0"/>
                <w:bCs w:val="0"/>
                <w:color w:val="000000" w:themeColor="text1"/>
                <w:szCs w:val="22"/>
              </w:rPr>
            </w:pPr>
            <w:r w:rsidRPr="00D82FCB">
              <w:rPr>
                <w:rFonts w:ascii="Arial Narrow" w:hAnsi="Arial Narrow"/>
                <w:b w:val="0"/>
                <w:bCs w:val="0"/>
                <w:color w:val="000000" w:themeColor="text1"/>
                <w:szCs w:val="22"/>
              </w:rPr>
              <w:t>BG4DGW001PTPZ027</w:t>
            </w:r>
          </w:p>
        </w:tc>
        <w:tc>
          <w:tcPr>
            <w:tcW w:w="1216" w:type="pct"/>
            <w:tcBorders>
              <w:left w:val="none" w:sz="0" w:space="0" w:color="auto"/>
              <w:right w:val="none" w:sz="0" w:space="0" w:color="auto"/>
            </w:tcBorders>
            <w:shd w:val="clear" w:color="auto" w:fill="auto"/>
            <w:noWrap/>
            <w:vAlign w:val="center"/>
          </w:tcPr>
          <w:p w14:paraId="218E9544" w14:textId="77777777" w:rsidR="008B3A79" w:rsidRPr="00CD3AD9" w:rsidRDefault="008B3A79" w:rsidP="00F229C5">
            <w:pPr>
              <w:pStyle w:val="a"/>
              <w:spacing w:after="60" w:line="266" w:lineRule="auto"/>
              <w:ind w:firstLine="0"/>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BG4G001PtPz027</w:t>
            </w:r>
          </w:p>
        </w:tc>
        <w:tc>
          <w:tcPr>
            <w:tcW w:w="1818" w:type="pct"/>
            <w:tcBorders>
              <w:left w:val="none" w:sz="0" w:space="0" w:color="auto"/>
              <w:right w:val="none" w:sz="0" w:space="0" w:color="auto"/>
            </w:tcBorders>
            <w:shd w:val="clear" w:color="auto" w:fill="auto"/>
            <w:noWrap/>
            <w:vAlign w:val="center"/>
          </w:tcPr>
          <w:p w14:paraId="76010E64" w14:textId="77777777" w:rsidR="008B3A79" w:rsidRPr="00CD3AD9" w:rsidRDefault="008B3A79" w:rsidP="00F229C5">
            <w:pPr>
              <w:pStyle w:val="a"/>
              <w:spacing w:after="60" w:line="266" w:lineRule="auto"/>
              <w:ind w:firstLine="0"/>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Cs w:val="22"/>
              </w:rPr>
            </w:pPr>
            <w:proofErr w:type="spellStart"/>
            <w:r w:rsidRPr="00CD3AD9">
              <w:rPr>
                <w:rFonts w:ascii="Arial Narrow" w:hAnsi="Arial Narrow"/>
                <w:color w:val="000000" w:themeColor="text1"/>
                <w:szCs w:val="22"/>
              </w:rPr>
              <w:t>Пукнатинни</w:t>
            </w:r>
            <w:proofErr w:type="spellEnd"/>
            <w:r w:rsidRPr="00CD3AD9">
              <w:rPr>
                <w:rFonts w:ascii="Arial Narrow" w:hAnsi="Arial Narrow"/>
                <w:color w:val="000000" w:themeColor="text1"/>
                <w:szCs w:val="22"/>
              </w:rPr>
              <w:t xml:space="preserve"> води във Верила-Витошки блок</w:t>
            </w:r>
          </w:p>
        </w:tc>
        <w:tc>
          <w:tcPr>
            <w:tcW w:w="795" w:type="pct"/>
            <w:tcBorders>
              <w:left w:val="none" w:sz="0" w:space="0" w:color="auto"/>
            </w:tcBorders>
            <w:shd w:val="clear" w:color="auto" w:fill="auto"/>
            <w:noWrap/>
            <w:vAlign w:val="center"/>
          </w:tcPr>
          <w:p w14:paraId="2192177A" w14:textId="77777777" w:rsidR="008B3A79" w:rsidRPr="00CD3AD9" w:rsidRDefault="008B3A79" w:rsidP="00F229C5">
            <w:pPr>
              <w:pStyle w:val="a"/>
              <w:spacing w:after="60" w:line="266" w:lineRule="auto"/>
              <w:ind w:firstLine="0"/>
              <w:jc w:val="center"/>
              <w:cnfStyle w:val="000000010000" w:firstRow="0" w:lastRow="0" w:firstColumn="0" w:lastColumn="0" w:oddVBand="0" w:evenVBand="0" w:oddHBand="0" w:evenHBand="1"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1282</w:t>
            </w:r>
            <w:r>
              <w:rPr>
                <w:rFonts w:ascii="Arial Narrow" w:hAnsi="Arial Narrow"/>
                <w:color w:val="000000" w:themeColor="text1"/>
                <w:szCs w:val="22"/>
              </w:rPr>
              <w:t>.</w:t>
            </w:r>
            <w:r w:rsidRPr="00CD3AD9">
              <w:rPr>
                <w:rFonts w:ascii="Arial Narrow" w:hAnsi="Arial Narrow"/>
                <w:color w:val="000000" w:themeColor="text1"/>
                <w:szCs w:val="22"/>
              </w:rPr>
              <w:t>31</w:t>
            </w:r>
          </w:p>
        </w:tc>
      </w:tr>
      <w:tr w:rsidR="008B3A79" w:rsidRPr="00CD3AD9" w14:paraId="14D38E85" w14:textId="77777777" w:rsidTr="00F229C5">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171" w:type="pct"/>
            <w:tcBorders>
              <w:right w:val="none" w:sz="0" w:space="0" w:color="auto"/>
            </w:tcBorders>
            <w:shd w:val="clear" w:color="auto" w:fill="auto"/>
            <w:noWrap/>
            <w:vAlign w:val="center"/>
          </w:tcPr>
          <w:p w14:paraId="72D5AE4F" w14:textId="77777777" w:rsidR="008B3A79" w:rsidRPr="00D82FCB" w:rsidRDefault="008B3A79" w:rsidP="00F229C5">
            <w:pPr>
              <w:pStyle w:val="a"/>
              <w:spacing w:after="60" w:line="266" w:lineRule="auto"/>
              <w:ind w:firstLine="0"/>
              <w:jc w:val="center"/>
              <w:rPr>
                <w:rFonts w:ascii="Arial Narrow" w:hAnsi="Arial Narrow"/>
                <w:b w:val="0"/>
                <w:bCs w:val="0"/>
                <w:color w:val="000000" w:themeColor="text1"/>
                <w:szCs w:val="22"/>
              </w:rPr>
            </w:pPr>
            <w:r w:rsidRPr="00D82FCB">
              <w:rPr>
                <w:rFonts w:ascii="Arial Narrow" w:hAnsi="Arial Narrow"/>
                <w:b w:val="0"/>
                <w:bCs w:val="0"/>
                <w:color w:val="000000" w:themeColor="text1"/>
                <w:szCs w:val="22"/>
              </w:rPr>
              <w:t>BG4DGW1T1T2T3037</w:t>
            </w:r>
          </w:p>
        </w:tc>
        <w:tc>
          <w:tcPr>
            <w:tcW w:w="1216" w:type="pct"/>
            <w:tcBorders>
              <w:left w:val="none" w:sz="0" w:space="0" w:color="auto"/>
              <w:right w:val="none" w:sz="0" w:space="0" w:color="auto"/>
            </w:tcBorders>
            <w:shd w:val="clear" w:color="auto" w:fill="auto"/>
            <w:noWrap/>
            <w:vAlign w:val="center"/>
          </w:tcPr>
          <w:p w14:paraId="0A8CEF89" w14:textId="77777777" w:rsidR="008B3A79" w:rsidRPr="00CD3AD9" w:rsidRDefault="008B3A79" w:rsidP="00F229C5">
            <w:pPr>
              <w:pStyle w:val="a"/>
              <w:spacing w:after="60" w:line="266" w:lineRule="auto"/>
              <w:ind w:firstLine="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BG4G1T1T2T3037</w:t>
            </w:r>
          </w:p>
        </w:tc>
        <w:tc>
          <w:tcPr>
            <w:tcW w:w="1818" w:type="pct"/>
            <w:tcBorders>
              <w:left w:val="none" w:sz="0" w:space="0" w:color="auto"/>
              <w:right w:val="none" w:sz="0" w:space="0" w:color="auto"/>
            </w:tcBorders>
            <w:shd w:val="clear" w:color="auto" w:fill="auto"/>
            <w:noWrap/>
            <w:vAlign w:val="center"/>
          </w:tcPr>
          <w:p w14:paraId="5BCDFE5C" w14:textId="77777777" w:rsidR="008B3A79" w:rsidRPr="00CD3AD9" w:rsidRDefault="008B3A79" w:rsidP="00F229C5">
            <w:pPr>
              <w:pStyle w:val="a"/>
              <w:spacing w:after="60" w:line="266" w:lineRule="auto"/>
              <w:ind w:firstLine="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 xml:space="preserve">Карстови води в </w:t>
            </w:r>
            <w:proofErr w:type="spellStart"/>
            <w:r w:rsidRPr="00CD3AD9">
              <w:rPr>
                <w:rFonts w:ascii="Arial Narrow" w:hAnsi="Arial Narrow"/>
                <w:color w:val="000000" w:themeColor="text1"/>
                <w:szCs w:val="22"/>
              </w:rPr>
              <w:t>Голобърдовски</w:t>
            </w:r>
            <w:proofErr w:type="spellEnd"/>
            <w:r w:rsidRPr="00CD3AD9">
              <w:rPr>
                <w:rFonts w:ascii="Arial Narrow" w:hAnsi="Arial Narrow"/>
                <w:color w:val="000000" w:themeColor="text1"/>
                <w:szCs w:val="22"/>
              </w:rPr>
              <w:t xml:space="preserve"> карстов басейн</w:t>
            </w:r>
          </w:p>
        </w:tc>
        <w:tc>
          <w:tcPr>
            <w:tcW w:w="795" w:type="pct"/>
            <w:tcBorders>
              <w:left w:val="none" w:sz="0" w:space="0" w:color="auto"/>
            </w:tcBorders>
            <w:shd w:val="clear" w:color="auto" w:fill="auto"/>
            <w:noWrap/>
            <w:vAlign w:val="center"/>
          </w:tcPr>
          <w:p w14:paraId="08A3F3FB" w14:textId="77777777" w:rsidR="008B3A79" w:rsidRPr="00CD3AD9" w:rsidRDefault="008B3A79" w:rsidP="00F229C5">
            <w:pPr>
              <w:pStyle w:val="a"/>
              <w:spacing w:after="60" w:line="266" w:lineRule="auto"/>
              <w:ind w:firstLine="0"/>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themeColor="text1"/>
                <w:szCs w:val="22"/>
              </w:rPr>
            </w:pPr>
            <w:r w:rsidRPr="00CD3AD9">
              <w:rPr>
                <w:rFonts w:ascii="Arial Narrow" w:hAnsi="Arial Narrow"/>
                <w:color w:val="000000" w:themeColor="text1"/>
                <w:szCs w:val="22"/>
              </w:rPr>
              <w:t>247</w:t>
            </w:r>
            <w:r>
              <w:rPr>
                <w:rFonts w:ascii="Arial Narrow" w:hAnsi="Arial Narrow"/>
                <w:color w:val="000000" w:themeColor="text1"/>
                <w:szCs w:val="22"/>
              </w:rPr>
              <w:t>.</w:t>
            </w:r>
            <w:r w:rsidRPr="00CD3AD9">
              <w:rPr>
                <w:rFonts w:ascii="Arial Narrow" w:hAnsi="Arial Narrow"/>
                <w:color w:val="000000" w:themeColor="text1"/>
                <w:szCs w:val="22"/>
              </w:rPr>
              <w:t>17</w:t>
            </w:r>
          </w:p>
        </w:tc>
      </w:tr>
    </w:tbl>
    <w:p w14:paraId="7761BCFA" w14:textId="77777777" w:rsidR="00635C38" w:rsidRDefault="00635C38"/>
    <w:sectPr w:rsidR="00635C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A79"/>
    <w:rsid w:val="00635C38"/>
    <w:rsid w:val="008B3A79"/>
    <w:rsid w:val="00EB53C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E5001"/>
  <w15:chartTrackingRefBased/>
  <w15:docId w15:val="{5C343083-B3A8-4872-A0B0-8C8F919C7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A79"/>
    <w:pPr>
      <w:spacing w:after="200" w:line="288" w:lineRule="auto"/>
    </w:pPr>
    <w:rPr>
      <w:rFonts w:eastAsiaTheme="minorEastAsia"/>
      <w:kern w:val="0"/>
      <w:szCs w:val="21"/>
      <w:lang w:eastAsia="bg-BG"/>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Caption Char,Caption1,Char Char Char,Char Char Char Char,Char Char Char Char Char,Char Char Char Char Char1 Char,Char Char Char Char Char1 Char Char Char,Char Char Char Char1 Char,Char Char Char1,Heading 1_Galab,unten"/>
    <w:basedOn w:val="Normal"/>
    <w:next w:val="Normal"/>
    <w:link w:val="CaptionChar1"/>
    <w:autoRedefine/>
    <w:uiPriority w:val="35"/>
    <w:unhideWhenUsed/>
    <w:qFormat/>
    <w:rsid w:val="008B3A79"/>
    <w:pPr>
      <w:keepNext/>
      <w:spacing w:after="60" w:line="266" w:lineRule="auto"/>
      <w:jc w:val="center"/>
    </w:pPr>
    <w:rPr>
      <w:rFonts w:ascii="Arial Narrow" w:hAnsi="Arial Narrow" w:cs="Arial"/>
      <w:b/>
      <w:bCs/>
      <w:smallCaps/>
      <w:color w:val="0070C0"/>
      <w:sz w:val="24"/>
      <w:szCs w:val="24"/>
    </w:rPr>
  </w:style>
  <w:style w:type="table" w:customStyle="1" w:styleId="MediumShading1-Accent15">
    <w:name w:val="Medium Shading 1 - Accent 15"/>
    <w:basedOn w:val="TableNormal"/>
    <w:next w:val="TableNormal"/>
    <w:uiPriority w:val="63"/>
    <w:rsid w:val="008B3A79"/>
    <w:pPr>
      <w:spacing w:after="0" w:line="288" w:lineRule="auto"/>
    </w:pPr>
    <w:rPr>
      <w:rFonts w:eastAsia="SimSun"/>
      <w:kern w:val="0"/>
      <w:sz w:val="24"/>
      <w:szCs w:val="24"/>
      <w14:ligatures w14:val="non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
    <w:name w:val="Текст"/>
    <w:basedOn w:val="Normal"/>
    <w:link w:val="Char"/>
    <w:qFormat/>
    <w:rsid w:val="008B3A79"/>
    <w:pPr>
      <w:spacing w:after="120" w:line="276" w:lineRule="auto"/>
      <w:ind w:firstLine="567"/>
    </w:pPr>
    <w:rPr>
      <w:rFonts w:eastAsia="Times New Roman"/>
      <w:szCs w:val="24"/>
    </w:rPr>
  </w:style>
  <w:style w:type="character" w:customStyle="1" w:styleId="Char">
    <w:name w:val="Текст Char"/>
    <w:basedOn w:val="DefaultParagraphFont"/>
    <w:link w:val="a"/>
    <w:rsid w:val="008B3A79"/>
    <w:rPr>
      <w:rFonts w:eastAsia="Times New Roman"/>
      <w:kern w:val="0"/>
      <w:szCs w:val="24"/>
      <w:lang w:eastAsia="bg-BG"/>
      <w14:ligatures w14:val="none"/>
    </w:rPr>
  </w:style>
  <w:style w:type="character" w:customStyle="1" w:styleId="CaptionChar1">
    <w:name w:val="Caption Char1"/>
    <w:aliases w:val="Caption Char Char,Caption1 Char,Char Char Char Char1,Char Char Char Char Char1,Char Char Char Char Char Char,Char Char Char Char Char1 Char Char,Char Char Char Char Char1 Char Char Char Char,Char Char Char Char1 Char Char,unten Char"/>
    <w:basedOn w:val="DefaultParagraphFont"/>
    <w:link w:val="Caption"/>
    <w:uiPriority w:val="35"/>
    <w:rsid w:val="008B3A79"/>
    <w:rPr>
      <w:rFonts w:ascii="Arial Narrow" w:eastAsiaTheme="minorEastAsia" w:hAnsi="Arial Narrow" w:cs="Arial"/>
      <w:b/>
      <w:bCs/>
      <w:smallCaps/>
      <w:color w:val="0070C0"/>
      <w:kern w:val="0"/>
      <w:sz w:val="24"/>
      <w:szCs w:val="24"/>
      <w:lang w:eastAsia="bg-BG"/>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03E775FB97D1D45987A9C85F55E7E9C" ma:contentTypeVersion="11" ma:contentTypeDescription="Създаване на нов документ" ma:contentTypeScope="" ma:versionID="3ef2883b101e88a3d5739530bb5b5fbd">
  <xsd:schema xmlns:xsd="http://www.w3.org/2001/XMLSchema" xmlns:xs="http://www.w3.org/2001/XMLSchema" xmlns:p="http://schemas.microsoft.com/office/2006/metadata/properties" xmlns:ns2="dda480cc-7628-4335-8dac-e18a6db586f1" xmlns:ns3="2b35105c-ab50-496e-92e1-3c19bf4b3be2" targetNamespace="http://schemas.microsoft.com/office/2006/metadata/properties" ma:root="true" ma:fieldsID="d0eab14f18ad4012f19c3e81514f4ffe" ns2:_="" ns3:_="">
    <xsd:import namespace="dda480cc-7628-4335-8dac-e18a6db586f1"/>
    <xsd:import namespace="2b35105c-ab50-496e-92e1-3c19bf4b3b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a480cc-7628-4335-8dac-e18a6db586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Етикети за изображения" ma:readOnly="false" ma:fieldId="{5cf76f15-5ced-4ddc-b409-7134ff3c332f}" ma:taxonomyMulti="true" ma:sspId="6955e43b-8619-43e5-bf7a-9526087b86e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35105c-ab50-496e-92e1-3c19bf4b3b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8cde8d-cb05-4765-aa02-4d3deda198dd}" ma:internalName="TaxCatchAll" ma:showField="CatchAllData" ma:web="2b35105c-ab50-496e-92e1-3c19bf4b3b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da480cc-7628-4335-8dac-e18a6db586f1">
      <Terms xmlns="http://schemas.microsoft.com/office/infopath/2007/PartnerControls"/>
    </lcf76f155ced4ddcb4097134ff3c332f>
    <TaxCatchAll xmlns="2b35105c-ab50-496e-92e1-3c19bf4b3be2" xsi:nil="true"/>
  </documentManagement>
</p:properties>
</file>

<file path=customXml/itemProps1.xml><?xml version="1.0" encoding="utf-8"?>
<ds:datastoreItem xmlns:ds="http://schemas.openxmlformats.org/officeDocument/2006/customXml" ds:itemID="{5A63D369-9157-4AE0-BF74-FDD8DA8C4D33}"/>
</file>

<file path=customXml/itemProps2.xml><?xml version="1.0" encoding="utf-8"?>
<ds:datastoreItem xmlns:ds="http://schemas.openxmlformats.org/officeDocument/2006/customXml" ds:itemID="{77029FDC-C7D0-4D1E-805F-96867FA103BD}"/>
</file>

<file path=customXml/itemProps3.xml><?xml version="1.0" encoding="utf-8"?>
<ds:datastoreItem xmlns:ds="http://schemas.openxmlformats.org/officeDocument/2006/customXml" ds:itemID="{FD0905D1-0402-496C-8D76-47F2371AEF88}"/>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559</Characters>
  <Application>Microsoft Office Word</Application>
  <DocSecurity>0</DocSecurity>
  <Lines>4</Lines>
  <Paragraphs>1</Paragraphs>
  <ScaleCrop>false</ScaleCrop>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cp:revision>
  <dcterms:created xsi:type="dcterms:W3CDTF">2024-09-14T17:49:00Z</dcterms:created>
  <dcterms:modified xsi:type="dcterms:W3CDTF">2024-09-14T17:49:00Z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0x010100C03E775FB97D1D45987A9C85F55E7E9C</vt:lpwstr>
  </property>
</Properties>
</file>