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E105526" w14:textId="77777777" w:rsidR="00DC5650" w:rsidRDefault="00DC5650" w:rsidP="00DC5650">
      <w:pPr>
        <w:jc w:val="center"/>
        <w:rPr>
          <w:rFonts w:ascii="Calibri" w:hAnsi="Calibri" w:cs="Calibri"/>
          <w:sz w:val="24"/>
          <w:szCs w:val="24"/>
        </w:rPr>
      </w:pPr>
    </w:p>
    <w:p w14:paraId="0871345E" w14:textId="6F0C1862" w:rsidR="00993A86" w:rsidRPr="00DC5650" w:rsidRDefault="00DC5650" w:rsidP="00DC5650">
      <w:pPr>
        <w:jc w:val="center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М</w:t>
      </w:r>
      <w:r w:rsidRPr="00DC5650">
        <w:rPr>
          <w:rFonts w:ascii="Calibri" w:hAnsi="Calibri" w:cs="Calibri"/>
          <w:sz w:val="24"/>
          <w:szCs w:val="24"/>
        </w:rPr>
        <w:t>оделиране на разпространението на емитираните в околната среда по време на строителството атмосферни замърсители</w:t>
      </w:r>
    </w:p>
    <w:p w14:paraId="4639CF6F" w14:textId="77777777" w:rsidR="00DC5650" w:rsidRPr="00DC5650" w:rsidRDefault="00DC5650" w:rsidP="00DC5650">
      <w:pPr>
        <w:spacing w:after="120" w:line="276" w:lineRule="auto"/>
        <w:jc w:val="both"/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Използван е математичен модел, отчитащ топографията на района - моделът на Американската агенция за опазване на околната среда (EPA) AERMOD с Windows интерфейс, разработен от канадската софтуерна фирма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Lakes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Environmental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. Моделирането е извършено при условия, позволяващи да се обхванат и възможните измествания в работния график, а именно целогодишно строителство, при непрекъснат денонощен режим на работа. Отчетено е „разпъване“ на строителната колона (моментна снимка на работа на строителната колона, вкл. всички етапи от строителството на газопровода) в участък, ситуиран в непосредствена близост до с. Драгичево, където са и най-близко разположените обекти, подлежащи на здравна защита – жилищна сграда, ситуирана на малко над 20 m от сервитута на газопровода. Входните параметри на модела са изчислени при строителство в обработваеми земи и възможност за по-голямо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запрашаване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 на въздуха. Определяне зоните на замърсяване, или още представяне на резултатите от модела AERMOD, е както следва:</w:t>
      </w:r>
    </w:p>
    <w:p w14:paraId="32D7B622" w14:textId="77777777" w:rsidR="00DC5650" w:rsidRPr="00DC5650" w:rsidRDefault="00DC5650" w:rsidP="00DC5650">
      <w:pPr>
        <w:numPr>
          <w:ilvl w:val="0"/>
          <w:numId w:val="1"/>
        </w:numPr>
        <w:spacing w:after="60" w:line="276" w:lineRule="auto"/>
        <w:jc w:val="both"/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Азотни оксиди (NOX) </w:t>
      </w:r>
    </w:p>
    <w:p w14:paraId="187303E8" w14:textId="77777777" w:rsidR="00DC5650" w:rsidRPr="00DC5650" w:rsidRDefault="00DC5650" w:rsidP="00DC5650">
      <w:pPr>
        <w:spacing w:before="240" w:after="120" w:line="276" w:lineRule="auto"/>
        <w:jc w:val="both"/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t>Средногодишни концентрации</w:t>
      </w:r>
    </w:p>
    <w:p w14:paraId="0F698EAF" w14:textId="49BE4DAC" w:rsidR="00DC5650" w:rsidRPr="00DC5650" w:rsidRDefault="00DC5650" w:rsidP="00DC5650">
      <w:pPr>
        <w:keepNext/>
        <w:spacing w:after="60" w:line="276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noProof/>
          <w:kern w:val="0"/>
          <w:sz w:val="24"/>
          <w:szCs w:val="24"/>
          <w:lang w:eastAsia="bg-BG"/>
          <w14:ligatures w14:val="none"/>
        </w:rPr>
        <w:drawing>
          <wp:inline distT="0" distB="0" distL="0" distR="0" wp14:anchorId="7069ED11" wp14:editId="2A641568">
            <wp:extent cx="3967480" cy="3996055"/>
            <wp:effectExtent l="0" t="0" r="0" b="4445"/>
            <wp:docPr id="151890782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7480" cy="399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939A47" w14:textId="22BB5497" w:rsidR="00DC5650" w:rsidRPr="00DC5650" w:rsidRDefault="00DC5650" w:rsidP="00DC5650">
      <w:pPr>
        <w:keepNext/>
        <w:spacing w:after="60" w:line="276" w:lineRule="auto"/>
        <w:jc w:val="center"/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</w:pPr>
      <w:bookmarkStart w:id="0" w:name="_Ref177420292"/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t xml:space="preserve">Фигура </w:t>
      </w: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fldChar w:fldCharType="begin"/>
      </w: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instrText xml:space="preserve"> SEQ Фигура \* ARABIC </w:instrText>
      </w: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fldChar w:fldCharType="separate"/>
      </w:r>
      <w:r w:rsidR="00C748E0">
        <w:rPr>
          <w:rFonts w:ascii="Calibri" w:eastAsia="Times New Roman" w:hAnsi="Calibri" w:cs="Calibri"/>
          <w:i/>
          <w:iCs/>
          <w:noProof/>
          <w:kern w:val="0"/>
          <w:sz w:val="24"/>
          <w:szCs w:val="24"/>
          <w:lang w:eastAsia="bg-BG"/>
          <w14:ligatures w14:val="none"/>
        </w:rPr>
        <w:t>1</w:t>
      </w: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fldChar w:fldCharType="end"/>
      </w:r>
      <w:bookmarkEnd w:id="0"/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t xml:space="preserve"> Средногодишна концентрация на азотни оксиди (</w:t>
      </w:r>
      <w:proofErr w:type="spellStart"/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t>NOx</w:t>
      </w:r>
      <w:proofErr w:type="spellEnd"/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t>)</w:t>
      </w:r>
    </w:p>
    <w:p w14:paraId="3C92734E" w14:textId="77777777" w:rsidR="00DC5650" w:rsidRPr="00DC5650" w:rsidRDefault="00DC5650" w:rsidP="00DC5650">
      <w:pPr>
        <w:spacing w:after="60" w:line="276" w:lineRule="auto"/>
        <w:jc w:val="both"/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pPr>
    </w:p>
    <w:p w14:paraId="595E452F" w14:textId="58930898" w:rsidR="00DC5650" w:rsidRPr="00DC5650" w:rsidRDefault="00DC5650" w:rsidP="00DC5650">
      <w:pPr>
        <w:spacing w:after="60" w:line="276" w:lineRule="auto"/>
        <w:jc w:val="both"/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lastRenderedPageBreak/>
        <w:t xml:space="preserve">На </w:t>
      </w:r>
      <w:r w:rsidRPr="00DC5650">
        <w:rPr>
          <w:rFonts w:ascii="Calibri" w:eastAsia="Times New Roman" w:hAnsi="Calibri" w:cs="Calibri"/>
          <w:kern w:val="0"/>
          <w:sz w:val="24"/>
          <w:szCs w:val="24"/>
          <w:highlight w:val="yellow"/>
          <w:lang w:eastAsia="bg-BG"/>
          <w14:ligatures w14:val="none"/>
        </w:rPr>
        <w:fldChar w:fldCharType="begin"/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instrText xml:space="preserve"> REF _Ref177420292 \h </w:instrText>
      </w:r>
      <w:r w:rsidRPr="00DC5650">
        <w:rPr>
          <w:rFonts w:ascii="Calibri" w:eastAsia="Times New Roman" w:hAnsi="Calibri" w:cs="Calibri"/>
          <w:kern w:val="0"/>
          <w:sz w:val="24"/>
          <w:szCs w:val="24"/>
          <w:highlight w:val="yellow"/>
          <w:lang w:eastAsia="bg-BG"/>
          <w14:ligatures w14:val="none"/>
        </w:rPr>
        <w:instrText xml:space="preserve"> \* MERGEFORMAT </w:instrText>
      </w:r>
      <w:r w:rsidRPr="00DC5650">
        <w:rPr>
          <w:rFonts w:ascii="Calibri" w:eastAsia="Times New Roman" w:hAnsi="Calibri" w:cs="Calibri"/>
          <w:kern w:val="0"/>
          <w:sz w:val="24"/>
          <w:szCs w:val="24"/>
          <w:highlight w:val="yellow"/>
          <w:lang w:eastAsia="bg-BG"/>
          <w14:ligatures w14:val="none"/>
        </w:rPr>
      </w:r>
      <w:r w:rsidRPr="00DC5650">
        <w:rPr>
          <w:rFonts w:ascii="Calibri" w:eastAsia="Times New Roman" w:hAnsi="Calibri" w:cs="Calibri"/>
          <w:kern w:val="0"/>
          <w:sz w:val="24"/>
          <w:szCs w:val="24"/>
          <w:highlight w:val="yellow"/>
          <w:lang w:eastAsia="bg-BG"/>
          <w14:ligatures w14:val="none"/>
        </w:rPr>
        <w:fldChar w:fldCharType="separate"/>
      </w:r>
      <w:r w:rsidR="00C748E0" w:rsidRPr="00C748E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Фигура </w:t>
      </w:r>
      <w:r w:rsidR="00C748E0" w:rsidRPr="00C748E0">
        <w:rPr>
          <w:rFonts w:ascii="Calibri" w:eastAsia="Times New Roman" w:hAnsi="Calibri" w:cs="Calibri"/>
          <w:noProof/>
          <w:kern w:val="0"/>
          <w:sz w:val="24"/>
          <w:szCs w:val="24"/>
          <w:lang w:eastAsia="bg-BG"/>
          <w14:ligatures w14:val="none"/>
        </w:rPr>
        <w:t>1</w:t>
      </w:r>
      <w:r w:rsidRPr="00DC5650">
        <w:rPr>
          <w:rFonts w:ascii="Calibri" w:eastAsia="Times New Roman" w:hAnsi="Calibri" w:cs="Calibri"/>
          <w:kern w:val="0"/>
          <w:sz w:val="24"/>
          <w:szCs w:val="24"/>
          <w:highlight w:val="yellow"/>
          <w:lang w:eastAsia="bg-BG"/>
          <w14:ligatures w14:val="none"/>
        </w:rPr>
        <w:fldChar w:fldCharType="end"/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, със син цвят, е маркирано местоположението на допълнителния рецептор, жилищна сграда в с. Драгичево, до които е проследено нивото на моделираните концентрации на атмосферните замърсители, предвид близостта на сградата до работната полоса.</w:t>
      </w:r>
    </w:p>
    <w:p w14:paraId="109111B7" w14:textId="77777777" w:rsidR="00DC5650" w:rsidRPr="00DC5650" w:rsidRDefault="00DC5650" w:rsidP="00DC5650">
      <w:pPr>
        <w:spacing w:after="60" w:line="276" w:lineRule="auto"/>
        <w:jc w:val="both"/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Максималната средногодишна концентрация на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NOх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 e 3,75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μg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/m3, получена в границите на строителната полоса и източно от нея и представлява 9,38% от средногодишната нормата (СГН) за опазване на човешкото здраве от 40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μg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/m3 и 14,42% от средногодишния долен оценъчен праг (ДОП) от 26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μg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/m3.</w:t>
      </w:r>
    </w:p>
    <w:p w14:paraId="286153B4" w14:textId="77777777" w:rsidR="00DC5650" w:rsidRPr="00DC5650" w:rsidRDefault="00DC5650" w:rsidP="00DC5650">
      <w:pPr>
        <w:spacing w:after="60" w:line="276" w:lineRule="auto"/>
        <w:jc w:val="both"/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В района на чувствителния рецептор, жилищна сграда в землището на с. Драгичево, не се очаква и при най-лошите условия на работа, при които е направено моделирането, средногодишната концентрация на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NOx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 да надвиши 0,07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μg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/m3.</w:t>
      </w:r>
    </w:p>
    <w:p w14:paraId="38D4D90A" w14:textId="77777777" w:rsidR="00DC5650" w:rsidRPr="00DC5650" w:rsidRDefault="00DC5650" w:rsidP="00DC5650">
      <w:pPr>
        <w:spacing w:before="240" w:after="120" w:line="276" w:lineRule="auto"/>
        <w:jc w:val="both"/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t>Максимална средночасова (1 час) концентрация</w:t>
      </w:r>
    </w:p>
    <w:p w14:paraId="58971465" w14:textId="388D7F79" w:rsidR="00DC5650" w:rsidRPr="00DC5650" w:rsidRDefault="00DC5650" w:rsidP="00DC5650">
      <w:pPr>
        <w:keepNext/>
        <w:spacing w:after="60" w:line="276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noProof/>
          <w:kern w:val="0"/>
          <w:sz w:val="24"/>
          <w:szCs w:val="24"/>
          <w:lang w:eastAsia="bg-BG"/>
          <w14:ligatures w14:val="none"/>
        </w:rPr>
        <w:drawing>
          <wp:inline distT="0" distB="0" distL="0" distR="0" wp14:anchorId="2AB88E14" wp14:editId="3BB503EB">
            <wp:extent cx="4305300" cy="4314825"/>
            <wp:effectExtent l="0" t="0" r="0" b="9525"/>
            <wp:docPr id="99640096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F656A3" w14:textId="7C1F65D0" w:rsidR="00DC5650" w:rsidRPr="00DC5650" w:rsidRDefault="00DC5650" w:rsidP="00DC5650">
      <w:pPr>
        <w:keepNext/>
        <w:spacing w:after="60" w:line="276" w:lineRule="auto"/>
        <w:jc w:val="center"/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</w:pPr>
      <w:bookmarkStart w:id="1" w:name="_Ref177420390"/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t xml:space="preserve">Фигура </w:t>
      </w: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fldChar w:fldCharType="begin"/>
      </w: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instrText xml:space="preserve"> SEQ Фигура \* ARABIC </w:instrText>
      </w: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fldChar w:fldCharType="separate"/>
      </w:r>
      <w:r w:rsidR="00C748E0">
        <w:rPr>
          <w:rFonts w:ascii="Calibri" w:eastAsia="Times New Roman" w:hAnsi="Calibri" w:cs="Calibri"/>
          <w:i/>
          <w:iCs/>
          <w:noProof/>
          <w:kern w:val="0"/>
          <w:sz w:val="24"/>
          <w:szCs w:val="24"/>
          <w:lang w:eastAsia="bg-BG"/>
          <w14:ligatures w14:val="none"/>
        </w:rPr>
        <w:t>2</w:t>
      </w: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fldChar w:fldCharType="end"/>
      </w:r>
      <w:bookmarkEnd w:id="1"/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t xml:space="preserve"> Максимална средночасова концентрация на азотни оксиди (</w:t>
      </w:r>
      <w:proofErr w:type="spellStart"/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t>NOx</w:t>
      </w:r>
      <w:proofErr w:type="spellEnd"/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t>)</w:t>
      </w:r>
    </w:p>
    <w:p w14:paraId="23666CEE" w14:textId="77777777" w:rsidR="00DC5650" w:rsidRPr="00DC5650" w:rsidRDefault="00DC5650" w:rsidP="00DC5650">
      <w:pPr>
        <w:spacing w:after="60" w:line="276" w:lineRule="auto"/>
        <w:jc w:val="both"/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pPr>
    </w:p>
    <w:p w14:paraId="2B6DA567" w14:textId="2E961374" w:rsidR="00DC5650" w:rsidRPr="00DC5650" w:rsidRDefault="00DC5650" w:rsidP="00DC5650">
      <w:pPr>
        <w:spacing w:after="60" w:line="276" w:lineRule="auto"/>
        <w:jc w:val="both"/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Максимална средночасова концентрация е 83,2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μg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/m3, получена в близост до строителната полоса, в западна посока и представлява 41,6% от средночасовата нормата (СЧН) за опазване на човешкото здраве от 200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μg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/m3 и 83,2% от средночасовия долен оценъчен праг (ДОП) от 100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μg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/m3 - </w:t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fldChar w:fldCharType="begin"/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instrText xml:space="preserve"> REF _Ref177420390 \h  \* MERGEFORMAT </w:instrText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fldChar w:fldCharType="separate"/>
      </w:r>
      <w:r w:rsidR="00C748E0" w:rsidRPr="00C748E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Фигура </w:t>
      </w:r>
      <w:r w:rsidR="00C748E0" w:rsidRPr="00C748E0">
        <w:rPr>
          <w:rFonts w:ascii="Calibri" w:eastAsia="Times New Roman" w:hAnsi="Calibri" w:cs="Calibri"/>
          <w:noProof/>
          <w:kern w:val="0"/>
          <w:sz w:val="24"/>
          <w:szCs w:val="24"/>
          <w:lang w:eastAsia="bg-BG"/>
          <w14:ligatures w14:val="none"/>
        </w:rPr>
        <w:t>2</w:t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fldChar w:fldCharType="end"/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. Районът на жилищната сграда в с. Драгичево, предвид получените резултати от извършеното моделиране, попада в </w:t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lastRenderedPageBreak/>
        <w:t xml:space="preserve">диапазона между 8,00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μg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/m3 и 6,00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μg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/m3 средночасова концентрация на азотен диоксид, което е значително под нормативно определените стойности при моментната снимка на разпъване на строителната колона за дадения участък, в който влиза най-близко разположения обект, подлежащ на здравна защита.</w:t>
      </w:r>
    </w:p>
    <w:p w14:paraId="286F2A13" w14:textId="77777777" w:rsidR="00DC5650" w:rsidRPr="00DC5650" w:rsidRDefault="00DC5650" w:rsidP="00DC5650">
      <w:pPr>
        <w:numPr>
          <w:ilvl w:val="0"/>
          <w:numId w:val="2"/>
        </w:numPr>
        <w:spacing w:after="60" w:line="276" w:lineRule="auto"/>
        <w:ind w:left="900"/>
        <w:contextualSpacing/>
        <w:jc w:val="both"/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Фини прахови частици (ФПЧ10)</w:t>
      </w:r>
    </w:p>
    <w:p w14:paraId="4BADE395" w14:textId="77777777" w:rsidR="00DC5650" w:rsidRPr="00DC5650" w:rsidRDefault="00DC5650" w:rsidP="00DC5650">
      <w:pPr>
        <w:spacing w:before="240" w:after="60" w:line="276" w:lineRule="auto"/>
        <w:jc w:val="both"/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t>Средногодишна концентрация</w:t>
      </w:r>
    </w:p>
    <w:p w14:paraId="6900AC4F" w14:textId="3F8A65A2" w:rsidR="00DC5650" w:rsidRPr="00DC5650" w:rsidRDefault="00DC5650" w:rsidP="00DC5650">
      <w:pPr>
        <w:spacing w:after="60" w:line="276" w:lineRule="auto"/>
        <w:jc w:val="both"/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Максимална средногодишна концентрация е 7,25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μg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/m3, получена в границите на строителната полоса и непосредствено до нея и представлява 18,13 % от средногодишната нормата (СГН) за опазване на човешкото здраве от 40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μg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/m3 и 36,25 % от средногодишния долен оценъчен праг (ДОП) от 20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μg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/m3 -</w:t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fldChar w:fldCharType="begin"/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instrText xml:space="preserve"> REF _Ref177420441 \h  \* MERGEFORMAT </w:instrText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fldChar w:fldCharType="separate"/>
      </w:r>
      <w:r w:rsidR="00C748E0" w:rsidRPr="00C748E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Фигура </w:t>
      </w:r>
      <w:r w:rsidR="00C748E0" w:rsidRPr="00C748E0">
        <w:rPr>
          <w:rFonts w:ascii="Calibri" w:eastAsia="Times New Roman" w:hAnsi="Calibri" w:cs="Calibri"/>
          <w:noProof/>
          <w:kern w:val="0"/>
          <w:sz w:val="24"/>
          <w:szCs w:val="24"/>
          <w:lang w:eastAsia="bg-BG"/>
          <w14:ligatures w14:val="none"/>
        </w:rPr>
        <w:t>3</w:t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fldChar w:fldCharType="end"/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.</w:t>
      </w:r>
    </w:p>
    <w:p w14:paraId="59DF4317" w14:textId="77777777" w:rsidR="00DC5650" w:rsidRPr="00DC5650" w:rsidRDefault="00DC5650" w:rsidP="00DC5650">
      <w:pPr>
        <w:spacing w:after="60" w:line="276" w:lineRule="auto"/>
        <w:ind w:firstLine="540"/>
        <w:jc w:val="both"/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pPr>
    </w:p>
    <w:p w14:paraId="651DB4E0" w14:textId="23FA3460" w:rsidR="00DC5650" w:rsidRPr="00DC5650" w:rsidRDefault="00DC5650" w:rsidP="00DC5650">
      <w:pPr>
        <w:keepNext/>
        <w:spacing w:after="60" w:line="276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noProof/>
          <w:kern w:val="0"/>
          <w:sz w:val="24"/>
          <w:szCs w:val="24"/>
          <w:lang w:eastAsia="bg-BG"/>
          <w14:ligatures w14:val="none"/>
        </w:rPr>
        <w:drawing>
          <wp:inline distT="0" distB="0" distL="0" distR="0" wp14:anchorId="052F5422" wp14:editId="6393E495">
            <wp:extent cx="3619500" cy="3634105"/>
            <wp:effectExtent l="0" t="0" r="0" b="4445"/>
            <wp:docPr id="20958091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363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B0E851" w14:textId="72D2F25A" w:rsidR="00DC5650" w:rsidRPr="00DC5650" w:rsidRDefault="00DC5650" w:rsidP="00DC5650">
      <w:pPr>
        <w:keepNext/>
        <w:spacing w:after="60" w:line="276" w:lineRule="auto"/>
        <w:jc w:val="center"/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</w:pPr>
      <w:bookmarkStart w:id="2" w:name="_Ref177420441"/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t xml:space="preserve">Фигура </w:t>
      </w: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fldChar w:fldCharType="begin"/>
      </w: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instrText xml:space="preserve"> SEQ Фигура \* ARABIC </w:instrText>
      </w: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fldChar w:fldCharType="separate"/>
      </w:r>
      <w:r w:rsidR="00C748E0">
        <w:rPr>
          <w:rFonts w:ascii="Calibri" w:eastAsia="Times New Roman" w:hAnsi="Calibri" w:cs="Calibri"/>
          <w:i/>
          <w:iCs/>
          <w:noProof/>
          <w:kern w:val="0"/>
          <w:sz w:val="24"/>
          <w:szCs w:val="24"/>
          <w:lang w:eastAsia="bg-BG"/>
          <w14:ligatures w14:val="none"/>
        </w:rPr>
        <w:t>3</w:t>
      </w: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fldChar w:fldCharType="end"/>
      </w:r>
      <w:bookmarkEnd w:id="2"/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t xml:space="preserve"> Средногодишна концентрация на ФПЧ10</w:t>
      </w:r>
    </w:p>
    <w:p w14:paraId="00CD3755" w14:textId="77777777" w:rsidR="00DC5650" w:rsidRPr="00DC5650" w:rsidRDefault="00DC5650" w:rsidP="00DC5650">
      <w:pPr>
        <w:spacing w:after="60" w:line="276" w:lineRule="auto"/>
        <w:jc w:val="both"/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pPr>
    </w:p>
    <w:p w14:paraId="5BD06B6E" w14:textId="77777777" w:rsidR="00DC5650" w:rsidRPr="00DC5650" w:rsidRDefault="00DC5650" w:rsidP="00DC5650">
      <w:pPr>
        <w:spacing w:after="60" w:line="276" w:lineRule="auto"/>
        <w:jc w:val="both"/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В района на с. Драгичево, участъкът, ситуиран най-близо до строителната полоса, средногодишните концентрации на ФПЧ10 няма да надвишават 0,5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μg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/m3.</w:t>
      </w:r>
    </w:p>
    <w:p w14:paraId="65B6339A" w14:textId="77777777" w:rsidR="00DC5650" w:rsidRPr="00DC5650" w:rsidRDefault="00DC5650" w:rsidP="00DC5650">
      <w:pPr>
        <w:spacing w:before="240" w:after="60" w:line="276" w:lineRule="auto"/>
        <w:jc w:val="both"/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t xml:space="preserve">Максимална </w:t>
      </w:r>
      <w:proofErr w:type="spellStart"/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t>средноденононщна</w:t>
      </w:r>
      <w:proofErr w:type="spellEnd"/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t xml:space="preserve"> (24 часа) концентрация</w:t>
      </w:r>
    </w:p>
    <w:p w14:paraId="19E67BAE" w14:textId="20AC63FF" w:rsidR="00DC5650" w:rsidRPr="00DC5650" w:rsidRDefault="00DC5650" w:rsidP="00DC5650">
      <w:pPr>
        <w:spacing w:after="60" w:line="276" w:lineRule="auto"/>
        <w:jc w:val="both"/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Максимална средноденонощна концентрация е 24,6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μg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/m3, получена в източната част на строителната полоса, непосредствено както и непосредствено до нея в източна посока, която е 49,2% от средноденонощната нормата (СДН) за опазване на човешкото здраве от 50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μg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/m3. Концентрацията представлява 98,4% от долния оценъчен праг (ДОП) от 25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μg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/m3, прилаган само за жилищни зони- </w:t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fldChar w:fldCharType="begin"/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instrText xml:space="preserve"> REF _Ref177420509 \h  \* MERGEFORMAT </w:instrText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fldChar w:fldCharType="separate"/>
      </w:r>
      <w:r w:rsidR="00C748E0" w:rsidRPr="00C748E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Фигура </w:t>
      </w:r>
      <w:r w:rsidR="00C748E0" w:rsidRPr="00C748E0">
        <w:rPr>
          <w:rFonts w:ascii="Calibri" w:eastAsia="Times New Roman" w:hAnsi="Calibri" w:cs="Calibri"/>
          <w:noProof/>
          <w:kern w:val="0"/>
          <w:sz w:val="24"/>
          <w:szCs w:val="24"/>
          <w:lang w:eastAsia="bg-BG"/>
          <w14:ligatures w14:val="none"/>
        </w:rPr>
        <w:t>4</w:t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fldChar w:fldCharType="end"/>
      </w: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. </w:t>
      </w:r>
    </w:p>
    <w:p w14:paraId="3A2388CB" w14:textId="77777777" w:rsidR="00DC5650" w:rsidRPr="00DC5650" w:rsidRDefault="00DC5650" w:rsidP="00DC5650">
      <w:pPr>
        <w:spacing w:after="60" w:line="276" w:lineRule="auto"/>
        <w:jc w:val="both"/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lastRenderedPageBreak/>
        <w:t xml:space="preserve">При така ситуирана строителна колона, то в района на най-близко разположените обекти, подлежащи на здравна защита – жилищна сграда в с. Драгичево, максималната средноденонощна (24 часова) концентрация ще е в диапазона от 2,00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μg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/m3 до 5,00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μg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/m3. Придвижването на строителната колона няма да доведе до надвишаване на максималната средночасова норма в с. Драгичево, както и на стойностите на средноденонощния ДОП.</w:t>
      </w:r>
    </w:p>
    <w:p w14:paraId="0043B1A3" w14:textId="77777777" w:rsidR="00DC5650" w:rsidRPr="00DC5650" w:rsidRDefault="00DC5650" w:rsidP="00DC5650">
      <w:pPr>
        <w:spacing w:after="60" w:line="276" w:lineRule="auto"/>
        <w:ind w:firstLine="540"/>
        <w:jc w:val="both"/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pPr>
    </w:p>
    <w:p w14:paraId="40025E2E" w14:textId="02665ACA" w:rsidR="00DC5650" w:rsidRPr="00DC5650" w:rsidRDefault="00DC5650" w:rsidP="00DC5650">
      <w:pPr>
        <w:keepNext/>
        <w:spacing w:after="60" w:line="276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noProof/>
          <w:kern w:val="0"/>
          <w:sz w:val="24"/>
          <w:szCs w:val="24"/>
          <w:lang w:eastAsia="bg-BG"/>
          <w14:ligatures w14:val="none"/>
        </w:rPr>
        <w:drawing>
          <wp:inline distT="0" distB="0" distL="0" distR="0" wp14:anchorId="03BB5F0B" wp14:editId="139F5BDD">
            <wp:extent cx="4429125" cy="4453255"/>
            <wp:effectExtent l="0" t="0" r="9525" b="4445"/>
            <wp:docPr id="14489517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4453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E3EBBF" w14:textId="16DE16D8" w:rsidR="00DC5650" w:rsidRPr="00DC5650" w:rsidRDefault="00DC5650" w:rsidP="00DC5650">
      <w:pPr>
        <w:keepNext/>
        <w:spacing w:after="60" w:line="276" w:lineRule="auto"/>
        <w:jc w:val="center"/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</w:pPr>
      <w:bookmarkStart w:id="3" w:name="_Ref177420509"/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t xml:space="preserve">Фигура </w:t>
      </w: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fldChar w:fldCharType="begin"/>
      </w: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instrText xml:space="preserve"> SEQ Фигура \* ARABIC </w:instrText>
      </w: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fldChar w:fldCharType="separate"/>
      </w:r>
      <w:r w:rsidR="00C748E0">
        <w:rPr>
          <w:rFonts w:ascii="Calibri" w:eastAsia="Times New Roman" w:hAnsi="Calibri" w:cs="Calibri"/>
          <w:i/>
          <w:iCs/>
          <w:noProof/>
          <w:kern w:val="0"/>
          <w:sz w:val="24"/>
          <w:szCs w:val="24"/>
          <w:lang w:eastAsia="bg-BG"/>
          <w14:ligatures w14:val="none"/>
        </w:rPr>
        <w:t>4</w:t>
      </w:r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fldChar w:fldCharType="end"/>
      </w:r>
      <w:bookmarkEnd w:id="3"/>
      <w:r w:rsidRPr="00DC5650">
        <w:rPr>
          <w:rFonts w:ascii="Calibri" w:eastAsia="Times New Roman" w:hAnsi="Calibri" w:cs="Calibri"/>
          <w:i/>
          <w:iCs/>
          <w:kern w:val="0"/>
          <w:sz w:val="24"/>
          <w:szCs w:val="24"/>
          <w:lang w:eastAsia="bg-BG"/>
          <w14:ligatures w14:val="none"/>
        </w:rPr>
        <w:t xml:space="preserve"> Максимална средноденонощна концентрация на ФПЧ10</w:t>
      </w:r>
    </w:p>
    <w:p w14:paraId="03D7C8DF" w14:textId="77777777" w:rsidR="00DC5650" w:rsidRPr="00DC5650" w:rsidRDefault="00DC5650" w:rsidP="00DC5650">
      <w:pPr>
        <w:spacing w:after="60" w:line="276" w:lineRule="auto"/>
        <w:jc w:val="both"/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pPr>
      <w:bookmarkStart w:id="4" w:name="_Hlk173926738"/>
      <w:bookmarkStart w:id="5" w:name="_Hlk177312003"/>
    </w:p>
    <w:p w14:paraId="0841B542" w14:textId="77777777" w:rsidR="00DC5650" w:rsidRPr="00DC5650" w:rsidRDefault="00DC5650" w:rsidP="00DC5650">
      <w:pPr>
        <w:spacing w:after="60" w:line="276" w:lineRule="auto"/>
        <w:jc w:val="both"/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</w:pPr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От направеното изследване за очаквани промени в качеството на въздушния басейн в районите на строителната полоса и в този на най-близко разположения обект, подлежащ на здравна защита, от </w:t>
      </w:r>
      <w:proofErr w:type="spellStart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площните</w:t>
      </w:r>
      <w:proofErr w:type="spellEnd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 xml:space="preserve"> източници на емисии на фини прахови частици (ФПЧ10) и азотни оксиди (NOX), могат да се направи изводът, че в годишен и краткосрочен аспект качеството на атмосферния въздух няма да бъде повлияно отрицателно, </w:t>
      </w:r>
      <w:bookmarkStart w:id="6" w:name="_Hlk177311757"/>
      <w:r w:rsidRPr="00DC5650">
        <w:rPr>
          <w:rFonts w:ascii="Calibri" w:eastAsia="Times New Roman" w:hAnsi="Calibri" w:cs="Calibri"/>
          <w:kern w:val="0"/>
          <w:sz w:val="24"/>
          <w:szCs w:val="24"/>
          <w:lang w:eastAsia="bg-BG"/>
          <w14:ligatures w14:val="none"/>
        </w:rPr>
        <w:t>като въздействието е приемливо в локален и регионален мащаб.</w:t>
      </w:r>
      <w:bookmarkEnd w:id="4"/>
      <w:bookmarkEnd w:id="5"/>
      <w:bookmarkEnd w:id="6"/>
    </w:p>
    <w:sectPr w:rsidR="00DC5650" w:rsidRPr="00DC565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F76315"/>
    <w:multiLevelType w:val="hybridMultilevel"/>
    <w:tmpl w:val="D4F414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F3B511E"/>
    <w:multiLevelType w:val="hybridMultilevel"/>
    <w:tmpl w:val="64E8A926"/>
    <w:lvl w:ilvl="0" w:tplc="F5E4CB98">
      <w:start w:val="1"/>
      <w:numFmt w:val="bullet"/>
      <w:lvlText w:val=""/>
      <w:lvlJc w:val="left"/>
      <w:pPr>
        <w:ind w:left="-360" w:hanging="360"/>
      </w:pPr>
      <w:rPr>
        <w:rFonts w:ascii="Symbol" w:hAnsi="Symbol" w:hint="default"/>
      </w:rPr>
    </w:lvl>
    <w:lvl w:ilvl="1" w:tplc="04B27552">
      <w:numFmt w:val="bullet"/>
      <w:lvlText w:val="•"/>
      <w:lvlJc w:val="left"/>
      <w:pPr>
        <w:ind w:left="360" w:hanging="360"/>
      </w:pPr>
      <w:rPr>
        <w:rFonts w:ascii="Arial Narrow" w:eastAsia="Times New Roman" w:hAnsi="Arial Narrow" w:cs="Arial" w:hint="default"/>
      </w:rPr>
    </w:lvl>
    <w:lvl w:ilvl="2" w:tplc="64FEC9CE" w:tentative="1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 w:tplc="7696DC28" w:tentative="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4" w:tplc="66CADE1A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5" w:tplc="3FD8C58A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6" w:tplc="EBB06940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7" w:tplc="4568F500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8" w:tplc="9812798C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</w:abstractNum>
  <w:num w:numId="1" w16cid:durableId="429858655">
    <w:abstractNumId w:val="0"/>
  </w:num>
  <w:num w:numId="2" w16cid:durableId="138814137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5650"/>
    <w:rsid w:val="007870C9"/>
    <w:rsid w:val="00993A86"/>
    <w:rsid w:val="00C748E0"/>
    <w:rsid w:val="00DC5650"/>
    <w:rsid w:val="00F26A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FA01D7"/>
  <w15:chartTrackingRefBased/>
  <w15:docId w15:val="{EDDB748D-FADC-4CDB-AD9B-6EB71D9153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bg-BG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link w:val="CommentTextChar"/>
    <w:uiPriority w:val="99"/>
    <w:semiHidden/>
    <w:unhideWhenUsed/>
    <w:rsid w:val="00DC565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5650"/>
    <w:rPr>
      <w:sz w:val="20"/>
      <w:szCs w:val="20"/>
    </w:rPr>
  </w:style>
  <w:style w:type="character" w:styleId="CommentReference">
    <w:name w:val="annotation reference"/>
    <w:unhideWhenUsed/>
    <w:rsid w:val="00DC5650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C03E775FB97D1D45987A9C85F55E7E9C" ma:contentTypeVersion="11" ma:contentTypeDescription="Създаване на нов документ" ma:contentTypeScope="" ma:versionID="3ef2883b101e88a3d5739530bb5b5fbd">
  <xsd:schema xmlns:xsd="http://www.w3.org/2001/XMLSchema" xmlns:xs="http://www.w3.org/2001/XMLSchema" xmlns:p="http://schemas.microsoft.com/office/2006/metadata/properties" xmlns:ns2="dda480cc-7628-4335-8dac-e18a6db586f1" xmlns:ns3="2b35105c-ab50-496e-92e1-3c19bf4b3be2" targetNamespace="http://schemas.microsoft.com/office/2006/metadata/properties" ma:root="true" ma:fieldsID="d0eab14f18ad4012f19c3e81514f4ffe" ns2:_="" ns3:_="">
    <xsd:import namespace="dda480cc-7628-4335-8dac-e18a6db586f1"/>
    <xsd:import namespace="2b35105c-ab50-496e-92e1-3c19bf4b3be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a480cc-7628-4335-8dac-e18a6db586f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Етикети за изображения" ma:readOnly="false" ma:fieldId="{5cf76f15-5ced-4ddc-b409-7134ff3c332f}" ma:taxonomyMulti="true" ma:sspId="6955e43b-8619-43e5-bf7a-9526087b86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b35105c-ab50-496e-92e1-3c19bf4b3be2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388cde8d-cb05-4765-aa02-4d3deda198dd}" ma:internalName="TaxCatchAll" ma:showField="CatchAllData" ma:web="2b35105c-ab50-496e-92e1-3c19bf4b3be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съдържание"/>
        <xsd:element ref="dc:title" minOccurs="0" maxOccurs="1" ma:index="4" ma:displayName="Заглав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da480cc-7628-4335-8dac-e18a6db586f1">
      <Terms xmlns="http://schemas.microsoft.com/office/infopath/2007/PartnerControls"/>
    </lcf76f155ced4ddcb4097134ff3c332f>
    <TaxCatchAll xmlns="2b35105c-ab50-496e-92e1-3c19bf4b3be2" xsi:nil="true"/>
  </documentManagement>
</p:properties>
</file>

<file path=customXml/itemProps1.xml><?xml version="1.0" encoding="utf-8"?>
<ds:datastoreItem xmlns:ds="http://schemas.openxmlformats.org/officeDocument/2006/customXml" ds:itemID="{DFF1A271-3281-4A82-91A7-565388B91855}"/>
</file>

<file path=customXml/itemProps2.xml><?xml version="1.0" encoding="utf-8"?>
<ds:datastoreItem xmlns:ds="http://schemas.openxmlformats.org/officeDocument/2006/customXml" ds:itemID="{1C208921-C81C-4CC4-A759-89CF82DF3E78}"/>
</file>

<file path=customXml/itemProps3.xml><?xml version="1.0" encoding="utf-8"?>
<ds:datastoreItem xmlns:ds="http://schemas.openxmlformats.org/officeDocument/2006/customXml" ds:itemID="{A6933EF0-B6FA-44B0-A191-13D36757AD3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743</Words>
  <Characters>4237</Characters>
  <Application>Microsoft Office Word</Application>
  <DocSecurity>0</DocSecurity>
  <Lines>35</Lines>
  <Paragraphs>9</Paragraphs>
  <ScaleCrop>false</ScaleCrop>
  <Company/>
  <LinksUpToDate>false</LinksUpToDate>
  <CharactersWithSpaces>4971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Iglika Chamurova</cp:lastModifiedBy>
  <cp:revision>2</cp:revision>
  <cp:lastPrinted>2024-10-15T09:43:00Z</cp:lastPrinted>
  <dcterms:created xsi:type="dcterms:W3CDTF">2024-09-29T08:33:00Z</dcterms:created>
  <dcterms:modified xsi:type="dcterms:W3CDTF">2024-10-15T09:43:00Z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0x010100C03E775FB97D1D45987A9C85F55E7E9C</vt:lpwstr>
  </property>
</Properties>
</file>