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3A" w:rsidRDefault="003B733A" w:rsidP="003B733A">
      <w:pPr>
        <w:keepNext/>
        <w:overflowPunct/>
        <w:autoSpaceDE/>
        <w:adjustRightInd/>
        <w:ind w:firstLine="708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val="bg-BG"/>
        </w:rPr>
        <w:t>ТЕХНИЧЕСКИ СПЕЦИФИКАЦИИ И ИЗИСКВАНИЯ</w:t>
      </w:r>
    </w:p>
    <w:p w:rsidR="003B733A" w:rsidRDefault="003B733A" w:rsidP="003B733A">
      <w:pPr>
        <w:tabs>
          <w:tab w:val="left" w:pos="426"/>
          <w:tab w:val="left" w:pos="709"/>
          <w:tab w:val="left" w:pos="993"/>
        </w:tabs>
        <w:overflowPunct/>
        <w:autoSpaceDE/>
        <w:adjustRightInd/>
        <w:ind w:firstLine="567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</w:p>
    <w:p w:rsidR="003B733A" w:rsidRPr="00C21C89" w:rsidRDefault="003B733A" w:rsidP="003B733A">
      <w:pPr>
        <w:overflowPunct/>
        <w:autoSpaceDE/>
        <w:autoSpaceDN/>
        <w:adjustRightInd/>
        <w:spacing w:after="200" w:line="276" w:lineRule="auto"/>
        <w:ind w:firstLine="709"/>
        <w:jc w:val="both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Поръчката се обявява във връзка с Директива (ЕО) 72/2009 за осъществяване на процеса по смяна на доставчик на електрическа енергия, Закона за Енергетиката ЗЕ/17.07.2013г. и решение на ДКЕВР от 28.06.2013г. за доставка на електрическа енергия за свободния пазар</w:t>
      </w:r>
      <w:r w:rsidRPr="00422B21">
        <w:rPr>
          <w:rFonts w:ascii="Times New Roman" w:eastAsiaTheme="minorHAnsi" w:hAnsi="Times New Roman"/>
          <w:b/>
          <w:sz w:val="24"/>
          <w:szCs w:val="24"/>
          <w:lang w:val="bg-BG"/>
        </w:rPr>
        <w:t>. Чрез поръчката се цели понижаване на разходите за електроенергия и максимална пазарна стабилност на Възложителя. Към датата на подаване на оферта по настоящата обществена поръчка, Участниците трябва да отговарят на условията на чл. 58 от ПТЕЕ.</w:t>
      </w:r>
    </w:p>
    <w:p w:rsidR="003B733A" w:rsidRPr="00C21C89" w:rsidRDefault="003B733A" w:rsidP="003B733A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0" w:firstLine="360"/>
        <w:contextualSpacing/>
        <w:jc w:val="both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Обособена позиция № 1 „Избор на доставчик на активна нетна електрическа енергия и координатор на балансираща група за ниско напрежение на обекти на Министерство на околната среда и водите“</w:t>
      </w:r>
    </w:p>
    <w:p w:rsidR="003B733A" w:rsidRPr="00C21C89" w:rsidRDefault="003B733A" w:rsidP="003B733A">
      <w:pPr>
        <w:overflowPunct/>
        <w:autoSpaceDE/>
        <w:autoSpaceDN/>
        <w:adjustRightInd/>
        <w:spacing w:after="200" w:line="276" w:lineRule="auto"/>
        <w:ind w:left="360"/>
        <w:contextualSpacing/>
        <w:jc w:val="both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</w:p>
    <w:p w:rsidR="003B733A" w:rsidRPr="00C21C89" w:rsidRDefault="003B733A" w:rsidP="003B733A">
      <w:pPr>
        <w:overflowPunct/>
        <w:autoSpaceDE/>
        <w:autoSpaceDN/>
        <w:adjustRightInd/>
        <w:spacing w:after="200" w:line="276" w:lineRule="auto"/>
        <w:ind w:left="426" w:hanging="66"/>
        <w:contextualSpacing/>
        <w:jc w:val="both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1.</w:t>
      </w:r>
      <w:proofErr w:type="spellStart"/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1</w:t>
      </w:r>
      <w:proofErr w:type="spellEnd"/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. 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Прогнозно количество за доставка на електрическа енергия – ниско напрежение за срока на изпълнение на договора за </w:t>
      </w: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24 месеца е около: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1 160 326</w:t>
      </w:r>
      <w:r w:rsidRPr="00C21C89">
        <w:rPr>
          <w:rFonts w:ascii="Times New Roman" w:eastAsiaTheme="minorHAnsi" w:hAnsi="Times New Roman"/>
          <w:b/>
          <w:sz w:val="24"/>
          <w:szCs w:val="24"/>
        </w:rPr>
        <w:t xml:space="preserve"> kWh- /5%/ 1218 343</w:t>
      </w:r>
    </w:p>
    <w:p w:rsidR="003B733A" w:rsidRPr="00C21C89" w:rsidRDefault="003B733A" w:rsidP="003B733A">
      <w:pPr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1.2. 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>Място на изпълнение на доставките:</w:t>
      </w:r>
    </w:p>
    <w:p w:rsidR="003B733A" w:rsidRPr="00C21C89" w:rsidRDefault="003B733A" w:rsidP="003B733A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sz w:val="24"/>
          <w:szCs w:val="24"/>
          <w:lang w:val="bg-BG"/>
        </w:rPr>
        <w:t>административна сграда в гр. София, бул. „Княгиня Мария Луиза“ № 22.</w:t>
      </w:r>
    </w:p>
    <w:p w:rsidR="003B733A" w:rsidRPr="00C21C89" w:rsidRDefault="003B733A" w:rsidP="003B733A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административна сграда в гр. София, ул. „Уилям </w:t>
      </w:r>
      <w:proofErr w:type="spellStart"/>
      <w:r w:rsidRPr="00C21C89">
        <w:rPr>
          <w:rFonts w:ascii="Times New Roman" w:eastAsiaTheme="minorHAnsi" w:hAnsi="Times New Roman"/>
          <w:sz w:val="24"/>
          <w:szCs w:val="24"/>
          <w:lang w:val="bg-BG"/>
        </w:rPr>
        <w:t>Гладстон</w:t>
      </w:r>
      <w:proofErr w:type="spellEnd"/>
      <w:r w:rsidRPr="00C21C89">
        <w:rPr>
          <w:rFonts w:ascii="Times New Roman" w:eastAsiaTheme="minorHAnsi" w:hAnsi="Times New Roman"/>
          <w:sz w:val="24"/>
          <w:szCs w:val="24"/>
          <w:lang w:val="bg-BG"/>
        </w:rPr>
        <w:t>“ № 67.</w:t>
      </w:r>
    </w:p>
    <w:p w:rsidR="003B733A" w:rsidRPr="00C21C89" w:rsidRDefault="003B733A" w:rsidP="003B733A">
      <w:pPr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sz w:val="24"/>
          <w:szCs w:val="24"/>
          <w:lang w:val="bg-BG"/>
        </w:rPr>
        <w:t>обект в с. Брестница, общ. Ябланица, ул. „Иван Данов“ № 1</w:t>
      </w:r>
    </w:p>
    <w:p w:rsidR="003B733A" w:rsidRPr="00C21C89" w:rsidRDefault="003B733A" w:rsidP="003B733A">
      <w:pPr>
        <w:overflowPunct/>
        <w:autoSpaceDE/>
        <w:autoSpaceDN/>
        <w:adjustRightInd/>
        <w:spacing w:after="200" w:line="276" w:lineRule="auto"/>
        <w:ind w:left="720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3B733A" w:rsidRPr="00C21C89" w:rsidRDefault="003B733A" w:rsidP="003B733A">
      <w:pPr>
        <w:numPr>
          <w:ilvl w:val="1"/>
          <w:numId w:val="1"/>
        </w:numPr>
        <w:tabs>
          <w:tab w:val="left" w:pos="851"/>
        </w:tabs>
        <w:overflowPunct/>
        <w:autoSpaceDE/>
        <w:autoSpaceDN/>
        <w:adjustRightInd/>
        <w:spacing w:after="200" w:line="276" w:lineRule="auto"/>
        <w:ind w:left="0" w:firstLine="360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 Консумирана електрическа енергия през предходни </w:t>
      </w:r>
      <w:r w:rsidRPr="00C21C89">
        <w:rPr>
          <w:rFonts w:ascii="Times New Roman" w:eastAsiaTheme="minorHAnsi" w:hAnsi="Times New Roman"/>
          <w:sz w:val="24"/>
          <w:szCs w:val="24"/>
        </w:rPr>
        <w:t>12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 месеца: </w:t>
      </w:r>
      <w:r w:rsidRPr="00C21C89">
        <w:rPr>
          <w:rFonts w:ascii="Times New Roman" w:eastAsiaTheme="minorHAnsi" w:hAnsi="Times New Roman"/>
          <w:b/>
          <w:sz w:val="24"/>
          <w:szCs w:val="24"/>
        </w:rPr>
        <w:t>580 163</w:t>
      </w: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 </w:t>
      </w:r>
      <w:r w:rsidRPr="00C21C89">
        <w:rPr>
          <w:rFonts w:ascii="Times New Roman" w:eastAsiaTheme="minorHAnsi" w:hAnsi="Times New Roman"/>
          <w:b/>
          <w:sz w:val="24"/>
          <w:szCs w:val="24"/>
        </w:rPr>
        <w:t>kWh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 в това число месечно по обекти:  </w:t>
      </w:r>
    </w:p>
    <w:tbl>
      <w:tblPr>
        <w:tblStyle w:val="TableGrid3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2126"/>
        <w:gridCol w:w="2268"/>
        <w:gridCol w:w="2410"/>
      </w:tblGrid>
      <w:tr w:rsidR="003B733A" w:rsidRPr="00C21C89" w:rsidTr="00B15E69">
        <w:trPr>
          <w:trHeight w:val="1160"/>
        </w:trPr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  <w:p w:rsidR="003B733A" w:rsidRPr="00C21C89" w:rsidRDefault="003B733A" w:rsidP="00B15E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Месец</w:t>
            </w:r>
            <w:r w:rsidRPr="00C21C89">
              <w:rPr>
                <w:rFonts w:ascii="Times New Roman" w:hAnsi="Times New Roman"/>
              </w:rPr>
              <w:t>/</w:t>
            </w:r>
            <w:r w:rsidRPr="00C21C89">
              <w:rPr>
                <w:rFonts w:ascii="Times New Roman" w:hAnsi="Times New Roman"/>
                <w:lang w:val="bg-BG"/>
              </w:rPr>
              <w:t>Обект</w:t>
            </w:r>
          </w:p>
        </w:tc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гр. София, бул. „Княгиня Мария Луиза“ № 22</w:t>
            </w:r>
          </w:p>
        </w:tc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 xml:space="preserve">гр. София, ул. „Уилям </w:t>
            </w:r>
            <w:proofErr w:type="spellStart"/>
            <w:r w:rsidRPr="00C21C89">
              <w:rPr>
                <w:rFonts w:ascii="Times New Roman" w:hAnsi="Times New Roman"/>
                <w:lang w:val="bg-BG"/>
              </w:rPr>
              <w:t>Гладстон</w:t>
            </w:r>
            <w:proofErr w:type="spellEnd"/>
            <w:r w:rsidRPr="00C21C89">
              <w:rPr>
                <w:rFonts w:ascii="Times New Roman" w:hAnsi="Times New Roman"/>
                <w:lang w:val="bg-BG"/>
              </w:rPr>
              <w:t>“ № 67.</w:t>
            </w:r>
          </w:p>
        </w:tc>
        <w:tc>
          <w:tcPr>
            <w:tcW w:w="2410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с.Брестница, общ. Ябланица, ул.„Иван Данов“ № 1</w:t>
            </w:r>
          </w:p>
        </w:tc>
      </w:tr>
      <w:tr w:rsidR="003B733A" w:rsidRPr="00C21C89" w:rsidTr="00B15E69"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Септември</w:t>
            </w:r>
            <w:r w:rsidRPr="00C21C89">
              <w:rPr>
                <w:rFonts w:ascii="Times New Roman" w:hAnsi="Times New Roman"/>
              </w:rPr>
              <w:t xml:space="preserve"> 2</w:t>
            </w:r>
            <w:r w:rsidRPr="00C21C89">
              <w:rPr>
                <w:rFonts w:ascii="Times New Roman" w:hAnsi="Times New Roman"/>
                <w:lang w:val="bg-BG"/>
              </w:rPr>
              <w:t>017г.</w:t>
            </w:r>
          </w:p>
        </w:tc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34 723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7</w:t>
            </w:r>
            <w:r w:rsidRPr="00C21C89">
              <w:rPr>
                <w:rFonts w:ascii="Times New Roman" w:hAnsi="Times New Roman"/>
              </w:rPr>
              <w:t xml:space="preserve"> </w:t>
            </w:r>
            <w:r w:rsidRPr="00C21C89">
              <w:rPr>
                <w:rFonts w:ascii="Times New Roman" w:hAnsi="Times New Roman"/>
                <w:lang w:val="bg-BG"/>
              </w:rPr>
              <w:t>819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  <w:tc>
          <w:tcPr>
            <w:tcW w:w="2410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14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</w:tr>
      <w:tr w:rsidR="003B733A" w:rsidRPr="00C21C89" w:rsidTr="00B15E69"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Октомври</w:t>
            </w:r>
            <w:r w:rsidRPr="00C21C89">
              <w:rPr>
                <w:rFonts w:ascii="Times New Roman" w:hAnsi="Times New Roman"/>
              </w:rPr>
              <w:t xml:space="preserve"> 201</w:t>
            </w:r>
            <w:r w:rsidRPr="00C21C89">
              <w:rPr>
                <w:rFonts w:ascii="Times New Roman" w:hAnsi="Times New Roman"/>
                <w:lang w:val="bg-BG"/>
              </w:rPr>
              <w:t>7г.</w:t>
            </w:r>
          </w:p>
        </w:tc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41 723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10 075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  <w:tc>
          <w:tcPr>
            <w:tcW w:w="2410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37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</w:tr>
      <w:tr w:rsidR="003B733A" w:rsidRPr="00C21C89" w:rsidTr="00B15E69"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Ноември 2017г.</w:t>
            </w:r>
          </w:p>
        </w:tc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40 003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9</w:t>
            </w:r>
            <w:r w:rsidRPr="00C21C89">
              <w:rPr>
                <w:rFonts w:ascii="Times New Roman" w:hAnsi="Times New Roman"/>
              </w:rPr>
              <w:t xml:space="preserve"> </w:t>
            </w:r>
            <w:r w:rsidRPr="00C21C89">
              <w:rPr>
                <w:rFonts w:ascii="Times New Roman" w:hAnsi="Times New Roman"/>
                <w:lang w:val="bg-BG"/>
              </w:rPr>
              <w:t>812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  <w:tc>
          <w:tcPr>
            <w:tcW w:w="2410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126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</w:tr>
      <w:tr w:rsidR="003B733A" w:rsidRPr="00C21C89" w:rsidTr="00B15E69"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Декември 2017г.</w:t>
            </w:r>
          </w:p>
        </w:tc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40 105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11 138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  <w:tc>
          <w:tcPr>
            <w:tcW w:w="2410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189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</w:tr>
      <w:tr w:rsidR="003B733A" w:rsidRPr="00C21C89" w:rsidTr="00B15E69"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Януари 2018г.</w:t>
            </w:r>
          </w:p>
        </w:tc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42 194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9</w:t>
            </w:r>
            <w:r w:rsidRPr="00C21C89">
              <w:rPr>
                <w:rFonts w:ascii="Times New Roman" w:hAnsi="Times New Roman"/>
              </w:rPr>
              <w:t xml:space="preserve"> </w:t>
            </w:r>
            <w:r w:rsidRPr="00C21C89">
              <w:rPr>
                <w:rFonts w:ascii="Times New Roman" w:hAnsi="Times New Roman"/>
                <w:lang w:val="bg-BG"/>
              </w:rPr>
              <w:t>362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  <w:tc>
          <w:tcPr>
            <w:tcW w:w="2410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180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</w:tr>
      <w:tr w:rsidR="003B733A" w:rsidRPr="00C21C89" w:rsidTr="00B15E69"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Февруари 2018г.</w:t>
            </w:r>
          </w:p>
        </w:tc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39 728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10 408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  <w:tc>
          <w:tcPr>
            <w:tcW w:w="2410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313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</w:tr>
      <w:tr w:rsidR="003B733A" w:rsidRPr="00C21C89" w:rsidTr="00B15E69"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Март 2018г.</w:t>
            </w:r>
          </w:p>
        </w:tc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41 882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10 052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  <w:tc>
          <w:tcPr>
            <w:tcW w:w="2410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270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</w:tr>
      <w:tr w:rsidR="003B733A" w:rsidRPr="00C21C89" w:rsidTr="00B15E69"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Април 2018г.</w:t>
            </w:r>
          </w:p>
        </w:tc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38 158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10 869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  <w:tc>
          <w:tcPr>
            <w:tcW w:w="2410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187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</w:tr>
      <w:tr w:rsidR="003B733A" w:rsidRPr="00C21C89" w:rsidTr="00B15E69"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Май 2018г.</w:t>
            </w:r>
          </w:p>
        </w:tc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38 252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6</w:t>
            </w:r>
            <w:r w:rsidRPr="00C21C89">
              <w:rPr>
                <w:rFonts w:ascii="Times New Roman" w:hAnsi="Times New Roman"/>
              </w:rPr>
              <w:t xml:space="preserve"> </w:t>
            </w:r>
            <w:r w:rsidRPr="00C21C89">
              <w:rPr>
                <w:rFonts w:ascii="Times New Roman" w:hAnsi="Times New Roman"/>
                <w:lang w:val="bg-BG"/>
              </w:rPr>
              <w:t>002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  <w:tc>
          <w:tcPr>
            <w:tcW w:w="2410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</w:rPr>
              <w:t>12 kWh</w:t>
            </w:r>
          </w:p>
        </w:tc>
      </w:tr>
      <w:tr w:rsidR="003B733A" w:rsidRPr="00C21C89" w:rsidTr="00B15E69"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Юни 2018г.</w:t>
            </w:r>
          </w:p>
        </w:tc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</w:rPr>
              <w:t>38 777 kWh</w:t>
            </w:r>
          </w:p>
        </w:tc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</w:rPr>
              <w:t>7 497 kWh</w:t>
            </w:r>
          </w:p>
        </w:tc>
        <w:tc>
          <w:tcPr>
            <w:tcW w:w="2410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</w:rPr>
              <w:t>11 kWh</w:t>
            </w:r>
          </w:p>
        </w:tc>
      </w:tr>
      <w:tr w:rsidR="003B733A" w:rsidRPr="00C21C89" w:rsidTr="00B15E69"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Юли 2018г.</w:t>
            </w:r>
          </w:p>
        </w:tc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</w:rPr>
              <w:t>39 916 kWh</w:t>
            </w:r>
          </w:p>
        </w:tc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</w:rPr>
              <w:t>8 716 kWh</w:t>
            </w:r>
          </w:p>
        </w:tc>
        <w:tc>
          <w:tcPr>
            <w:tcW w:w="2410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</w:rPr>
              <w:t>16 kWh</w:t>
            </w:r>
          </w:p>
        </w:tc>
      </w:tr>
      <w:tr w:rsidR="003B733A" w:rsidRPr="00C21C89" w:rsidTr="00B15E69"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Август 2018г.</w:t>
            </w:r>
          </w:p>
        </w:tc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</w:rPr>
              <w:t>33 532 kWh</w:t>
            </w:r>
          </w:p>
        </w:tc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</w:rPr>
              <w:t>8 054 kWh</w:t>
            </w:r>
          </w:p>
        </w:tc>
        <w:tc>
          <w:tcPr>
            <w:tcW w:w="2410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</w:rPr>
              <w:t>11 kWh</w:t>
            </w:r>
          </w:p>
        </w:tc>
      </w:tr>
      <w:tr w:rsidR="003B733A" w:rsidRPr="00C21C89" w:rsidTr="00B15E69"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C21C89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Общо за </w:t>
            </w:r>
            <w:r w:rsidRPr="00C21C89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Pr="00C21C89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месеца</w:t>
            </w:r>
          </w:p>
        </w:tc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</w:rPr>
            </w:pPr>
            <w:r w:rsidRPr="00C21C89">
              <w:rPr>
                <w:rFonts w:ascii="Times New Roman" w:hAnsi="Times New Roman"/>
                <w:b/>
              </w:rPr>
              <w:t>468 993 kWh</w:t>
            </w:r>
          </w:p>
        </w:tc>
        <w:tc>
          <w:tcPr>
            <w:tcW w:w="2268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</w:rPr>
            </w:pPr>
            <w:r w:rsidRPr="00C21C89">
              <w:rPr>
                <w:rFonts w:ascii="Times New Roman" w:hAnsi="Times New Roman"/>
                <w:b/>
              </w:rPr>
              <w:t>109 804 kWh</w:t>
            </w:r>
          </w:p>
        </w:tc>
        <w:tc>
          <w:tcPr>
            <w:tcW w:w="2410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b/>
              </w:rPr>
              <w:t>1 366kWh</w:t>
            </w:r>
          </w:p>
        </w:tc>
      </w:tr>
    </w:tbl>
    <w:p w:rsidR="003B733A" w:rsidRPr="00C21C89" w:rsidRDefault="003B733A" w:rsidP="003B733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3B733A" w:rsidRPr="00C21C89" w:rsidRDefault="003B733A" w:rsidP="003B733A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0" w:firstLine="426"/>
        <w:contextualSpacing/>
        <w:jc w:val="both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lastRenderedPageBreak/>
        <w:t>Обособена позиция № 2 „Избор на доставчик на активна нетна електрическа енергия и координатор на балансираща група за средно напрежение на обекти на Министерство на околната среда и водите“</w:t>
      </w:r>
    </w:p>
    <w:p w:rsidR="003B733A" w:rsidRPr="00C21C89" w:rsidRDefault="003B733A" w:rsidP="003B733A">
      <w:pPr>
        <w:overflowPunct/>
        <w:autoSpaceDE/>
        <w:autoSpaceDN/>
        <w:adjustRightInd/>
        <w:spacing w:after="200" w:line="276" w:lineRule="auto"/>
        <w:ind w:left="360"/>
        <w:contextualSpacing/>
        <w:jc w:val="both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</w:p>
    <w:p w:rsidR="003B733A" w:rsidRPr="00C21C89" w:rsidRDefault="003B733A" w:rsidP="003B733A">
      <w:pPr>
        <w:overflowPunct/>
        <w:autoSpaceDE/>
        <w:autoSpaceDN/>
        <w:adjustRightInd/>
        <w:spacing w:after="200" w:line="276" w:lineRule="auto"/>
        <w:ind w:firstLine="425"/>
        <w:contextualSpacing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2.1. 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Прогнозно количество за доставка на електрическа енергия – средно напрежение за срока на изпълнение на договора за </w:t>
      </w: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24 месеца е около: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235 594</w:t>
      </w:r>
      <w:r w:rsidRPr="00C21C89">
        <w:rPr>
          <w:rFonts w:ascii="Times New Roman" w:eastAsiaTheme="minorHAnsi" w:hAnsi="Times New Roman"/>
          <w:b/>
          <w:sz w:val="24"/>
          <w:szCs w:val="24"/>
        </w:rPr>
        <w:t xml:space="preserve"> kWh- /5%/ - 247 373</w:t>
      </w:r>
    </w:p>
    <w:p w:rsidR="003B733A" w:rsidRPr="00C21C89" w:rsidRDefault="003B733A" w:rsidP="003B733A">
      <w:pPr>
        <w:overflowPunct/>
        <w:autoSpaceDE/>
        <w:autoSpaceDN/>
        <w:adjustRightInd/>
        <w:spacing w:after="200" w:line="276" w:lineRule="auto"/>
        <w:ind w:firstLine="425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2.</w:t>
      </w:r>
      <w:proofErr w:type="spellStart"/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2</w:t>
      </w:r>
      <w:proofErr w:type="spellEnd"/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. 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>Място на изпълнение на доставките: архивохранилище в гр. София, кв. Илиянци, НСФХ, бул. „Рожен“ № 1</w:t>
      </w:r>
    </w:p>
    <w:p w:rsidR="003B733A" w:rsidRPr="00C21C89" w:rsidRDefault="003B733A" w:rsidP="003B733A">
      <w:pPr>
        <w:overflowPunct/>
        <w:autoSpaceDE/>
        <w:autoSpaceDN/>
        <w:adjustRightInd/>
        <w:spacing w:after="200" w:line="276" w:lineRule="auto"/>
        <w:ind w:firstLine="425"/>
        <w:contextualSpacing/>
        <w:jc w:val="both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2.3. 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Консумирана електрическа енергия през предходни </w:t>
      </w:r>
      <w:r w:rsidRPr="00C21C89">
        <w:rPr>
          <w:rFonts w:ascii="Times New Roman" w:eastAsiaTheme="minorHAnsi" w:hAnsi="Times New Roman"/>
          <w:sz w:val="24"/>
          <w:szCs w:val="24"/>
        </w:rPr>
        <w:t>12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 месеца:</w:t>
      </w:r>
      <w:r w:rsidRPr="00C21C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C21C89">
        <w:rPr>
          <w:rFonts w:ascii="Times New Roman" w:eastAsiaTheme="minorHAnsi" w:hAnsi="Times New Roman"/>
          <w:b/>
          <w:sz w:val="24"/>
          <w:szCs w:val="24"/>
        </w:rPr>
        <w:t xml:space="preserve">117 797 </w:t>
      </w:r>
      <w:proofErr w:type="spellStart"/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kWh</w:t>
      </w:r>
      <w:proofErr w:type="spellEnd"/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 в това число по месеци:</w:t>
      </w: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  </w:t>
      </w:r>
    </w:p>
    <w:tbl>
      <w:tblPr>
        <w:tblStyle w:val="TableGrid3"/>
        <w:tblW w:w="9355" w:type="dxa"/>
        <w:tblInd w:w="392" w:type="dxa"/>
        <w:tblLook w:val="04A0" w:firstRow="1" w:lastRow="0" w:firstColumn="1" w:lastColumn="0" w:noHBand="0" w:noVBand="1"/>
      </w:tblPr>
      <w:tblGrid>
        <w:gridCol w:w="2126"/>
        <w:gridCol w:w="7229"/>
      </w:tblGrid>
      <w:tr w:rsidR="003B733A" w:rsidRPr="00C21C89" w:rsidTr="00B15E69"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Месец/Обект</w:t>
            </w:r>
          </w:p>
        </w:tc>
        <w:tc>
          <w:tcPr>
            <w:tcW w:w="7229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 xml:space="preserve">гр. София, Национално скално фондово хранилище, бул. „Рожен“ № 1 </w:t>
            </w:r>
          </w:p>
        </w:tc>
      </w:tr>
      <w:tr w:rsidR="003B733A" w:rsidRPr="00C21C89" w:rsidTr="00B15E69"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7229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lang w:val="bg-BG"/>
              </w:rPr>
            </w:pPr>
            <w:r w:rsidRPr="00C21C89">
              <w:rPr>
                <w:rFonts w:ascii="Times New Roman" w:hAnsi="Times New Roman"/>
                <w:b/>
                <w:lang w:val="bg-BG"/>
              </w:rPr>
              <w:t xml:space="preserve">Изразходвани </w:t>
            </w:r>
            <w:r w:rsidRPr="00C21C89">
              <w:rPr>
                <w:rFonts w:ascii="Times New Roman" w:hAnsi="Times New Roman"/>
                <w:b/>
              </w:rPr>
              <w:t>kWh</w:t>
            </w:r>
          </w:p>
        </w:tc>
      </w:tr>
      <w:tr w:rsidR="003B733A" w:rsidRPr="00C21C89" w:rsidTr="00B15E69"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Септември 2017г.</w:t>
            </w:r>
          </w:p>
        </w:tc>
        <w:tc>
          <w:tcPr>
            <w:tcW w:w="7229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7</w:t>
            </w:r>
            <w:r w:rsidRPr="00C21C89">
              <w:rPr>
                <w:rFonts w:ascii="Times New Roman" w:hAnsi="Times New Roman"/>
              </w:rPr>
              <w:t xml:space="preserve"> </w:t>
            </w:r>
            <w:r w:rsidRPr="00C21C89">
              <w:rPr>
                <w:rFonts w:ascii="Times New Roman" w:hAnsi="Times New Roman"/>
                <w:lang w:val="bg-BG"/>
              </w:rPr>
              <w:t>421</w:t>
            </w:r>
            <w:r w:rsidRPr="00C21C89">
              <w:rPr>
                <w:rFonts w:ascii="Times New Roman" w:hAnsi="Times New Roman"/>
              </w:rPr>
              <w:t xml:space="preserve"> kWh </w:t>
            </w:r>
          </w:p>
        </w:tc>
      </w:tr>
      <w:tr w:rsidR="003B733A" w:rsidRPr="00C21C89" w:rsidTr="00B15E69"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Октомври 2017г.</w:t>
            </w:r>
          </w:p>
        </w:tc>
        <w:tc>
          <w:tcPr>
            <w:tcW w:w="7229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9</w:t>
            </w:r>
            <w:r w:rsidRPr="00C21C89">
              <w:rPr>
                <w:rFonts w:ascii="Times New Roman" w:hAnsi="Times New Roman"/>
              </w:rPr>
              <w:t xml:space="preserve"> </w:t>
            </w:r>
            <w:r w:rsidRPr="00C21C89">
              <w:rPr>
                <w:rFonts w:ascii="Times New Roman" w:hAnsi="Times New Roman"/>
                <w:lang w:val="bg-BG"/>
              </w:rPr>
              <w:t>097</w:t>
            </w:r>
            <w:r w:rsidRPr="00C21C89">
              <w:rPr>
                <w:rFonts w:ascii="Times New Roman" w:hAnsi="Times New Roman"/>
              </w:rPr>
              <w:t xml:space="preserve"> kWh </w:t>
            </w:r>
          </w:p>
        </w:tc>
      </w:tr>
      <w:tr w:rsidR="003B733A" w:rsidRPr="00C21C89" w:rsidTr="00B15E69"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Ноември 2017г.</w:t>
            </w:r>
          </w:p>
        </w:tc>
        <w:tc>
          <w:tcPr>
            <w:tcW w:w="7229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10 869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</w:tr>
      <w:tr w:rsidR="003B733A" w:rsidRPr="00C21C89" w:rsidTr="00B15E69"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Декември 2017г.</w:t>
            </w:r>
          </w:p>
        </w:tc>
        <w:tc>
          <w:tcPr>
            <w:tcW w:w="7229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12 847</w:t>
            </w:r>
            <w:r w:rsidRPr="00C21C89">
              <w:rPr>
                <w:rFonts w:ascii="Times New Roman" w:hAnsi="Times New Roman"/>
              </w:rPr>
              <w:t xml:space="preserve"> kWh </w:t>
            </w:r>
          </w:p>
        </w:tc>
      </w:tr>
      <w:tr w:rsidR="003B733A" w:rsidRPr="00C21C89" w:rsidTr="00B15E69"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Януари 2018г.</w:t>
            </w:r>
          </w:p>
        </w:tc>
        <w:tc>
          <w:tcPr>
            <w:tcW w:w="7229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13 104</w:t>
            </w:r>
            <w:r w:rsidRPr="00C21C89">
              <w:rPr>
                <w:rFonts w:ascii="Times New Roman" w:hAnsi="Times New Roman"/>
              </w:rPr>
              <w:t xml:space="preserve"> kWh </w:t>
            </w:r>
          </w:p>
        </w:tc>
      </w:tr>
      <w:tr w:rsidR="003B733A" w:rsidRPr="00C21C89" w:rsidTr="00B15E69"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Февруари 2018г.</w:t>
            </w:r>
          </w:p>
        </w:tc>
        <w:tc>
          <w:tcPr>
            <w:tcW w:w="7229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11 530</w:t>
            </w:r>
            <w:r w:rsidRPr="00C21C89">
              <w:rPr>
                <w:rFonts w:ascii="Times New Roman" w:hAnsi="Times New Roman"/>
              </w:rPr>
              <w:t xml:space="preserve"> kWh</w:t>
            </w:r>
          </w:p>
        </w:tc>
      </w:tr>
      <w:tr w:rsidR="003B733A" w:rsidRPr="00C21C89" w:rsidTr="00B15E69"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Март 2018г.</w:t>
            </w:r>
          </w:p>
        </w:tc>
        <w:tc>
          <w:tcPr>
            <w:tcW w:w="7229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12 186</w:t>
            </w:r>
            <w:r w:rsidRPr="00C21C89">
              <w:rPr>
                <w:rFonts w:ascii="Times New Roman" w:hAnsi="Times New Roman"/>
              </w:rPr>
              <w:t xml:space="preserve"> kWh </w:t>
            </w:r>
          </w:p>
        </w:tc>
      </w:tr>
      <w:tr w:rsidR="003B733A" w:rsidRPr="00C21C89" w:rsidTr="00B15E69"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Април 2018г.</w:t>
            </w:r>
          </w:p>
        </w:tc>
        <w:tc>
          <w:tcPr>
            <w:tcW w:w="7229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9 622</w:t>
            </w:r>
            <w:r w:rsidRPr="00C21C89">
              <w:rPr>
                <w:rFonts w:ascii="Times New Roman" w:hAnsi="Times New Roman"/>
              </w:rPr>
              <w:t xml:space="preserve"> kWh </w:t>
            </w:r>
          </w:p>
        </w:tc>
      </w:tr>
      <w:tr w:rsidR="003B733A" w:rsidRPr="00C21C89" w:rsidTr="00B15E69"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Май 2018г.</w:t>
            </w:r>
          </w:p>
        </w:tc>
        <w:tc>
          <w:tcPr>
            <w:tcW w:w="7229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  <w:lang w:val="bg-BG"/>
              </w:rPr>
              <w:t>8 082</w:t>
            </w:r>
            <w:r w:rsidRPr="00C21C89">
              <w:rPr>
                <w:rFonts w:ascii="Times New Roman" w:hAnsi="Times New Roman"/>
              </w:rPr>
              <w:t xml:space="preserve"> kWh </w:t>
            </w:r>
          </w:p>
        </w:tc>
      </w:tr>
      <w:tr w:rsidR="003B733A" w:rsidRPr="00C21C89" w:rsidTr="00B15E69"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Юни 2018г.</w:t>
            </w:r>
          </w:p>
        </w:tc>
        <w:tc>
          <w:tcPr>
            <w:tcW w:w="7229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</w:rPr>
              <w:t>7</w:t>
            </w:r>
            <w:r w:rsidRPr="00C21C89">
              <w:rPr>
                <w:rFonts w:ascii="Times New Roman" w:hAnsi="Times New Roman"/>
                <w:lang w:val="bg-BG"/>
              </w:rPr>
              <w:t> </w:t>
            </w:r>
            <w:r w:rsidRPr="00C21C89">
              <w:rPr>
                <w:rFonts w:ascii="Times New Roman" w:hAnsi="Times New Roman"/>
              </w:rPr>
              <w:t>441 kWh</w:t>
            </w:r>
            <w:r w:rsidRPr="00C21C89">
              <w:rPr>
                <w:rFonts w:ascii="Times New Roman" w:hAnsi="Times New Roman"/>
                <w:lang w:val="bg-BG"/>
              </w:rPr>
              <w:t xml:space="preserve"> </w:t>
            </w:r>
          </w:p>
        </w:tc>
      </w:tr>
      <w:tr w:rsidR="003B733A" w:rsidRPr="00C21C89" w:rsidTr="00B15E69"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Юли 2018г.</w:t>
            </w:r>
          </w:p>
        </w:tc>
        <w:tc>
          <w:tcPr>
            <w:tcW w:w="7229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</w:rPr>
              <w:t>7</w:t>
            </w:r>
            <w:r w:rsidRPr="00C21C89">
              <w:rPr>
                <w:rFonts w:ascii="Times New Roman" w:hAnsi="Times New Roman"/>
                <w:lang w:val="bg-BG"/>
              </w:rPr>
              <w:t xml:space="preserve"> </w:t>
            </w:r>
            <w:r w:rsidRPr="00C21C89">
              <w:rPr>
                <w:rFonts w:ascii="Times New Roman" w:hAnsi="Times New Roman"/>
              </w:rPr>
              <w:t>585 kWh</w:t>
            </w:r>
          </w:p>
        </w:tc>
      </w:tr>
      <w:tr w:rsidR="003B733A" w:rsidRPr="00C21C89" w:rsidTr="00B15E69"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C21C89">
              <w:rPr>
                <w:rFonts w:ascii="Times New Roman" w:hAnsi="Times New Roman"/>
                <w:lang w:val="bg-BG"/>
              </w:rPr>
              <w:t>Август 2018г.</w:t>
            </w:r>
          </w:p>
        </w:tc>
        <w:tc>
          <w:tcPr>
            <w:tcW w:w="7229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C21C89">
              <w:rPr>
                <w:rFonts w:ascii="Times New Roman" w:hAnsi="Times New Roman"/>
              </w:rPr>
              <w:t>8 013 kWh</w:t>
            </w:r>
          </w:p>
        </w:tc>
      </w:tr>
      <w:tr w:rsidR="003B733A" w:rsidRPr="00C21C89" w:rsidTr="00B15E69">
        <w:tc>
          <w:tcPr>
            <w:tcW w:w="2126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C21C89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Общо за </w:t>
            </w:r>
            <w:r w:rsidRPr="00C21C89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Pr="00C21C89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месеца</w:t>
            </w:r>
          </w:p>
        </w:tc>
        <w:tc>
          <w:tcPr>
            <w:tcW w:w="7229" w:type="dxa"/>
          </w:tcPr>
          <w:p w:rsidR="003B733A" w:rsidRPr="00C21C89" w:rsidRDefault="003B733A" w:rsidP="00B15E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</w:rPr>
            </w:pPr>
            <w:r w:rsidRPr="00C21C89">
              <w:rPr>
                <w:rFonts w:ascii="Times New Roman" w:hAnsi="Times New Roman"/>
                <w:b/>
              </w:rPr>
              <w:t>117 797 kWh</w:t>
            </w:r>
          </w:p>
        </w:tc>
      </w:tr>
    </w:tbl>
    <w:p w:rsidR="003B733A" w:rsidRPr="00C21C89" w:rsidRDefault="003B733A" w:rsidP="003B733A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3B733A" w:rsidRPr="00C21C89" w:rsidRDefault="003B733A" w:rsidP="003B733A">
      <w:pPr>
        <w:tabs>
          <w:tab w:val="left" w:pos="0"/>
        </w:tabs>
        <w:overflowPunct/>
        <w:autoSpaceDE/>
        <w:autoSpaceDN/>
        <w:adjustRightInd/>
        <w:spacing w:after="200" w:line="276" w:lineRule="auto"/>
        <w:ind w:firstLine="425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sz w:val="24"/>
          <w:szCs w:val="24"/>
          <w:lang w:val="bg-BG"/>
        </w:rPr>
        <w:tab/>
      </w: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2.4.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 Срок на поръчката – 24 месеца считано от датата на регистрация на първия </w:t>
      </w:r>
      <w:proofErr w:type="spellStart"/>
      <w:r w:rsidRPr="00C21C89">
        <w:rPr>
          <w:rFonts w:ascii="Times New Roman" w:eastAsiaTheme="minorHAnsi" w:hAnsi="Times New Roman"/>
          <w:sz w:val="24"/>
          <w:szCs w:val="24"/>
          <w:lang w:val="bg-BG"/>
        </w:rPr>
        <w:t>товаров</w:t>
      </w:r>
      <w:proofErr w:type="spellEnd"/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 график за доставка.</w:t>
      </w:r>
    </w:p>
    <w:p w:rsidR="003B733A" w:rsidRPr="00C21C89" w:rsidRDefault="003B733A" w:rsidP="003B733A">
      <w:pPr>
        <w:tabs>
          <w:tab w:val="left" w:pos="0"/>
        </w:tabs>
        <w:overflowPunct/>
        <w:autoSpaceDE/>
        <w:autoSpaceDN/>
        <w:adjustRightInd/>
        <w:spacing w:after="200" w:line="276" w:lineRule="auto"/>
        <w:ind w:firstLine="425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sz w:val="24"/>
          <w:szCs w:val="24"/>
          <w:lang w:val="bg-BG"/>
        </w:rPr>
        <w:tab/>
      </w: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2.5.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  Цената на електроенергията за срока на договора не подлежи на увеличение.</w:t>
      </w:r>
    </w:p>
    <w:p w:rsidR="003B733A" w:rsidRPr="00C21C89" w:rsidRDefault="003B733A" w:rsidP="003B733A">
      <w:pPr>
        <w:tabs>
          <w:tab w:val="left" w:pos="0"/>
        </w:tabs>
        <w:overflowPunct/>
        <w:autoSpaceDE/>
        <w:autoSpaceDN/>
        <w:adjustRightInd/>
        <w:spacing w:after="200" w:line="276" w:lineRule="auto"/>
        <w:ind w:firstLine="425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sz w:val="24"/>
          <w:szCs w:val="24"/>
          <w:lang w:val="bg-BG"/>
        </w:rPr>
        <w:tab/>
      </w: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2.6.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 Възложителят заплаща на изпълнителя по банков път дължимите суми в срок от </w:t>
      </w:r>
      <w:r w:rsidRPr="00C21C89">
        <w:rPr>
          <w:rFonts w:ascii="Times New Roman" w:eastAsiaTheme="minorHAnsi" w:hAnsi="Times New Roman"/>
          <w:sz w:val="24"/>
          <w:szCs w:val="24"/>
        </w:rPr>
        <w:t>2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>0 работни дни след получаване на фактурата.</w:t>
      </w:r>
    </w:p>
    <w:p w:rsidR="003B733A" w:rsidRPr="00C21C89" w:rsidRDefault="003B733A" w:rsidP="003B733A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overflowPunct/>
        <w:autoSpaceDE/>
        <w:autoSpaceDN/>
        <w:adjustRightInd/>
        <w:spacing w:after="200" w:line="276" w:lineRule="auto"/>
        <w:ind w:left="284" w:firstLine="426"/>
        <w:contextualSpacing/>
        <w:jc w:val="both"/>
        <w:textAlignment w:val="auto"/>
        <w:rPr>
          <w:rFonts w:ascii="Times New Roman" w:eastAsiaTheme="minorHAnsi" w:hAnsi="Times New Roman"/>
          <w:b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Изисквания към изпълнението на доставките на активна нетна електрическа енергия и по двете обособени позиции.</w:t>
      </w:r>
    </w:p>
    <w:p w:rsidR="003B733A" w:rsidRPr="00C21C89" w:rsidRDefault="003B733A" w:rsidP="003B733A">
      <w:pPr>
        <w:tabs>
          <w:tab w:val="left" w:pos="0"/>
        </w:tabs>
        <w:overflowPunct/>
        <w:autoSpaceDE/>
        <w:autoSpaceDN/>
        <w:adjustRightInd/>
        <w:spacing w:after="200" w:line="276" w:lineRule="auto"/>
        <w:ind w:firstLine="425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sz w:val="24"/>
          <w:szCs w:val="24"/>
          <w:lang w:val="bg-BG"/>
        </w:rPr>
        <w:t>Изпълнителят се задължава да доставя договореното количество активна нетна електрическа енергия в местото за доставка съгласно Правилата за търговия с електрическа енергия (ПТЕЕ) и техническите спецификации и изисквания на възложителя.</w:t>
      </w:r>
    </w:p>
    <w:p w:rsidR="003B733A" w:rsidRPr="00C21C89" w:rsidRDefault="003B733A" w:rsidP="003B733A">
      <w:pPr>
        <w:tabs>
          <w:tab w:val="left" w:pos="0"/>
        </w:tabs>
        <w:overflowPunct/>
        <w:autoSpaceDE/>
        <w:autoSpaceDN/>
        <w:adjustRightInd/>
        <w:spacing w:after="200" w:line="276" w:lineRule="auto"/>
        <w:ind w:firstLine="425"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sz w:val="24"/>
          <w:szCs w:val="24"/>
          <w:lang w:val="bg-BG"/>
        </w:rPr>
        <w:t>Изпълнителите в процедурата трябва да са лицензирани като търговец на електрическа енергия съгласно чл. 39, т. 13, във връзка с чл. 69 и чл. 69а от Закона за енергетиката (ЗЕ) и координатор на стандартна балансираща група.</w:t>
      </w:r>
    </w:p>
    <w:p w:rsidR="003B733A" w:rsidRPr="00C21C89" w:rsidRDefault="003B733A" w:rsidP="003B733A">
      <w:pPr>
        <w:tabs>
          <w:tab w:val="left" w:pos="0"/>
        </w:tabs>
        <w:overflowPunct/>
        <w:autoSpaceDE/>
        <w:autoSpaceDN/>
        <w:adjustRightInd/>
        <w:spacing w:after="200" w:line="276" w:lineRule="auto"/>
        <w:ind w:firstLine="425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3.1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>. Изпълнителят на доставките следва да изготви всички необходими документи и да осъществи пълната процедура за извеждане и регистрация на обектите на възложителя на свободния пазар на електроенергия.</w:t>
      </w:r>
    </w:p>
    <w:p w:rsidR="003B733A" w:rsidRPr="00C21C89" w:rsidRDefault="003B733A" w:rsidP="003B733A">
      <w:pPr>
        <w:tabs>
          <w:tab w:val="left" w:pos="0"/>
        </w:tabs>
        <w:overflowPunct/>
        <w:autoSpaceDE/>
        <w:autoSpaceDN/>
        <w:adjustRightInd/>
        <w:spacing w:after="200" w:line="276" w:lineRule="auto"/>
        <w:ind w:firstLine="425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lastRenderedPageBreak/>
        <w:t>3.2.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 Изпълнителят трябва да включи възложителя в своя стандартна балансираща група, на която е координатор, без възложителят да заплаща такса за регистрация и участие.</w:t>
      </w:r>
    </w:p>
    <w:p w:rsidR="003B733A" w:rsidRPr="00C21C89" w:rsidRDefault="003B733A" w:rsidP="003B733A">
      <w:pPr>
        <w:tabs>
          <w:tab w:val="left" w:pos="0"/>
          <w:tab w:val="left" w:pos="851"/>
        </w:tabs>
        <w:overflowPunct/>
        <w:autoSpaceDE/>
        <w:autoSpaceDN/>
        <w:adjustRightInd/>
        <w:spacing w:after="200" w:line="276" w:lineRule="auto"/>
        <w:ind w:firstLine="425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3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>.</w:t>
      </w:r>
      <w:proofErr w:type="spellStart"/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3</w:t>
      </w:r>
      <w:proofErr w:type="spellEnd"/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.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 Изпълнителят следва да извършва прогнозиране на потреблението и да администрира графиците, които се известяват (регистрират) в Електроенергийния системен оператор (ЕСО), в които са отразени дневни нетни количества активна електрическа енергия на средно и ниско напрежение и обмена на информация с лицензираното Електроразпределително предприятие (ЕРП) и ЕОС на територията, на която се намира съответната измервателна точка.</w:t>
      </w:r>
    </w:p>
    <w:p w:rsidR="003B733A" w:rsidRPr="00C21C89" w:rsidRDefault="003B733A" w:rsidP="003B733A">
      <w:pPr>
        <w:tabs>
          <w:tab w:val="left" w:pos="0"/>
        </w:tabs>
        <w:overflowPunct/>
        <w:autoSpaceDE/>
        <w:autoSpaceDN/>
        <w:adjustRightInd/>
        <w:spacing w:after="200" w:line="276" w:lineRule="auto"/>
        <w:ind w:firstLine="425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3.4.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 Изпълнителят трябва да поеме за своя сметка разходите за балансиране както в групата, така и пред ЕСО, и да отговаря изцяло за небалансите.</w:t>
      </w:r>
    </w:p>
    <w:p w:rsidR="003B733A" w:rsidRPr="00C21C89" w:rsidRDefault="003B733A" w:rsidP="003B733A">
      <w:pPr>
        <w:tabs>
          <w:tab w:val="left" w:pos="0"/>
        </w:tabs>
        <w:overflowPunct/>
        <w:autoSpaceDE/>
        <w:autoSpaceDN/>
        <w:adjustRightInd/>
        <w:spacing w:after="200" w:line="276" w:lineRule="auto"/>
        <w:ind w:firstLine="425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3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>.</w:t>
      </w: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5.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 Изпълнителят се задължава да осигури на възложителя ефективно участие в балансираща група, без заплащане на такса за това участие.</w:t>
      </w:r>
    </w:p>
    <w:p w:rsidR="003B733A" w:rsidRPr="00C21C89" w:rsidRDefault="003B733A" w:rsidP="003B733A">
      <w:pPr>
        <w:tabs>
          <w:tab w:val="left" w:pos="0"/>
        </w:tabs>
        <w:overflowPunct/>
        <w:autoSpaceDE/>
        <w:autoSpaceDN/>
        <w:adjustRightInd/>
        <w:spacing w:after="200" w:line="276" w:lineRule="auto"/>
        <w:ind w:firstLine="425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3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>.</w:t>
      </w: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6.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 Изпълнителят следва да осигурява непрекъснатост на електроснабдяването и да доставя електрическа енергия с качество и по ред съгласно предвиденото в Закона за енергетиката (ЗЕ), Правилата за търговия с електрическа енергия (ПТЕЕ) и Правилата за измерване на количествата електрическа енергия (ПИКЕЕ).</w:t>
      </w:r>
    </w:p>
    <w:p w:rsidR="003B733A" w:rsidRPr="00C21C89" w:rsidRDefault="003B733A" w:rsidP="003B733A">
      <w:pPr>
        <w:tabs>
          <w:tab w:val="left" w:pos="0"/>
        </w:tabs>
        <w:overflowPunct/>
        <w:autoSpaceDE/>
        <w:autoSpaceDN/>
        <w:adjustRightInd/>
        <w:spacing w:after="200" w:line="276" w:lineRule="auto"/>
        <w:ind w:firstLine="425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3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>.</w:t>
      </w: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7.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 Изпълнителят се задължава в издаваните от него ежемесечни фактури за всеки обект на възложителя да посочва на отделен ред, изразходваната електрическа енергия (Н.</w:t>
      </w:r>
      <w:proofErr w:type="spellStart"/>
      <w:r w:rsidRPr="00C21C89">
        <w:rPr>
          <w:rFonts w:ascii="Times New Roman" w:eastAsiaTheme="minorHAnsi" w:hAnsi="Times New Roman"/>
          <w:sz w:val="24"/>
          <w:szCs w:val="24"/>
          <w:lang w:val="bg-BG"/>
        </w:rPr>
        <w:t>Н</w:t>
      </w:r>
      <w:proofErr w:type="spellEnd"/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. или Ср.Н.) за определения месец, отчетена по измервателни уреди на съответната измервателна точка, по определената в договора единична цена за един </w:t>
      </w:r>
      <w:proofErr w:type="spellStart"/>
      <w:r w:rsidRPr="00C21C89">
        <w:rPr>
          <w:rFonts w:ascii="Times New Roman" w:eastAsiaTheme="minorHAnsi" w:hAnsi="Times New Roman"/>
          <w:sz w:val="24"/>
          <w:szCs w:val="24"/>
          <w:lang w:val="bg-BG"/>
        </w:rPr>
        <w:t>МВтч</w:t>
      </w:r>
      <w:proofErr w:type="spellEnd"/>
      <w:r w:rsidRPr="00C21C89">
        <w:rPr>
          <w:rFonts w:ascii="Times New Roman" w:eastAsiaTheme="minorHAnsi" w:hAnsi="Times New Roman"/>
          <w:sz w:val="24"/>
          <w:szCs w:val="24"/>
          <w:lang w:val="bg-BG"/>
        </w:rPr>
        <w:t>. Както и съответните такси, нормативно определените разходи за пренос и достъп, акциз по чл. 20, ал. 2, т. 17 от ЗАДС и определената с решения ДКЕВР такса (цена) „задължения към обществото“, както и всички мрежови услуги с подробна разбивка съгласно чл. 20  съгласно Правилата за търговия с електрическа енергия (ПТЕЕ) и Правилата за измерване на количествата електрическа енергия (ПИКЕЕ).</w:t>
      </w:r>
    </w:p>
    <w:p w:rsidR="003B733A" w:rsidRDefault="003B733A" w:rsidP="003B733A">
      <w:pPr>
        <w:tabs>
          <w:tab w:val="left" w:pos="0"/>
        </w:tabs>
        <w:overflowPunct/>
        <w:autoSpaceDE/>
        <w:autoSpaceDN/>
        <w:adjustRightInd/>
        <w:spacing w:after="200" w:line="276" w:lineRule="auto"/>
        <w:ind w:firstLine="425"/>
        <w:jc w:val="both"/>
        <w:textAlignment w:val="auto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3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>.</w:t>
      </w: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8.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 Изпълнителят трябва да може да осигури цялото прогнозно количество електрическа енергия по съответната обособена позиция.</w:t>
      </w:r>
    </w:p>
    <w:p w:rsidR="003B733A" w:rsidRDefault="003B733A" w:rsidP="003B733A">
      <w:pPr>
        <w:tabs>
          <w:tab w:val="left" w:pos="0"/>
          <w:tab w:val="left" w:pos="709"/>
          <w:tab w:val="left" w:pos="993"/>
        </w:tabs>
        <w:overflowPunct/>
        <w:autoSpaceDE/>
        <w:adjustRightInd/>
        <w:ind w:firstLine="425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3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>.</w:t>
      </w:r>
      <w:r w:rsidRPr="00C21C89">
        <w:rPr>
          <w:rFonts w:ascii="Times New Roman" w:eastAsiaTheme="minorHAnsi" w:hAnsi="Times New Roman"/>
          <w:b/>
          <w:sz w:val="24"/>
          <w:szCs w:val="24"/>
          <w:lang w:val="bg-BG"/>
        </w:rPr>
        <w:t>9.</w:t>
      </w:r>
      <w:r w:rsidRPr="00C21C89">
        <w:rPr>
          <w:rFonts w:ascii="Times New Roman" w:eastAsiaTheme="minorHAnsi" w:hAnsi="Times New Roman"/>
          <w:sz w:val="24"/>
          <w:szCs w:val="24"/>
          <w:lang w:val="bg-BG"/>
        </w:rPr>
        <w:t xml:space="preserve"> Прогнозните количества електрическа енергия по съответната обособена позиция по никакъв начин не ангажират възложителя да ги усвои, както и по никакъв начин не ограничава потреблението на възложителя само в техните рамки.</w:t>
      </w:r>
    </w:p>
    <w:p w:rsidR="003B733A" w:rsidRDefault="003B733A" w:rsidP="003B733A">
      <w:pPr>
        <w:overflowPunct/>
        <w:ind w:firstLine="567"/>
        <w:jc w:val="both"/>
        <w:rPr>
          <w:rFonts w:ascii="Times New Roman" w:hAnsi="Times New Roman"/>
          <w:b/>
          <w:i/>
          <w:sz w:val="24"/>
          <w:szCs w:val="24"/>
          <w:lang w:val="bg-BG" w:eastAsia="bg-BG"/>
        </w:rPr>
      </w:pPr>
    </w:p>
    <w:p w:rsidR="003B733A" w:rsidRDefault="003B733A" w:rsidP="003B733A">
      <w:pPr>
        <w:overflowPunct/>
        <w:ind w:firstLine="567"/>
        <w:jc w:val="both"/>
        <w:rPr>
          <w:rFonts w:ascii="Times New Roman" w:hAnsi="Times New Roman"/>
          <w:b/>
          <w:i/>
          <w:sz w:val="24"/>
          <w:szCs w:val="24"/>
          <w:lang w:val="bg-BG" w:eastAsia="bg-BG"/>
        </w:rPr>
      </w:pPr>
    </w:p>
    <w:p w:rsidR="003B733A" w:rsidRDefault="003B733A" w:rsidP="003B733A">
      <w:pPr>
        <w:overflowPunct/>
        <w:ind w:firstLine="567"/>
        <w:jc w:val="both"/>
        <w:rPr>
          <w:rFonts w:ascii="Times New Roman" w:hAnsi="Times New Roman"/>
          <w:sz w:val="24"/>
          <w:szCs w:val="24"/>
          <w:lang w:val="bg-BG" w:eastAsia="bg-BG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val="en-AU" w:eastAsia="bg-BG"/>
        </w:rPr>
        <w:t>Забележка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AU" w:eastAsia="bg-BG"/>
        </w:rPr>
        <w:t>:</w:t>
      </w:r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</w:p>
    <w:p w:rsidR="003B733A" w:rsidRDefault="003B733A" w:rsidP="003B733A">
      <w:pPr>
        <w:overflowPunct/>
        <w:ind w:firstLine="567"/>
        <w:jc w:val="both"/>
        <w:rPr>
          <w:rFonts w:ascii="Times New Roman" w:hAnsi="Times New Roman"/>
          <w:sz w:val="24"/>
          <w:szCs w:val="24"/>
          <w:lang w:val="en-AU" w:eastAsia="bg-BG"/>
        </w:rPr>
      </w:pPr>
      <w:proofErr w:type="gramStart"/>
      <w:r>
        <w:rPr>
          <w:rFonts w:ascii="Times New Roman" w:hAnsi="Times New Roman"/>
          <w:sz w:val="24"/>
          <w:szCs w:val="24"/>
          <w:lang w:val="en-AU" w:eastAsia="bg-BG"/>
        </w:rPr>
        <w:t>●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Всяко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посочване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документацията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за обществената поръчка</w:t>
      </w:r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като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цяло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стандарт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спецификация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техническа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оценка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техническо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одобрение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технически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еталон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следва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да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чете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разбира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еквивалентно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>/и“.</w:t>
      </w:r>
      <w:proofErr w:type="gramEnd"/>
    </w:p>
    <w:p w:rsidR="003B733A" w:rsidRDefault="003B733A" w:rsidP="003B733A">
      <w:pPr>
        <w:overflowPunct/>
        <w:ind w:firstLine="567"/>
        <w:jc w:val="both"/>
        <w:rPr>
          <w:rFonts w:ascii="Times New Roman" w:hAnsi="Times New Roman"/>
          <w:sz w:val="24"/>
          <w:szCs w:val="24"/>
          <w:lang w:val="en-AU" w:eastAsia="bg-BG"/>
        </w:rPr>
      </w:pPr>
      <w:r>
        <w:rPr>
          <w:rFonts w:ascii="Times New Roman" w:hAnsi="Times New Roman"/>
          <w:sz w:val="24"/>
          <w:szCs w:val="24"/>
          <w:lang w:val="en-AU" w:eastAsia="bg-BG"/>
        </w:rPr>
        <w:lastRenderedPageBreak/>
        <w:t>●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Съдържащо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документацията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за обществената поръчка</w:t>
      </w:r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посочване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конкретен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модел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източник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специфичен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процес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който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характеризира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>оборудването</w:t>
      </w:r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услугите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предлагани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конкретен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потенциален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изпълнител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търговска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марка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патент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тип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конкретен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произход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производство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което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облагодетелства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елиминира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определени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лица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някои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продукти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следва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да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чете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разбира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еквивалентно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>/и“.</w:t>
      </w:r>
    </w:p>
    <w:p w:rsidR="003B733A" w:rsidRDefault="003B733A" w:rsidP="003B733A">
      <w:pPr>
        <w:overflowPunct/>
        <w:ind w:firstLine="567"/>
        <w:jc w:val="both"/>
        <w:rPr>
          <w:rFonts w:ascii="Times New Roman" w:hAnsi="Times New Roman"/>
          <w:sz w:val="24"/>
          <w:szCs w:val="24"/>
          <w:lang w:val="en-AU" w:eastAsia="bg-BG"/>
        </w:rPr>
      </w:pPr>
      <w:r>
        <w:rPr>
          <w:rFonts w:ascii="Times New Roman" w:hAnsi="Times New Roman"/>
          <w:sz w:val="24"/>
          <w:szCs w:val="24"/>
          <w:lang w:val="en-AU" w:eastAsia="bg-BG"/>
        </w:rPr>
        <w:t>●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Когато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>у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частник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офертата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предлага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еквивалентно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поставено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в </w:t>
      </w:r>
      <w:r>
        <w:rPr>
          <w:rFonts w:ascii="Times New Roman" w:hAnsi="Times New Roman"/>
          <w:sz w:val="24"/>
          <w:szCs w:val="24"/>
          <w:lang w:val="bg-BG" w:eastAsia="bg-BG"/>
        </w:rPr>
        <w:t>т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ехническ</w:t>
      </w:r>
      <w:r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спецификаци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>и</w:t>
      </w:r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изискване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за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стандарт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спецификация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техническа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оценка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техническо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одобрение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международни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стандарти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други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стандартизационни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документи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установени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европейски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органи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стандартизация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r>
        <w:rPr>
          <w:rFonts w:ascii="Times New Roman" w:hAnsi="Times New Roman"/>
          <w:sz w:val="24"/>
          <w:szCs w:val="24"/>
          <w:lang w:val="bg-BG" w:eastAsia="bg-BG"/>
        </w:rPr>
        <w:t>той</w:t>
      </w:r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трябва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да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докаже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своята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оферта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подходящи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средства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включително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чрез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протокол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изпитване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орган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за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оценяване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съответствието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сертификат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издаден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такъв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орган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че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предложеното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него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решение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удовлетворява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еквивалентен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начин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изискванията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определени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Техническата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спецификация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. </w:t>
      </w:r>
    </w:p>
    <w:p w:rsidR="003B733A" w:rsidRDefault="003B733A" w:rsidP="003B733A">
      <w:pPr>
        <w:overflowPunct/>
        <w:ind w:firstLine="567"/>
        <w:jc w:val="both"/>
        <w:rPr>
          <w:rFonts w:ascii="Times New Roman" w:hAnsi="Times New Roman"/>
          <w:sz w:val="24"/>
          <w:szCs w:val="24"/>
          <w:lang w:val="en-AU" w:eastAsia="bg-BG"/>
        </w:rPr>
      </w:pPr>
      <w:r>
        <w:rPr>
          <w:rFonts w:ascii="Times New Roman" w:hAnsi="Times New Roman"/>
          <w:sz w:val="24"/>
          <w:szCs w:val="24"/>
          <w:lang w:val="en-AU" w:eastAsia="bg-BG"/>
        </w:rPr>
        <w:t>●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Когато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>у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частник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офертата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предлага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еквивалентни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поставени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в </w:t>
      </w:r>
      <w:r>
        <w:rPr>
          <w:rFonts w:ascii="Times New Roman" w:hAnsi="Times New Roman"/>
          <w:sz w:val="24"/>
          <w:szCs w:val="24"/>
          <w:lang w:val="bg-BG" w:eastAsia="bg-BG"/>
        </w:rPr>
        <w:t>т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ехническ</w:t>
      </w:r>
      <w:r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спецификаци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>и</w:t>
      </w:r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работни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характеристики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функционални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изисквания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включително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екологичните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които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съответстват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български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стандарт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въвеждащ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европейски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стандарт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европейска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техническа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оценка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обща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техническа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спецификация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международен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стандарт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стандартизационен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документ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установен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европейски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орган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стандартизация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ако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участникът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докаже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своята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оферта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подходящи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средства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включително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чрез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протокол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изпитване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от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орган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за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оценяване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съответствието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сертификат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издаден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такъв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орган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че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предложен</w:t>
      </w:r>
      <w:r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него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стандартизационни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документи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отнасят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до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определените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възложителя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изисквания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за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работни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характеристики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функционални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изисквания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>.</w:t>
      </w:r>
    </w:p>
    <w:p w:rsidR="003B733A" w:rsidRDefault="003B733A" w:rsidP="003B733A">
      <w:pPr>
        <w:overflowPunct/>
        <w:ind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en-AU" w:eastAsia="bg-BG"/>
        </w:rPr>
        <w:t>●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Възложителят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ще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приема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други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подходящи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доказателства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когато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>у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частникът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независещи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него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причини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няма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възможност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да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осигури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сертификатите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протоколите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изпитване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няма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възможност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да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ги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получи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съответните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срокове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при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условие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че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участникът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докаже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че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услугите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отговарят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изискванията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или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критериите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свързани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изпълнението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AU" w:eastAsia="bg-BG"/>
        </w:rPr>
        <w:t>поръчката</w:t>
      </w:r>
      <w:proofErr w:type="spellEnd"/>
      <w:r>
        <w:rPr>
          <w:rFonts w:ascii="Times New Roman" w:hAnsi="Times New Roman"/>
          <w:sz w:val="24"/>
          <w:szCs w:val="24"/>
          <w:lang w:val="en-AU" w:eastAsia="bg-BG"/>
        </w:rPr>
        <w:t>.</w:t>
      </w:r>
    </w:p>
    <w:p w:rsidR="00990517" w:rsidRDefault="00990517"/>
    <w:sectPr w:rsidR="009905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3A" w:rsidRDefault="003B733A" w:rsidP="003B733A">
      <w:r>
        <w:separator/>
      </w:r>
    </w:p>
  </w:endnote>
  <w:endnote w:type="continuationSeparator" w:id="0">
    <w:p w:rsidR="003B733A" w:rsidRDefault="003B733A" w:rsidP="003B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33A" w:rsidRDefault="003B73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-1633559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733A" w:rsidRDefault="003B733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733A" w:rsidRDefault="003B73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33A" w:rsidRDefault="003B73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3A" w:rsidRDefault="003B733A" w:rsidP="003B733A">
      <w:r>
        <w:separator/>
      </w:r>
    </w:p>
  </w:footnote>
  <w:footnote w:type="continuationSeparator" w:id="0">
    <w:p w:rsidR="003B733A" w:rsidRDefault="003B733A" w:rsidP="003B7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33A" w:rsidRDefault="003B73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33A" w:rsidRPr="003B733A" w:rsidRDefault="003B733A" w:rsidP="003B733A">
    <w:pPr>
      <w:pStyle w:val="Header"/>
      <w:jc w:val="right"/>
      <w:rPr>
        <w:lang w:val="bg-BG"/>
      </w:rPr>
    </w:pPr>
    <w:r>
      <w:rPr>
        <w:lang w:val="bg-BG"/>
      </w:rPr>
      <w:t>Приложение № 1 към договор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33A" w:rsidRDefault="003B73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1A1"/>
    <w:multiLevelType w:val="hybridMultilevel"/>
    <w:tmpl w:val="4AB0D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C309C"/>
    <w:multiLevelType w:val="multilevel"/>
    <w:tmpl w:val="9FE48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60"/>
    <w:rsid w:val="00164760"/>
    <w:rsid w:val="003B733A"/>
    <w:rsid w:val="0065518D"/>
    <w:rsid w:val="00990517"/>
    <w:rsid w:val="00B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3B733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B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3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33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73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33A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3B733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B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3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33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73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33A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1287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Lazarina Angelova</dc:creator>
  <cp:keywords/>
  <dc:description/>
  <cp:lastModifiedBy>Lazarina Angelova</cp:lastModifiedBy>
  <cp:revision>2</cp:revision>
  <dcterms:created xsi:type="dcterms:W3CDTF">2019-05-29T13:38:00Z</dcterms:created>
  <dcterms:modified xsi:type="dcterms:W3CDTF">2019-05-29T13:40:00Z</dcterms:modified>
</cp:coreProperties>
</file>