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B" w:rsidRPr="00BE1AFB" w:rsidRDefault="002217E8" w:rsidP="00BE1AF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„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Предоставяне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услуги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осигуряване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експертни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лица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управлението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ОП</w:t>
            </w: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>О</w:t>
            </w:r>
            <w:proofErr w:type="spellStart"/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>колна</w:t>
            </w:r>
            <w:proofErr w:type="spellEnd"/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среда</w:t>
            </w:r>
            <w:r w:rsidRPr="002217E8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>2014 -2020г.“  (ОПОС)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Default="003E7358" w:rsidP="00147F4A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>
        <w:rPr>
          <w:rFonts w:eastAsia="Times New Roman"/>
          <w:lang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>
        <w:rPr>
          <w:rFonts w:eastAsia="Times New Roman"/>
          <w:lang w:eastAsia="en-US"/>
        </w:rPr>
        <w:t xml:space="preserve"> </w:t>
      </w:r>
      <w:r w:rsidR="00E62D81" w:rsidRPr="00F46994">
        <w:rPr>
          <w:color w:val="000000"/>
        </w:rPr>
        <w:t>в съответствие с техническото ни предложение</w:t>
      </w:r>
      <w:r w:rsidR="00E62D81">
        <w:t>, както следва:</w:t>
      </w:r>
    </w:p>
    <w:p w:rsidR="00FD3B27" w:rsidRDefault="00FD3B27" w:rsidP="00147F4A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 xml:space="preserve">та </w:t>
      </w:r>
      <w:r w:rsidR="00542899" w:rsidRPr="00542899">
        <w:rPr>
          <w:b/>
          <w:bCs/>
          <w:lang w:eastAsia="en-US"/>
        </w:rPr>
        <w:t>цена за подбор и назначаване на 1 (едно) лице</w:t>
      </w:r>
      <w:r w:rsidR="00542899" w:rsidRPr="00FD3B27">
        <w:rPr>
          <w:lang w:val="ru-RU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="00AD0B40">
        <w:t xml:space="preserve">ДДС и съответно </w:t>
      </w:r>
      <w:r w:rsidR="00AD0B40" w:rsidRPr="00FD3B27">
        <w:rPr>
          <w:lang w:val="ru-RU"/>
        </w:rPr>
        <w:t>е</w:t>
      </w:r>
      <w:r w:rsidR="00AD0B40" w:rsidRPr="00FD3B27">
        <w:rPr>
          <w:lang w:val="en-US"/>
        </w:rPr>
        <w:t xml:space="preserve"> _________ л</w:t>
      </w:r>
      <w:r w:rsidR="00AD0B40" w:rsidRPr="00FD3B27">
        <w:t>в</w:t>
      </w:r>
      <w:r w:rsidR="00AD0B40" w:rsidRPr="00FD3B27">
        <w:rPr>
          <w:lang w:val="ru-RU"/>
        </w:rPr>
        <w:t xml:space="preserve"> (словом</w:t>
      </w:r>
      <w:r w:rsidR="00AD0B40" w:rsidRPr="00FD3B27">
        <w:rPr>
          <w:lang w:val="en-US"/>
        </w:rPr>
        <w:t>_________</w:t>
      </w:r>
      <w:r w:rsidR="00AD0B40" w:rsidRPr="00FD3B27">
        <w:rPr>
          <w:lang w:val="ru-RU"/>
        </w:rPr>
        <w:t xml:space="preserve">) </w:t>
      </w:r>
      <w:proofErr w:type="spellStart"/>
      <w:r w:rsidR="00AD0B40" w:rsidRPr="00FD3B27">
        <w:rPr>
          <w:lang w:val="en-US"/>
        </w:rPr>
        <w:t>лева</w:t>
      </w:r>
      <w:proofErr w:type="spellEnd"/>
      <w:r w:rsidR="00AD0B40" w:rsidRPr="00FD3B27">
        <w:rPr>
          <w:lang w:val="en-US"/>
        </w:rPr>
        <w:t xml:space="preserve"> </w:t>
      </w:r>
      <w:r w:rsidR="00AD0B40">
        <w:rPr>
          <w:lang w:val="ru-RU"/>
        </w:rPr>
        <w:t>с</w:t>
      </w:r>
      <w:r w:rsidR="00AD0B40" w:rsidRPr="00FD3B27">
        <w:rPr>
          <w:lang w:val="en-US"/>
        </w:rPr>
        <w:t xml:space="preserve"> </w:t>
      </w:r>
      <w:proofErr w:type="spellStart"/>
      <w:r w:rsidR="00AD0B40" w:rsidRPr="00FD3B27">
        <w:rPr>
          <w:lang w:val="en-US"/>
        </w:rPr>
        <w:t>включен</w:t>
      </w:r>
      <w:proofErr w:type="spellEnd"/>
      <w:r w:rsidR="00AD0B40" w:rsidRPr="00FD3B27">
        <w:rPr>
          <w:lang w:val="en-US"/>
        </w:rPr>
        <w:t xml:space="preserve"> </w:t>
      </w:r>
      <w:r w:rsidR="00AD0B40">
        <w:t>ДДС</w:t>
      </w:r>
      <w:r w:rsidR="00AD0B40">
        <w:t>.</w:t>
      </w:r>
      <w:proofErr w:type="gramEnd"/>
    </w:p>
    <w:p w:rsidR="00AD0B40" w:rsidRPr="00AD0B40" w:rsidRDefault="00FD3B27" w:rsidP="00AD0B40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 xml:space="preserve">та </w:t>
      </w:r>
      <w:r w:rsidR="00542899" w:rsidRPr="00542899">
        <w:rPr>
          <w:b/>
          <w:bCs/>
          <w:lang w:eastAsia="en-US"/>
        </w:rPr>
        <w:t>единична цена за администриране на трудово-правните взаимоот</w:t>
      </w:r>
      <w:r w:rsidR="00542899">
        <w:rPr>
          <w:b/>
          <w:bCs/>
          <w:lang w:eastAsia="en-US"/>
        </w:rPr>
        <w:softHyphen/>
      </w:r>
      <w:r w:rsidR="00542899" w:rsidRPr="00542899">
        <w:rPr>
          <w:b/>
          <w:bCs/>
          <w:lang w:eastAsia="en-US"/>
        </w:rPr>
        <w:t>ношения с наетите на трудов договор лица за 1 (едно) лице на месец</w:t>
      </w:r>
      <w:r w:rsidR="00542899" w:rsidRPr="00FD3B27">
        <w:rPr>
          <w:lang w:val="ru-RU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="00AD0B40">
        <w:rPr>
          <w:lang w:val="ru-RU"/>
        </w:rPr>
        <w:t>без</w:t>
      </w:r>
      <w:bookmarkStart w:id="0" w:name="_GoBack"/>
      <w:bookmarkEnd w:id="0"/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="00AD0B40">
        <w:t xml:space="preserve">ДДС </w:t>
      </w:r>
      <w:r w:rsidR="00AD0B40" w:rsidRPr="00AD0B40">
        <w:t xml:space="preserve">и съответно </w:t>
      </w:r>
      <w:r w:rsidR="00AD0B40" w:rsidRPr="00AD0B40">
        <w:rPr>
          <w:lang w:val="ru-RU"/>
        </w:rPr>
        <w:t>е</w:t>
      </w:r>
      <w:r w:rsidR="00AD0B40" w:rsidRPr="00AD0B40">
        <w:rPr>
          <w:lang w:val="en-US"/>
        </w:rPr>
        <w:t xml:space="preserve"> _________ л</w:t>
      </w:r>
      <w:r w:rsidR="00AD0B40" w:rsidRPr="00AD0B40">
        <w:t>в</w:t>
      </w:r>
      <w:r w:rsidR="00AD0B40" w:rsidRPr="00AD0B40">
        <w:rPr>
          <w:lang w:val="ru-RU"/>
        </w:rPr>
        <w:t xml:space="preserve"> (словом</w:t>
      </w:r>
      <w:r w:rsidR="00AD0B40" w:rsidRPr="00AD0B40">
        <w:rPr>
          <w:lang w:val="en-US"/>
        </w:rPr>
        <w:t>_________</w:t>
      </w:r>
      <w:r w:rsidR="00AD0B40" w:rsidRPr="00AD0B40">
        <w:rPr>
          <w:lang w:val="ru-RU"/>
        </w:rPr>
        <w:t xml:space="preserve">) </w:t>
      </w:r>
      <w:proofErr w:type="spellStart"/>
      <w:r w:rsidR="00AD0B40" w:rsidRPr="00AD0B40">
        <w:rPr>
          <w:lang w:val="en-US"/>
        </w:rPr>
        <w:t>лева</w:t>
      </w:r>
      <w:proofErr w:type="spellEnd"/>
      <w:r w:rsidR="00AD0B40" w:rsidRPr="00AD0B40">
        <w:rPr>
          <w:lang w:val="en-US"/>
        </w:rPr>
        <w:t xml:space="preserve"> </w:t>
      </w:r>
      <w:r w:rsidR="00AD0B40" w:rsidRPr="00AD0B40">
        <w:rPr>
          <w:lang w:val="ru-RU"/>
        </w:rPr>
        <w:t>с</w:t>
      </w:r>
      <w:r w:rsidR="00AD0B40" w:rsidRPr="00AD0B40">
        <w:rPr>
          <w:lang w:val="en-US"/>
        </w:rPr>
        <w:t xml:space="preserve"> </w:t>
      </w:r>
      <w:proofErr w:type="spellStart"/>
      <w:r w:rsidR="00AD0B40" w:rsidRPr="00AD0B40">
        <w:rPr>
          <w:lang w:val="en-US"/>
        </w:rPr>
        <w:t>включен</w:t>
      </w:r>
      <w:proofErr w:type="spellEnd"/>
      <w:r w:rsidR="00AD0B40" w:rsidRPr="00AD0B40">
        <w:rPr>
          <w:lang w:val="en-US"/>
        </w:rPr>
        <w:t xml:space="preserve"> </w:t>
      </w:r>
      <w:r w:rsidR="00AD0B40" w:rsidRPr="00AD0B40">
        <w:t>ДДС.</w:t>
      </w:r>
      <w:proofErr w:type="gramEnd"/>
    </w:p>
    <w:p w:rsidR="00FD3B27" w:rsidRPr="00FD3B27" w:rsidRDefault="00FD3B27" w:rsidP="00147F4A">
      <w:pPr>
        <w:suppressAutoHyphens w:val="0"/>
        <w:spacing w:before="240"/>
        <w:jc w:val="both"/>
      </w:pPr>
    </w:p>
    <w:p w:rsidR="00306A22" w:rsidRDefault="00306A22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353D23" w:rsidRPr="00353D23" w:rsidRDefault="00353D23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5536C2" w:rsidRPr="00F32495" w:rsidRDefault="005536C2" w:rsidP="00F07354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716A86" w:rsidRPr="00F32495" w:rsidRDefault="00FD3B27" w:rsidP="00716A86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>1</w:t>
      </w:r>
      <w:r w:rsidR="00716A86" w:rsidRPr="00F32495">
        <w:rPr>
          <w:rFonts w:eastAsia="Calibri"/>
          <w:noProof/>
          <w:sz w:val="22"/>
          <w:szCs w:val="22"/>
          <w:lang w:eastAsia="bg-BG"/>
        </w:rPr>
        <w:t xml:space="preserve">) </w:t>
      </w:r>
      <w:r w:rsidR="00F74E7F"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E90C25"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="00C1362B"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="00C1362B" w:rsidRPr="00F32495">
        <w:rPr>
          <w:bCs/>
          <w:sz w:val="22"/>
          <w:szCs w:val="22"/>
        </w:rPr>
        <w:t xml:space="preserve"> </w:t>
      </w:r>
      <w:r w:rsidR="00E90C25" w:rsidRPr="00F32495">
        <w:rPr>
          <w:bCs/>
          <w:sz w:val="22"/>
          <w:szCs w:val="22"/>
        </w:rPr>
        <w:t>без включен ДДС с думи и цифри.</w:t>
      </w:r>
    </w:p>
    <w:p w:rsidR="00E90C25" w:rsidRPr="00F32495" w:rsidRDefault="00FD3B27" w:rsidP="00716A86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>2</w:t>
      </w:r>
      <w:r w:rsidR="00716A86" w:rsidRPr="00F32495">
        <w:rPr>
          <w:sz w:val="22"/>
          <w:szCs w:val="22"/>
        </w:rPr>
        <w:t xml:space="preserve">) </w:t>
      </w:r>
      <w:r w:rsidR="00E90C25"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F32495">
        <w:rPr>
          <w:sz w:val="22"/>
          <w:szCs w:val="22"/>
          <w:lang w:val="ru-RU" w:eastAsia="bg-BG"/>
        </w:rPr>
        <w:t xml:space="preserve">.  </w:t>
      </w:r>
    </w:p>
    <w:p w:rsidR="00B21D4F" w:rsidRDefault="002C17CD" w:rsidP="00B21D4F">
      <w:pPr>
        <w:suppressAutoHyphens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F32495">
        <w:rPr>
          <w:sz w:val="22"/>
          <w:szCs w:val="22"/>
          <w:lang w:val="ru-RU" w:eastAsia="bg-BG"/>
        </w:rPr>
        <w:t xml:space="preserve">3) </w:t>
      </w:r>
      <w:r w:rsidR="00B21D4F" w:rsidRPr="00B21D4F">
        <w:rPr>
          <w:rFonts w:eastAsia="Times New Roman"/>
          <w:sz w:val="22"/>
          <w:szCs w:val="22"/>
          <w:lang w:val="ru-RU" w:eastAsia="bg-BG"/>
        </w:rPr>
        <w:t>Общата прогнозна стойност на поръчката е 511 316.00 лв (петстотин и единадесет хиляди и триста и шестнадес</w:t>
      </w:r>
      <w:r w:rsidR="00B21D4F">
        <w:rPr>
          <w:rFonts w:eastAsia="Times New Roman"/>
          <w:sz w:val="22"/>
          <w:szCs w:val="22"/>
          <w:lang w:val="ru-RU" w:eastAsia="bg-BG"/>
        </w:rPr>
        <w:t>е</w:t>
      </w:r>
      <w:r w:rsidR="00B21D4F" w:rsidRPr="00B21D4F">
        <w:rPr>
          <w:rFonts w:eastAsia="Times New Roman"/>
          <w:sz w:val="22"/>
          <w:szCs w:val="22"/>
          <w:lang w:val="ru-RU" w:eastAsia="bg-BG"/>
        </w:rPr>
        <w:t>т лева) без включен ДДС. Общата прогнозна стойност е максимално допустимата стойност по договора.</w:t>
      </w:r>
    </w:p>
    <w:p w:rsidR="0091734F" w:rsidRPr="00B21D4F" w:rsidRDefault="0091734F" w:rsidP="00B21D4F">
      <w:pPr>
        <w:suppressAutoHyphens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</w:p>
    <w:p w:rsidR="00716A86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BD0A25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9902D9" w:rsidRDefault="00B21D4F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Посочените</w:t>
      </w:r>
      <w:r w:rsidR="00FD3B27">
        <w:rPr>
          <w:rFonts w:eastAsia="Times New Roman"/>
          <w:lang w:val="ru-RU" w:eastAsia="bg-BG"/>
        </w:rPr>
        <w:t xml:space="preserve"> от нас</w:t>
      </w:r>
      <w:r w:rsidR="00FB55BD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цени са окончателни и не подлежат</w:t>
      </w:r>
      <w:r w:rsidR="00E90C25" w:rsidRPr="00BD0A25">
        <w:rPr>
          <w:rFonts w:eastAsia="Times New Roman"/>
          <w:lang w:val="ru-RU" w:eastAsia="bg-BG"/>
        </w:rPr>
        <w:t xml:space="preserve">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="00E90C25"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Възложителят заплаща за възложена</w:t>
      </w:r>
      <w:r w:rsidR="00B21D4F">
        <w:rPr>
          <w:rFonts w:eastAsia="Times New Roman"/>
          <w:lang w:val="ru-RU" w:eastAsia="bg-BG"/>
        </w:rPr>
        <w:t>/заявена</w:t>
      </w:r>
      <w:r w:rsidRPr="009902D9">
        <w:rPr>
          <w:rFonts w:eastAsia="Times New Roman"/>
          <w:lang w:val="ru-RU" w:eastAsia="bg-BG"/>
        </w:rPr>
        <w:t xml:space="preserve"> и действително изпълнена и приета услуга;</w:t>
      </w:r>
    </w:p>
    <w:p w:rsidR="009902D9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 xml:space="preserve">Посочените от нас </w:t>
      </w:r>
      <w:r w:rsidR="006B1320" w:rsidRPr="009902D9">
        <w:rPr>
          <w:rFonts w:eastAsia="Times New Roman"/>
          <w:lang w:val="ru-RU" w:eastAsia="bg-BG"/>
        </w:rPr>
        <w:t>цени включват всички разходи за</w:t>
      </w:r>
      <w:r w:rsidRPr="009902D9">
        <w:rPr>
          <w:rFonts w:eastAsia="Times New Roman"/>
          <w:lang w:val="ru-RU" w:eastAsia="bg-BG"/>
        </w:rPr>
        <w:t xml:space="preserve"> изпъ</w:t>
      </w:r>
      <w:r w:rsidR="00BD0A25" w:rsidRPr="009902D9">
        <w:rPr>
          <w:rFonts w:eastAsia="Times New Roman"/>
          <w:lang w:val="ru-RU" w:eastAsia="bg-BG"/>
        </w:rPr>
        <w:t>лнение на предмета на поръчката</w:t>
      </w:r>
      <w:r w:rsidR="00C12378" w:rsidRPr="009902D9">
        <w:rPr>
          <w:rFonts w:eastAsia="Times New Roman"/>
          <w:lang w:eastAsia="bg-BG"/>
        </w:rPr>
        <w:t xml:space="preserve">. </w:t>
      </w:r>
    </w:p>
    <w:p w:rsidR="005442E9" w:rsidRPr="002F1ADE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</w:t>
      </w:r>
      <w:r w:rsidR="005442E9" w:rsidRPr="009902D9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>
        <w:rPr>
          <w:color w:val="000000"/>
        </w:rPr>
        <w:t xml:space="preserve"> </w:t>
      </w:r>
      <w:r w:rsidR="005442E9" w:rsidRPr="009902D9">
        <w:rPr>
          <w:color w:val="000000"/>
        </w:rPr>
        <w:t>цени.</w:t>
      </w:r>
    </w:p>
    <w:p w:rsidR="002F1ADE" w:rsidRPr="009902D9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91734F" w:rsidRDefault="00F07354" w:rsidP="0091734F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szCs w:val="22"/>
                <w:lang w:val="ru-RU" w:eastAsia="bg-BG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  <w:r w:rsidR="0091734F">
              <w:rPr>
                <w:rFonts w:eastAsia="Times New Roman"/>
                <w:sz w:val="22"/>
                <w:szCs w:val="22"/>
                <w:lang w:val="ru-RU" w:eastAsia="bg-BG"/>
              </w:rPr>
              <w:t xml:space="preserve"> </w:t>
            </w:r>
          </w:p>
          <w:p w:rsidR="00F07354" w:rsidRPr="0091734F" w:rsidRDefault="0091734F" w:rsidP="0091734F">
            <w:pPr>
              <w:suppressAutoHyphens w:val="0"/>
              <w:spacing w:before="60"/>
              <w:jc w:val="both"/>
              <w:rPr>
                <w:rFonts w:eastAsia="Times New Roman"/>
                <w:bCs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bCs/>
                <w:sz w:val="22"/>
                <w:szCs w:val="22"/>
                <w:lang w:eastAsia="bg-BG"/>
              </w:rPr>
              <w:t>Ценовото</w:t>
            </w:r>
            <w:r w:rsidRPr="0091734F">
              <w:rPr>
                <w:rFonts w:eastAsia="Times New Roman"/>
                <w:bCs/>
                <w:sz w:val="22"/>
                <w:szCs w:val="22"/>
                <w:lang w:eastAsia="bg-BG"/>
              </w:rPr>
              <w:t xml:space="preserve">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64" w:rsidRDefault="00A76964" w:rsidP="00C1362B">
      <w:r>
        <w:separator/>
      </w:r>
    </w:p>
  </w:endnote>
  <w:endnote w:type="continuationSeparator" w:id="0">
    <w:p w:rsidR="00A76964" w:rsidRDefault="00A76964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B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64" w:rsidRDefault="00A76964" w:rsidP="00C1362B">
      <w:r>
        <w:separator/>
      </w:r>
    </w:p>
  </w:footnote>
  <w:footnote w:type="continuationSeparator" w:id="0">
    <w:p w:rsidR="00A76964" w:rsidRDefault="00A76964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11B14"/>
    <w:rsid w:val="00420380"/>
    <w:rsid w:val="00420577"/>
    <w:rsid w:val="0048752F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0CC9"/>
    <w:rsid w:val="00651442"/>
    <w:rsid w:val="0065729A"/>
    <w:rsid w:val="00692EDA"/>
    <w:rsid w:val="006A2DCA"/>
    <w:rsid w:val="006B1320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76964"/>
    <w:rsid w:val="00AA0814"/>
    <w:rsid w:val="00AD0B40"/>
    <w:rsid w:val="00AE7E77"/>
    <w:rsid w:val="00AF5084"/>
    <w:rsid w:val="00B21D4F"/>
    <w:rsid w:val="00B25646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5A65-F5E0-4EC8-BD6A-E862CE94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22</cp:revision>
  <cp:lastPrinted>2016-05-17T05:03:00Z</cp:lastPrinted>
  <dcterms:created xsi:type="dcterms:W3CDTF">2017-10-02T14:41:00Z</dcterms:created>
  <dcterms:modified xsi:type="dcterms:W3CDTF">2018-03-13T15:27:00Z</dcterms:modified>
</cp:coreProperties>
</file>