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EA" w:rsidRDefault="00E72CEA" w:rsidP="00E72CEA">
      <w:pPr>
        <w:widowControl w:val="0"/>
        <w:tabs>
          <w:tab w:val="left" w:pos="993"/>
        </w:tabs>
        <w:autoSpaceDE w:val="0"/>
        <w:autoSpaceDN w:val="0"/>
        <w:adjustRightInd w:val="0"/>
        <w:spacing w:before="120"/>
        <w:jc w:val="center"/>
        <w:rPr>
          <w:b/>
          <w:szCs w:val="24"/>
          <w:lang w:eastAsia="bg-BG"/>
        </w:rPr>
      </w:pPr>
      <w:r w:rsidRPr="007D69B0">
        <w:rPr>
          <w:b/>
          <w:szCs w:val="24"/>
          <w:lang w:val="bg-BG" w:eastAsia="bg-BG"/>
        </w:rPr>
        <w:t>ТЕХНИЧЕСК</w:t>
      </w:r>
      <w:r>
        <w:rPr>
          <w:b/>
          <w:szCs w:val="24"/>
          <w:lang w:val="bg-BG" w:eastAsia="bg-BG"/>
        </w:rPr>
        <w:t>А</w:t>
      </w:r>
      <w:r w:rsidRPr="007D69B0">
        <w:rPr>
          <w:b/>
          <w:szCs w:val="24"/>
          <w:lang w:val="bg-BG" w:eastAsia="bg-BG"/>
        </w:rPr>
        <w:t xml:space="preserve"> СПЕЦИФИКАЦИ</w:t>
      </w:r>
      <w:r>
        <w:rPr>
          <w:b/>
          <w:szCs w:val="24"/>
          <w:lang w:val="bg-BG" w:eastAsia="bg-BG"/>
        </w:rPr>
        <w:t>Я</w:t>
      </w:r>
    </w:p>
    <w:p w:rsidR="00E72CEA" w:rsidRDefault="00E72CEA" w:rsidP="00E72CEA">
      <w:pPr>
        <w:widowControl w:val="0"/>
        <w:tabs>
          <w:tab w:val="left" w:pos="993"/>
        </w:tabs>
        <w:autoSpaceDE w:val="0"/>
        <w:autoSpaceDN w:val="0"/>
        <w:adjustRightInd w:val="0"/>
        <w:spacing w:before="120"/>
        <w:jc w:val="center"/>
        <w:rPr>
          <w:b/>
          <w:szCs w:val="24"/>
          <w:lang w:val="bg-BG" w:eastAsia="bg-BG"/>
        </w:rPr>
      </w:pPr>
      <w:r>
        <w:rPr>
          <w:b/>
          <w:szCs w:val="24"/>
          <w:lang w:val="bg-BG" w:eastAsia="bg-BG"/>
        </w:rPr>
        <w:t xml:space="preserve">към обществена поръчка с предмет: </w:t>
      </w:r>
    </w:p>
    <w:p w:rsidR="00E72CEA" w:rsidRPr="00E72CEA" w:rsidRDefault="00E72CEA" w:rsidP="00E72CEA">
      <w:pPr>
        <w:widowControl w:val="0"/>
        <w:tabs>
          <w:tab w:val="left" w:pos="993"/>
        </w:tabs>
        <w:autoSpaceDE w:val="0"/>
        <w:autoSpaceDN w:val="0"/>
        <w:adjustRightInd w:val="0"/>
        <w:spacing w:before="120"/>
        <w:jc w:val="center"/>
        <w:rPr>
          <w:b/>
          <w:szCs w:val="24"/>
          <w:lang w:val="bg-BG" w:eastAsia="bg-BG"/>
        </w:rPr>
      </w:pPr>
      <w:r w:rsidRPr="00E72CEA">
        <w:rPr>
          <w:b/>
          <w:bCs/>
          <w:szCs w:val="24"/>
          <w:lang w:eastAsia="bg-BG"/>
        </w:rPr>
        <w:t>„</w:t>
      </w:r>
      <w:proofErr w:type="spellStart"/>
      <w:r w:rsidRPr="00E72CEA">
        <w:rPr>
          <w:b/>
          <w:bCs/>
          <w:szCs w:val="24"/>
          <w:lang w:eastAsia="bg-BG"/>
        </w:rPr>
        <w:t>Актуализация</w:t>
      </w:r>
      <w:proofErr w:type="spellEnd"/>
      <w:r w:rsidRPr="00E72CEA">
        <w:rPr>
          <w:b/>
          <w:bCs/>
          <w:szCs w:val="24"/>
          <w:lang w:eastAsia="bg-BG"/>
        </w:rPr>
        <w:t xml:space="preserve"> </w:t>
      </w:r>
      <w:proofErr w:type="spellStart"/>
      <w:r w:rsidRPr="00E72CEA">
        <w:rPr>
          <w:b/>
          <w:bCs/>
          <w:szCs w:val="24"/>
          <w:lang w:eastAsia="bg-BG"/>
        </w:rPr>
        <w:t>на</w:t>
      </w:r>
      <w:proofErr w:type="spellEnd"/>
      <w:r w:rsidRPr="00E72CEA">
        <w:rPr>
          <w:b/>
          <w:bCs/>
          <w:szCs w:val="24"/>
          <w:lang w:eastAsia="bg-BG"/>
        </w:rPr>
        <w:t xml:space="preserve"> </w:t>
      </w:r>
      <w:proofErr w:type="spellStart"/>
      <w:r w:rsidRPr="00E72CEA">
        <w:rPr>
          <w:b/>
          <w:bCs/>
          <w:szCs w:val="24"/>
          <w:lang w:eastAsia="bg-BG"/>
        </w:rPr>
        <w:t>Национален</w:t>
      </w:r>
      <w:proofErr w:type="spellEnd"/>
      <w:r w:rsidRPr="00E72CEA">
        <w:rPr>
          <w:b/>
          <w:bCs/>
          <w:szCs w:val="24"/>
          <w:lang w:eastAsia="bg-BG"/>
        </w:rPr>
        <w:t xml:space="preserve"> </w:t>
      </w:r>
      <w:proofErr w:type="spellStart"/>
      <w:r w:rsidRPr="00E72CEA">
        <w:rPr>
          <w:b/>
          <w:bCs/>
          <w:szCs w:val="24"/>
          <w:lang w:eastAsia="bg-BG"/>
        </w:rPr>
        <w:t>план</w:t>
      </w:r>
      <w:proofErr w:type="spellEnd"/>
      <w:r w:rsidRPr="00E72CEA">
        <w:rPr>
          <w:b/>
          <w:bCs/>
          <w:szCs w:val="24"/>
          <w:lang w:eastAsia="bg-BG"/>
        </w:rPr>
        <w:t xml:space="preserve"> </w:t>
      </w:r>
      <w:proofErr w:type="spellStart"/>
      <w:r w:rsidRPr="00E72CEA">
        <w:rPr>
          <w:b/>
          <w:bCs/>
          <w:szCs w:val="24"/>
          <w:lang w:eastAsia="bg-BG"/>
        </w:rPr>
        <w:t>за</w:t>
      </w:r>
      <w:proofErr w:type="spellEnd"/>
      <w:r w:rsidRPr="00E72CEA">
        <w:rPr>
          <w:b/>
          <w:bCs/>
          <w:szCs w:val="24"/>
          <w:lang w:eastAsia="bg-BG"/>
        </w:rPr>
        <w:t xml:space="preserve"> </w:t>
      </w:r>
      <w:proofErr w:type="spellStart"/>
      <w:r w:rsidRPr="00E72CEA">
        <w:rPr>
          <w:b/>
          <w:bCs/>
          <w:szCs w:val="24"/>
          <w:lang w:eastAsia="bg-BG"/>
        </w:rPr>
        <w:t>действие</w:t>
      </w:r>
      <w:proofErr w:type="spellEnd"/>
      <w:r w:rsidRPr="00E72CEA">
        <w:rPr>
          <w:b/>
          <w:bCs/>
          <w:szCs w:val="24"/>
          <w:lang w:eastAsia="bg-BG"/>
        </w:rPr>
        <w:t xml:space="preserve"> </w:t>
      </w:r>
      <w:proofErr w:type="spellStart"/>
      <w:r w:rsidRPr="00E72CEA">
        <w:rPr>
          <w:b/>
          <w:bCs/>
          <w:szCs w:val="24"/>
          <w:lang w:eastAsia="bg-BG"/>
        </w:rPr>
        <w:t>по</w:t>
      </w:r>
      <w:proofErr w:type="spellEnd"/>
      <w:r w:rsidRPr="00E72CEA">
        <w:rPr>
          <w:b/>
          <w:bCs/>
          <w:szCs w:val="24"/>
          <w:lang w:eastAsia="bg-BG"/>
        </w:rPr>
        <w:t xml:space="preserve"> </w:t>
      </w:r>
      <w:proofErr w:type="spellStart"/>
      <w:r w:rsidRPr="00E72CEA">
        <w:rPr>
          <w:b/>
          <w:bCs/>
          <w:szCs w:val="24"/>
          <w:lang w:eastAsia="bg-BG"/>
        </w:rPr>
        <w:t>управление</w:t>
      </w:r>
      <w:proofErr w:type="spellEnd"/>
      <w:r w:rsidRPr="00E72CEA">
        <w:rPr>
          <w:b/>
          <w:bCs/>
          <w:szCs w:val="24"/>
          <w:lang w:eastAsia="bg-BG"/>
        </w:rPr>
        <w:t xml:space="preserve"> </w:t>
      </w:r>
      <w:proofErr w:type="spellStart"/>
      <w:r w:rsidRPr="00E72CEA">
        <w:rPr>
          <w:b/>
          <w:bCs/>
          <w:szCs w:val="24"/>
          <w:lang w:eastAsia="bg-BG"/>
        </w:rPr>
        <w:t>на</w:t>
      </w:r>
      <w:proofErr w:type="spellEnd"/>
      <w:r w:rsidRPr="00E72CEA">
        <w:rPr>
          <w:b/>
          <w:bCs/>
          <w:szCs w:val="24"/>
          <w:lang w:eastAsia="bg-BG"/>
        </w:rPr>
        <w:t xml:space="preserve"> </w:t>
      </w:r>
      <w:proofErr w:type="spellStart"/>
      <w:r w:rsidRPr="00E72CEA">
        <w:rPr>
          <w:b/>
          <w:bCs/>
          <w:szCs w:val="24"/>
          <w:lang w:eastAsia="bg-BG"/>
        </w:rPr>
        <w:t>устойчивите</w:t>
      </w:r>
      <w:proofErr w:type="spellEnd"/>
      <w:r w:rsidRPr="00E72CEA">
        <w:rPr>
          <w:b/>
          <w:bCs/>
          <w:szCs w:val="24"/>
          <w:lang w:eastAsia="bg-BG"/>
        </w:rPr>
        <w:t xml:space="preserve"> </w:t>
      </w:r>
      <w:proofErr w:type="spellStart"/>
      <w:r w:rsidRPr="00E72CEA">
        <w:rPr>
          <w:b/>
          <w:bCs/>
          <w:szCs w:val="24"/>
          <w:lang w:eastAsia="bg-BG"/>
        </w:rPr>
        <w:t>органични</w:t>
      </w:r>
      <w:proofErr w:type="spellEnd"/>
      <w:r w:rsidRPr="00E72CEA">
        <w:rPr>
          <w:b/>
          <w:bCs/>
          <w:szCs w:val="24"/>
          <w:lang w:eastAsia="bg-BG"/>
        </w:rPr>
        <w:t xml:space="preserve"> </w:t>
      </w:r>
      <w:proofErr w:type="spellStart"/>
      <w:r w:rsidRPr="00E72CEA">
        <w:rPr>
          <w:b/>
          <w:bCs/>
          <w:szCs w:val="24"/>
          <w:lang w:eastAsia="bg-BG"/>
        </w:rPr>
        <w:t>замърсители</w:t>
      </w:r>
      <w:proofErr w:type="spellEnd"/>
      <w:r w:rsidRPr="00E72CEA">
        <w:rPr>
          <w:b/>
          <w:bCs/>
          <w:szCs w:val="24"/>
          <w:lang w:eastAsia="bg-BG"/>
        </w:rPr>
        <w:t xml:space="preserve"> 2012-2020 г. (НПДУУОЗ) с </w:t>
      </w:r>
      <w:proofErr w:type="spellStart"/>
      <w:r w:rsidRPr="00E72CEA">
        <w:rPr>
          <w:b/>
          <w:bCs/>
          <w:szCs w:val="24"/>
          <w:lang w:eastAsia="bg-BG"/>
        </w:rPr>
        <w:t>включване</w:t>
      </w:r>
      <w:proofErr w:type="spellEnd"/>
      <w:r w:rsidRPr="00E72CEA">
        <w:rPr>
          <w:b/>
          <w:bCs/>
          <w:szCs w:val="24"/>
          <w:lang w:eastAsia="bg-BG"/>
        </w:rPr>
        <w:t xml:space="preserve"> </w:t>
      </w:r>
      <w:proofErr w:type="spellStart"/>
      <w:r w:rsidRPr="00E72CEA">
        <w:rPr>
          <w:b/>
          <w:bCs/>
          <w:szCs w:val="24"/>
          <w:lang w:eastAsia="bg-BG"/>
        </w:rPr>
        <w:t>на</w:t>
      </w:r>
      <w:proofErr w:type="spellEnd"/>
      <w:r w:rsidRPr="00E72CEA">
        <w:rPr>
          <w:b/>
          <w:bCs/>
          <w:szCs w:val="24"/>
          <w:lang w:eastAsia="bg-BG"/>
        </w:rPr>
        <w:t xml:space="preserve"> 6 </w:t>
      </w:r>
      <w:proofErr w:type="spellStart"/>
      <w:r w:rsidRPr="00E72CEA">
        <w:rPr>
          <w:b/>
          <w:bCs/>
          <w:szCs w:val="24"/>
          <w:lang w:eastAsia="bg-BG"/>
        </w:rPr>
        <w:t>нови</w:t>
      </w:r>
      <w:proofErr w:type="spellEnd"/>
      <w:r w:rsidRPr="00E72CEA">
        <w:rPr>
          <w:b/>
          <w:bCs/>
          <w:szCs w:val="24"/>
          <w:lang w:eastAsia="bg-BG"/>
        </w:rPr>
        <w:t xml:space="preserve"> УОЗ </w:t>
      </w:r>
      <w:proofErr w:type="spellStart"/>
      <w:r w:rsidRPr="00E72CEA">
        <w:rPr>
          <w:b/>
          <w:bCs/>
          <w:szCs w:val="24"/>
          <w:lang w:eastAsia="bg-BG"/>
        </w:rPr>
        <w:t>вещества</w:t>
      </w:r>
      <w:proofErr w:type="spellEnd"/>
      <w:r w:rsidRPr="00E72CEA">
        <w:rPr>
          <w:b/>
          <w:bCs/>
          <w:szCs w:val="24"/>
          <w:lang w:eastAsia="bg-BG"/>
        </w:rPr>
        <w:t xml:space="preserve"> в </w:t>
      </w:r>
      <w:proofErr w:type="spellStart"/>
      <w:r w:rsidRPr="00E72CEA">
        <w:rPr>
          <w:b/>
          <w:bCs/>
          <w:szCs w:val="24"/>
          <w:lang w:eastAsia="bg-BG"/>
        </w:rPr>
        <w:t>Регламент</w:t>
      </w:r>
      <w:proofErr w:type="spellEnd"/>
      <w:r w:rsidRPr="00E72CEA">
        <w:rPr>
          <w:b/>
          <w:bCs/>
          <w:szCs w:val="24"/>
          <w:lang w:eastAsia="bg-BG"/>
        </w:rPr>
        <w:t xml:space="preserve"> (ЕО) № 850/2004 и </w:t>
      </w:r>
      <w:proofErr w:type="spellStart"/>
      <w:r w:rsidRPr="00E72CEA">
        <w:rPr>
          <w:b/>
          <w:bCs/>
          <w:szCs w:val="24"/>
          <w:lang w:eastAsia="bg-BG"/>
        </w:rPr>
        <w:t>Стокхолмската</w:t>
      </w:r>
      <w:proofErr w:type="spellEnd"/>
      <w:r w:rsidRPr="00E72CEA">
        <w:rPr>
          <w:b/>
          <w:bCs/>
          <w:szCs w:val="24"/>
          <w:lang w:eastAsia="bg-BG"/>
        </w:rPr>
        <w:t xml:space="preserve"> </w:t>
      </w:r>
      <w:proofErr w:type="spellStart"/>
      <w:r w:rsidRPr="00E72CEA">
        <w:rPr>
          <w:b/>
          <w:bCs/>
          <w:szCs w:val="24"/>
          <w:lang w:eastAsia="bg-BG"/>
        </w:rPr>
        <w:t>конвенция</w:t>
      </w:r>
      <w:proofErr w:type="spellEnd"/>
      <w:r w:rsidRPr="00E72CEA">
        <w:rPr>
          <w:b/>
          <w:bCs/>
          <w:szCs w:val="24"/>
          <w:lang w:eastAsia="bg-BG"/>
        </w:rPr>
        <w:t xml:space="preserve"> в </w:t>
      </w:r>
      <w:proofErr w:type="spellStart"/>
      <w:r w:rsidRPr="00E72CEA">
        <w:rPr>
          <w:b/>
          <w:bCs/>
          <w:szCs w:val="24"/>
          <w:lang w:eastAsia="bg-BG"/>
        </w:rPr>
        <w:t>периода</w:t>
      </w:r>
      <w:proofErr w:type="spellEnd"/>
      <w:r w:rsidRPr="00E72CEA">
        <w:rPr>
          <w:b/>
          <w:bCs/>
          <w:szCs w:val="24"/>
          <w:lang w:eastAsia="bg-BG"/>
        </w:rPr>
        <w:t xml:space="preserve"> 2013 - 2017 г. и </w:t>
      </w:r>
      <w:proofErr w:type="spellStart"/>
      <w:r w:rsidRPr="00E72CEA">
        <w:rPr>
          <w:b/>
          <w:bCs/>
          <w:szCs w:val="24"/>
          <w:lang w:eastAsia="bg-BG"/>
        </w:rPr>
        <w:t>актуализация</w:t>
      </w:r>
      <w:proofErr w:type="spellEnd"/>
      <w:r w:rsidRPr="00E72CEA">
        <w:rPr>
          <w:b/>
          <w:bCs/>
          <w:szCs w:val="24"/>
          <w:lang w:eastAsia="bg-BG"/>
        </w:rPr>
        <w:t xml:space="preserve"> </w:t>
      </w:r>
      <w:proofErr w:type="spellStart"/>
      <w:r w:rsidRPr="00E72CEA">
        <w:rPr>
          <w:b/>
          <w:bCs/>
          <w:szCs w:val="24"/>
          <w:lang w:eastAsia="bg-BG"/>
        </w:rPr>
        <w:t>на</w:t>
      </w:r>
      <w:proofErr w:type="spellEnd"/>
      <w:r w:rsidRPr="00E72CEA">
        <w:rPr>
          <w:b/>
          <w:bCs/>
          <w:szCs w:val="24"/>
          <w:lang w:eastAsia="bg-BG"/>
        </w:rPr>
        <w:t xml:space="preserve"> </w:t>
      </w:r>
      <w:proofErr w:type="spellStart"/>
      <w:r w:rsidRPr="00E72CEA">
        <w:rPr>
          <w:b/>
          <w:bCs/>
          <w:szCs w:val="24"/>
          <w:lang w:eastAsia="bg-BG"/>
        </w:rPr>
        <w:t>състоянието</w:t>
      </w:r>
      <w:proofErr w:type="spellEnd"/>
      <w:r w:rsidRPr="00E72CEA">
        <w:rPr>
          <w:b/>
          <w:bCs/>
          <w:szCs w:val="24"/>
          <w:lang w:eastAsia="bg-BG"/>
        </w:rPr>
        <w:t xml:space="preserve"> </w:t>
      </w:r>
      <w:proofErr w:type="spellStart"/>
      <w:r w:rsidRPr="00E72CEA">
        <w:rPr>
          <w:b/>
          <w:bCs/>
          <w:szCs w:val="24"/>
          <w:lang w:eastAsia="bg-BG"/>
        </w:rPr>
        <w:t>на</w:t>
      </w:r>
      <w:proofErr w:type="spellEnd"/>
      <w:r w:rsidRPr="00E72CEA">
        <w:rPr>
          <w:b/>
          <w:bCs/>
          <w:szCs w:val="24"/>
          <w:lang w:eastAsia="bg-BG"/>
        </w:rPr>
        <w:t xml:space="preserve"> </w:t>
      </w:r>
      <w:proofErr w:type="spellStart"/>
      <w:r w:rsidRPr="00E72CEA">
        <w:rPr>
          <w:b/>
          <w:bCs/>
          <w:szCs w:val="24"/>
          <w:lang w:eastAsia="bg-BG"/>
        </w:rPr>
        <w:t>съществуващите</w:t>
      </w:r>
      <w:proofErr w:type="spellEnd"/>
      <w:r w:rsidRPr="00E72CEA">
        <w:rPr>
          <w:b/>
          <w:bCs/>
          <w:szCs w:val="24"/>
          <w:lang w:eastAsia="bg-BG"/>
        </w:rPr>
        <w:t xml:space="preserve"> 22 УОЗ </w:t>
      </w:r>
      <w:proofErr w:type="spellStart"/>
      <w:r w:rsidRPr="00E72CEA">
        <w:rPr>
          <w:b/>
          <w:bCs/>
          <w:szCs w:val="24"/>
          <w:lang w:eastAsia="bg-BG"/>
        </w:rPr>
        <w:t>вещества</w:t>
      </w:r>
      <w:proofErr w:type="spellEnd"/>
      <w:r w:rsidRPr="00E72CEA">
        <w:rPr>
          <w:b/>
          <w:bCs/>
          <w:szCs w:val="24"/>
          <w:lang w:eastAsia="bg-BG"/>
        </w:rPr>
        <w:t xml:space="preserve"> в </w:t>
      </w:r>
      <w:proofErr w:type="spellStart"/>
      <w:r w:rsidRPr="00E72CEA">
        <w:rPr>
          <w:b/>
          <w:bCs/>
          <w:szCs w:val="24"/>
          <w:lang w:eastAsia="bg-BG"/>
        </w:rPr>
        <w:t>Стокхолмската</w:t>
      </w:r>
      <w:proofErr w:type="spellEnd"/>
      <w:r w:rsidRPr="00E72CEA">
        <w:rPr>
          <w:b/>
          <w:bCs/>
          <w:szCs w:val="24"/>
          <w:lang w:eastAsia="bg-BG"/>
        </w:rPr>
        <w:t xml:space="preserve"> </w:t>
      </w:r>
      <w:proofErr w:type="spellStart"/>
      <w:r w:rsidRPr="00E72CEA">
        <w:rPr>
          <w:b/>
          <w:bCs/>
          <w:szCs w:val="24"/>
          <w:lang w:eastAsia="bg-BG"/>
        </w:rPr>
        <w:t>конвенция</w:t>
      </w:r>
      <w:proofErr w:type="spellEnd"/>
      <w:r w:rsidRPr="00E72CEA">
        <w:rPr>
          <w:b/>
          <w:bCs/>
          <w:szCs w:val="24"/>
          <w:lang w:eastAsia="bg-BG"/>
        </w:rPr>
        <w:t xml:space="preserve"> и </w:t>
      </w:r>
      <w:proofErr w:type="spellStart"/>
      <w:r w:rsidRPr="00E72CEA">
        <w:rPr>
          <w:b/>
          <w:bCs/>
          <w:szCs w:val="24"/>
          <w:lang w:eastAsia="bg-BG"/>
        </w:rPr>
        <w:t>Регламент</w:t>
      </w:r>
      <w:proofErr w:type="spellEnd"/>
      <w:r w:rsidRPr="00E72CEA">
        <w:rPr>
          <w:b/>
          <w:bCs/>
          <w:szCs w:val="24"/>
          <w:lang w:eastAsia="bg-BG"/>
        </w:rPr>
        <w:t xml:space="preserve"> (ЕО) 850/2004“</w:t>
      </w:r>
      <w:r w:rsidRPr="00E72CEA">
        <w:rPr>
          <w:b/>
          <w:szCs w:val="24"/>
          <w:lang w:eastAsia="bg-BG"/>
        </w:rPr>
        <w:t>.</w:t>
      </w:r>
    </w:p>
    <w:p w:rsidR="00E72CEA" w:rsidRPr="00E72CEA" w:rsidRDefault="00E72CEA" w:rsidP="00E72CEA">
      <w:pPr>
        <w:widowControl w:val="0"/>
        <w:tabs>
          <w:tab w:val="left" w:pos="993"/>
        </w:tabs>
        <w:autoSpaceDE w:val="0"/>
        <w:autoSpaceDN w:val="0"/>
        <w:adjustRightInd w:val="0"/>
        <w:spacing w:before="120"/>
        <w:jc w:val="center"/>
        <w:rPr>
          <w:b/>
          <w:szCs w:val="24"/>
          <w:lang w:eastAsia="bg-BG"/>
        </w:rPr>
      </w:pPr>
    </w:p>
    <w:p w:rsidR="00E72CEA" w:rsidRPr="00DE30C3" w:rsidRDefault="00E72CEA" w:rsidP="00E72CEA">
      <w:pPr>
        <w:keepNext/>
        <w:keepLines/>
        <w:numPr>
          <w:ilvl w:val="0"/>
          <w:numId w:val="13"/>
        </w:numPr>
        <w:spacing w:before="200" w:after="200"/>
        <w:ind w:left="284" w:hanging="284"/>
        <w:outlineLvl w:val="1"/>
        <w:rPr>
          <w:b/>
          <w:bCs/>
          <w:szCs w:val="26"/>
          <w:lang w:val="bg-BG" w:eastAsia="bg-BG"/>
        </w:rPr>
      </w:pPr>
      <w:bookmarkStart w:id="0" w:name="_Toc514320495"/>
      <w:r w:rsidRPr="00DE30C3">
        <w:rPr>
          <w:b/>
          <w:bCs/>
          <w:szCs w:val="26"/>
          <w:lang w:val="bg-BG" w:eastAsia="bg-BG"/>
        </w:rPr>
        <w:t>Обща информация</w:t>
      </w:r>
      <w:bookmarkEnd w:id="0"/>
      <w:r w:rsidRPr="00DE30C3">
        <w:rPr>
          <w:b/>
          <w:bCs/>
          <w:szCs w:val="26"/>
          <w:lang w:val="bg-BG" w:eastAsia="bg-BG"/>
        </w:rPr>
        <w:t xml:space="preserve"> </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През последните години употребата на химични вещества и значението на химическата индустрия значително се увеличават в световен мащаб. В резултат на това все повече и повече токсични вещества, включително и така наречените устойчиви органични замърсители (УОЗ) се изпускат в околната среда, представлявайки потенциална заплаха за здравето на хората и околната среда по цялата планета.</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Устойчивите органични замърсители представляват органични вещества, които притежават токсични свойства; запазват се продължително време в околната среда; натрупват се в биосферата; имат способност за трансграничен атмосферен пренос на далечни разстояния и отлагане; и с голяма вероятност могат да предизвикват значителни отрицателни последици за човешкото здраве или околната среда на близки и далечни разстояния от техните източници.</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Тази опасна комбинация от токсичност, устойчивост, подвижност и способност за пренос на далечни разстояния означава, че УОЗ буквално са разпространени по цялото земно кълбо, дори в екосистемите на Арктика, Антарктида и отдалечените Тихоокеански острови.</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 xml:space="preserve">Съзнавайки загрижеността за здравето на хората и околната среда и необходимостта от предприемане на глобални действия срещу въздействията на УОЗ, в гр. Стокхолм, Швеция на Конференция на </w:t>
      </w:r>
      <w:proofErr w:type="spellStart"/>
      <w:r w:rsidRPr="00DE30C3">
        <w:rPr>
          <w:rFonts w:eastAsia="Calibri"/>
          <w:szCs w:val="24"/>
          <w:lang w:val="bg-BG" w:eastAsia="bg-BG"/>
        </w:rPr>
        <w:t>пълномощниците</w:t>
      </w:r>
      <w:proofErr w:type="spellEnd"/>
      <w:r w:rsidRPr="00DE30C3">
        <w:rPr>
          <w:rFonts w:eastAsia="Calibri"/>
          <w:szCs w:val="24"/>
          <w:lang w:val="bg-BG" w:eastAsia="bg-BG"/>
        </w:rPr>
        <w:t xml:space="preserve"> на 22 май 2001г. е приета Стокхолмската конвенция за устойчивите органични замърсители (УОЗ) и на официална церемония на 23 май 2001г. е подписана от 92 държави и от Европейския съюз (ЕС) като регионална организация. Конвенцията остава отворена за подписване от 24 май 2001г. до 22 май 2002г., до когато е подписана от 152 държави. Конвенцията влиза в сила на 17 май 2004г., деветдесет (90) дни след депозиране на 50-я документ за ратифициране, приемане, одобряване или присъединяване.</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Стокхолмската конвенция е подписана от Р България на 23 май 2001г. и е ратифицирана със закон от Народното събрание на 30 септември 2004г. (</w:t>
      </w:r>
      <w:proofErr w:type="spellStart"/>
      <w:r w:rsidRPr="00DE30C3">
        <w:rPr>
          <w:rFonts w:eastAsia="Calibri"/>
          <w:szCs w:val="24"/>
          <w:lang w:val="bg-BG" w:eastAsia="bg-BG"/>
        </w:rPr>
        <w:t>обн</w:t>
      </w:r>
      <w:proofErr w:type="spellEnd"/>
      <w:r w:rsidRPr="00DE30C3">
        <w:rPr>
          <w:rFonts w:eastAsia="Calibri"/>
          <w:szCs w:val="24"/>
          <w:lang w:val="bg-BG" w:eastAsia="bg-BG"/>
        </w:rPr>
        <w:t>. в ДВ № 89/12.10.2004г.). Р България е Страна по Конвенцията от 20 март 2005г. Към април 2017г., общо 181 държави, включително 27 държави членки (ДЧ) на Европейския съюз (ЕС), са ратифицирали Конвенцията. Стратегическата цел на Стокхолмската конвенция е опазване здравето на хората и околната среда от УОЗ.</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Този международен договор изисква предприемането на глобални действия по отношение на включените към настоящия момент 28 УОЗ вещества, групирани в три категории: 15 пестицида, 12 индустриални химикала и 6 странични продукта, образувани и отделяни непреднамерено от антропогенни източници, като някои УОЗ са едновре</w:t>
      </w:r>
      <w:bookmarkStart w:id="1" w:name="_GoBack"/>
      <w:bookmarkEnd w:id="1"/>
      <w:r w:rsidRPr="00DE30C3">
        <w:rPr>
          <w:rFonts w:eastAsia="Calibri"/>
          <w:szCs w:val="24"/>
          <w:lang w:val="bg-BG" w:eastAsia="bg-BG"/>
        </w:rPr>
        <w:t xml:space="preserve">менно </w:t>
      </w:r>
      <w:r w:rsidRPr="00DE30C3">
        <w:rPr>
          <w:rFonts w:eastAsia="Calibri"/>
          <w:szCs w:val="24"/>
          <w:lang w:val="bg-BG" w:eastAsia="bg-BG"/>
        </w:rPr>
        <w:lastRenderedPageBreak/>
        <w:t xml:space="preserve">пестициди и индустриални химикали. Към първоначалните 12 УОЗ,  на четвъртата (СОР4), петата (СОР5), шестата (СОР6) и седмата (СОР7) срещи на Конференцията на страните  през 2009, 2011, 2013 и 2015г. (СОР) бяха включени общо 14 нови УОЗ, а на СОР8 през 2017г. – още 3 УОЗ вещества в приложения А, Б или В на конвенцията. </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 xml:space="preserve">В Приложение А и Б на Стокхолмската конвенция понастоящем са включени следните 26 преднамерено произвеждани УОЗ пестициди и индустриални химикали: </w:t>
      </w:r>
      <w:proofErr w:type="spellStart"/>
      <w:r w:rsidRPr="00DE30C3">
        <w:rPr>
          <w:rFonts w:eastAsia="Calibri"/>
          <w:szCs w:val="24"/>
          <w:lang w:val="bg-BG" w:eastAsia="bg-BG"/>
        </w:rPr>
        <w:t>алдрин</w:t>
      </w:r>
      <w:proofErr w:type="spellEnd"/>
      <w:r w:rsidRPr="00DE30C3">
        <w:rPr>
          <w:rFonts w:eastAsia="Calibri"/>
          <w:szCs w:val="24"/>
          <w:lang w:val="bg-BG" w:eastAsia="bg-BG"/>
        </w:rPr>
        <w:t xml:space="preserve">, алфа </w:t>
      </w:r>
      <w:proofErr w:type="spellStart"/>
      <w:r w:rsidRPr="00DE30C3">
        <w:rPr>
          <w:rFonts w:eastAsia="Calibri"/>
          <w:szCs w:val="24"/>
          <w:lang w:val="bg-BG" w:eastAsia="bg-BG"/>
        </w:rPr>
        <w:t>хексахлороциклохексан</w:t>
      </w:r>
      <w:proofErr w:type="spellEnd"/>
      <w:r w:rsidRPr="00DE30C3">
        <w:rPr>
          <w:rFonts w:eastAsia="Calibri"/>
          <w:szCs w:val="24"/>
          <w:lang w:val="bg-BG" w:eastAsia="bg-BG"/>
        </w:rPr>
        <w:t xml:space="preserve"> (α-HCH); </w:t>
      </w:r>
      <w:proofErr w:type="spellStart"/>
      <w:r w:rsidRPr="00DE30C3">
        <w:rPr>
          <w:rFonts w:eastAsia="Calibri"/>
          <w:szCs w:val="24"/>
          <w:lang w:val="bg-BG" w:eastAsia="bg-BG"/>
        </w:rPr>
        <w:t>бета</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хексахлороциклохексан</w:t>
      </w:r>
      <w:proofErr w:type="spellEnd"/>
      <w:r w:rsidRPr="00DE30C3">
        <w:rPr>
          <w:rFonts w:eastAsia="Calibri"/>
          <w:szCs w:val="24"/>
          <w:lang w:val="bg-BG" w:eastAsia="bg-BG"/>
        </w:rPr>
        <w:t xml:space="preserve"> (β-HCH); </w:t>
      </w:r>
      <w:proofErr w:type="spellStart"/>
      <w:r w:rsidRPr="00DE30C3">
        <w:rPr>
          <w:rFonts w:eastAsia="Calibri"/>
          <w:szCs w:val="24"/>
          <w:lang w:val="bg-BG" w:eastAsia="bg-BG"/>
        </w:rPr>
        <w:t>хлордан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хлордекон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диелдрин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ендрин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ендосулфан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хептахлор</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хексабромобифенил</w:t>
      </w:r>
      <w:proofErr w:type="spellEnd"/>
      <w:r w:rsidRPr="00DE30C3">
        <w:rPr>
          <w:rFonts w:eastAsia="Calibri"/>
          <w:szCs w:val="24"/>
          <w:lang w:val="bg-BG" w:eastAsia="bg-BG"/>
        </w:rPr>
        <w:t xml:space="preserve"> (HBB); </w:t>
      </w:r>
      <w:proofErr w:type="spellStart"/>
      <w:r w:rsidRPr="00DE30C3">
        <w:rPr>
          <w:rFonts w:eastAsia="Calibri"/>
          <w:szCs w:val="24"/>
          <w:lang w:val="bg-BG" w:eastAsia="bg-BG"/>
        </w:rPr>
        <w:t>хексабромодифенил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hexaBDE</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хептабромодифетил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hepta</w:t>
      </w:r>
      <w:proofErr w:type="spellEnd"/>
      <w:r w:rsidRPr="00DE30C3">
        <w:rPr>
          <w:rFonts w:eastAsia="Calibri"/>
          <w:szCs w:val="24"/>
          <w:lang w:val="bg-BG" w:eastAsia="bg-BG"/>
        </w:rPr>
        <w:t xml:space="preserve"> BDE)(търговски смеси на </w:t>
      </w:r>
      <w:proofErr w:type="spellStart"/>
      <w:r w:rsidRPr="00DE30C3">
        <w:rPr>
          <w:rFonts w:eastAsia="Calibri"/>
          <w:szCs w:val="24"/>
          <w:lang w:val="bg-BG" w:eastAsia="bg-BG"/>
        </w:rPr>
        <w:t>octaBDE</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хексахлорбензен</w:t>
      </w:r>
      <w:proofErr w:type="spellEnd"/>
      <w:r w:rsidRPr="00DE30C3">
        <w:rPr>
          <w:rFonts w:eastAsia="Calibri"/>
          <w:szCs w:val="24"/>
          <w:lang w:val="bg-BG" w:eastAsia="bg-BG"/>
        </w:rPr>
        <w:t xml:space="preserve"> (HCB); </w:t>
      </w:r>
      <w:proofErr w:type="spellStart"/>
      <w:r w:rsidRPr="00DE30C3">
        <w:rPr>
          <w:rFonts w:eastAsia="Calibri"/>
          <w:szCs w:val="24"/>
          <w:lang w:val="bg-BG" w:eastAsia="bg-BG"/>
        </w:rPr>
        <w:t>линдан</w:t>
      </w:r>
      <w:proofErr w:type="spellEnd"/>
      <w:r w:rsidRPr="00DE30C3">
        <w:rPr>
          <w:rFonts w:eastAsia="Calibri"/>
          <w:szCs w:val="24"/>
          <w:lang w:val="bg-BG" w:eastAsia="bg-BG"/>
        </w:rPr>
        <w:t xml:space="preserve"> (g-HCH); </w:t>
      </w:r>
      <w:proofErr w:type="spellStart"/>
      <w:r w:rsidRPr="00DE30C3">
        <w:rPr>
          <w:rFonts w:eastAsia="Calibri"/>
          <w:szCs w:val="24"/>
          <w:lang w:val="bg-BG" w:eastAsia="bg-BG"/>
        </w:rPr>
        <w:t>мирекс</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пентахлорбензен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PeCB</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бифенили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PCBs</w:t>
      </w:r>
      <w:proofErr w:type="spellEnd"/>
      <w:r w:rsidRPr="00DE30C3">
        <w:rPr>
          <w:rFonts w:eastAsia="Calibri"/>
          <w:szCs w:val="24"/>
          <w:lang w:val="bg-BG" w:eastAsia="bg-BG"/>
        </w:rPr>
        <w:t xml:space="preserve">); </w:t>
      </w:r>
      <w:proofErr w:type="spellStart"/>
      <w:r w:rsidRPr="00DE30C3">
        <w:rPr>
          <w:rFonts w:eastAsia="Calibri"/>
          <w:szCs w:val="24"/>
          <w:lang w:val="bg-BG" w:eastAsia="bg-BG"/>
        </w:rPr>
        <w:t>тетрабромодифенил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tetraBDE</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пентабромодифенил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търговси</w:t>
      </w:r>
      <w:proofErr w:type="spellEnd"/>
      <w:r w:rsidRPr="00DE30C3">
        <w:rPr>
          <w:rFonts w:eastAsia="Calibri"/>
          <w:szCs w:val="24"/>
          <w:lang w:val="bg-BG" w:eastAsia="bg-BG"/>
        </w:rPr>
        <w:t xml:space="preserve"> смеси на </w:t>
      </w:r>
      <w:proofErr w:type="spellStart"/>
      <w:r w:rsidRPr="00DE30C3">
        <w:rPr>
          <w:rFonts w:eastAsia="Calibri"/>
          <w:szCs w:val="24"/>
          <w:lang w:val="bg-BG" w:eastAsia="bg-BG"/>
        </w:rPr>
        <w:t>pentaBDE</w:t>
      </w:r>
      <w:proofErr w:type="spellEnd"/>
      <w:r w:rsidRPr="00DE30C3">
        <w:rPr>
          <w:rFonts w:eastAsia="Calibri"/>
          <w:szCs w:val="24"/>
          <w:lang w:val="bg-BG" w:eastAsia="bg-BG"/>
        </w:rPr>
        <w:t xml:space="preserve">); </w:t>
      </w:r>
      <w:proofErr w:type="spellStart"/>
      <w:r w:rsidRPr="00DE30C3">
        <w:rPr>
          <w:rFonts w:eastAsia="Calibri"/>
          <w:szCs w:val="24"/>
          <w:lang w:val="bg-BG" w:eastAsia="bg-BG"/>
        </w:rPr>
        <w:t>токсафен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хексабромоциклододекан</w:t>
      </w:r>
      <w:proofErr w:type="spellEnd"/>
      <w:r w:rsidRPr="00DE30C3">
        <w:rPr>
          <w:rFonts w:eastAsia="Calibri"/>
          <w:szCs w:val="24"/>
          <w:lang w:val="bg-BG" w:eastAsia="bg-BG"/>
        </w:rPr>
        <w:t xml:space="preserve"> (HBCD); </w:t>
      </w:r>
      <w:proofErr w:type="spellStart"/>
      <w:r w:rsidRPr="00DE30C3">
        <w:rPr>
          <w:rFonts w:eastAsia="Calibri"/>
          <w:szCs w:val="24"/>
          <w:lang w:val="bg-BG" w:eastAsia="bg-BG"/>
        </w:rPr>
        <w:t>хексахлоробутадиен</w:t>
      </w:r>
      <w:proofErr w:type="spellEnd"/>
      <w:r w:rsidRPr="00DE30C3">
        <w:rPr>
          <w:rFonts w:eastAsia="Calibri"/>
          <w:szCs w:val="24"/>
          <w:lang w:val="bg-BG" w:eastAsia="bg-BG"/>
        </w:rPr>
        <w:t xml:space="preserve"> (HCBD); </w:t>
      </w:r>
      <w:proofErr w:type="spellStart"/>
      <w:r w:rsidRPr="00DE30C3">
        <w:rPr>
          <w:rFonts w:eastAsia="Calibri"/>
          <w:szCs w:val="24"/>
          <w:lang w:val="bg-BG" w:eastAsia="bg-BG"/>
        </w:rPr>
        <w:t>пентахлорофенол</w:t>
      </w:r>
      <w:proofErr w:type="spellEnd"/>
      <w:r w:rsidRPr="00DE30C3">
        <w:rPr>
          <w:rFonts w:eastAsia="Calibri"/>
          <w:szCs w:val="24"/>
          <w:lang w:val="bg-BG" w:eastAsia="bg-BG"/>
        </w:rPr>
        <w:t>, неговите соли и естери (</w:t>
      </w:r>
      <w:proofErr w:type="spellStart"/>
      <w:r w:rsidRPr="00DE30C3">
        <w:rPr>
          <w:rFonts w:eastAsia="Calibri"/>
          <w:szCs w:val="24"/>
          <w:lang w:val="bg-BG" w:eastAsia="bg-BG"/>
        </w:rPr>
        <w:t>PCPs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нафталени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PCNs</w:t>
      </w:r>
      <w:proofErr w:type="spellEnd"/>
      <w:r w:rsidRPr="00DE30C3">
        <w:rPr>
          <w:rFonts w:eastAsia="Calibri"/>
          <w:szCs w:val="24"/>
          <w:lang w:val="bg-BG" w:eastAsia="bg-BG"/>
        </w:rPr>
        <w:t xml:space="preserve">); ДДТ (DDT); и </w:t>
      </w:r>
      <w:proofErr w:type="spellStart"/>
      <w:r w:rsidRPr="00DE30C3">
        <w:rPr>
          <w:rFonts w:eastAsia="Calibri"/>
          <w:szCs w:val="24"/>
          <w:lang w:val="bg-BG" w:eastAsia="bg-BG"/>
        </w:rPr>
        <w:t>перфлуороктан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сулфонова</w:t>
      </w:r>
      <w:proofErr w:type="spellEnd"/>
      <w:r w:rsidRPr="00DE30C3">
        <w:rPr>
          <w:rFonts w:eastAsia="Calibri"/>
          <w:szCs w:val="24"/>
          <w:lang w:val="bg-BG" w:eastAsia="bg-BG"/>
        </w:rPr>
        <w:t xml:space="preserve"> киселина (PFOS), нейните соли и </w:t>
      </w:r>
      <w:proofErr w:type="spellStart"/>
      <w:r w:rsidRPr="00DE30C3">
        <w:rPr>
          <w:rFonts w:eastAsia="Calibri"/>
          <w:szCs w:val="24"/>
          <w:lang w:val="bg-BG" w:eastAsia="bg-BG"/>
        </w:rPr>
        <w:t>перфлуороктан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сулфонил</w:t>
      </w:r>
      <w:proofErr w:type="spellEnd"/>
      <w:r w:rsidRPr="00DE30C3">
        <w:rPr>
          <w:rFonts w:eastAsia="Calibri"/>
          <w:szCs w:val="24"/>
          <w:lang w:val="bg-BG" w:eastAsia="bg-BG"/>
        </w:rPr>
        <w:t xml:space="preserve"> </w:t>
      </w:r>
      <w:proofErr w:type="spellStart"/>
      <w:r w:rsidRPr="00DE30C3">
        <w:rPr>
          <w:rFonts w:eastAsia="Calibri"/>
          <w:szCs w:val="24"/>
          <w:lang w:val="bg-BG" w:eastAsia="bg-BG"/>
        </w:rPr>
        <w:t>флуорид</w:t>
      </w:r>
      <w:proofErr w:type="spellEnd"/>
      <w:r w:rsidRPr="00DE30C3">
        <w:rPr>
          <w:rFonts w:eastAsia="Calibri"/>
          <w:szCs w:val="24"/>
          <w:lang w:val="bg-BG" w:eastAsia="bg-BG"/>
        </w:rPr>
        <w:t xml:space="preserve"> (PFOS-F); </w:t>
      </w:r>
      <w:proofErr w:type="spellStart"/>
      <w:r w:rsidRPr="00DE30C3">
        <w:rPr>
          <w:rFonts w:eastAsia="Calibri"/>
          <w:szCs w:val="24"/>
          <w:lang w:val="bg-BG" w:eastAsia="bg-BG"/>
        </w:rPr>
        <w:t>късоверижни</w:t>
      </w:r>
      <w:proofErr w:type="spellEnd"/>
      <w:r w:rsidRPr="00DE30C3">
        <w:rPr>
          <w:rFonts w:eastAsia="Calibri"/>
          <w:szCs w:val="24"/>
          <w:lang w:val="bg-BG" w:eastAsia="bg-BG"/>
        </w:rPr>
        <w:t xml:space="preserve"> хлорирани парафини (</w:t>
      </w:r>
      <w:proofErr w:type="spellStart"/>
      <w:r w:rsidRPr="00DE30C3">
        <w:rPr>
          <w:rFonts w:eastAsia="Calibri"/>
          <w:szCs w:val="24"/>
          <w:lang w:val="bg-BG" w:eastAsia="bg-BG"/>
        </w:rPr>
        <w:t>SCCPs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декабромодифенил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deca-BDE</w:t>
      </w:r>
      <w:proofErr w:type="spellEnd"/>
      <w:r w:rsidRPr="00DE30C3">
        <w:rPr>
          <w:rFonts w:eastAsia="Calibri"/>
          <w:szCs w:val="24"/>
          <w:lang w:val="bg-BG" w:eastAsia="bg-BG"/>
        </w:rPr>
        <w:t>), които са обект на забрана за производство и употреба, с изключение на тези, за които са предвидени общи или специфични изключения. На СОР8 през 2017г. последните 2 УОЗ (</w:t>
      </w:r>
      <w:proofErr w:type="spellStart"/>
      <w:r w:rsidRPr="00DE30C3">
        <w:rPr>
          <w:rFonts w:eastAsia="Calibri"/>
          <w:szCs w:val="24"/>
          <w:lang w:val="bg-BG" w:eastAsia="bg-BG"/>
        </w:rPr>
        <w:t>decaBDE</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SCCPs</w:t>
      </w:r>
      <w:proofErr w:type="spellEnd"/>
      <w:r w:rsidRPr="00DE30C3">
        <w:rPr>
          <w:rFonts w:eastAsia="Calibri"/>
          <w:szCs w:val="24"/>
          <w:lang w:val="bg-BG" w:eastAsia="bg-BG"/>
        </w:rPr>
        <w:t xml:space="preserve">) са включени в Приложение А със специфични изключения </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 xml:space="preserve">Вносът на 26-те преднамерено произвеждани УОЗ е забранен или строго ограничен от Стокхолмската Конвенция. След изтичане на срока на действие на специфичните изключения, вносът и износът е разрешен само за целите на </w:t>
      </w:r>
      <w:proofErr w:type="spellStart"/>
      <w:r w:rsidRPr="00DE30C3">
        <w:rPr>
          <w:rFonts w:eastAsia="Calibri"/>
          <w:szCs w:val="24"/>
          <w:lang w:val="bg-BG" w:eastAsia="bg-BG"/>
        </w:rPr>
        <w:t>екологосъобразно</w:t>
      </w:r>
      <w:proofErr w:type="spellEnd"/>
      <w:r w:rsidRPr="00DE30C3">
        <w:rPr>
          <w:rFonts w:eastAsia="Calibri"/>
          <w:szCs w:val="24"/>
          <w:lang w:val="bg-BG" w:eastAsia="bg-BG"/>
        </w:rPr>
        <w:t xml:space="preserve"> обезвреждане при определени условия.</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 xml:space="preserve">Общите изпускания от непреднамерено генерираните от антропогенни източници странични продукти, изброени в Приложение В: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дибензо-р-диоксини</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дибензофурани</w:t>
      </w:r>
      <w:proofErr w:type="spellEnd"/>
      <w:r w:rsidRPr="00DE30C3">
        <w:rPr>
          <w:rFonts w:eastAsia="Calibri"/>
          <w:szCs w:val="24"/>
          <w:lang w:val="bg-BG" w:eastAsia="bg-BG"/>
        </w:rPr>
        <w:t xml:space="preserve"> (РСDD/РСDF);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бифенили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PCBs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пентахлорбензен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РеСВ</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хексахлорбензен</w:t>
      </w:r>
      <w:proofErr w:type="spellEnd"/>
      <w:r w:rsidRPr="00DE30C3">
        <w:rPr>
          <w:rFonts w:eastAsia="Calibri"/>
          <w:szCs w:val="24"/>
          <w:lang w:val="bg-BG" w:eastAsia="bg-BG"/>
        </w:rPr>
        <w:t xml:space="preserve"> (НСВ);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нафталени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PCNs</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хексахлоробутадиен</w:t>
      </w:r>
      <w:proofErr w:type="spellEnd"/>
      <w:r w:rsidRPr="00DE30C3">
        <w:rPr>
          <w:rFonts w:eastAsia="Calibri"/>
          <w:szCs w:val="24"/>
          <w:lang w:val="bg-BG" w:eastAsia="bg-BG"/>
        </w:rPr>
        <w:t xml:space="preserve"> (HCBD) са обект на трайно намаляване и, където е възможно, на пълно елиминиране.</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 xml:space="preserve">Стокхолмската конвенция предвижда и предприемането на мерки за идентифициране и </w:t>
      </w:r>
      <w:proofErr w:type="spellStart"/>
      <w:r w:rsidRPr="00DE30C3">
        <w:rPr>
          <w:rFonts w:eastAsia="Calibri"/>
          <w:szCs w:val="24"/>
          <w:lang w:val="bg-BG" w:eastAsia="bg-BG"/>
        </w:rPr>
        <w:t>екологосъобразно</w:t>
      </w:r>
      <w:proofErr w:type="spellEnd"/>
      <w:r w:rsidRPr="00DE30C3">
        <w:rPr>
          <w:rFonts w:eastAsia="Calibri"/>
          <w:szCs w:val="24"/>
          <w:lang w:val="bg-BG" w:eastAsia="bg-BG"/>
        </w:rPr>
        <w:t xml:space="preserve"> управление на складираните количества, състоящи се от или съдържащи УОЗ. Отпадъците, съдържащи или замърсени с УОЗ трябва се обезвреждат по такъв начин, че съдържащите се в тях УОЗ да бъдат унищожени или преобразувани необратимо, така че да не проявяват свойства на УОЗ, освен ако не се предпочитат други екологично приемливи дейности. Операциите по обезвреждане, които биха могли да доведат до регенерирането или повторната употреба на УОЗ, са абсолютно забранени. При транспортирането на отпадъци през международните граници се спазват съответните международни правила, стандарти и указания, като например Базелската конвенция за контрол на трансграничното движение на опасни отпадъци и тяхното обезвреждане.</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Допълнително към контролните мерки, Стокхолмската конвенция включва и различни общи задължения, едно от които е да разработи, актуализира и прилага Национален план за действие по управление на УОЗ (НПДУУОЗ). Включените нови УОЗ вещества налагат разработването на настоящата актуализация на НПДУУОЗ.</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Основният законодателен акт за прилагане на Стокхолмската конвенция в държавите членки на Европейския съюз (ЕС) е Регламент (ЕО) № 850/2004 относно устойчивите органични замърсители (УОЗ), в сила от 20 май 2004 г., а за Р България – от 1-ви януари 2007 г., който се прилага директно във всички ДЧ.</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lastRenderedPageBreak/>
        <w:t xml:space="preserve">Целта на Регламент (ЕО) № 850/2004 е опазването на човешкото здраве и околната среда от УОЗ чрез забрана, поетапно преустановяване или ограничаване на производството, пускането на пазара и употребата на УОЗ веществата, предмет на Стокхолмската конвенция, независимо от това дали става въпрос за веществата в самостоятелен вид, в смеси или като съставна част на изделия и чрез свеждане до минимум с цел елиминиране, когато е приложимо и във възможно най-кратък срок, на общите изпускания на такива вещества и чрез създаване на разпоредби относно отпадъците, които се състоят, съдържат или са замърсени от някои от тези УОЗ. </w:t>
      </w:r>
    </w:p>
    <w:p w:rsidR="00E72CEA" w:rsidRPr="00DE30C3" w:rsidRDefault="00E72CEA" w:rsidP="00E72CEA">
      <w:pPr>
        <w:spacing w:before="120"/>
        <w:ind w:firstLine="567"/>
        <w:contextualSpacing/>
        <w:jc w:val="both"/>
        <w:rPr>
          <w:rFonts w:eastAsia="Calibri"/>
          <w:szCs w:val="24"/>
          <w:lang w:val="bg-BG" w:eastAsia="bg-BG"/>
        </w:rPr>
      </w:pPr>
      <w:r w:rsidRPr="00DE30C3">
        <w:rPr>
          <w:rFonts w:eastAsia="Calibri"/>
          <w:szCs w:val="24"/>
          <w:lang w:val="bg-BG" w:eastAsia="bg-BG"/>
        </w:rPr>
        <w:t xml:space="preserve">Мерките за прилагане на Регламент (ЕО) № 850/2004 са в въведени в националното законодателство в Закона за защита от вредното въздействие на химичните вещества и смеси. </w:t>
      </w:r>
    </w:p>
    <w:p w:rsidR="00E72CEA" w:rsidRPr="00DE30C3" w:rsidRDefault="00E72CEA" w:rsidP="00E72CEA">
      <w:pPr>
        <w:keepNext/>
        <w:keepLines/>
        <w:numPr>
          <w:ilvl w:val="0"/>
          <w:numId w:val="13"/>
        </w:numPr>
        <w:tabs>
          <w:tab w:val="left" w:pos="284"/>
        </w:tabs>
        <w:spacing w:before="200" w:after="200"/>
        <w:ind w:left="0" w:firstLine="0"/>
        <w:outlineLvl w:val="1"/>
        <w:rPr>
          <w:b/>
          <w:bCs/>
          <w:szCs w:val="26"/>
          <w:lang w:val="bg-BG" w:eastAsia="bg-BG"/>
        </w:rPr>
      </w:pPr>
      <w:bookmarkStart w:id="2" w:name="_Toc514320496"/>
      <w:r w:rsidRPr="00DE30C3">
        <w:rPr>
          <w:b/>
          <w:bCs/>
          <w:szCs w:val="26"/>
          <w:lang w:val="bg-BG" w:eastAsia="bg-BG"/>
        </w:rPr>
        <w:t>Обхват и структура на актуализацията на НПДУУОЗ</w:t>
      </w:r>
      <w:bookmarkEnd w:id="2"/>
    </w:p>
    <w:p w:rsidR="00E72CEA" w:rsidRPr="00DE30C3" w:rsidRDefault="00E72CEA" w:rsidP="00E72CEA">
      <w:pPr>
        <w:keepNext/>
        <w:keepLines/>
        <w:numPr>
          <w:ilvl w:val="1"/>
          <w:numId w:val="12"/>
        </w:numPr>
        <w:spacing w:before="200" w:after="200"/>
        <w:outlineLvl w:val="2"/>
        <w:rPr>
          <w:b/>
          <w:bCs/>
          <w:szCs w:val="22"/>
          <w:lang w:val="bg-BG" w:eastAsia="bg-BG"/>
        </w:rPr>
      </w:pPr>
      <w:bookmarkStart w:id="3" w:name="_Toc514320497"/>
      <w:r w:rsidRPr="00DE30C3">
        <w:rPr>
          <w:b/>
          <w:bCs/>
          <w:szCs w:val="22"/>
          <w:lang w:val="bg-BG" w:eastAsia="bg-BG"/>
        </w:rPr>
        <w:t>Обхват</w:t>
      </w:r>
      <w:bookmarkEnd w:id="3"/>
    </w:p>
    <w:p w:rsidR="00E72CEA" w:rsidRPr="00DE30C3" w:rsidRDefault="00E72CEA" w:rsidP="00E72CEA">
      <w:pPr>
        <w:spacing w:before="120"/>
        <w:ind w:firstLine="720"/>
        <w:jc w:val="both"/>
        <w:rPr>
          <w:rFonts w:eastAsia="Calibri"/>
          <w:szCs w:val="24"/>
          <w:lang w:val="bg-BG"/>
        </w:rPr>
      </w:pPr>
      <w:r w:rsidRPr="00DE30C3">
        <w:rPr>
          <w:rFonts w:eastAsia="Calibri"/>
          <w:szCs w:val="24"/>
          <w:lang w:val="bg-BG"/>
        </w:rPr>
        <w:t>Обхватът включва актуализирането на НПДУУОЗ с пълна информация по отношение на новите 6 УОЗ, включени в приложенията на конвенцията и регламента, както и допълване</w:t>
      </w:r>
      <w:r w:rsidRPr="00DE30C3">
        <w:rPr>
          <w:rFonts w:eastAsia="Calibri"/>
          <w:szCs w:val="24"/>
        </w:rPr>
        <w:t xml:space="preserve"> </w:t>
      </w:r>
      <w:r w:rsidRPr="00DE30C3">
        <w:rPr>
          <w:rFonts w:eastAsia="Calibri"/>
          <w:szCs w:val="24"/>
          <w:lang w:val="bg-BG"/>
        </w:rPr>
        <w:t xml:space="preserve">и актуализиране на информацията за съществуващите 22 УОЗ в периода след 2012г.  </w:t>
      </w:r>
    </w:p>
    <w:p w:rsidR="00E72CEA" w:rsidRPr="00DE30C3" w:rsidRDefault="00E72CEA" w:rsidP="00E72CEA">
      <w:pPr>
        <w:spacing w:before="120"/>
        <w:ind w:firstLine="720"/>
        <w:jc w:val="both"/>
        <w:rPr>
          <w:rFonts w:eastAsia="Calibri"/>
          <w:szCs w:val="24"/>
          <w:lang w:val="bg-BG"/>
        </w:rPr>
      </w:pPr>
      <w:r w:rsidRPr="00DE30C3">
        <w:rPr>
          <w:rFonts w:eastAsia="Calibri"/>
          <w:szCs w:val="24"/>
          <w:lang w:val="bg-BG"/>
        </w:rPr>
        <w:t xml:space="preserve">За целта ще послужат резултатите от извършената подробна документална инвентаризация на 5-те нови УОЗ: HBCD, HCBD, </w:t>
      </w:r>
      <w:proofErr w:type="spellStart"/>
      <w:r w:rsidRPr="00DE30C3">
        <w:rPr>
          <w:rFonts w:eastAsia="Calibri"/>
          <w:szCs w:val="24"/>
          <w:lang w:val="bg-BG"/>
        </w:rPr>
        <w:t>PCPs</w:t>
      </w:r>
      <w:proofErr w:type="spellEnd"/>
      <w:r w:rsidRPr="00DE30C3">
        <w:rPr>
          <w:rFonts w:eastAsia="Calibri"/>
          <w:szCs w:val="24"/>
          <w:lang w:val="bg-BG"/>
        </w:rPr>
        <w:t xml:space="preserve">, </w:t>
      </w:r>
      <w:proofErr w:type="spellStart"/>
      <w:r w:rsidRPr="00DE30C3">
        <w:rPr>
          <w:rFonts w:eastAsia="Calibri"/>
          <w:szCs w:val="24"/>
          <w:lang w:val="bg-BG"/>
        </w:rPr>
        <w:t>PCNs</w:t>
      </w:r>
      <w:proofErr w:type="spellEnd"/>
      <w:r w:rsidRPr="00DE30C3">
        <w:rPr>
          <w:rFonts w:eastAsia="Calibri"/>
          <w:szCs w:val="24"/>
          <w:lang w:val="bg-BG"/>
        </w:rPr>
        <w:t xml:space="preserve">, </w:t>
      </w:r>
      <w:proofErr w:type="spellStart"/>
      <w:r w:rsidRPr="00DE30C3">
        <w:rPr>
          <w:rFonts w:eastAsia="Calibri"/>
          <w:szCs w:val="24"/>
          <w:lang w:val="bg-BG"/>
        </w:rPr>
        <w:t>SCCPs</w:t>
      </w:r>
      <w:proofErr w:type="spellEnd"/>
      <w:r w:rsidRPr="00DE30C3">
        <w:rPr>
          <w:rFonts w:eastAsia="Calibri"/>
          <w:szCs w:val="24"/>
          <w:lang w:val="bg-BG"/>
        </w:rPr>
        <w:t xml:space="preserve">, както и извършената документална инвентаризация и систематизиране на наличната информация за </w:t>
      </w:r>
      <w:proofErr w:type="spellStart"/>
      <w:r w:rsidRPr="00DE30C3">
        <w:rPr>
          <w:rFonts w:eastAsia="Calibri"/>
          <w:szCs w:val="24"/>
          <w:lang w:val="bg-BG"/>
        </w:rPr>
        <w:t>decaBDE</w:t>
      </w:r>
      <w:proofErr w:type="spellEnd"/>
      <w:r w:rsidRPr="00DE30C3">
        <w:rPr>
          <w:rFonts w:eastAsia="Calibri"/>
          <w:szCs w:val="24"/>
          <w:lang w:val="bg-BG"/>
        </w:rPr>
        <w:t xml:space="preserve">. Където е приложимо могат да се използват разработените от Секретариата на Стокхолмската конвенция ръководства за разработване на национални планове и тяхната актуализация. Биха могли да се използват и техническите ръководства за </w:t>
      </w:r>
      <w:proofErr w:type="spellStart"/>
      <w:r w:rsidRPr="00DE30C3">
        <w:rPr>
          <w:rFonts w:eastAsia="Calibri"/>
          <w:szCs w:val="24"/>
          <w:lang w:val="bg-BG"/>
        </w:rPr>
        <w:t>екологосъобразно</w:t>
      </w:r>
      <w:proofErr w:type="spellEnd"/>
      <w:r w:rsidRPr="00DE30C3">
        <w:rPr>
          <w:rFonts w:eastAsia="Calibri"/>
          <w:szCs w:val="24"/>
          <w:lang w:val="bg-BG"/>
        </w:rPr>
        <w:t xml:space="preserve"> управление на отпадъци, съдържащи такива УОЗ вещества. Крайният резултат е изготвяне на актуализиран НПДУУОЗ. Извършването на настоящата актуализация цели да допълни и надгради вече съществуващия НПДУУОЗ от 2012г. Ще бъдат запазени структурата и обхвата (основните глави) на документа.</w:t>
      </w:r>
      <w:r w:rsidRPr="00DE30C3">
        <w:rPr>
          <w:rFonts w:eastAsia="Calibri"/>
          <w:szCs w:val="24"/>
        </w:rPr>
        <w:t xml:space="preserve"> </w:t>
      </w:r>
      <w:r w:rsidRPr="00DE30C3">
        <w:rPr>
          <w:rFonts w:eastAsia="Calibri"/>
          <w:szCs w:val="24"/>
          <w:lang w:val="bg-BG"/>
        </w:rPr>
        <w:t xml:space="preserve">Там където е приложимо, някои таблици и информация могат да бъдат изведени като приложение. Там където е целесъобразно наименованията на </w:t>
      </w:r>
      <w:proofErr w:type="spellStart"/>
      <w:r w:rsidRPr="00DE30C3">
        <w:rPr>
          <w:rFonts w:eastAsia="Calibri"/>
          <w:szCs w:val="24"/>
          <w:lang w:val="bg-BG"/>
        </w:rPr>
        <w:t>подглавите</w:t>
      </w:r>
      <w:proofErr w:type="spellEnd"/>
      <w:r w:rsidRPr="00DE30C3">
        <w:rPr>
          <w:rFonts w:eastAsia="Calibri"/>
          <w:szCs w:val="24"/>
          <w:lang w:val="bg-BG"/>
        </w:rPr>
        <w:t xml:space="preserve"> и подточките могат да бъдат променени с цел адаптиране към актуалната ситуация в страната. Информацията за съществуващите 22 УОЗ ще се обнови и допълни с актуални данни за периода 2013 -2017г. и ще се добави подробна информация за новите 6 УОЗ вещества. </w:t>
      </w:r>
    </w:p>
    <w:p w:rsidR="00E72CEA" w:rsidRPr="00DE30C3" w:rsidRDefault="00E72CEA" w:rsidP="00E72CEA">
      <w:pPr>
        <w:keepNext/>
        <w:keepLines/>
        <w:numPr>
          <w:ilvl w:val="1"/>
          <w:numId w:val="12"/>
        </w:numPr>
        <w:spacing w:before="200" w:after="200"/>
        <w:outlineLvl w:val="2"/>
        <w:rPr>
          <w:b/>
          <w:bCs/>
          <w:szCs w:val="22"/>
          <w:lang w:val="bg-BG" w:eastAsia="bg-BG"/>
        </w:rPr>
      </w:pPr>
      <w:bookmarkStart w:id="4" w:name="_Toc514320498"/>
      <w:r w:rsidRPr="00DE30C3">
        <w:rPr>
          <w:b/>
          <w:bCs/>
          <w:szCs w:val="22"/>
          <w:lang w:val="bg-BG" w:eastAsia="bg-BG"/>
        </w:rPr>
        <w:t>Етапи  и срокове</w:t>
      </w:r>
      <w:bookmarkEnd w:id="4"/>
    </w:p>
    <w:p w:rsidR="00E72CEA" w:rsidRPr="00DE30C3" w:rsidRDefault="00E72CEA" w:rsidP="00E72CEA">
      <w:pPr>
        <w:spacing w:before="120"/>
        <w:ind w:firstLine="539"/>
        <w:jc w:val="both"/>
        <w:rPr>
          <w:rFonts w:eastAsia="Calibri"/>
          <w:szCs w:val="24"/>
          <w:lang w:val="bg-BG"/>
        </w:rPr>
      </w:pPr>
      <w:r w:rsidRPr="00DE30C3">
        <w:rPr>
          <w:rFonts w:eastAsia="Calibri"/>
          <w:szCs w:val="24"/>
          <w:lang w:val="bg-BG"/>
        </w:rPr>
        <w:t xml:space="preserve">Изпълнението и отчитането се извършва на </w:t>
      </w:r>
      <w:r w:rsidRPr="00DE30C3">
        <w:rPr>
          <w:rFonts w:eastAsia="Calibri"/>
          <w:b/>
          <w:szCs w:val="24"/>
          <w:lang w:val="bg-BG"/>
        </w:rPr>
        <w:t>3 етапа с общ краен срок за изпълнение – до 14 (четиринадесет месеца) от датата на подписване на договора, както следва:</w:t>
      </w:r>
    </w:p>
    <w:p w:rsidR="00E72CEA" w:rsidRPr="00DE30C3" w:rsidRDefault="00E72CEA" w:rsidP="00E72CEA">
      <w:pPr>
        <w:numPr>
          <w:ilvl w:val="2"/>
          <w:numId w:val="13"/>
        </w:numPr>
        <w:spacing w:before="120" w:after="120"/>
        <w:contextualSpacing/>
        <w:jc w:val="both"/>
        <w:rPr>
          <w:rFonts w:ascii="Times New Roman Bold" w:eastAsia="Calibri" w:hAnsi="Times New Roman Bold"/>
          <w:b/>
          <w:smallCaps/>
          <w:szCs w:val="24"/>
          <w:lang w:val="bg-BG" w:eastAsia="bg-BG"/>
        </w:rPr>
      </w:pPr>
      <w:r w:rsidRPr="00DE30C3">
        <w:rPr>
          <w:rFonts w:eastAsia="Calibri"/>
          <w:b/>
          <w:i/>
          <w:szCs w:val="24"/>
          <w:lang w:val="bg-BG" w:eastAsia="x-none"/>
        </w:rPr>
        <w:t>Етап 1:</w:t>
      </w:r>
      <w:r w:rsidRPr="00DE30C3">
        <w:rPr>
          <w:rFonts w:ascii="Times New Roman Bold" w:eastAsia="Calibri" w:hAnsi="Times New Roman Bold"/>
          <w:b/>
          <w:smallCaps/>
          <w:color w:val="FF0000"/>
          <w:szCs w:val="24"/>
          <w:lang w:val="bg-BG" w:eastAsia="bg-BG"/>
        </w:rPr>
        <w:t xml:space="preserve"> </w:t>
      </w:r>
      <w:r w:rsidRPr="00DE30C3">
        <w:rPr>
          <w:rFonts w:eastAsia="Calibri"/>
          <w:b/>
          <w:i/>
          <w:szCs w:val="24"/>
          <w:lang w:val="bg-BG" w:eastAsia="x-none"/>
        </w:rPr>
        <w:t>Подготвителен етап</w:t>
      </w:r>
      <w:r w:rsidRPr="00DE30C3">
        <w:rPr>
          <w:rFonts w:ascii="Times New Roman Bold" w:eastAsia="Calibri" w:hAnsi="Times New Roman Bold"/>
          <w:b/>
          <w:smallCaps/>
          <w:szCs w:val="24"/>
          <w:lang w:val="bg-BG" w:eastAsia="bg-BG"/>
        </w:rPr>
        <w:t>;</w:t>
      </w:r>
    </w:p>
    <w:p w:rsidR="00E72CEA" w:rsidRPr="00DE30C3" w:rsidRDefault="00E72CEA" w:rsidP="00E72CEA">
      <w:pPr>
        <w:numPr>
          <w:ilvl w:val="2"/>
          <w:numId w:val="13"/>
        </w:numPr>
        <w:spacing w:before="120" w:after="120"/>
        <w:contextualSpacing/>
        <w:jc w:val="both"/>
        <w:rPr>
          <w:rFonts w:eastAsia="Calibri"/>
          <w:b/>
          <w:i/>
          <w:szCs w:val="24"/>
          <w:lang w:val="bg-BG" w:eastAsia="x-none"/>
        </w:rPr>
      </w:pPr>
      <w:r w:rsidRPr="00DE30C3">
        <w:rPr>
          <w:rFonts w:eastAsia="Calibri"/>
          <w:b/>
          <w:i/>
          <w:szCs w:val="24"/>
          <w:lang w:val="bg-BG" w:eastAsia="x-none"/>
        </w:rPr>
        <w:t>Етап 2: Същински етап;</w:t>
      </w:r>
    </w:p>
    <w:p w:rsidR="00E72CEA" w:rsidRPr="00DE30C3" w:rsidRDefault="00E72CEA" w:rsidP="00E72CEA">
      <w:pPr>
        <w:numPr>
          <w:ilvl w:val="2"/>
          <w:numId w:val="13"/>
        </w:numPr>
        <w:spacing w:before="120" w:after="120"/>
        <w:contextualSpacing/>
        <w:jc w:val="both"/>
        <w:rPr>
          <w:rFonts w:eastAsia="Calibri"/>
          <w:b/>
          <w:i/>
          <w:szCs w:val="24"/>
          <w:lang w:val="bg-BG" w:eastAsia="x-none"/>
        </w:rPr>
      </w:pPr>
      <w:r w:rsidRPr="00DE30C3">
        <w:rPr>
          <w:rFonts w:eastAsia="Calibri"/>
          <w:b/>
          <w:i/>
          <w:szCs w:val="24"/>
          <w:lang w:val="bg-BG" w:eastAsia="x-none"/>
        </w:rPr>
        <w:t>Етап 3: Заключителен етап.</w:t>
      </w:r>
    </w:p>
    <w:p w:rsidR="00E72CEA" w:rsidRPr="00DE30C3" w:rsidRDefault="00E72CEA" w:rsidP="00E72CEA">
      <w:pPr>
        <w:tabs>
          <w:tab w:val="left" w:pos="0"/>
          <w:tab w:val="left" w:pos="851"/>
          <w:tab w:val="left" w:pos="1530"/>
        </w:tabs>
        <w:spacing w:before="120" w:after="120"/>
        <w:ind w:firstLine="720"/>
        <w:jc w:val="both"/>
        <w:rPr>
          <w:rFonts w:eastAsia="Calibri"/>
          <w:szCs w:val="24"/>
          <w:lang w:val="bg-BG"/>
        </w:rPr>
      </w:pPr>
      <w:r w:rsidRPr="00DE30C3">
        <w:rPr>
          <w:rFonts w:eastAsia="Calibri"/>
          <w:b/>
          <w:szCs w:val="24"/>
          <w:u w:val="single"/>
          <w:lang w:val="bg-BG"/>
        </w:rPr>
        <w:t>ЕТАП 1</w:t>
      </w:r>
      <w:r w:rsidRPr="00DE30C3">
        <w:rPr>
          <w:rFonts w:eastAsia="Calibri"/>
          <w:b/>
          <w:szCs w:val="24"/>
          <w:lang w:val="bg-BG"/>
        </w:rPr>
        <w:t>:</w:t>
      </w:r>
      <w:r w:rsidRPr="00DE30C3">
        <w:rPr>
          <w:rFonts w:eastAsia="Calibri"/>
          <w:szCs w:val="24"/>
          <w:lang w:val="bg-BG"/>
        </w:rPr>
        <w:t xml:space="preserve"> </w:t>
      </w:r>
      <w:r w:rsidRPr="00DE30C3">
        <w:rPr>
          <w:rFonts w:eastAsia="Calibri"/>
          <w:b/>
          <w:szCs w:val="24"/>
          <w:lang w:val="bg-BG"/>
        </w:rPr>
        <w:t>Подготвителен етап, който протича в две фази, както следва:</w:t>
      </w:r>
    </w:p>
    <w:p w:rsidR="00E72CEA" w:rsidRPr="00DE30C3" w:rsidRDefault="00E72CEA" w:rsidP="00E72CEA">
      <w:pPr>
        <w:numPr>
          <w:ilvl w:val="0"/>
          <w:numId w:val="5"/>
        </w:numPr>
        <w:tabs>
          <w:tab w:val="left" w:pos="0"/>
        </w:tabs>
        <w:spacing w:before="120" w:after="120"/>
        <w:ind w:left="0" w:firstLine="709"/>
        <w:jc w:val="both"/>
        <w:rPr>
          <w:rFonts w:eastAsia="Calibri"/>
          <w:color w:val="000000"/>
          <w:szCs w:val="24"/>
          <w:lang w:val="bg-BG"/>
        </w:rPr>
      </w:pPr>
      <w:r w:rsidRPr="00DE30C3">
        <w:rPr>
          <w:rFonts w:eastAsia="Calibri"/>
          <w:b/>
          <w:szCs w:val="24"/>
          <w:u w:val="single"/>
          <w:lang w:val="bg-BG"/>
        </w:rPr>
        <w:t>Фаза 1</w:t>
      </w:r>
      <w:r w:rsidRPr="00DE30C3">
        <w:rPr>
          <w:rFonts w:eastAsia="Calibri"/>
          <w:szCs w:val="24"/>
          <w:lang w:val="bg-BG"/>
        </w:rPr>
        <w:t xml:space="preserve">: Изготвяне от Изпълнителя на подробен план за осъществяване на актуализацията на НПДУУОЗ </w:t>
      </w:r>
      <w:r w:rsidRPr="00DE30C3">
        <w:rPr>
          <w:rFonts w:eastAsia="Calibri"/>
          <w:color w:val="000000"/>
          <w:szCs w:val="24"/>
          <w:lang w:val="bg-BG"/>
        </w:rPr>
        <w:t>(наричан по-нататък за краткост и „план за действие“), включващ:</w:t>
      </w:r>
    </w:p>
    <w:p w:rsidR="00E72CEA" w:rsidRPr="00DE30C3" w:rsidRDefault="00E72CEA" w:rsidP="00E72CEA">
      <w:pPr>
        <w:numPr>
          <w:ilvl w:val="0"/>
          <w:numId w:val="6"/>
        </w:numPr>
        <w:tabs>
          <w:tab w:val="left" w:pos="0"/>
        </w:tabs>
        <w:spacing w:before="120" w:after="120"/>
        <w:ind w:left="0" w:firstLine="360"/>
        <w:jc w:val="both"/>
        <w:rPr>
          <w:rFonts w:eastAsia="Calibri"/>
          <w:color w:val="000000"/>
          <w:szCs w:val="24"/>
          <w:lang w:val="bg-BG"/>
        </w:rPr>
      </w:pPr>
      <w:r w:rsidRPr="00DE30C3">
        <w:rPr>
          <w:rFonts w:eastAsia="Calibri"/>
          <w:color w:val="000000"/>
          <w:szCs w:val="24"/>
          <w:lang w:val="bg-BG"/>
        </w:rPr>
        <w:lastRenderedPageBreak/>
        <w:t xml:space="preserve"> събиране и проучване на необходимата информация и документи за организиране, стартиране и осъществяване на инвентаризацията на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подбор на лицата – обект на инвентаризацията, изготвяне на списък на тези лица и изготвяне на въпросник и указания за попълването му;  </w:t>
      </w:r>
      <w:proofErr w:type="spellStart"/>
      <w:r w:rsidRPr="00DE30C3">
        <w:rPr>
          <w:rFonts w:eastAsia="Calibri"/>
          <w:color w:val="000000"/>
          <w:szCs w:val="24"/>
          <w:lang w:val="bg-BG"/>
        </w:rPr>
        <w:t>придружителни</w:t>
      </w:r>
      <w:proofErr w:type="spellEnd"/>
      <w:r w:rsidRPr="00DE30C3">
        <w:rPr>
          <w:rFonts w:eastAsia="Calibri"/>
          <w:color w:val="000000"/>
          <w:szCs w:val="24"/>
          <w:lang w:val="bg-BG"/>
        </w:rPr>
        <w:t xml:space="preserve"> писма към него, както и всякакви други целесъобразни подготвителни действия; </w:t>
      </w:r>
    </w:p>
    <w:p w:rsidR="00E72CEA" w:rsidRPr="00DE30C3" w:rsidRDefault="00E72CEA" w:rsidP="00E72CEA">
      <w:pPr>
        <w:numPr>
          <w:ilvl w:val="0"/>
          <w:numId w:val="6"/>
        </w:numPr>
        <w:tabs>
          <w:tab w:val="left" w:pos="0"/>
        </w:tabs>
        <w:spacing w:before="120" w:after="120"/>
        <w:ind w:left="0" w:firstLine="360"/>
        <w:jc w:val="both"/>
        <w:rPr>
          <w:rFonts w:eastAsia="Calibri"/>
          <w:color w:val="000000"/>
          <w:szCs w:val="24"/>
          <w:lang w:val="bg-BG"/>
        </w:rPr>
      </w:pPr>
      <w:r w:rsidRPr="00DE30C3">
        <w:rPr>
          <w:rFonts w:eastAsia="Calibri"/>
          <w:color w:val="000000"/>
          <w:szCs w:val="24"/>
          <w:lang w:val="bg-BG"/>
        </w:rPr>
        <w:t>събиране и проучване на необходимата информация и документи за организиране, стартиране и осъществяване на актуализацията на НПДУУОЗ по отношение на съществуващите УОЗ, включени в Стокхолмската конвенция до 2011г., както и актуална информация за останалите УОЗ (от актуализирани и нови ръководства за инвентаризация на съществуващите УОЗ, изготвени от Секретариата на Стокхолмската конвенция и ръководства за управление на отпадъци – от Секретариата на Базелската конвенция, електронни източници и други);</w:t>
      </w:r>
    </w:p>
    <w:p w:rsidR="00E72CEA" w:rsidRPr="00DE30C3" w:rsidRDefault="00E72CEA" w:rsidP="00E72CEA">
      <w:pPr>
        <w:tabs>
          <w:tab w:val="left" w:pos="0"/>
        </w:tabs>
        <w:spacing w:before="120" w:after="120"/>
        <w:jc w:val="both"/>
        <w:rPr>
          <w:rFonts w:eastAsia="Calibri"/>
          <w:color w:val="000000"/>
          <w:szCs w:val="24"/>
          <w:lang w:val="bg-BG"/>
        </w:rPr>
      </w:pPr>
      <w:r w:rsidRPr="00DE30C3">
        <w:rPr>
          <w:rFonts w:eastAsia="Calibri"/>
          <w:color w:val="000000"/>
          <w:szCs w:val="24"/>
          <w:lang w:val="bg-BG"/>
        </w:rPr>
        <w:tab/>
        <w:t xml:space="preserve">Изготвеният от Изпълнителя план за действие и приложенията към него се предоставят на Възложителя по електронен път или на електронен носител с </w:t>
      </w:r>
      <w:proofErr w:type="spellStart"/>
      <w:r w:rsidRPr="00DE30C3">
        <w:rPr>
          <w:rFonts w:eastAsia="Calibri"/>
          <w:color w:val="000000"/>
          <w:szCs w:val="24"/>
          <w:lang w:val="bg-BG"/>
        </w:rPr>
        <w:t>придружително</w:t>
      </w:r>
      <w:proofErr w:type="spellEnd"/>
      <w:r w:rsidRPr="00DE30C3">
        <w:rPr>
          <w:rFonts w:eastAsia="Calibri"/>
          <w:color w:val="000000"/>
          <w:szCs w:val="24"/>
          <w:lang w:val="bg-BG"/>
        </w:rPr>
        <w:t xml:space="preserve"> писмо.</w:t>
      </w:r>
    </w:p>
    <w:p w:rsidR="00E72CEA" w:rsidRPr="00DE30C3" w:rsidRDefault="00E72CEA" w:rsidP="00E72CEA">
      <w:pPr>
        <w:numPr>
          <w:ilvl w:val="0"/>
          <w:numId w:val="5"/>
        </w:numPr>
        <w:tabs>
          <w:tab w:val="left" w:pos="0"/>
          <w:tab w:val="left" w:pos="1530"/>
        </w:tabs>
        <w:spacing w:before="120" w:after="120"/>
        <w:ind w:left="0" w:firstLine="709"/>
        <w:contextualSpacing/>
        <w:jc w:val="both"/>
        <w:rPr>
          <w:rFonts w:eastAsia="Calibri"/>
          <w:szCs w:val="24"/>
          <w:lang w:val="bg-BG"/>
        </w:rPr>
      </w:pPr>
      <w:r w:rsidRPr="00DE30C3">
        <w:rPr>
          <w:rFonts w:eastAsia="Calibri"/>
          <w:b/>
          <w:szCs w:val="24"/>
          <w:u w:val="single"/>
          <w:lang w:val="bg-BG"/>
        </w:rPr>
        <w:t>Фаза 2</w:t>
      </w:r>
      <w:r w:rsidRPr="00DE30C3">
        <w:rPr>
          <w:rFonts w:eastAsia="Calibri"/>
          <w:szCs w:val="24"/>
          <w:lang w:val="bg-BG"/>
        </w:rPr>
        <w:t xml:space="preserve">: Съгласуване с упълномощени представители на Възложителя (наричани по-нататък за краткост и „Комисията“) на изготвения от Изпълнителя </w:t>
      </w:r>
      <w:r w:rsidRPr="00DE30C3">
        <w:rPr>
          <w:rFonts w:eastAsia="Calibri"/>
          <w:color w:val="000000"/>
          <w:szCs w:val="24"/>
          <w:lang w:val="bg-BG"/>
        </w:rPr>
        <w:t xml:space="preserve">план за действие за осъществяване на актуализацията на НПДУУОЗ. Изготвяне на </w:t>
      </w:r>
      <w:proofErr w:type="spellStart"/>
      <w:r w:rsidRPr="00DE30C3">
        <w:rPr>
          <w:rFonts w:eastAsia="Calibri"/>
          <w:color w:val="000000"/>
          <w:szCs w:val="24"/>
          <w:lang w:val="bg-BG"/>
        </w:rPr>
        <w:t>съгласувателно</w:t>
      </w:r>
      <w:proofErr w:type="spellEnd"/>
      <w:r w:rsidRPr="00DE30C3">
        <w:rPr>
          <w:rFonts w:eastAsia="Calibri"/>
          <w:color w:val="000000"/>
          <w:szCs w:val="24"/>
          <w:lang w:val="bg-BG"/>
        </w:rPr>
        <w:t xml:space="preserve"> становище от Комисията (наричано по-нататък за краткост и „предварително становище“), относно структурата и съдържанието на предоставения от Изпълнителя проект на план за действие за осъществяване на актуализацията на НПДУУОЗ, включващо при необходимост съответни бележки и препоръки за отстраняване на непълноти и </w:t>
      </w:r>
      <w:r w:rsidRPr="00DE30C3">
        <w:rPr>
          <w:rFonts w:eastAsia="Calibri"/>
          <w:szCs w:val="24"/>
          <w:lang w:val="bg-BG"/>
        </w:rPr>
        <w:t xml:space="preserve">несъответствия. Изготвеното от Възложителя предварително становище се предоставя на Изпълнителя по електронен път. </w:t>
      </w:r>
    </w:p>
    <w:p w:rsidR="00E72CEA" w:rsidRPr="00DE30C3" w:rsidRDefault="00E72CEA" w:rsidP="00E72CEA">
      <w:pPr>
        <w:tabs>
          <w:tab w:val="left" w:pos="0"/>
          <w:tab w:val="left" w:pos="540"/>
          <w:tab w:val="left" w:pos="1170"/>
          <w:tab w:val="left" w:pos="1530"/>
        </w:tabs>
        <w:spacing w:before="120" w:after="120"/>
        <w:contextualSpacing/>
        <w:jc w:val="both"/>
        <w:rPr>
          <w:rFonts w:eastAsia="Calibri"/>
          <w:szCs w:val="24"/>
          <w:lang w:val="bg-BG"/>
        </w:rPr>
      </w:pPr>
      <w:r w:rsidRPr="00DE30C3">
        <w:rPr>
          <w:rFonts w:eastAsia="Calibri"/>
          <w:szCs w:val="24"/>
          <w:lang w:val="bg-BG"/>
        </w:rPr>
        <w:tab/>
        <w:t>Етап 1 се приема от Възложителя с Констативен протокол, подписан от Изпълнителя и Възложителя в 3 екземпляра, 2 от които за Възложителя и 1- за Изпълнителя.</w:t>
      </w:r>
    </w:p>
    <w:p w:rsidR="00E72CEA" w:rsidRPr="00DE30C3" w:rsidRDefault="00E72CEA" w:rsidP="00E72CEA">
      <w:pPr>
        <w:tabs>
          <w:tab w:val="left" w:pos="0"/>
          <w:tab w:val="left" w:pos="851"/>
          <w:tab w:val="left" w:pos="1260"/>
        </w:tabs>
        <w:spacing w:before="120" w:after="120"/>
        <w:jc w:val="both"/>
        <w:rPr>
          <w:rFonts w:eastAsia="Calibri"/>
          <w:b/>
          <w:color w:val="000000"/>
          <w:szCs w:val="24"/>
        </w:rPr>
      </w:pPr>
    </w:p>
    <w:p w:rsidR="00E72CEA" w:rsidRPr="00DE30C3" w:rsidRDefault="00E72CEA" w:rsidP="00E72CEA">
      <w:pPr>
        <w:tabs>
          <w:tab w:val="left" w:pos="0"/>
          <w:tab w:val="left" w:pos="851"/>
          <w:tab w:val="left" w:pos="1260"/>
        </w:tabs>
        <w:spacing w:before="120" w:after="120"/>
        <w:jc w:val="both"/>
        <w:rPr>
          <w:rFonts w:eastAsia="Calibri"/>
          <w:szCs w:val="24"/>
          <w:lang w:val="bg-BG"/>
        </w:rPr>
      </w:pPr>
      <w:r w:rsidRPr="00DE30C3">
        <w:rPr>
          <w:rFonts w:eastAsia="Calibri"/>
          <w:b/>
          <w:color w:val="000000"/>
          <w:szCs w:val="24"/>
          <w:lang w:val="bg-BG"/>
        </w:rPr>
        <w:t xml:space="preserve">Срок за изпълнение </w:t>
      </w:r>
      <w:r w:rsidRPr="00DE30C3">
        <w:rPr>
          <w:rFonts w:eastAsia="Calibri"/>
          <w:b/>
          <w:szCs w:val="24"/>
          <w:lang w:val="bg-BG"/>
        </w:rPr>
        <w:t xml:space="preserve">по Фаза </w:t>
      </w:r>
      <w:r w:rsidRPr="00DE30C3">
        <w:rPr>
          <w:rFonts w:eastAsia="Calibri"/>
          <w:b/>
          <w:szCs w:val="24"/>
        </w:rPr>
        <w:t>1</w:t>
      </w:r>
      <w:r w:rsidRPr="00DE30C3">
        <w:rPr>
          <w:rFonts w:eastAsia="Calibri"/>
          <w:b/>
          <w:szCs w:val="24"/>
          <w:lang w:val="bg-BG"/>
        </w:rPr>
        <w:t xml:space="preserve"> от Етап 1</w:t>
      </w:r>
      <w:r w:rsidRPr="00DE30C3">
        <w:rPr>
          <w:rFonts w:eastAsia="Calibri"/>
          <w:szCs w:val="24"/>
          <w:lang w:val="bg-BG"/>
        </w:rPr>
        <w:t xml:space="preserve">: </w:t>
      </w:r>
      <w:r w:rsidRPr="00DE30C3">
        <w:rPr>
          <w:rFonts w:eastAsia="Calibri"/>
          <w:b/>
          <w:szCs w:val="24"/>
          <w:u w:val="single"/>
          <w:lang w:val="bg-BG"/>
        </w:rPr>
        <w:t>до 2 (два) месеца</w:t>
      </w:r>
      <w:r w:rsidRPr="00DE30C3">
        <w:rPr>
          <w:rFonts w:eastAsia="Calibri"/>
          <w:szCs w:val="24"/>
          <w:lang w:val="bg-BG"/>
        </w:rPr>
        <w:t xml:space="preserve"> от датата на подписване на Договора. </w:t>
      </w:r>
    </w:p>
    <w:p w:rsidR="00E72CEA" w:rsidRPr="00DE30C3" w:rsidRDefault="00E72CEA" w:rsidP="00E72CEA">
      <w:pPr>
        <w:tabs>
          <w:tab w:val="left" w:pos="0"/>
        </w:tabs>
        <w:spacing w:before="120" w:after="120"/>
        <w:jc w:val="both"/>
        <w:rPr>
          <w:rFonts w:eastAsia="Calibri"/>
          <w:szCs w:val="24"/>
          <w:lang w:val="bg-BG"/>
        </w:rPr>
      </w:pPr>
      <w:r w:rsidRPr="00DE30C3">
        <w:rPr>
          <w:rFonts w:eastAsia="Calibri"/>
          <w:b/>
          <w:szCs w:val="24"/>
          <w:lang w:val="bg-BG"/>
        </w:rPr>
        <w:t xml:space="preserve">Срок за съгласуване по Фаза </w:t>
      </w:r>
      <w:r w:rsidRPr="00DE30C3">
        <w:rPr>
          <w:rFonts w:eastAsia="Calibri"/>
          <w:b/>
          <w:szCs w:val="24"/>
        </w:rPr>
        <w:t>2</w:t>
      </w:r>
      <w:r w:rsidRPr="00DE30C3">
        <w:rPr>
          <w:rFonts w:eastAsia="Calibri"/>
          <w:b/>
          <w:szCs w:val="24"/>
          <w:lang w:val="bg-BG"/>
        </w:rPr>
        <w:t xml:space="preserve"> от Етап 1: </w:t>
      </w:r>
      <w:proofErr w:type="spellStart"/>
      <w:r w:rsidRPr="00DE30C3">
        <w:rPr>
          <w:rFonts w:eastAsia="Calibri"/>
          <w:b/>
          <w:szCs w:val="24"/>
          <w:u w:val="single"/>
          <w:lang w:val="bg-BG"/>
        </w:rPr>
        <w:t>1</w:t>
      </w:r>
      <w:proofErr w:type="spellEnd"/>
      <w:r w:rsidRPr="00DE30C3">
        <w:rPr>
          <w:rFonts w:eastAsia="Calibri"/>
          <w:b/>
          <w:szCs w:val="24"/>
          <w:u w:val="single"/>
          <w:lang w:val="bg-BG"/>
        </w:rPr>
        <w:t xml:space="preserve"> (един месец)</w:t>
      </w:r>
      <w:r w:rsidRPr="00DE30C3">
        <w:rPr>
          <w:rFonts w:eastAsia="Calibri"/>
          <w:szCs w:val="24"/>
          <w:lang w:val="bg-BG"/>
        </w:rPr>
        <w:t xml:space="preserve"> от датата на предоставяне на Плана за действие.</w:t>
      </w:r>
    </w:p>
    <w:p w:rsidR="00E72CEA" w:rsidRPr="00DE30C3" w:rsidRDefault="00E72CEA" w:rsidP="00E72CEA">
      <w:pPr>
        <w:tabs>
          <w:tab w:val="left" w:pos="0"/>
        </w:tabs>
        <w:spacing w:after="120"/>
        <w:rPr>
          <w:rFonts w:eastAsia="Calibri"/>
          <w:szCs w:val="24"/>
          <w:lang w:val="bg-BG"/>
        </w:rPr>
      </w:pPr>
      <w:r w:rsidRPr="00DE30C3">
        <w:rPr>
          <w:rFonts w:eastAsia="Calibri"/>
          <w:b/>
          <w:szCs w:val="24"/>
          <w:lang w:val="bg-BG"/>
        </w:rPr>
        <w:t xml:space="preserve">Срок за </w:t>
      </w:r>
      <w:r w:rsidRPr="00DE30C3">
        <w:rPr>
          <w:rFonts w:eastAsia="Calibri"/>
          <w:b/>
          <w:color w:val="000000"/>
          <w:szCs w:val="24"/>
          <w:lang w:val="bg-BG"/>
        </w:rPr>
        <w:t xml:space="preserve">изпълнение, съгласуване и приемане на </w:t>
      </w:r>
      <w:r w:rsidRPr="00DE30C3">
        <w:rPr>
          <w:rFonts w:eastAsia="Calibri"/>
          <w:b/>
          <w:szCs w:val="24"/>
          <w:lang w:val="bg-BG"/>
        </w:rPr>
        <w:t>етап 1 (фаза 1 и фаза 2)</w:t>
      </w:r>
      <w:r w:rsidRPr="00DE30C3">
        <w:rPr>
          <w:rFonts w:eastAsia="Calibri"/>
          <w:szCs w:val="24"/>
          <w:lang w:val="bg-BG"/>
        </w:rPr>
        <w:t xml:space="preserve">: </w:t>
      </w:r>
      <w:r w:rsidRPr="00DE30C3">
        <w:rPr>
          <w:rFonts w:eastAsia="Calibri"/>
          <w:b/>
          <w:szCs w:val="24"/>
          <w:u w:val="single"/>
          <w:lang w:val="bg-BG"/>
        </w:rPr>
        <w:t>общо до 3 (три) месеца</w:t>
      </w:r>
      <w:r w:rsidRPr="00DE30C3">
        <w:rPr>
          <w:rFonts w:eastAsia="Calibri"/>
          <w:szCs w:val="24"/>
          <w:lang w:val="bg-BG"/>
        </w:rPr>
        <w:t xml:space="preserve"> от датата на подписване на договора между Възложителя и Изпълнителя. </w:t>
      </w:r>
    </w:p>
    <w:p w:rsidR="00E72CEA" w:rsidRPr="00DE30C3" w:rsidRDefault="00E72CEA" w:rsidP="00E72CEA">
      <w:pPr>
        <w:tabs>
          <w:tab w:val="left" w:pos="0"/>
        </w:tabs>
        <w:spacing w:before="120" w:after="120"/>
        <w:jc w:val="both"/>
        <w:rPr>
          <w:rFonts w:eastAsia="Calibri"/>
          <w:b/>
          <w:szCs w:val="24"/>
          <w:u w:val="single"/>
        </w:rPr>
      </w:pPr>
    </w:p>
    <w:p w:rsidR="00E72CEA" w:rsidRPr="00DE30C3" w:rsidRDefault="00E72CEA" w:rsidP="00E72CEA">
      <w:pPr>
        <w:tabs>
          <w:tab w:val="left" w:pos="0"/>
        </w:tabs>
        <w:spacing w:before="120" w:after="120"/>
        <w:jc w:val="both"/>
        <w:rPr>
          <w:rFonts w:eastAsia="Calibri"/>
          <w:szCs w:val="24"/>
          <w:lang w:val="bg-BG"/>
        </w:rPr>
      </w:pPr>
      <w:r w:rsidRPr="00DE30C3">
        <w:rPr>
          <w:rFonts w:eastAsia="Calibri"/>
          <w:b/>
          <w:szCs w:val="24"/>
          <w:u w:val="single"/>
          <w:lang w:val="bg-BG"/>
        </w:rPr>
        <w:t>ЕТАП 2</w:t>
      </w:r>
      <w:r w:rsidRPr="00DE30C3">
        <w:rPr>
          <w:rFonts w:eastAsia="Calibri"/>
          <w:b/>
          <w:szCs w:val="24"/>
          <w:lang w:val="bg-BG"/>
        </w:rPr>
        <w:t>:</w:t>
      </w:r>
      <w:r w:rsidRPr="00DE30C3">
        <w:rPr>
          <w:rFonts w:eastAsia="Calibri"/>
          <w:szCs w:val="22"/>
          <w:lang w:val="bg-BG"/>
        </w:rPr>
        <w:t xml:space="preserve"> </w:t>
      </w:r>
      <w:r w:rsidRPr="00DE30C3">
        <w:rPr>
          <w:rFonts w:eastAsia="Calibri"/>
          <w:b/>
          <w:szCs w:val="24"/>
          <w:lang w:val="bg-BG"/>
        </w:rPr>
        <w:t>Същински етап, който протича в две фази, както следва:</w:t>
      </w:r>
    </w:p>
    <w:p w:rsidR="00E72CEA" w:rsidRPr="00DE30C3" w:rsidRDefault="00E72CEA" w:rsidP="00E72CEA">
      <w:pPr>
        <w:numPr>
          <w:ilvl w:val="0"/>
          <w:numId w:val="7"/>
        </w:numPr>
        <w:spacing w:before="120" w:after="200"/>
        <w:ind w:left="0" w:firstLine="360"/>
        <w:contextualSpacing/>
        <w:jc w:val="both"/>
        <w:rPr>
          <w:rFonts w:eastAsia="Calibri"/>
          <w:color w:val="000000"/>
          <w:szCs w:val="24"/>
          <w:lang w:val="bg-BG"/>
        </w:rPr>
      </w:pPr>
      <w:r w:rsidRPr="00DE30C3">
        <w:rPr>
          <w:rFonts w:eastAsia="Calibri"/>
          <w:b/>
          <w:szCs w:val="24"/>
          <w:u w:val="single"/>
          <w:lang w:val="bg-BG"/>
        </w:rPr>
        <w:t>Фаза 1</w:t>
      </w:r>
      <w:r w:rsidRPr="00DE30C3">
        <w:rPr>
          <w:rFonts w:eastAsia="Calibri"/>
          <w:szCs w:val="24"/>
          <w:lang w:val="bg-BG"/>
        </w:rPr>
        <w:t xml:space="preserve">: </w:t>
      </w:r>
    </w:p>
    <w:p w:rsidR="00E72CEA" w:rsidRPr="00DE30C3" w:rsidRDefault="00E72CEA" w:rsidP="00E72CEA">
      <w:pPr>
        <w:spacing w:before="120"/>
        <w:contextualSpacing/>
        <w:jc w:val="both"/>
        <w:rPr>
          <w:rFonts w:eastAsia="Calibri"/>
          <w:color w:val="000000"/>
          <w:szCs w:val="24"/>
          <w:lang w:val="bg-BG"/>
        </w:rPr>
      </w:pPr>
      <w:r w:rsidRPr="00DE30C3">
        <w:rPr>
          <w:rFonts w:eastAsia="Calibri"/>
          <w:color w:val="000000"/>
          <w:szCs w:val="24"/>
          <w:lang w:val="bg-BG"/>
        </w:rPr>
        <w:t xml:space="preserve">1.) Извършване на документална инвентаризация на веществото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чрез разпращане на въпросник до определените лица – обект на инвентаризацията за набиране на информация за наличие на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по видове употреби. Инвентаризацията на веществото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ще включва: </w:t>
      </w:r>
    </w:p>
    <w:p w:rsidR="00E72CEA" w:rsidRPr="00DE30C3" w:rsidRDefault="00E72CEA" w:rsidP="00E72CEA">
      <w:pPr>
        <w:numPr>
          <w:ilvl w:val="0"/>
          <w:numId w:val="2"/>
        </w:numPr>
        <w:spacing w:before="120" w:after="200"/>
        <w:ind w:left="0" w:firstLine="360"/>
        <w:contextualSpacing/>
        <w:jc w:val="both"/>
        <w:rPr>
          <w:rFonts w:eastAsia="Calibri"/>
          <w:color w:val="000000"/>
          <w:szCs w:val="24"/>
          <w:lang w:val="bg-BG"/>
        </w:rPr>
      </w:pPr>
      <w:r w:rsidRPr="00DE30C3">
        <w:rPr>
          <w:rFonts w:eastAsia="Calibri"/>
          <w:color w:val="000000"/>
          <w:szCs w:val="24"/>
          <w:lang w:val="bg-BG"/>
        </w:rPr>
        <w:t xml:space="preserve">обща информация (структурно- механични, химични, физични и токсикологични и </w:t>
      </w:r>
      <w:proofErr w:type="spellStart"/>
      <w:r w:rsidRPr="00DE30C3">
        <w:rPr>
          <w:rFonts w:eastAsia="Calibri"/>
          <w:color w:val="000000"/>
          <w:szCs w:val="24"/>
          <w:lang w:val="bg-BG"/>
        </w:rPr>
        <w:t>екотоксикологични</w:t>
      </w:r>
      <w:proofErr w:type="spellEnd"/>
      <w:r w:rsidRPr="00DE30C3">
        <w:rPr>
          <w:rFonts w:eastAsia="Calibri"/>
          <w:color w:val="000000"/>
          <w:szCs w:val="24"/>
          <w:lang w:val="bg-BG"/>
        </w:rPr>
        <w:t xml:space="preserve"> характеристики); </w:t>
      </w:r>
    </w:p>
    <w:p w:rsidR="00E72CEA" w:rsidRPr="00DE30C3" w:rsidRDefault="00E72CEA" w:rsidP="00E72CEA">
      <w:pPr>
        <w:numPr>
          <w:ilvl w:val="0"/>
          <w:numId w:val="2"/>
        </w:numPr>
        <w:spacing w:before="120" w:after="200"/>
        <w:contextualSpacing/>
        <w:jc w:val="both"/>
        <w:rPr>
          <w:rFonts w:eastAsia="Calibri"/>
          <w:color w:val="000000"/>
          <w:szCs w:val="24"/>
          <w:lang w:val="bg-BG"/>
        </w:rPr>
      </w:pPr>
      <w:r w:rsidRPr="00DE30C3">
        <w:rPr>
          <w:rFonts w:eastAsia="Calibri"/>
          <w:color w:val="000000"/>
          <w:szCs w:val="24"/>
          <w:lang w:val="bg-BG"/>
        </w:rPr>
        <w:t xml:space="preserve">производители на веществото; </w:t>
      </w:r>
    </w:p>
    <w:p w:rsidR="00E72CEA" w:rsidRPr="00DE30C3" w:rsidRDefault="00E72CEA" w:rsidP="00E72CEA">
      <w:pPr>
        <w:numPr>
          <w:ilvl w:val="0"/>
          <w:numId w:val="2"/>
        </w:numPr>
        <w:spacing w:before="120" w:after="200"/>
        <w:ind w:left="0" w:firstLine="360"/>
        <w:contextualSpacing/>
        <w:jc w:val="both"/>
        <w:rPr>
          <w:rFonts w:eastAsia="Calibri"/>
          <w:color w:val="000000"/>
          <w:szCs w:val="24"/>
          <w:lang w:val="bg-BG"/>
        </w:rPr>
      </w:pPr>
      <w:r w:rsidRPr="00DE30C3">
        <w:rPr>
          <w:rFonts w:eastAsia="Calibri"/>
          <w:color w:val="000000"/>
          <w:szCs w:val="24"/>
          <w:lang w:val="bg-BG"/>
        </w:rPr>
        <w:lastRenderedPageBreak/>
        <w:t xml:space="preserve">международно, Европейско и национално законодателство за веществото, забрани и ограничения за производство, пускане на пазара и употреба и управление на отпадъци, съдържащи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w:t>
      </w:r>
    </w:p>
    <w:p w:rsidR="00E72CEA" w:rsidRPr="00DE30C3" w:rsidRDefault="00E72CEA" w:rsidP="00E72CEA">
      <w:pPr>
        <w:numPr>
          <w:ilvl w:val="0"/>
          <w:numId w:val="2"/>
        </w:numPr>
        <w:spacing w:before="120" w:after="200"/>
        <w:contextualSpacing/>
        <w:jc w:val="both"/>
        <w:rPr>
          <w:rFonts w:eastAsia="Calibri"/>
          <w:color w:val="000000"/>
          <w:szCs w:val="24"/>
          <w:lang w:val="bg-BG"/>
        </w:rPr>
      </w:pPr>
      <w:r w:rsidRPr="00DE30C3">
        <w:rPr>
          <w:rFonts w:eastAsia="Calibri"/>
          <w:color w:val="000000"/>
          <w:szCs w:val="24"/>
          <w:lang w:val="bg-BG"/>
        </w:rPr>
        <w:t xml:space="preserve">изключения за производство и употреба; </w:t>
      </w:r>
    </w:p>
    <w:p w:rsidR="00E72CEA" w:rsidRPr="00DE30C3" w:rsidRDefault="00E72CEA" w:rsidP="00E72CEA">
      <w:pPr>
        <w:numPr>
          <w:ilvl w:val="0"/>
          <w:numId w:val="2"/>
        </w:numPr>
        <w:spacing w:before="120" w:after="200"/>
        <w:ind w:left="0" w:firstLine="360"/>
        <w:contextualSpacing/>
        <w:jc w:val="both"/>
        <w:rPr>
          <w:rFonts w:eastAsia="Calibri"/>
          <w:color w:val="000000"/>
          <w:szCs w:val="24"/>
          <w:lang w:val="bg-BG"/>
        </w:rPr>
      </w:pPr>
      <w:r w:rsidRPr="00DE30C3">
        <w:rPr>
          <w:rFonts w:eastAsia="Calibri"/>
          <w:color w:val="000000"/>
          <w:szCs w:val="24"/>
          <w:lang w:val="bg-BG"/>
        </w:rPr>
        <w:t xml:space="preserve">разрешаване; видове употреби и идентифициране на индустриалните сектори/фирми по видове употреби на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(исторически и настоящи употреби на ниво ЕС и в страната); </w:t>
      </w:r>
    </w:p>
    <w:p w:rsidR="00E72CEA" w:rsidRPr="00DE30C3" w:rsidRDefault="00E72CEA" w:rsidP="00E72CEA">
      <w:pPr>
        <w:numPr>
          <w:ilvl w:val="0"/>
          <w:numId w:val="2"/>
        </w:numPr>
        <w:spacing w:before="120" w:after="200"/>
        <w:contextualSpacing/>
        <w:jc w:val="both"/>
        <w:rPr>
          <w:rFonts w:eastAsia="Calibri"/>
          <w:color w:val="000000"/>
          <w:szCs w:val="24"/>
          <w:lang w:val="bg-BG"/>
        </w:rPr>
      </w:pPr>
      <w:r w:rsidRPr="00DE30C3">
        <w:rPr>
          <w:rFonts w:eastAsia="Calibri"/>
          <w:color w:val="000000"/>
          <w:szCs w:val="24"/>
          <w:lang w:val="bg-BG"/>
        </w:rPr>
        <w:t xml:space="preserve">специфични изключения за производство и употреба на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w:t>
      </w:r>
    </w:p>
    <w:p w:rsidR="00E72CEA" w:rsidRPr="00DE30C3" w:rsidRDefault="00E72CEA" w:rsidP="00E72CEA">
      <w:pPr>
        <w:numPr>
          <w:ilvl w:val="0"/>
          <w:numId w:val="2"/>
        </w:numPr>
        <w:spacing w:before="120" w:after="200"/>
        <w:ind w:left="0" w:firstLine="360"/>
        <w:contextualSpacing/>
        <w:jc w:val="both"/>
        <w:rPr>
          <w:rFonts w:eastAsia="Calibri"/>
          <w:color w:val="000000"/>
          <w:szCs w:val="24"/>
          <w:lang w:val="bg-BG"/>
        </w:rPr>
      </w:pPr>
      <w:r w:rsidRPr="00DE30C3">
        <w:rPr>
          <w:rFonts w:eastAsia="Calibri"/>
          <w:color w:val="000000"/>
          <w:szCs w:val="24"/>
          <w:lang w:val="bg-BG"/>
        </w:rPr>
        <w:t xml:space="preserve">разрешени употреби; производители на продукти и изделия, съдържащи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в страната; </w:t>
      </w:r>
    </w:p>
    <w:p w:rsidR="00E72CEA" w:rsidRPr="00DE30C3" w:rsidRDefault="00E72CEA" w:rsidP="00E72CEA">
      <w:pPr>
        <w:numPr>
          <w:ilvl w:val="0"/>
          <w:numId w:val="2"/>
        </w:numPr>
        <w:spacing w:before="120" w:after="200"/>
        <w:ind w:left="0" w:firstLine="360"/>
        <w:contextualSpacing/>
        <w:jc w:val="both"/>
        <w:rPr>
          <w:rFonts w:eastAsia="Calibri"/>
          <w:color w:val="000000"/>
          <w:szCs w:val="24"/>
          <w:lang w:val="bg-BG"/>
        </w:rPr>
      </w:pPr>
      <w:r w:rsidRPr="00DE30C3">
        <w:rPr>
          <w:rFonts w:eastAsia="Calibri"/>
          <w:color w:val="000000"/>
          <w:szCs w:val="24"/>
          <w:lang w:val="bg-BG"/>
        </w:rPr>
        <w:t xml:space="preserve">пускане на пазара и употреба по видове употреби в самостоятелен вид; в смеси; в продукти и изделия (идентифициране на потребители надолу по веригата); </w:t>
      </w:r>
    </w:p>
    <w:p w:rsidR="00E72CEA" w:rsidRPr="00DE30C3" w:rsidRDefault="00E72CEA" w:rsidP="00E72CEA">
      <w:pPr>
        <w:numPr>
          <w:ilvl w:val="0"/>
          <w:numId w:val="2"/>
        </w:numPr>
        <w:spacing w:before="120" w:after="200"/>
        <w:ind w:left="0" w:firstLine="360"/>
        <w:contextualSpacing/>
        <w:jc w:val="both"/>
        <w:rPr>
          <w:rFonts w:eastAsia="Calibri"/>
          <w:color w:val="000000"/>
          <w:szCs w:val="24"/>
          <w:lang w:val="bg-BG"/>
        </w:rPr>
      </w:pPr>
      <w:r w:rsidRPr="00DE30C3">
        <w:rPr>
          <w:rFonts w:eastAsia="Calibri"/>
          <w:color w:val="000000"/>
          <w:szCs w:val="24"/>
          <w:lang w:val="bg-BG"/>
        </w:rPr>
        <w:t xml:space="preserve">внос и износ на изделия (идентифициране на вносители и износители), съдържащи </w:t>
      </w:r>
      <w:proofErr w:type="spellStart"/>
      <w:r w:rsidRPr="00DE30C3">
        <w:rPr>
          <w:rFonts w:eastAsia="Calibri"/>
          <w:color w:val="000000"/>
          <w:szCs w:val="24"/>
          <w:lang w:val="bg-BG"/>
        </w:rPr>
        <w:t>deca-BDE</w:t>
      </w:r>
      <w:proofErr w:type="spellEnd"/>
      <w:r w:rsidRPr="00DE30C3">
        <w:rPr>
          <w:rFonts w:eastAsia="Calibri"/>
          <w:color w:val="000000"/>
          <w:szCs w:val="24"/>
          <w:lang w:val="bg-BG"/>
        </w:rPr>
        <w:t xml:space="preserve">  по видове употреби  и по индустриални сектори в страната; </w:t>
      </w:r>
    </w:p>
    <w:p w:rsidR="00E72CEA" w:rsidRPr="00DE30C3" w:rsidRDefault="00E72CEA" w:rsidP="00E72CEA">
      <w:pPr>
        <w:numPr>
          <w:ilvl w:val="0"/>
          <w:numId w:val="2"/>
        </w:numPr>
        <w:spacing w:before="120" w:after="200"/>
        <w:contextualSpacing/>
        <w:jc w:val="both"/>
        <w:rPr>
          <w:rFonts w:eastAsia="Calibri"/>
          <w:color w:val="000000"/>
          <w:szCs w:val="24"/>
          <w:lang w:val="bg-BG"/>
        </w:rPr>
      </w:pPr>
      <w:r w:rsidRPr="00DE30C3">
        <w:rPr>
          <w:rFonts w:eastAsia="Calibri"/>
          <w:color w:val="000000"/>
          <w:szCs w:val="24"/>
          <w:lang w:val="bg-BG"/>
        </w:rPr>
        <w:t xml:space="preserve">алтернативи за замяна на </w:t>
      </w:r>
      <w:proofErr w:type="spellStart"/>
      <w:r w:rsidRPr="00DE30C3">
        <w:rPr>
          <w:rFonts w:eastAsia="Calibri"/>
          <w:color w:val="000000"/>
          <w:szCs w:val="24"/>
          <w:lang w:val="bg-BG"/>
        </w:rPr>
        <w:t>deca-BDE</w:t>
      </w:r>
      <w:proofErr w:type="spellEnd"/>
      <w:r w:rsidRPr="00DE30C3">
        <w:rPr>
          <w:rFonts w:eastAsia="Calibri"/>
          <w:color w:val="000000"/>
          <w:szCs w:val="24"/>
          <w:lang w:val="bg-BG"/>
        </w:rPr>
        <w:t>.</w:t>
      </w:r>
    </w:p>
    <w:p w:rsidR="00E72CEA" w:rsidRPr="00DE30C3" w:rsidRDefault="00E72CEA" w:rsidP="00E72CEA">
      <w:pPr>
        <w:spacing w:before="120"/>
        <w:contextualSpacing/>
        <w:jc w:val="both"/>
        <w:rPr>
          <w:rFonts w:eastAsia="Calibri"/>
          <w:color w:val="FF0000"/>
          <w:szCs w:val="24"/>
          <w:lang w:val="bg-BG"/>
        </w:rPr>
      </w:pPr>
      <w:r w:rsidRPr="00DE30C3">
        <w:rPr>
          <w:rFonts w:eastAsia="Calibri"/>
          <w:color w:val="000000"/>
          <w:szCs w:val="24"/>
          <w:lang w:val="bg-BG"/>
        </w:rPr>
        <w:t>2.) Извършване на същинската актуализация на НПДУУОЗ</w:t>
      </w:r>
      <w:r w:rsidRPr="00DE30C3">
        <w:rPr>
          <w:rFonts w:eastAsia="Calibri"/>
          <w:color w:val="000000"/>
          <w:szCs w:val="22"/>
          <w:lang w:val="bg-BG"/>
        </w:rPr>
        <w:t xml:space="preserve"> </w:t>
      </w:r>
      <w:r w:rsidRPr="00DE30C3">
        <w:rPr>
          <w:rFonts w:eastAsia="Calibri"/>
          <w:color w:val="000000"/>
          <w:szCs w:val="24"/>
          <w:lang w:val="bg-BG"/>
        </w:rPr>
        <w:t xml:space="preserve">на база съгласувания с Възложителя </w:t>
      </w:r>
      <w:r w:rsidRPr="00DE30C3">
        <w:rPr>
          <w:rFonts w:eastAsia="Calibri"/>
          <w:szCs w:val="24"/>
          <w:lang w:val="bg-BG"/>
        </w:rPr>
        <w:t xml:space="preserve">План за действие и изготвяне на проект на обобщен НПДУУОЗ с информация за всички 28 УОЗ вещества, включени в конвенцията и регламента. </w:t>
      </w:r>
    </w:p>
    <w:p w:rsidR="00E72CEA" w:rsidRPr="00DE30C3" w:rsidRDefault="00E72CEA" w:rsidP="00E72CEA">
      <w:pPr>
        <w:tabs>
          <w:tab w:val="left" w:pos="0"/>
        </w:tabs>
        <w:spacing w:before="120" w:after="120"/>
        <w:jc w:val="both"/>
        <w:rPr>
          <w:rFonts w:eastAsia="Calibri"/>
          <w:szCs w:val="24"/>
          <w:lang w:val="bg-BG"/>
        </w:rPr>
      </w:pPr>
      <w:r w:rsidRPr="00DE30C3">
        <w:rPr>
          <w:rFonts w:eastAsia="Calibri"/>
          <w:szCs w:val="24"/>
          <w:lang w:val="bg-BG"/>
        </w:rPr>
        <w:t xml:space="preserve">Предаване по електронен път на изготвения от Изпълнителя проект на НПДУУОЗ за преглед и предварително съгласуване от упълномощените представители (комисия) на Възложителя (МОСВ). </w:t>
      </w:r>
    </w:p>
    <w:p w:rsidR="00E72CEA" w:rsidRPr="00DE30C3" w:rsidRDefault="00E72CEA" w:rsidP="00E72CEA">
      <w:pPr>
        <w:tabs>
          <w:tab w:val="left" w:pos="0"/>
          <w:tab w:val="left" w:pos="851"/>
          <w:tab w:val="left" w:pos="1260"/>
        </w:tabs>
        <w:spacing w:after="120"/>
        <w:jc w:val="both"/>
        <w:rPr>
          <w:rFonts w:eastAsia="Calibri"/>
          <w:szCs w:val="24"/>
          <w:lang w:val="bg-BG"/>
        </w:rPr>
      </w:pPr>
      <w:r w:rsidRPr="00DE30C3">
        <w:rPr>
          <w:rFonts w:eastAsia="Calibri"/>
          <w:b/>
          <w:szCs w:val="24"/>
          <w:lang w:val="bg-BG"/>
        </w:rPr>
        <w:t xml:space="preserve">Срок за </w:t>
      </w:r>
      <w:r w:rsidRPr="00DE30C3">
        <w:rPr>
          <w:rFonts w:eastAsia="Calibri"/>
          <w:b/>
          <w:color w:val="000000"/>
          <w:szCs w:val="24"/>
          <w:lang w:val="bg-BG"/>
        </w:rPr>
        <w:t xml:space="preserve">изпълнение </w:t>
      </w:r>
      <w:r w:rsidRPr="00DE30C3">
        <w:rPr>
          <w:rFonts w:eastAsia="Calibri"/>
          <w:b/>
          <w:szCs w:val="24"/>
          <w:lang w:val="bg-BG"/>
        </w:rPr>
        <w:t>по Фаза 1 от Етап 2</w:t>
      </w:r>
      <w:r w:rsidRPr="00DE30C3">
        <w:rPr>
          <w:rFonts w:eastAsia="Calibri"/>
          <w:szCs w:val="24"/>
          <w:lang w:val="bg-BG"/>
        </w:rPr>
        <w:t>:</w:t>
      </w:r>
      <w:r w:rsidRPr="00DE30C3">
        <w:rPr>
          <w:rFonts w:eastAsia="Calibri"/>
          <w:szCs w:val="24"/>
        </w:rPr>
        <w:t xml:space="preserve"> </w:t>
      </w:r>
      <w:r w:rsidRPr="00DE30C3">
        <w:rPr>
          <w:rFonts w:eastAsia="Calibri"/>
          <w:szCs w:val="24"/>
          <w:lang w:val="bg-BG"/>
        </w:rPr>
        <w:t xml:space="preserve">до </w:t>
      </w:r>
      <w:r w:rsidRPr="00DE30C3">
        <w:rPr>
          <w:rFonts w:eastAsia="Calibri"/>
          <w:b/>
          <w:szCs w:val="24"/>
          <w:u w:val="single"/>
          <w:lang w:val="bg-BG"/>
        </w:rPr>
        <w:t>9 (девет) месеца</w:t>
      </w:r>
      <w:r w:rsidRPr="00DE30C3">
        <w:rPr>
          <w:rFonts w:eastAsia="Calibri"/>
          <w:szCs w:val="24"/>
          <w:lang w:val="bg-BG"/>
        </w:rPr>
        <w:t xml:space="preserve"> от датата на приемане на изпълнението на Етап 1.</w:t>
      </w:r>
    </w:p>
    <w:p w:rsidR="00E72CEA" w:rsidRPr="00DE30C3" w:rsidRDefault="00E72CEA" w:rsidP="00E72CEA">
      <w:pPr>
        <w:numPr>
          <w:ilvl w:val="0"/>
          <w:numId w:val="7"/>
        </w:numPr>
        <w:tabs>
          <w:tab w:val="left" w:pos="0"/>
        </w:tabs>
        <w:spacing w:before="120" w:after="120"/>
        <w:ind w:left="0" w:firstLine="360"/>
        <w:jc w:val="both"/>
        <w:rPr>
          <w:rFonts w:eastAsia="Calibri"/>
          <w:szCs w:val="24"/>
          <w:lang w:val="bg-BG"/>
        </w:rPr>
      </w:pPr>
      <w:r w:rsidRPr="00DE30C3">
        <w:rPr>
          <w:rFonts w:eastAsia="Calibri"/>
          <w:b/>
          <w:szCs w:val="24"/>
          <w:u w:val="single"/>
          <w:lang w:val="bg-BG"/>
        </w:rPr>
        <w:t>Фаза 2:</w:t>
      </w:r>
      <w:r w:rsidRPr="00DE30C3">
        <w:rPr>
          <w:rFonts w:eastAsia="Calibri"/>
          <w:szCs w:val="24"/>
          <w:lang w:val="bg-BG"/>
        </w:rPr>
        <w:t xml:space="preserve"> </w:t>
      </w:r>
      <w:r w:rsidRPr="006A0570">
        <w:rPr>
          <w:rFonts w:eastAsia="Calibri"/>
          <w:szCs w:val="24"/>
          <w:u w:val="single"/>
          <w:lang w:val="bg-BG"/>
        </w:rPr>
        <w:t xml:space="preserve">Съгласуване с Комисията на изготвения от Изпълнителя проект на актуализиран НПДУУОЗ. Изготвяне на </w:t>
      </w:r>
      <w:proofErr w:type="spellStart"/>
      <w:r w:rsidRPr="006A0570">
        <w:rPr>
          <w:rFonts w:eastAsia="Calibri"/>
          <w:szCs w:val="24"/>
          <w:u w:val="single"/>
          <w:lang w:val="bg-BG"/>
        </w:rPr>
        <w:t>съгласувателно</w:t>
      </w:r>
      <w:proofErr w:type="spellEnd"/>
      <w:r w:rsidRPr="006A0570">
        <w:rPr>
          <w:rFonts w:eastAsia="Calibri"/>
          <w:szCs w:val="24"/>
          <w:u w:val="single"/>
          <w:lang w:val="bg-BG"/>
        </w:rPr>
        <w:t xml:space="preserve"> становище от Комисията (наричано по-нататък за краткост</w:t>
      </w:r>
      <w:r w:rsidRPr="00DE30C3">
        <w:rPr>
          <w:rFonts w:eastAsia="Calibri"/>
          <w:szCs w:val="24"/>
          <w:lang w:val="bg-BG"/>
        </w:rPr>
        <w:t xml:space="preserve"> и </w:t>
      </w:r>
      <w:r w:rsidRPr="00DE30C3">
        <w:rPr>
          <w:rFonts w:eastAsia="Calibri"/>
          <w:b/>
          <w:szCs w:val="24"/>
          <w:lang w:val="bg-BG"/>
        </w:rPr>
        <w:t>„Окончателно становище“</w:t>
      </w:r>
      <w:r w:rsidRPr="00DE30C3">
        <w:rPr>
          <w:rFonts w:eastAsia="Calibri"/>
          <w:szCs w:val="24"/>
          <w:lang w:val="bg-BG"/>
        </w:rPr>
        <w:t>) относно структурата и съдържанието на предоставения от Изпълнителя проект на НПДУУОЗ, включващо при необходимост съответни бележки и препоръки за отстраняване на непълноти и несъответствия. Изготвеното от Възложителя Окончателно становище се предоставя от Възложителя на Изпълнителя по електронен път. Етап 2 се приема от Възложителя с Констативен протокол, подписан от Изпълнителя и Възложителя в 3 екземпляра, 2 от които за Възложителя, а 1- за Изпълнителя.</w:t>
      </w:r>
    </w:p>
    <w:p w:rsidR="00E72CEA" w:rsidRPr="00DE30C3" w:rsidRDefault="00E72CEA" w:rsidP="00E72CEA">
      <w:pPr>
        <w:tabs>
          <w:tab w:val="left" w:pos="0"/>
          <w:tab w:val="left" w:pos="851"/>
          <w:tab w:val="left" w:pos="1260"/>
        </w:tabs>
        <w:spacing w:after="120"/>
        <w:jc w:val="both"/>
        <w:rPr>
          <w:rFonts w:eastAsia="Calibri"/>
          <w:color w:val="000000"/>
          <w:szCs w:val="24"/>
          <w:lang w:val="bg-BG"/>
        </w:rPr>
      </w:pPr>
      <w:r w:rsidRPr="00DE30C3">
        <w:rPr>
          <w:rFonts w:eastAsia="Calibri"/>
          <w:b/>
          <w:szCs w:val="24"/>
          <w:lang w:val="bg-BG"/>
        </w:rPr>
        <w:t>Срок за съгласуване,  по Фаза 2 от Етап 2</w:t>
      </w:r>
      <w:r w:rsidRPr="00DE30C3">
        <w:rPr>
          <w:rFonts w:eastAsia="Calibri"/>
          <w:szCs w:val="24"/>
          <w:lang w:val="bg-BG"/>
        </w:rPr>
        <w:t>:</w:t>
      </w:r>
      <w:r w:rsidRPr="00DE30C3">
        <w:rPr>
          <w:rFonts w:eastAsia="Calibri"/>
          <w:szCs w:val="24"/>
        </w:rPr>
        <w:t xml:space="preserve"> </w:t>
      </w:r>
      <w:r w:rsidRPr="00DE30C3">
        <w:rPr>
          <w:rFonts w:eastAsia="Calibri"/>
          <w:szCs w:val="24"/>
          <w:lang w:val="bg-BG"/>
        </w:rPr>
        <w:t xml:space="preserve">до </w:t>
      </w:r>
      <w:r w:rsidRPr="00DE30C3">
        <w:rPr>
          <w:rFonts w:eastAsia="Calibri"/>
          <w:b/>
          <w:szCs w:val="24"/>
          <w:u w:val="single"/>
          <w:lang w:val="bg-BG"/>
        </w:rPr>
        <w:t>1 (един) месец</w:t>
      </w:r>
      <w:r w:rsidRPr="00DE30C3">
        <w:rPr>
          <w:rFonts w:eastAsia="Calibri"/>
          <w:szCs w:val="24"/>
          <w:lang w:val="bg-BG"/>
        </w:rPr>
        <w:t xml:space="preserve"> от датата на предоставяне </w:t>
      </w:r>
      <w:r w:rsidRPr="00DE30C3">
        <w:rPr>
          <w:rFonts w:eastAsia="Calibri"/>
          <w:color w:val="000000"/>
          <w:szCs w:val="24"/>
          <w:lang w:val="bg-BG"/>
        </w:rPr>
        <w:t xml:space="preserve">на проекта на актуализирания НПДУУОЗ. </w:t>
      </w:r>
    </w:p>
    <w:p w:rsidR="00E72CEA" w:rsidRPr="00DE30C3" w:rsidRDefault="00E72CEA" w:rsidP="00E72CEA">
      <w:pPr>
        <w:tabs>
          <w:tab w:val="left" w:pos="0"/>
        </w:tabs>
        <w:spacing w:after="120"/>
        <w:jc w:val="both"/>
        <w:rPr>
          <w:rFonts w:eastAsia="Calibri"/>
          <w:color w:val="000000"/>
          <w:szCs w:val="24"/>
          <w:lang w:val="bg-BG"/>
        </w:rPr>
      </w:pPr>
      <w:r w:rsidRPr="00DE30C3">
        <w:rPr>
          <w:rFonts w:eastAsia="Calibri"/>
          <w:b/>
          <w:color w:val="000000"/>
          <w:szCs w:val="24"/>
          <w:lang w:val="bg-BG"/>
        </w:rPr>
        <w:t>Срок за изпълнение и съгласуване на етап 2 (фаза 1 и фаза 2)</w:t>
      </w:r>
      <w:r w:rsidRPr="00DE30C3">
        <w:rPr>
          <w:rFonts w:eastAsia="Calibri"/>
          <w:color w:val="000000"/>
          <w:szCs w:val="24"/>
          <w:lang w:val="bg-BG"/>
        </w:rPr>
        <w:t xml:space="preserve">: </w:t>
      </w:r>
      <w:r w:rsidRPr="00DE30C3">
        <w:rPr>
          <w:rFonts w:eastAsia="Calibri"/>
          <w:b/>
          <w:color w:val="000000"/>
          <w:szCs w:val="24"/>
          <w:u w:val="single"/>
          <w:lang w:val="bg-BG"/>
        </w:rPr>
        <w:t>общо</w:t>
      </w:r>
      <w:r w:rsidRPr="00DE30C3">
        <w:rPr>
          <w:rFonts w:eastAsia="Calibri"/>
          <w:b/>
          <w:color w:val="000000"/>
          <w:szCs w:val="24"/>
          <w:u w:val="single"/>
        </w:rPr>
        <w:t xml:space="preserve"> </w:t>
      </w:r>
      <w:r w:rsidRPr="00DE30C3">
        <w:rPr>
          <w:rFonts w:eastAsia="Calibri"/>
          <w:b/>
          <w:color w:val="000000"/>
          <w:szCs w:val="24"/>
          <w:u w:val="single"/>
          <w:lang w:val="bg-BG"/>
        </w:rPr>
        <w:t>10 (десет) месеца</w:t>
      </w:r>
      <w:r w:rsidRPr="00DE30C3">
        <w:rPr>
          <w:rFonts w:eastAsia="Calibri"/>
          <w:color w:val="000000"/>
          <w:szCs w:val="24"/>
          <w:lang w:val="bg-BG"/>
        </w:rPr>
        <w:t xml:space="preserve"> от датата на приемане на изпълнението на Етап 1.</w:t>
      </w:r>
    </w:p>
    <w:p w:rsidR="00E72CEA" w:rsidRPr="00DE30C3" w:rsidRDefault="00E72CEA" w:rsidP="00E72CEA">
      <w:pPr>
        <w:tabs>
          <w:tab w:val="left" w:pos="0"/>
        </w:tabs>
        <w:spacing w:after="120"/>
        <w:jc w:val="both"/>
        <w:rPr>
          <w:rFonts w:eastAsia="Calibri"/>
          <w:b/>
          <w:szCs w:val="24"/>
          <w:lang w:val="bg-BG"/>
        </w:rPr>
      </w:pPr>
      <w:r w:rsidRPr="00DE30C3">
        <w:rPr>
          <w:rFonts w:eastAsia="Calibri"/>
          <w:b/>
          <w:szCs w:val="24"/>
          <w:u w:val="single"/>
          <w:lang w:val="bg-BG"/>
        </w:rPr>
        <w:t>ЕТАП 3</w:t>
      </w:r>
      <w:r w:rsidRPr="00DE30C3">
        <w:rPr>
          <w:rFonts w:eastAsia="Calibri"/>
          <w:b/>
          <w:szCs w:val="24"/>
          <w:lang w:val="bg-BG"/>
        </w:rPr>
        <w:t>: Заключителен етап, който протича в една фаза, включваща:</w:t>
      </w:r>
    </w:p>
    <w:p w:rsidR="00E72CEA" w:rsidRPr="00DE30C3" w:rsidRDefault="00E72CEA" w:rsidP="00E72CEA">
      <w:pPr>
        <w:tabs>
          <w:tab w:val="left" w:pos="0"/>
        </w:tabs>
        <w:spacing w:after="120"/>
        <w:jc w:val="both"/>
        <w:rPr>
          <w:rFonts w:eastAsia="Calibri"/>
          <w:szCs w:val="24"/>
          <w:lang w:val="bg-BG"/>
        </w:rPr>
      </w:pPr>
      <w:r w:rsidRPr="00DE30C3">
        <w:rPr>
          <w:rFonts w:eastAsia="Calibri"/>
          <w:szCs w:val="24"/>
          <w:lang w:val="bg-BG"/>
        </w:rPr>
        <w:t>Отразяване от страна на Изпълнителя на всички бележки и препоръки от Окончателното становище на Възложителя, изготвяне и окомплектоване на окончателен актуализиран НПДУУОЗ. Изготвеният от Изпълнителя Окончателен документ се предоставя на Възложителя по електронен път, както и на хартиен, и на електронен носител за приемане от Възложителя. Цялата събрана и генерирана в хода на актуализацията документация на хартия, и в електронен формат се предоставя на Възложителя като приложение към Окончателния доклад</w:t>
      </w:r>
      <w:r w:rsidRPr="00DE30C3">
        <w:rPr>
          <w:rFonts w:eastAsia="Calibri"/>
          <w:szCs w:val="24"/>
        </w:rPr>
        <w:t xml:space="preserve"> </w:t>
      </w:r>
      <w:r w:rsidRPr="00DE30C3">
        <w:rPr>
          <w:rFonts w:eastAsia="Calibri"/>
          <w:szCs w:val="24"/>
          <w:lang w:val="bg-BG"/>
        </w:rPr>
        <w:t xml:space="preserve">на електронен носител. </w:t>
      </w:r>
    </w:p>
    <w:p w:rsidR="00E72CEA" w:rsidRPr="00DE30C3" w:rsidRDefault="00E72CEA" w:rsidP="00E72CEA">
      <w:pPr>
        <w:tabs>
          <w:tab w:val="left" w:pos="0"/>
        </w:tabs>
        <w:spacing w:after="120"/>
        <w:jc w:val="both"/>
        <w:rPr>
          <w:rFonts w:eastAsia="Calibri"/>
          <w:szCs w:val="24"/>
          <w:lang w:val="bg-BG"/>
        </w:rPr>
      </w:pPr>
      <w:r w:rsidRPr="00DE30C3">
        <w:rPr>
          <w:rFonts w:eastAsia="Calibri"/>
          <w:szCs w:val="24"/>
          <w:lang w:val="bg-BG"/>
        </w:rPr>
        <w:lastRenderedPageBreak/>
        <w:t>Етап 3 се приема от Възложителя с Окончателен констативен протокол, подписан от Изпълнителя и Възложителя в 3 екземпляра, 2 от които за Възложителя, и 1-за Изпълнителя.</w:t>
      </w:r>
    </w:p>
    <w:p w:rsidR="00E72CEA" w:rsidRPr="00DE30C3" w:rsidRDefault="00E72CEA" w:rsidP="00E72CEA">
      <w:pPr>
        <w:tabs>
          <w:tab w:val="left" w:pos="0"/>
        </w:tabs>
        <w:spacing w:after="120"/>
        <w:jc w:val="both"/>
        <w:rPr>
          <w:rFonts w:eastAsia="Calibri"/>
          <w:szCs w:val="24"/>
          <w:lang w:val="bg-BG"/>
        </w:rPr>
      </w:pPr>
      <w:r w:rsidRPr="00DE30C3">
        <w:rPr>
          <w:rFonts w:eastAsia="Calibri"/>
          <w:szCs w:val="24"/>
          <w:lang w:val="bg-BG"/>
        </w:rPr>
        <w:t>Преглед и предварително съгласуване от Възложителя (комисията) на изготвения от Изпълнителя проект на актуализиран НПДУУОЗ, изготвяне на становище по структурата и съдържанието на документа и предложените изводи и препоръки, бележки, предложения и необходимост от нанасяне на корекции и изпращане по електронен път на Изпълнителя. Отразяване от Изпълнителя</w:t>
      </w:r>
      <w:r w:rsidRPr="00DE30C3">
        <w:rPr>
          <w:rFonts w:eastAsia="Calibri"/>
          <w:szCs w:val="22"/>
          <w:lang w:val="bg-BG"/>
        </w:rPr>
        <w:t xml:space="preserve"> </w:t>
      </w:r>
      <w:r w:rsidRPr="00DE30C3">
        <w:rPr>
          <w:rFonts w:eastAsia="Calibri"/>
          <w:szCs w:val="24"/>
          <w:lang w:val="bg-BG"/>
        </w:rPr>
        <w:t xml:space="preserve">на всички направени бележки, препоръки, предложения и становища по етап 2 и представяне на окончателен НПДУУОЗ на хартиен носител и по електронен път (на комисията) за окончателно приемане от Възложителя (комисията) чрез </w:t>
      </w:r>
      <w:proofErr w:type="spellStart"/>
      <w:r w:rsidRPr="00DE30C3">
        <w:rPr>
          <w:rFonts w:eastAsia="Calibri"/>
          <w:szCs w:val="24"/>
          <w:lang w:val="bg-BG"/>
        </w:rPr>
        <w:t>Приемо-предавателен</w:t>
      </w:r>
      <w:proofErr w:type="spellEnd"/>
      <w:r w:rsidRPr="00DE30C3">
        <w:rPr>
          <w:rFonts w:eastAsia="Calibri"/>
          <w:szCs w:val="24"/>
          <w:lang w:val="bg-BG"/>
        </w:rPr>
        <w:t xml:space="preserve"> протокол.</w:t>
      </w:r>
    </w:p>
    <w:p w:rsidR="00E72CEA" w:rsidRPr="00DE30C3" w:rsidRDefault="00E72CEA" w:rsidP="00E72CEA">
      <w:pPr>
        <w:tabs>
          <w:tab w:val="left" w:pos="0"/>
        </w:tabs>
        <w:spacing w:after="120"/>
        <w:jc w:val="both"/>
        <w:rPr>
          <w:rFonts w:eastAsia="Calibri"/>
          <w:szCs w:val="24"/>
          <w:lang w:val="bg-BG"/>
        </w:rPr>
      </w:pPr>
      <w:r w:rsidRPr="00DE30C3">
        <w:rPr>
          <w:rFonts w:eastAsia="Calibri"/>
          <w:b/>
          <w:szCs w:val="24"/>
          <w:lang w:val="bg-BG"/>
        </w:rPr>
        <w:t xml:space="preserve">Срок за изпълнение </w:t>
      </w:r>
      <w:r w:rsidRPr="00DE30C3">
        <w:rPr>
          <w:rFonts w:eastAsia="Calibri"/>
          <w:b/>
          <w:color w:val="000000"/>
          <w:szCs w:val="24"/>
          <w:lang w:val="bg-BG"/>
        </w:rPr>
        <w:t>(отразяване на бележки и препоръки</w:t>
      </w:r>
      <w:r w:rsidRPr="00DE30C3">
        <w:rPr>
          <w:rFonts w:eastAsia="Calibri"/>
          <w:b/>
          <w:color w:val="000000"/>
          <w:szCs w:val="24"/>
        </w:rPr>
        <w:t xml:space="preserve"> </w:t>
      </w:r>
      <w:r w:rsidRPr="00DE30C3">
        <w:rPr>
          <w:rFonts w:eastAsia="Calibri"/>
          <w:b/>
          <w:color w:val="000000"/>
          <w:szCs w:val="24"/>
          <w:lang w:val="bg-BG"/>
        </w:rPr>
        <w:t xml:space="preserve">от изпълнителя) и окончателно приемане (от Възложителя) на етап 3: </w:t>
      </w:r>
      <w:r w:rsidRPr="00DE30C3">
        <w:rPr>
          <w:rFonts w:eastAsia="Calibri"/>
          <w:b/>
          <w:color w:val="000000"/>
          <w:szCs w:val="24"/>
          <w:u w:val="single"/>
          <w:lang w:val="bg-BG"/>
        </w:rPr>
        <w:t xml:space="preserve">до 1 (един) </w:t>
      </w:r>
      <w:r w:rsidRPr="00DE30C3">
        <w:rPr>
          <w:rFonts w:eastAsia="Calibri"/>
          <w:b/>
          <w:szCs w:val="24"/>
          <w:u w:val="single"/>
          <w:lang w:val="bg-BG"/>
        </w:rPr>
        <w:t>месец</w:t>
      </w:r>
      <w:r w:rsidRPr="00DE30C3">
        <w:rPr>
          <w:rFonts w:eastAsia="Calibri"/>
          <w:szCs w:val="24"/>
          <w:lang w:val="bg-BG"/>
        </w:rPr>
        <w:t xml:space="preserve"> от датата на приемане на изпълнението на Етап 2.</w:t>
      </w:r>
    </w:p>
    <w:p w:rsidR="00E72CEA" w:rsidRPr="00DE30C3" w:rsidRDefault="00E72CEA" w:rsidP="00E72CEA">
      <w:pPr>
        <w:keepNext/>
        <w:keepLines/>
        <w:numPr>
          <w:ilvl w:val="1"/>
          <w:numId w:val="12"/>
        </w:numPr>
        <w:tabs>
          <w:tab w:val="left" w:pos="426"/>
        </w:tabs>
        <w:spacing w:before="200" w:after="200"/>
        <w:ind w:left="0" w:firstLine="0"/>
        <w:outlineLvl w:val="2"/>
        <w:rPr>
          <w:b/>
          <w:bCs/>
          <w:szCs w:val="22"/>
          <w:lang w:val="bg-BG" w:eastAsia="bg-BG"/>
        </w:rPr>
      </w:pPr>
      <w:bookmarkStart w:id="5" w:name="_Toc514320499"/>
      <w:r w:rsidRPr="00DE30C3">
        <w:rPr>
          <w:b/>
          <w:bCs/>
          <w:szCs w:val="22"/>
          <w:lang w:val="bg-BG" w:eastAsia="bg-BG"/>
        </w:rPr>
        <w:t>Предаване и приемане на изпълнението на услугата</w:t>
      </w:r>
      <w:bookmarkEnd w:id="5"/>
    </w:p>
    <w:p w:rsidR="00E72CEA" w:rsidRPr="00DE30C3" w:rsidRDefault="00E72CEA" w:rsidP="00E72CEA">
      <w:pPr>
        <w:tabs>
          <w:tab w:val="left" w:pos="540"/>
        </w:tabs>
        <w:spacing w:before="120"/>
        <w:jc w:val="both"/>
        <w:rPr>
          <w:rFonts w:eastAsia="Calibri"/>
          <w:szCs w:val="24"/>
          <w:lang w:val="bg-BG"/>
        </w:rPr>
      </w:pPr>
      <w:r w:rsidRPr="00DE30C3">
        <w:rPr>
          <w:rFonts w:eastAsia="Calibri"/>
          <w:szCs w:val="24"/>
          <w:lang w:val="bg-BG"/>
        </w:rPr>
        <w:tab/>
        <w:t xml:space="preserve">Възложителят определя упълномощени представители (Комисия), които да отговарят за комуникацията с Изпълнителя, за координацията и приемането на изпълнението на поръчката. </w:t>
      </w:r>
    </w:p>
    <w:p w:rsidR="00E72CEA" w:rsidRPr="00DE30C3" w:rsidRDefault="00E72CEA" w:rsidP="00E72CEA">
      <w:pPr>
        <w:autoSpaceDE w:val="0"/>
        <w:autoSpaceDN w:val="0"/>
        <w:adjustRightInd w:val="0"/>
        <w:ind w:firstLine="567"/>
        <w:jc w:val="both"/>
        <w:rPr>
          <w:rFonts w:eastAsia="Calibri"/>
          <w:szCs w:val="24"/>
          <w:lang w:val="bg-BG"/>
        </w:rPr>
      </w:pPr>
      <w:r w:rsidRPr="00DE30C3">
        <w:rPr>
          <w:rFonts w:eastAsia="Calibri"/>
          <w:szCs w:val="24"/>
          <w:lang w:val="bg-BG"/>
        </w:rPr>
        <w:t xml:space="preserve">За </w:t>
      </w:r>
      <w:r w:rsidRPr="00DE30C3">
        <w:rPr>
          <w:rFonts w:eastAsia="Calibri"/>
          <w:szCs w:val="24"/>
          <w:u w:val="single"/>
          <w:lang w:val="bg-BG"/>
        </w:rPr>
        <w:t>приемане на изпълнението на етап 1</w:t>
      </w:r>
      <w:r w:rsidRPr="00DE30C3">
        <w:rPr>
          <w:rFonts w:eastAsia="Calibri"/>
          <w:szCs w:val="24"/>
          <w:lang w:val="bg-BG"/>
        </w:rPr>
        <w:t xml:space="preserve">, упълномощените представители (Комисията) съставят Предварително становище, относно структурата и съдържанието на предоставения от Изпълнителя проект на план за действие за осъществяване на актуализацията на НПДУУОЗ, включващо при необходимост съответни бележки и препоръки за отстраняване на непълноти и несъответствия и Констативен протокол </w:t>
      </w:r>
      <w:r>
        <w:rPr>
          <w:rFonts w:eastAsia="Calibri"/>
          <w:b/>
          <w:szCs w:val="24"/>
          <w:lang w:val="bg-BG"/>
        </w:rPr>
        <w:t>в срок до 10 (</w:t>
      </w:r>
      <w:r w:rsidRPr="00DE30C3">
        <w:rPr>
          <w:rFonts w:eastAsia="Calibri"/>
          <w:b/>
          <w:szCs w:val="24"/>
          <w:lang w:val="bg-BG"/>
        </w:rPr>
        <w:t>десет ) дни</w:t>
      </w:r>
      <w:r w:rsidRPr="00DE30C3">
        <w:rPr>
          <w:rFonts w:eastAsia="Calibri"/>
          <w:szCs w:val="24"/>
          <w:lang w:val="bg-BG"/>
        </w:rPr>
        <w:t xml:space="preserve"> от датата на предаване на изготвения проект по етап 1, в който се удостоверява съответствието с пълното, качествено и в срок извършено изпълнение според изискванията на Възложителя. </w:t>
      </w:r>
    </w:p>
    <w:p w:rsidR="00E72CEA" w:rsidRPr="00DE30C3" w:rsidRDefault="00E72CEA" w:rsidP="00E72CEA">
      <w:pPr>
        <w:autoSpaceDE w:val="0"/>
        <w:autoSpaceDN w:val="0"/>
        <w:adjustRightInd w:val="0"/>
        <w:ind w:firstLine="567"/>
        <w:jc w:val="both"/>
        <w:rPr>
          <w:rFonts w:eastAsia="Calibri"/>
          <w:szCs w:val="24"/>
          <w:lang w:val="bg-BG"/>
        </w:rPr>
      </w:pPr>
      <w:r>
        <w:rPr>
          <w:rFonts w:eastAsia="Calibri"/>
          <w:b/>
          <w:szCs w:val="24"/>
          <w:lang w:val="bg-BG"/>
        </w:rPr>
        <w:t>10</w:t>
      </w:r>
      <w:r w:rsidRPr="00DE30C3">
        <w:rPr>
          <w:rFonts w:eastAsia="Calibri"/>
          <w:b/>
          <w:szCs w:val="24"/>
          <w:lang w:val="bg-BG"/>
        </w:rPr>
        <w:t xml:space="preserve"> дневния срок включва:</w:t>
      </w:r>
      <w:r w:rsidRPr="00DE30C3">
        <w:rPr>
          <w:rFonts w:eastAsia="Calibri"/>
          <w:szCs w:val="24"/>
          <w:lang w:val="bg-BG"/>
        </w:rPr>
        <w:t xml:space="preserve"> </w:t>
      </w:r>
      <w:r>
        <w:rPr>
          <w:rFonts w:eastAsia="Calibri"/>
          <w:b/>
          <w:szCs w:val="24"/>
          <w:lang w:val="bg-BG"/>
        </w:rPr>
        <w:t>5</w:t>
      </w:r>
      <w:r>
        <w:rPr>
          <w:rFonts w:eastAsia="Calibri"/>
          <w:szCs w:val="24"/>
          <w:lang w:val="bg-BG"/>
        </w:rPr>
        <w:t xml:space="preserve"> (пет</w:t>
      </w:r>
      <w:r w:rsidRPr="00DE30C3">
        <w:rPr>
          <w:rFonts w:eastAsia="Calibri"/>
          <w:szCs w:val="24"/>
          <w:lang w:val="bg-BG"/>
        </w:rPr>
        <w:t xml:space="preserve">) дни за изготвяне на  Предварително становище от Възложителя относно предоставения от Изпълнителя проект на план за действие; </w:t>
      </w:r>
      <w:r>
        <w:rPr>
          <w:rFonts w:eastAsia="Calibri"/>
          <w:b/>
          <w:szCs w:val="24"/>
          <w:lang w:val="bg-BG"/>
        </w:rPr>
        <w:t>3</w:t>
      </w:r>
      <w:r>
        <w:rPr>
          <w:rFonts w:eastAsia="Calibri"/>
          <w:szCs w:val="24"/>
          <w:lang w:val="bg-BG"/>
        </w:rPr>
        <w:t xml:space="preserve"> (три</w:t>
      </w:r>
      <w:r w:rsidRPr="00DE30C3">
        <w:rPr>
          <w:rFonts w:eastAsia="Calibri"/>
          <w:szCs w:val="24"/>
          <w:lang w:val="bg-BG"/>
        </w:rPr>
        <w:t xml:space="preserve">) дни за Изпълнителя за отразяване на евентуални бележки и отстраняване на непълноти и несъответствия и </w:t>
      </w:r>
      <w:r>
        <w:rPr>
          <w:rFonts w:eastAsia="Calibri"/>
          <w:b/>
          <w:szCs w:val="24"/>
          <w:lang w:val="bg-BG"/>
        </w:rPr>
        <w:t>2</w:t>
      </w:r>
      <w:r>
        <w:rPr>
          <w:rFonts w:eastAsia="Calibri"/>
          <w:szCs w:val="24"/>
          <w:lang w:val="bg-BG"/>
        </w:rPr>
        <w:t xml:space="preserve"> (два</w:t>
      </w:r>
      <w:r w:rsidRPr="00DE30C3">
        <w:rPr>
          <w:rFonts w:eastAsia="Calibri"/>
          <w:szCs w:val="24"/>
          <w:lang w:val="bg-BG"/>
        </w:rPr>
        <w:t xml:space="preserve">) дни за Комисията да изготви Констативен протокол и </w:t>
      </w:r>
      <w:proofErr w:type="spellStart"/>
      <w:r w:rsidRPr="00DE30C3">
        <w:rPr>
          <w:rFonts w:eastAsia="Calibri"/>
          <w:szCs w:val="24"/>
          <w:lang w:val="bg-BG"/>
        </w:rPr>
        <w:t>Приемо-предавателен</w:t>
      </w:r>
      <w:proofErr w:type="spellEnd"/>
      <w:r w:rsidRPr="00DE30C3">
        <w:rPr>
          <w:rFonts w:eastAsia="Calibri"/>
          <w:szCs w:val="24"/>
          <w:lang w:val="bg-BG"/>
        </w:rPr>
        <w:t xml:space="preserve"> протокол. </w:t>
      </w:r>
    </w:p>
    <w:p w:rsidR="00E72CEA" w:rsidRPr="00DE30C3" w:rsidRDefault="00E72CEA" w:rsidP="00E72CEA">
      <w:pPr>
        <w:autoSpaceDE w:val="0"/>
        <w:autoSpaceDN w:val="0"/>
        <w:adjustRightInd w:val="0"/>
        <w:ind w:firstLine="567"/>
        <w:jc w:val="both"/>
        <w:rPr>
          <w:rFonts w:eastAsia="Calibri"/>
          <w:szCs w:val="24"/>
          <w:lang w:val="bg-BG"/>
        </w:rPr>
      </w:pPr>
      <w:r w:rsidRPr="00DE30C3">
        <w:rPr>
          <w:rFonts w:eastAsia="Calibri"/>
          <w:szCs w:val="24"/>
          <w:lang w:val="bg-BG"/>
        </w:rPr>
        <w:t xml:space="preserve">Изпълнителят отстранява констатираните непълноти по етап 1 (ако има такива) и отразява всички направени бележки, препоръки, предложения от Предварителното становище на Възложителя по етап 1 и представя окончателния план за действие по етап 1. Окончателното приемане от Възложителя (комисията) на етап 1 става чрез </w:t>
      </w:r>
      <w:proofErr w:type="spellStart"/>
      <w:r w:rsidRPr="00DE30C3">
        <w:rPr>
          <w:rFonts w:eastAsia="Calibri"/>
          <w:szCs w:val="24"/>
          <w:lang w:val="bg-BG"/>
        </w:rPr>
        <w:t>Приемо-пре</w:t>
      </w:r>
      <w:r>
        <w:rPr>
          <w:rFonts w:eastAsia="Calibri"/>
          <w:szCs w:val="24"/>
          <w:lang w:val="bg-BG"/>
        </w:rPr>
        <w:t>давателен</w:t>
      </w:r>
      <w:proofErr w:type="spellEnd"/>
      <w:r>
        <w:rPr>
          <w:rFonts w:eastAsia="Calibri"/>
          <w:szCs w:val="24"/>
          <w:lang w:val="bg-BG"/>
        </w:rPr>
        <w:t xml:space="preserve"> протокол, изготвен в 2 (</w:t>
      </w:r>
      <w:proofErr w:type="spellStart"/>
      <w:r>
        <w:rPr>
          <w:rFonts w:eastAsia="Calibri"/>
          <w:szCs w:val="24"/>
          <w:lang w:val="bg-BG"/>
        </w:rPr>
        <w:t>дву</w:t>
      </w:r>
      <w:proofErr w:type="spellEnd"/>
      <w:r w:rsidRPr="00DE30C3">
        <w:rPr>
          <w:rFonts w:eastAsia="Calibri"/>
          <w:szCs w:val="24"/>
          <w:lang w:val="bg-BG"/>
        </w:rPr>
        <w:t>) дневен срок от датата на предаване на окончателния план за действие от Изпълнителя по електронен път.</w:t>
      </w:r>
    </w:p>
    <w:p w:rsidR="00E72CEA" w:rsidRPr="00DE30C3" w:rsidRDefault="00E72CEA" w:rsidP="00E72CEA">
      <w:pPr>
        <w:autoSpaceDE w:val="0"/>
        <w:autoSpaceDN w:val="0"/>
        <w:adjustRightInd w:val="0"/>
        <w:ind w:firstLine="567"/>
        <w:jc w:val="both"/>
        <w:rPr>
          <w:rFonts w:eastAsia="Calibri"/>
          <w:szCs w:val="24"/>
          <w:lang w:val="bg-BG"/>
        </w:rPr>
      </w:pPr>
      <w:r w:rsidRPr="00DE30C3">
        <w:rPr>
          <w:rFonts w:eastAsia="Calibri"/>
          <w:szCs w:val="24"/>
          <w:lang w:val="bg-BG"/>
        </w:rPr>
        <w:t xml:space="preserve">За </w:t>
      </w:r>
      <w:r w:rsidRPr="00DE30C3">
        <w:rPr>
          <w:rFonts w:eastAsia="Calibri"/>
          <w:szCs w:val="24"/>
          <w:u w:val="single"/>
          <w:lang w:val="bg-BG"/>
        </w:rPr>
        <w:t>приемане на изпълнението на етап 2</w:t>
      </w:r>
      <w:r w:rsidRPr="00DE30C3">
        <w:rPr>
          <w:rFonts w:eastAsia="Calibri"/>
          <w:szCs w:val="24"/>
          <w:lang w:val="bg-BG"/>
        </w:rPr>
        <w:t>, упълномощените представители (Комисията) съставят Окончателно становище, относно структурата и съдържанието на предоставения от Изпълнителя проект на НПДУУОЗ, включващо при необходимост съответни бележки и препоръки за отстраняване на непълноти и несъответствия в срок до</w:t>
      </w:r>
      <w:r w:rsidRPr="00DE30C3">
        <w:rPr>
          <w:rFonts w:eastAsia="Calibri"/>
          <w:b/>
          <w:szCs w:val="24"/>
          <w:lang w:val="bg-BG"/>
        </w:rPr>
        <w:t xml:space="preserve"> 30 (тридесет ) дни</w:t>
      </w:r>
      <w:r w:rsidRPr="00DE30C3">
        <w:rPr>
          <w:rFonts w:eastAsia="Calibri"/>
          <w:szCs w:val="24"/>
          <w:lang w:val="bg-BG"/>
        </w:rPr>
        <w:t xml:space="preserve"> от датата на предаване на изготвения проект на актуализиран НПДУУОЗ по етап 2. В срок от</w:t>
      </w:r>
      <w:r w:rsidRPr="00DE30C3">
        <w:rPr>
          <w:rFonts w:eastAsia="Calibri"/>
          <w:b/>
          <w:szCs w:val="24"/>
          <w:lang w:val="bg-BG"/>
        </w:rPr>
        <w:t xml:space="preserve"> 20 (двадесет) дни</w:t>
      </w:r>
      <w:r w:rsidRPr="00DE30C3">
        <w:rPr>
          <w:rFonts w:eastAsia="Calibri"/>
          <w:szCs w:val="24"/>
          <w:lang w:val="bg-BG"/>
        </w:rPr>
        <w:t xml:space="preserve"> от датата на получаване на Окончателното становище на Възложителя, Изпълнителя отстранява всички направени бележки, препоръки, предложения от </w:t>
      </w:r>
      <w:r w:rsidRPr="00DE30C3">
        <w:rPr>
          <w:rFonts w:eastAsia="Calibri"/>
          <w:szCs w:val="24"/>
          <w:lang w:val="bg-BG"/>
        </w:rPr>
        <w:lastRenderedPageBreak/>
        <w:t>Окончателното становище на Възложителя по етап 2 и изготвя окончателен актуализиран НПДУУОЗ, който предава на Възложителя по електронен път. В срок от</w:t>
      </w:r>
      <w:r w:rsidRPr="00DE30C3">
        <w:rPr>
          <w:rFonts w:eastAsia="Calibri"/>
          <w:b/>
          <w:szCs w:val="24"/>
          <w:lang w:val="bg-BG"/>
        </w:rPr>
        <w:t xml:space="preserve"> 10 (десет) дни</w:t>
      </w:r>
      <w:r w:rsidRPr="00DE30C3">
        <w:rPr>
          <w:rFonts w:eastAsia="Calibri"/>
          <w:szCs w:val="24"/>
          <w:lang w:val="bg-BG"/>
        </w:rPr>
        <w:t xml:space="preserve"> от датата на получаване на окончателния актуализиран НПДУУОЗ, Възложителят съставя Окончателен констативен протокол,  в който се удостоверява съответствието с пълното, качествено и в срок изпълнено според изискванията на Възложителя. Окончателният НПДУУОЗ се приема от Възложителя с </w:t>
      </w:r>
      <w:proofErr w:type="spellStart"/>
      <w:r w:rsidRPr="00DE30C3">
        <w:rPr>
          <w:rFonts w:eastAsia="Calibri"/>
          <w:szCs w:val="24"/>
          <w:lang w:val="bg-BG"/>
        </w:rPr>
        <w:t>приемо–предавателен</w:t>
      </w:r>
      <w:proofErr w:type="spellEnd"/>
      <w:r w:rsidRPr="00DE30C3">
        <w:rPr>
          <w:rFonts w:eastAsia="Calibri"/>
          <w:szCs w:val="24"/>
          <w:lang w:val="bg-BG"/>
        </w:rPr>
        <w:t xml:space="preserve"> протокол, подписан от Възложителя и Изпълнителя. </w:t>
      </w:r>
    </w:p>
    <w:p w:rsidR="00E72CEA" w:rsidRPr="00DE30C3" w:rsidRDefault="00E72CEA" w:rsidP="00E72CEA">
      <w:pPr>
        <w:autoSpaceDE w:val="0"/>
        <w:autoSpaceDN w:val="0"/>
        <w:adjustRightInd w:val="0"/>
        <w:ind w:firstLine="567"/>
        <w:jc w:val="both"/>
        <w:rPr>
          <w:rFonts w:eastAsia="Calibri"/>
          <w:szCs w:val="24"/>
          <w:lang w:val="bg-BG"/>
        </w:rPr>
      </w:pPr>
      <w:proofErr w:type="spellStart"/>
      <w:r w:rsidRPr="00DE30C3">
        <w:rPr>
          <w:rFonts w:eastAsia="Calibri"/>
          <w:szCs w:val="24"/>
          <w:lang w:val="bg-BG"/>
        </w:rPr>
        <w:t>Приемо–предавателният</w:t>
      </w:r>
      <w:proofErr w:type="spellEnd"/>
      <w:r w:rsidRPr="00DE30C3">
        <w:rPr>
          <w:rFonts w:eastAsia="Calibri"/>
          <w:szCs w:val="24"/>
          <w:lang w:val="bg-BG"/>
        </w:rPr>
        <w:t xml:space="preserve"> протокол се изготвя от Възложителя в срок от </w:t>
      </w:r>
      <w:r w:rsidRPr="00DE30C3">
        <w:rPr>
          <w:rFonts w:eastAsia="Calibri"/>
          <w:b/>
          <w:szCs w:val="24"/>
          <w:lang w:val="bg-BG"/>
        </w:rPr>
        <w:t xml:space="preserve">10 (десет) </w:t>
      </w:r>
      <w:r w:rsidRPr="00DE30C3">
        <w:rPr>
          <w:rFonts w:eastAsia="Calibri"/>
          <w:szCs w:val="24"/>
          <w:lang w:val="bg-BG"/>
        </w:rPr>
        <w:t>дни от датата на предаване на окончателния НПДУУОЗ по етап 3, в който упълномощените представители (Комисията) удостоверяват съответствието на изпълнението на етап 3 с изискванията на Възложителя. Комисията дава становище дали следва да се извърши плащането по договора с Изпълнителя. В становището се посочва размерът на плащането и дали то следва да се удържи изцяло или отчасти, съобразно несъответствието в изпълнението на дейностите и задълженията по договора, с посочване на вида и размера на неизпълнението и съответните неустойки.</w:t>
      </w:r>
    </w:p>
    <w:p w:rsidR="00E72CEA" w:rsidRPr="00DE30C3" w:rsidRDefault="00E72CEA" w:rsidP="00E72CEA">
      <w:pPr>
        <w:autoSpaceDE w:val="0"/>
        <w:autoSpaceDN w:val="0"/>
        <w:adjustRightInd w:val="0"/>
        <w:ind w:firstLine="567"/>
        <w:jc w:val="both"/>
        <w:rPr>
          <w:rFonts w:eastAsia="Calibri"/>
          <w:szCs w:val="24"/>
          <w:lang w:val="bg-BG"/>
        </w:rPr>
      </w:pPr>
      <w:r w:rsidRPr="00DE30C3">
        <w:rPr>
          <w:rFonts w:eastAsia="Calibri"/>
          <w:szCs w:val="24"/>
          <w:lang w:val="bg-BG"/>
        </w:rPr>
        <w:t xml:space="preserve">Упълномощените представители (Комисията) могат да не приемат изпълнението изцяло или частично, когато е налице неизпълнение или некачествено и/или лошо изпълнение на услугата по договора и/или отделни етапи/дейности/задължения по договора от страна на Изпълнителя, като по своя преценка могат да дадат задължителни за Изпълнителя писмени указания за отстраняване на констатираните непълноти в </w:t>
      </w:r>
      <w:r w:rsidRPr="00DE30C3">
        <w:rPr>
          <w:rFonts w:eastAsia="Calibri"/>
          <w:b/>
          <w:szCs w:val="24"/>
          <w:lang w:val="bg-BG"/>
        </w:rPr>
        <w:t>срок от 20 (двадесет)</w:t>
      </w:r>
      <w:r w:rsidRPr="00DE30C3">
        <w:rPr>
          <w:rFonts w:eastAsia="Calibri"/>
          <w:szCs w:val="24"/>
          <w:lang w:val="bg-BG"/>
        </w:rPr>
        <w:t xml:space="preserve"> дни от датата на Констативния протокол по етап 3. </w:t>
      </w:r>
    </w:p>
    <w:p w:rsidR="00E72CEA" w:rsidRPr="00DE30C3" w:rsidRDefault="00E72CEA" w:rsidP="00E72CEA">
      <w:pPr>
        <w:autoSpaceDE w:val="0"/>
        <w:autoSpaceDN w:val="0"/>
        <w:adjustRightInd w:val="0"/>
        <w:ind w:firstLine="567"/>
        <w:jc w:val="both"/>
        <w:rPr>
          <w:rFonts w:eastAsia="Calibri"/>
          <w:color w:val="000000"/>
          <w:szCs w:val="24"/>
          <w:lang w:val="bg-BG"/>
        </w:rPr>
      </w:pPr>
      <w:r w:rsidRPr="00DE30C3">
        <w:rPr>
          <w:rFonts w:eastAsia="Calibri"/>
          <w:color w:val="000000"/>
          <w:szCs w:val="24"/>
          <w:lang w:val="bg-BG"/>
        </w:rPr>
        <w:t>При неотстранени недостатъци, посочени от Упълномощените представители (Комисията) и при забавено изпълнение  упълномощените представители (Комисията) начисляват съответните неустойки по Договора.</w:t>
      </w:r>
    </w:p>
    <w:p w:rsidR="00E72CEA" w:rsidRPr="00DE30C3" w:rsidRDefault="00E72CEA" w:rsidP="00E72CEA">
      <w:pPr>
        <w:keepNext/>
        <w:keepLines/>
        <w:numPr>
          <w:ilvl w:val="1"/>
          <w:numId w:val="12"/>
        </w:numPr>
        <w:tabs>
          <w:tab w:val="left" w:pos="426"/>
        </w:tabs>
        <w:spacing w:before="200" w:after="120"/>
        <w:ind w:left="0" w:firstLine="0"/>
        <w:outlineLvl w:val="2"/>
        <w:rPr>
          <w:b/>
          <w:bCs/>
          <w:szCs w:val="22"/>
          <w:lang w:val="bg-BG" w:eastAsia="bg-BG"/>
        </w:rPr>
      </w:pPr>
      <w:bookmarkStart w:id="6" w:name="_Toc514320500"/>
      <w:r w:rsidRPr="00DE30C3">
        <w:rPr>
          <w:b/>
          <w:bCs/>
          <w:szCs w:val="22"/>
          <w:lang w:val="bg-BG" w:eastAsia="bg-BG"/>
        </w:rPr>
        <w:t>Представяне на резултатите</w:t>
      </w:r>
      <w:bookmarkEnd w:id="6"/>
    </w:p>
    <w:p w:rsidR="00E72CEA" w:rsidRPr="00DE30C3" w:rsidRDefault="00E72CEA" w:rsidP="00E72CEA">
      <w:pPr>
        <w:tabs>
          <w:tab w:val="left" w:pos="0"/>
        </w:tabs>
        <w:jc w:val="both"/>
        <w:rPr>
          <w:rFonts w:eastAsia="Calibri"/>
          <w:szCs w:val="24"/>
          <w:lang w:val="bg-BG"/>
        </w:rPr>
      </w:pPr>
      <w:r w:rsidRPr="00DE30C3">
        <w:rPr>
          <w:rFonts w:eastAsia="Calibri"/>
          <w:szCs w:val="22"/>
          <w:lang w:val="bg-BG"/>
        </w:rPr>
        <w:tab/>
      </w:r>
      <w:r w:rsidRPr="00DE30C3">
        <w:rPr>
          <w:rFonts w:eastAsia="Calibri"/>
          <w:szCs w:val="24"/>
          <w:lang w:val="bg-BG"/>
        </w:rPr>
        <w:t>Всички разработени документи от Изпълнителя на етап 1, етап 2, етап 3 се представят на Възложителя или на определените от него упълномощените представители (Комисията) за одобрение – по етап 1 и 2 на електронен носител,  по етап 3</w:t>
      </w:r>
      <w:r w:rsidRPr="00DE30C3">
        <w:rPr>
          <w:rFonts w:eastAsia="Calibri"/>
          <w:color w:val="FF0000"/>
          <w:szCs w:val="24"/>
          <w:lang w:val="bg-BG"/>
        </w:rPr>
        <w:t xml:space="preserve"> </w:t>
      </w:r>
      <w:r w:rsidRPr="00DE30C3">
        <w:rPr>
          <w:rFonts w:eastAsia="Calibri"/>
          <w:szCs w:val="24"/>
          <w:lang w:val="bg-BG"/>
        </w:rPr>
        <w:t xml:space="preserve">- по 1 </w:t>
      </w:r>
      <w:proofErr w:type="spellStart"/>
      <w:r w:rsidRPr="00DE30C3">
        <w:rPr>
          <w:rFonts w:eastAsia="Calibri"/>
          <w:szCs w:val="24"/>
          <w:lang w:val="bg-BG"/>
        </w:rPr>
        <w:t>екз</w:t>
      </w:r>
      <w:proofErr w:type="spellEnd"/>
      <w:r w:rsidRPr="00DE30C3">
        <w:rPr>
          <w:rFonts w:eastAsia="Calibri"/>
          <w:szCs w:val="24"/>
          <w:lang w:val="bg-BG"/>
        </w:rPr>
        <w:t xml:space="preserve"> на хартия и 1 </w:t>
      </w:r>
      <w:proofErr w:type="spellStart"/>
      <w:r w:rsidRPr="00DE30C3">
        <w:rPr>
          <w:rFonts w:eastAsia="Calibri"/>
          <w:szCs w:val="24"/>
          <w:lang w:val="bg-BG"/>
        </w:rPr>
        <w:t>екз</w:t>
      </w:r>
      <w:proofErr w:type="spellEnd"/>
      <w:r w:rsidRPr="00DE30C3">
        <w:rPr>
          <w:rFonts w:eastAsia="Calibri"/>
          <w:szCs w:val="24"/>
          <w:lang w:val="bg-BG"/>
        </w:rPr>
        <w:t xml:space="preserve">. на електронен носител с </w:t>
      </w:r>
      <w:proofErr w:type="spellStart"/>
      <w:r w:rsidRPr="00DE30C3">
        <w:rPr>
          <w:rFonts w:eastAsia="Calibri"/>
          <w:szCs w:val="24"/>
          <w:lang w:val="bg-BG"/>
        </w:rPr>
        <w:t>придружително</w:t>
      </w:r>
      <w:proofErr w:type="spellEnd"/>
      <w:r w:rsidRPr="00DE30C3">
        <w:rPr>
          <w:rFonts w:eastAsia="Calibri"/>
          <w:szCs w:val="24"/>
          <w:lang w:val="bg-BG"/>
        </w:rPr>
        <w:t xml:space="preserve"> писмо, което се завежда в отдел „Канцелария и обслужване на едно гише“ на МОСВ  в определените от Договора срокове и </w:t>
      </w:r>
      <w:proofErr w:type="spellStart"/>
      <w:r w:rsidRPr="00DE30C3">
        <w:rPr>
          <w:rFonts w:eastAsia="Calibri"/>
          <w:szCs w:val="24"/>
          <w:lang w:val="bg-BG"/>
        </w:rPr>
        <w:t>Приемо-предавателен</w:t>
      </w:r>
      <w:proofErr w:type="spellEnd"/>
      <w:r w:rsidRPr="00DE30C3">
        <w:rPr>
          <w:rFonts w:eastAsia="Calibri"/>
          <w:szCs w:val="24"/>
          <w:lang w:val="bg-BG"/>
        </w:rPr>
        <w:t xml:space="preserve"> протокол. </w:t>
      </w:r>
    </w:p>
    <w:p w:rsidR="00E72CEA" w:rsidRPr="00DE30C3" w:rsidRDefault="00E72CEA" w:rsidP="00E72CEA">
      <w:pPr>
        <w:tabs>
          <w:tab w:val="left" w:pos="0"/>
        </w:tabs>
        <w:jc w:val="both"/>
        <w:rPr>
          <w:rFonts w:eastAsia="Calibri"/>
          <w:szCs w:val="24"/>
          <w:lang w:val="bg-BG"/>
        </w:rPr>
      </w:pPr>
      <w:r w:rsidRPr="00DE30C3">
        <w:rPr>
          <w:rFonts w:eastAsia="Calibri"/>
          <w:szCs w:val="24"/>
          <w:lang w:val="bg-BG"/>
        </w:rPr>
        <w:tab/>
        <w:t xml:space="preserve">Всички протоколи и свързаните с тях становища, бележки, въпроси, предложения, препоръки и констатации от приемането на етап 1, етап 2 и етап 3, в т.ч. и окончателното приемане на разработката, изготвени от Възложителя се представят на Ръководителя на  екипа по Договора  или упълномощено от него лице  в по 1 </w:t>
      </w:r>
      <w:proofErr w:type="spellStart"/>
      <w:r w:rsidRPr="00DE30C3">
        <w:rPr>
          <w:rFonts w:eastAsia="Calibri"/>
          <w:szCs w:val="24"/>
          <w:lang w:val="bg-BG"/>
        </w:rPr>
        <w:t>екз</w:t>
      </w:r>
      <w:proofErr w:type="spellEnd"/>
      <w:r w:rsidRPr="00DE30C3">
        <w:rPr>
          <w:rFonts w:eastAsia="Calibri"/>
          <w:szCs w:val="24"/>
          <w:lang w:val="bg-BG"/>
        </w:rPr>
        <w:t xml:space="preserve">. на хартиен носител и 1 </w:t>
      </w:r>
      <w:proofErr w:type="spellStart"/>
      <w:r w:rsidRPr="00DE30C3">
        <w:rPr>
          <w:rFonts w:eastAsia="Calibri"/>
          <w:szCs w:val="24"/>
          <w:lang w:val="bg-BG"/>
        </w:rPr>
        <w:t>екз</w:t>
      </w:r>
      <w:proofErr w:type="spellEnd"/>
      <w:r w:rsidRPr="00DE30C3">
        <w:rPr>
          <w:rFonts w:eastAsia="Calibri"/>
          <w:szCs w:val="24"/>
          <w:lang w:val="bg-BG"/>
        </w:rPr>
        <w:t xml:space="preserve">. на електронен носител, с </w:t>
      </w:r>
      <w:proofErr w:type="spellStart"/>
      <w:r w:rsidRPr="00DE30C3">
        <w:rPr>
          <w:rFonts w:eastAsia="Calibri"/>
          <w:szCs w:val="24"/>
          <w:lang w:val="bg-BG"/>
        </w:rPr>
        <w:t>Приемо-предавателен</w:t>
      </w:r>
      <w:proofErr w:type="spellEnd"/>
      <w:r w:rsidRPr="00DE30C3">
        <w:rPr>
          <w:rFonts w:eastAsia="Calibri"/>
          <w:szCs w:val="24"/>
          <w:lang w:val="bg-BG"/>
        </w:rPr>
        <w:t xml:space="preserve"> протокол в определените срокове.  </w:t>
      </w:r>
    </w:p>
    <w:p w:rsidR="00E72CEA" w:rsidRPr="00DE30C3" w:rsidRDefault="00E72CEA" w:rsidP="00E72CEA">
      <w:pPr>
        <w:keepNext/>
        <w:keepLines/>
        <w:numPr>
          <w:ilvl w:val="1"/>
          <w:numId w:val="12"/>
        </w:numPr>
        <w:tabs>
          <w:tab w:val="left" w:pos="426"/>
        </w:tabs>
        <w:spacing w:before="200" w:after="120"/>
        <w:ind w:left="0" w:firstLine="0"/>
        <w:outlineLvl w:val="2"/>
        <w:rPr>
          <w:b/>
          <w:bCs/>
          <w:szCs w:val="22"/>
          <w:lang w:val="bg-BG" w:eastAsia="bg-BG"/>
        </w:rPr>
      </w:pPr>
      <w:bookmarkStart w:id="7" w:name="_Toc514320501"/>
      <w:r w:rsidRPr="00DE30C3">
        <w:rPr>
          <w:b/>
          <w:bCs/>
          <w:szCs w:val="22"/>
          <w:lang w:val="bg-BG" w:eastAsia="bg-BG"/>
        </w:rPr>
        <w:t>Структура и съдържание на документа</w:t>
      </w:r>
      <w:bookmarkEnd w:id="7"/>
    </w:p>
    <w:p w:rsidR="00E72CEA" w:rsidRPr="00DE30C3" w:rsidRDefault="00E72CEA" w:rsidP="00E72CEA">
      <w:pPr>
        <w:spacing w:before="120"/>
        <w:ind w:firstLine="567"/>
        <w:contextualSpacing/>
        <w:jc w:val="both"/>
        <w:rPr>
          <w:rFonts w:eastAsia="Calibri"/>
          <w:szCs w:val="24"/>
          <w:lang w:val="bg-BG" w:eastAsia="x-none"/>
        </w:rPr>
      </w:pPr>
      <w:r w:rsidRPr="00DE30C3">
        <w:rPr>
          <w:rFonts w:eastAsia="Calibri"/>
          <w:szCs w:val="24"/>
          <w:lang w:val="bg-BG" w:eastAsia="x-none"/>
        </w:rPr>
        <w:t xml:space="preserve">Документът трябва да следва съдържанието на настоящия А-НПДУУОЗ от 2012г., като в същото време бъде добавена пълна информация за 6 нови УОЗ вещества и бъде актуализирано състоянието на съществуващите УОЗ вещества. Документът следва да запази основните глави на настоящия НПДУУОЗ от 2012 (достъп до него има на интернет страницата на Възложителя МОСВ): </w:t>
      </w:r>
    </w:p>
    <w:p w:rsidR="00E72CEA" w:rsidRPr="00DE30C3" w:rsidRDefault="00E72CEA" w:rsidP="00E72CEA">
      <w:pPr>
        <w:spacing w:before="120"/>
        <w:ind w:left="360"/>
        <w:contextualSpacing/>
        <w:jc w:val="both"/>
        <w:rPr>
          <w:rFonts w:eastAsia="Calibri"/>
          <w:szCs w:val="24"/>
          <w:lang w:val="bg-BG" w:eastAsia="x-none"/>
        </w:rPr>
      </w:pPr>
    </w:p>
    <w:p w:rsidR="00E72CEA" w:rsidRPr="00DE30C3" w:rsidRDefault="00E72CEA" w:rsidP="00E72CEA">
      <w:pPr>
        <w:numPr>
          <w:ilvl w:val="0"/>
          <w:numId w:val="8"/>
        </w:numPr>
        <w:spacing w:before="120" w:after="200"/>
        <w:ind w:left="426"/>
        <w:contextualSpacing/>
        <w:jc w:val="both"/>
        <w:rPr>
          <w:rFonts w:eastAsia="Calibri"/>
          <w:szCs w:val="24"/>
          <w:lang w:val="bg-BG" w:eastAsia="x-none"/>
        </w:rPr>
      </w:pPr>
      <w:r w:rsidRPr="00DE30C3">
        <w:rPr>
          <w:rFonts w:eastAsia="Calibri"/>
          <w:szCs w:val="24"/>
          <w:lang w:val="bg-BG" w:eastAsia="x-none"/>
        </w:rPr>
        <w:lastRenderedPageBreak/>
        <w:t xml:space="preserve">Въведение; цели на актуализирания национален план за действие по управление на устойчивите органични замърсители (НПДУУОЗ); правно основание; обхват и методология за разработване на А-НПДУУОЗ; </w:t>
      </w:r>
    </w:p>
    <w:p w:rsidR="00E72CEA" w:rsidRPr="00DE30C3" w:rsidRDefault="00E72CEA" w:rsidP="00E72CEA">
      <w:pPr>
        <w:numPr>
          <w:ilvl w:val="0"/>
          <w:numId w:val="8"/>
        </w:numPr>
        <w:spacing w:before="120" w:after="200"/>
        <w:ind w:left="426"/>
        <w:contextualSpacing/>
        <w:jc w:val="both"/>
        <w:rPr>
          <w:rFonts w:eastAsia="Calibri"/>
          <w:szCs w:val="24"/>
          <w:lang w:val="bg-BG" w:eastAsia="x-none"/>
        </w:rPr>
      </w:pPr>
      <w:r w:rsidRPr="00DE30C3">
        <w:rPr>
          <w:rFonts w:eastAsia="Calibri"/>
          <w:szCs w:val="24"/>
          <w:lang w:val="bg-BG" w:eastAsia="x-none"/>
        </w:rPr>
        <w:t>Основни данни за България; обзор на състоянието на околната среда;</w:t>
      </w:r>
    </w:p>
    <w:p w:rsidR="00E72CEA" w:rsidRPr="00DE30C3" w:rsidRDefault="00E72CEA" w:rsidP="00E72CEA">
      <w:pPr>
        <w:numPr>
          <w:ilvl w:val="0"/>
          <w:numId w:val="8"/>
        </w:numPr>
        <w:spacing w:before="120" w:after="200"/>
        <w:ind w:left="426"/>
        <w:contextualSpacing/>
        <w:jc w:val="both"/>
        <w:rPr>
          <w:rFonts w:eastAsia="Calibri"/>
          <w:szCs w:val="24"/>
          <w:lang w:val="bg-BG" w:eastAsia="x-none"/>
        </w:rPr>
      </w:pPr>
      <w:r w:rsidRPr="00DE30C3">
        <w:rPr>
          <w:rFonts w:eastAsia="Calibri"/>
          <w:szCs w:val="24"/>
          <w:lang w:val="bg-BG" w:eastAsia="x-none"/>
        </w:rPr>
        <w:t xml:space="preserve">Институционална и законодателна рамка; </w:t>
      </w:r>
    </w:p>
    <w:p w:rsidR="00E72CEA" w:rsidRPr="00DE30C3" w:rsidRDefault="00E72CEA" w:rsidP="00E72CEA">
      <w:pPr>
        <w:numPr>
          <w:ilvl w:val="0"/>
          <w:numId w:val="8"/>
        </w:numPr>
        <w:spacing w:before="120" w:after="200"/>
        <w:ind w:left="426"/>
        <w:contextualSpacing/>
        <w:jc w:val="both"/>
        <w:rPr>
          <w:rFonts w:eastAsia="Calibri"/>
          <w:szCs w:val="24"/>
          <w:lang w:val="bg-BG" w:eastAsia="x-none"/>
        </w:rPr>
      </w:pPr>
      <w:r w:rsidRPr="00DE30C3">
        <w:rPr>
          <w:rFonts w:eastAsia="Calibri"/>
          <w:szCs w:val="24"/>
          <w:lang w:val="bg-BG" w:eastAsia="x-none"/>
        </w:rPr>
        <w:t xml:space="preserve">Оценка на състоянието на УОЗ; </w:t>
      </w:r>
    </w:p>
    <w:p w:rsidR="00E72CEA" w:rsidRPr="00DE30C3" w:rsidRDefault="00E72CEA" w:rsidP="00E72CEA">
      <w:pPr>
        <w:numPr>
          <w:ilvl w:val="0"/>
          <w:numId w:val="2"/>
        </w:numPr>
        <w:spacing w:before="120" w:after="200"/>
        <w:ind w:left="142" w:firstLine="774"/>
        <w:contextualSpacing/>
        <w:jc w:val="both"/>
        <w:rPr>
          <w:rFonts w:eastAsia="Calibri"/>
          <w:szCs w:val="24"/>
          <w:lang w:val="bg-BG" w:eastAsia="x-none"/>
        </w:rPr>
      </w:pPr>
      <w:r w:rsidRPr="00DE30C3">
        <w:rPr>
          <w:rFonts w:eastAsia="Calibri"/>
          <w:b/>
          <w:szCs w:val="24"/>
          <w:lang w:val="bg-BG" w:eastAsia="x-none"/>
        </w:rPr>
        <w:t>УОЗ пестициди</w:t>
      </w:r>
      <w:r w:rsidRPr="00DE30C3">
        <w:rPr>
          <w:rFonts w:eastAsia="Calibri"/>
          <w:szCs w:val="24"/>
          <w:lang w:val="bg-BG" w:eastAsia="x-none"/>
        </w:rPr>
        <w:t xml:space="preserve">: </w:t>
      </w:r>
      <w:proofErr w:type="spellStart"/>
      <w:r w:rsidRPr="00DE30C3">
        <w:rPr>
          <w:rFonts w:eastAsia="Calibri"/>
          <w:szCs w:val="24"/>
          <w:lang w:val="bg-BG" w:eastAsia="bg-BG"/>
        </w:rPr>
        <w:t>алдрин</w:t>
      </w:r>
      <w:proofErr w:type="spellEnd"/>
      <w:r w:rsidRPr="00DE30C3">
        <w:rPr>
          <w:rFonts w:eastAsia="Calibri"/>
          <w:szCs w:val="24"/>
          <w:lang w:val="bg-BG" w:eastAsia="bg-BG"/>
        </w:rPr>
        <w:t xml:space="preserve">, алфа </w:t>
      </w:r>
      <w:proofErr w:type="spellStart"/>
      <w:r w:rsidRPr="00DE30C3">
        <w:rPr>
          <w:rFonts w:eastAsia="Calibri"/>
          <w:szCs w:val="24"/>
          <w:lang w:val="bg-BG" w:eastAsia="bg-BG"/>
        </w:rPr>
        <w:t>хексахлороциклохексан</w:t>
      </w:r>
      <w:proofErr w:type="spellEnd"/>
      <w:r w:rsidRPr="00DE30C3">
        <w:rPr>
          <w:rFonts w:eastAsia="Calibri"/>
          <w:szCs w:val="24"/>
          <w:lang w:val="bg-BG" w:eastAsia="bg-BG"/>
        </w:rPr>
        <w:t xml:space="preserve"> (α-HCH); </w:t>
      </w:r>
      <w:proofErr w:type="spellStart"/>
      <w:r w:rsidRPr="00DE30C3">
        <w:rPr>
          <w:rFonts w:eastAsia="Calibri"/>
          <w:szCs w:val="24"/>
          <w:lang w:val="bg-BG" w:eastAsia="bg-BG"/>
        </w:rPr>
        <w:t>бета</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хексахлороциклохексан</w:t>
      </w:r>
      <w:proofErr w:type="spellEnd"/>
      <w:r w:rsidRPr="00DE30C3">
        <w:rPr>
          <w:rFonts w:eastAsia="Calibri"/>
          <w:szCs w:val="24"/>
          <w:lang w:val="bg-BG" w:eastAsia="bg-BG"/>
        </w:rPr>
        <w:t xml:space="preserve"> (β-HCH); </w:t>
      </w:r>
      <w:proofErr w:type="spellStart"/>
      <w:r w:rsidRPr="00DE30C3">
        <w:rPr>
          <w:rFonts w:eastAsia="Calibri"/>
          <w:szCs w:val="24"/>
          <w:lang w:val="bg-BG" w:eastAsia="bg-BG"/>
        </w:rPr>
        <w:t>хлордан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хлордекон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диелдрин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ендрин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ендосулфан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хептахлор</w:t>
      </w:r>
      <w:proofErr w:type="spellEnd"/>
      <w:r w:rsidRPr="00DE30C3">
        <w:rPr>
          <w:rFonts w:eastAsia="Calibri"/>
          <w:szCs w:val="24"/>
          <w:lang w:val="bg-BG" w:eastAsia="bg-BG"/>
        </w:rPr>
        <w:t>;</w:t>
      </w:r>
      <w:r w:rsidRPr="00DE30C3">
        <w:rPr>
          <w:rFonts w:eastAsia="Calibri"/>
          <w:szCs w:val="24"/>
          <w:lang w:val="bg-BG" w:eastAsia="x-none"/>
        </w:rPr>
        <w:t xml:space="preserve"> </w:t>
      </w:r>
      <w:proofErr w:type="spellStart"/>
      <w:r w:rsidRPr="00DE30C3">
        <w:rPr>
          <w:rFonts w:eastAsia="Calibri"/>
          <w:szCs w:val="24"/>
          <w:lang w:val="bg-BG" w:eastAsia="bg-BG"/>
        </w:rPr>
        <w:t>хексахлорбензен</w:t>
      </w:r>
      <w:proofErr w:type="spellEnd"/>
      <w:r w:rsidRPr="00DE30C3">
        <w:rPr>
          <w:rFonts w:eastAsia="Calibri"/>
          <w:szCs w:val="24"/>
          <w:lang w:val="bg-BG" w:eastAsia="bg-BG"/>
        </w:rPr>
        <w:t xml:space="preserve"> (HCB); </w:t>
      </w:r>
      <w:proofErr w:type="spellStart"/>
      <w:r w:rsidRPr="00DE30C3">
        <w:rPr>
          <w:rFonts w:eastAsia="Calibri"/>
          <w:szCs w:val="24"/>
          <w:lang w:val="bg-BG" w:eastAsia="bg-BG"/>
        </w:rPr>
        <w:t>линдан</w:t>
      </w:r>
      <w:proofErr w:type="spellEnd"/>
      <w:r w:rsidRPr="00DE30C3">
        <w:rPr>
          <w:rFonts w:eastAsia="Calibri"/>
          <w:szCs w:val="24"/>
          <w:lang w:val="bg-BG" w:eastAsia="bg-BG"/>
        </w:rPr>
        <w:t xml:space="preserve"> (g-HCH); </w:t>
      </w:r>
      <w:proofErr w:type="spellStart"/>
      <w:r w:rsidRPr="00DE30C3">
        <w:rPr>
          <w:rFonts w:eastAsia="Calibri"/>
          <w:szCs w:val="24"/>
          <w:lang w:val="bg-BG" w:eastAsia="bg-BG"/>
        </w:rPr>
        <w:t>мирекс</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пентахлорбензен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PeCB</w:t>
      </w:r>
      <w:proofErr w:type="spellEnd"/>
      <w:r w:rsidRPr="00DE30C3">
        <w:rPr>
          <w:rFonts w:eastAsia="Calibri"/>
          <w:szCs w:val="24"/>
          <w:lang w:val="bg-BG" w:eastAsia="bg-BG"/>
        </w:rPr>
        <w:t xml:space="preserve">); </w:t>
      </w:r>
      <w:proofErr w:type="spellStart"/>
      <w:r w:rsidRPr="00DE30C3">
        <w:rPr>
          <w:rFonts w:eastAsia="Calibri"/>
          <w:szCs w:val="24"/>
          <w:lang w:val="bg-BG" w:eastAsia="bg-BG"/>
        </w:rPr>
        <w:t>токсафен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пентахлорофенол</w:t>
      </w:r>
      <w:proofErr w:type="spellEnd"/>
      <w:r w:rsidRPr="00DE30C3">
        <w:rPr>
          <w:rFonts w:eastAsia="Calibri"/>
          <w:szCs w:val="24"/>
          <w:lang w:val="bg-BG" w:eastAsia="bg-BG"/>
        </w:rPr>
        <w:t>, неговите соли и естери (</w:t>
      </w:r>
      <w:proofErr w:type="spellStart"/>
      <w:r w:rsidRPr="00DE30C3">
        <w:rPr>
          <w:rFonts w:eastAsia="Calibri"/>
          <w:szCs w:val="24"/>
          <w:lang w:val="bg-BG" w:eastAsia="bg-BG"/>
        </w:rPr>
        <w:t>PCPs</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хексахлоробутадиен</w:t>
      </w:r>
      <w:proofErr w:type="spellEnd"/>
      <w:r w:rsidRPr="00DE30C3">
        <w:rPr>
          <w:rFonts w:eastAsia="Calibri"/>
          <w:szCs w:val="24"/>
          <w:lang w:val="bg-BG" w:eastAsia="bg-BG"/>
        </w:rPr>
        <w:t xml:space="preserve"> (HCBD); ДДТ (DDT);</w:t>
      </w:r>
    </w:p>
    <w:p w:rsidR="00E72CEA" w:rsidRPr="00DE30C3" w:rsidRDefault="00E72CEA" w:rsidP="00E72CEA">
      <w:pPr>
        <w:numPr>
          <w:ilvl w:val="0"/>
          <w:numId w:val="2"/>
        </w:numPr>
        <w:spacing w:before="120" w:after="200"/>
        <w:ind w:left="142" w:firstLine="774"/>
        <w:contextualSpacing/>
        <w:jc w:val="both"/>
        <w:rPr>
          <w:rFonts w:eastAsia="Calibri"/>
          <w:szCs w:val="24"/>
          <w:lang w:val="bg-BG" w:eastAsia="x-none"/>
        </w:rPr>
      </w:pPr>
      <w:r w:rsidRPr="00DE30C3">
        <w:rPr>
          <w:rFonts w:eastAsia="Calibri"/>
          <w:b/>
          <w:szCs w:val="24"/>
          <w:lang w:val="bg-BG" w:eastAsia="x-none"/>
        </w:rPr>
        <w:t>УОЗ индустриални химикали</w:t>
      </w:r>
      <w:r w:rsidRPr="00DE30C3">
        <w:rPr>
          <w:rFonts w:eastAsia="Calibri"/>
          <w:szCs w:val="24"/>
          <w:lang w:val="bg-BG" w:eastAsia="x-none"/>
        </w:rPr>
        <w:t>:</w:t>
      </w:r>
      <w:r w:rsidRPr="00DE30C3">
        <w:rPr>
          <w:rFonts w:eastAsia="Calibri"/>
          <w:szCs w:val="24"/>
          <w:lang w:val="bg-BG" w:eastAsia="bg-BG"/>
        </w:rPr>
        <w:t xml:space="preserve"> </w:t>
      </w:r>
      <w:proofErr w:type="spellStart"/>
      <w:r w:rsidRPr="00DE30C3">
        <w:rPr>
          <w:rFonts w:eastAsia="Calibri"/>
          <w:szCs w:val="24"/>
          <w:lang w:val="bg-BG" w:eastAsia="bg-BG"/>
        </w:rPr>
        <w:t>пентахлорбензен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PeCB</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бифенили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PCBs</w:t>
      </w:r>
      <w:proofErr w:type="spellEnd"/>
      <w:r w:rsidRPr="00DE30C3">
        <w:rPr>
          <w:rFonts w:eastAsia="Calibri"/>
          <w:szCs w:val="24"/>
          <w:lang w:val="bg-BG" w:eastAsia="bg-BG"/>
        </w:rPr>
        <w:t xml:space="preserve">); </w:t>
      </w:r>
      <w:proofErr w:type="spellStart"/>
      <w:r w:rsidRPr="00DE30C3">
        <w:rPr>
          <w:rFonts w:eastAsia="Calibri"/>
          <w:szCs w:val="24"/>
          <w:lang w:val="bg-BG" w:eastAsia="bg-BG"/>
        </w:rPr>
        <w:t>тетрабромодифенил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tetraBDE</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пентабромодифенил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търговси</w:t>
      </w:r>
      <w:proofErr w:type="spellEnd"/>
      <w:r w:rsidRPr="00DE30C3">
        <w:rPr>
          <w:rFonts w:eastAsia="Calibri"/>
          <w:szCs w:val="24"/>
          <w:lang w:val="bg-BG" w:eastAsia="bg-BG"/>
        </w:rPr>
        <w:t xml:space="preserve"> смеси на </w:t>
      </w:r>
      <w:proofErr w:type="spellStart"/>
      <w:r w:rsidRPr="00DE30C3">
        <w:rPr>
          <w:rFonts w:eastAsia="Calibri"/>
          <w:szCs w:val="24"/>
          <w:lang w:val="bg-BG" w:eastAsia="bg-BG"/>
        </w:rPr>
        <w:t>pentaBDE</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hexaBDE</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хептабромодифетил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hepta</w:t>
      </w:r>
      <w:proofErr w:type="spellEnd"/>
      <w:r w:rsidRPr="00DE30C3">
        <w:rPr>
          <w:rFonts w:eastAsia="Calibri"/>
          <w:szCs w:val="24"/>
          <w:lang w:val="bg-BG" w:eastAsia="bg-BG"/>
        </w:rPr>
        <w:t xml:space="preserve"> BDE)(</w:t>
      </w:r>
      <w:proofErr w:type="spellStart"/>
      <w:r w:rsidRPr="00DE30C3">
        <w:rPr>
          <w:rFonts w:eastAsia="Calibri"/>
          <w:szCs w:val="24"/>
          <w:lang w:val="bg-BG" w:eastAsia="bg-BG"/>
        </w:rPr>
        <w:t>търговси</w:t>
      </w:r>
      <w:proofErr w:type="spellEnd"/>
      <w:r w:rsidRPr="00DE30C3">
        <w:rPr>
          <w:rFonts w:eastAsia="Calibri"/>
          <w:szCs w:val="24"/>
          <w:lang w:val="bg-BG" w:eastAsia="bg-BG"/>
        </w:rPr>
        <w:t xml:space="preserve"> смеси на </w:t>
      </w:r>
      <w:proofErr w:type="spellStart"/>
      <w:r w:rsidRPr="00DE30C3">
        <w:rPr>
          <w:rFonts w:eastAsia="Calibri"/>
          <w:szCs w:val="24"/>
          <w:lang w:val="bg-BG" w:eastAsia="bg-BG"/>
        </w:rPr>
        <w:t>octaBDE</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хексабромоциклододекан</w:t>
      </w:r>
      <w:proofErr w:type="spellEnd"/>
      <w:r w:rsidRPr="00DE30C3">
        <w:rPr>
          <w:rFonts w:eastAsia="Calibri"/>
          <w:szCs w:val="24"/>
          <w:lang w:val="bg-BG" w:eastAsia="bg-BG"/>
        </w:rPr>
        <w:t xml:space="preserve"> (HBCD); </w:t>
      </w:r>
      <w:proofErr w:type="spellStart"/>
      <w:r w:rsidRPr="00DE30C3">
        <w:rPr>
          <w:rFonts w:eastAsia="Calibri"/>
          <w:szCs w:val="24"/>
          <w:lang w:val="bg-BG" w:eastAsia="bg-BG"/>
        </w:rPr>
        <w:t>хексахлоробутадиен</w:t>
      </w:r>
      <w:proofErr w:type="spellEnd"/>
      <w:r w:rsidRPr="00DE30C3">
        <w:rPr>
          <w:rFonts w:eastAsia="Calibri"/>
          <w:szCs w:val="24"/>
          <w:lang w:val="bg-BG" w:eastAsia="bg-BG"/>
        </w:rPr>
        <w:t xml:space="preserve"> (HCBD);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нафталени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PCNs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пентахлорофенол</w:t>
      </w:r>
      <w:proofErr w:type="spellEnd"/>
      <w:r w:rsidRPr="00DE30C3">
        <w:rPr>
          <w:rFonts w:eastAsia="Calibri"/>
          <w:szCs w:val="24"/>
          <w:lang w:val="bg-BG" w:eastAsia="bg-BG"/>
        </w:rPr>
        <w:t>, неговите соли и естери (</w:t>
      </w:r>
      <w:proofErr w:type="spellStart"/>
      <w:r w:rsidRPr="00DE30C3">
        <w:rPr>
          <w:rFonts w:eastAsia="Calibri"/>
          <w:szCs w:val="24"/>
          <w:lang w:val="bg-BG" w:eastAsia="bg-BG"/>
        </w:rPr>
        <w:t>PCPs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перфлуороктан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сулфонова</w:t>
      </w:r>
      <w:proofErr w:type="spellEnd"/>
      <w:r w:rsidRPr="00DE30C3">
        <w:rPr>
          <w:rFonts w:eastAsia="Calibri"/>
          <w:szCs w:val="24"/>
          <w:lang w:val="bg-BG" w:eastAsia="bg-BG"/>
        </w:rPr>
        <w:t xml:space="preserve"> киселина (PFOS), нейните соли и </w:t>
      </w:r>
      <w:proofErr w:type="spellStart"/>
      <w:r w:rsidRPr="00DE30C3">
        <w:rPr>
          <w:rFonts w:eastAsia="Calibri"/>
          <w:szCs w:val="24"/>
          <w:lang w:val="bg-BG" w:eastAsia="bg-BG"/>
        </w:rPr>
        <w:t>перфлуороктан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сулфонил</w:t>
      </w:r>
      <w:proofErr w:type="spellEnd"/>
      <w:r w:rsidRPr="00DE30C3">
        <w:rPr>
          <w:rFonts w:eastAsia="Calibri"/>
          <w:szCs w:val="24"/>
          <w:lang w:val="bg-BG" w:eastAsia="bg-BG"/>
        </w:rPr>
        <w:t xml:space="preserve"> </w:t>
      </w:r>
      <w:proofErr w:type="spellStart"/>
      <w:r w:rsidRPr="00DE30C3">
        <w:rPr>
          <w:rFonts w:eastAsia="Calibri"/>
          <w:szCs w:val="24"/>
          <w:lang w:val="bg-BG" w:eastAsia="bg-BG"/>
        </w:rPr>
        <w:t>флуорид</w:t>
      </w:r>
      <w:proofErr w:type="spellEnd"/>
      <w:r w:rsidRPr="00DE30C3">
        <w:rPr>
          <w:rFonts w:eastAsia="Calibri"/>
          <w:szCs w:val="24"/>
          <w:lang w:val="bg-BG" w:eastAsia="bg-BG"/>
        </w:rPr>
        <w:t xml:space="preserve"> (PFOS-F); </w:t>
      </w:r>
      <w:proofErr w:type="spellStart"/>
      <w:r w:rsidRPr="00DE30C3">
        <w:rPr>
          <w:rFonts w:eastAsia="Calibri"/>
          <w:szCs w:val="24"/>
          <w:lang w:val="bg-BG" w:eastAsia="bg-BG"/>
        </w:rPr>
        <w:t>късоверижни</w:t>
      </w:r>
      <w:proofErr w:type="spellEnd"/>
      <w:r w:rsidRPr="00DE30C3">
        <w:rPr>
          <w:rFonts w:eastAsia="Calibri"/>
          <w:szCs w:val="24"/>
          <w:lang w:val="bg-BG" w:eastAsia="bg-BG"/>
        </w:rPr>
        <w:t xml:space="preserve"> хлорирани парафини (</w:t>
      </w:r>
      <w:proofErr w:type="spellStart"/>
      <w:r w:rsidRPr="00DE30C3">
        <w:rPr>
          <w:rFonts w:eastAsia="Calibri"/>
          <w:szCs w:val="24"/>
          <w:lang w:val="bg-BG" w:eastAsia="bg-BG"/>
        </w:rPr>
        <w:t>SCCPs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декабромодифенил</w:t>
      </w:r>
      <w:proofErr w:type="spellEnd"/>
      <w:r w:rsidRPr="00DE30C3">
        <w:rPr>
          <w:rFonts w:eastAsia="Calibri"/>
          <w:szCs w:val="24"/>
          <w:lang w:val="bg-BG" w:eastAsia="bg-BG"/>
        </w:rPr>
        <w:t xml:space="preserve"> етер (</w:t>
      </w:r>
      <w:proofErr w:type="spellStart"/>
      <w:r w:rsidRPr="00DE30C3">
        <w:rPr>
          <w:rFonts w:eastAsia="Calibri"/>
          <w:szCs w:val="24"/>
          <w:lang w:val="bg-BG" w:eastAsia="bg-BG"/>
        </w:rPr>
        <w:t>deca-BDE</w:t>
      </w:r>
      <w:proofErr w:type="spellEnd"/>
      <w:r w:rsidRPr="00DE30C3">
        <w:rPr>
          <w:rFonts w:eastAsia="Calibri"/>
          <w:szCs w:val="24"/>
          <w:lang w:val="bg-BG" w:eastAsia="bg-BG"/>
        </w:rPr>
        <w:t>)</w:t>
      </w:r>
      <w:r w:rsidRPr="00DE30C3">
        <w:rPr>
          <w:rFonts w:eastAsia="Calibri"/>
          <w:szCs w:val="24"/>
          <w:lang w:val="bg-BG" w:eastAsia="x-none"/>
        </w:rPr>
        <w:t xml:space="preserve">; </w:t>
      </w:r>
      <w:proofErr w:type="spellStart"/>
      <w:r w:rsidRPr="00DE30C3">
        <w:rPr>
          <w:rFonts w:eastAsia="Calibri"/>
          <w:szCs w:val="24"/>
          <w:lang w:val="bg-BG" w:eastAsia="bg-BG"/>
        </w:rPr>
        <w:t>хексахлорбензен</w:t>
      </w:r>
      <w:proofErr w:type="spellEnd"/>
      <w:r w:rsidRPr="00DE30C3">
        <w:rPr>
          <w:rFonts w:eastAsia="Calibri"/>
          <w:szCs w:val="24"/>
          <w:lang w:val="bg-BG" w:eastAsia="bg-BG"/>
        </w:rPr>
        <w:t xml:space="preserve"> (НСВ); </w:t>
      </w:r>
      <w:proofErr w:type="spellStart"/>
      <w:r w:rsidRPr="00DE30C3">
        <w:rPr>
          <w:rFonts w:eastAsia="Calibri"/>
          <w:szCs w:val="24"/>
          <w:lang w:val="bg-BG" w:eastAsia="bg-BG"/>
        </w:rPr>
        <w:t>хексабромобифенил</w:t>
      </w:r>
      <w:proofErr w:type="spellEnd"/>
      <w:r w:rsidRPr="00DE30C3">
        <w:rPr>
          <w:rFonts w:eastAsia="Calibri"/>
          <w:szCs w:val="24"/>
          <w:lang w:val="bg-BG" w:eastAsia="bg-BG"/>
        </w:rPr>
        <w:t xml:space="preserve"> (HBB);</w:t>
      </w:r>
    </w:p>
    <w:p w:rsidR="00E72CEA" w:rsidRPr="00DE30C3" w:rsidRDefault="00E72CEA" w:rsidP="00E72CEA">
      <w:pPr>
        <w:numPr>
          <w:ilvl w:val="0"/>
          <w:numId w:val="2"/>
        </w:numPr>
        <w:spacing w:before="120" w:after="200"/>
        <w:ind w:left="142" w:firstLine="774"/>
        <w:contextualSpacing/>
        <w:jc w:val="both"/>
        <w:rPr>
          <w:rFonts w:eastAsia="Calibri"/>
          <w:szCs w:val="24"/>
          <w:lang w:val="bg-BG" w:eastAsia="x-none"/>
        </w:rPr>
      </w:pPr>
      <w:r w:rsidRPr="00DE30C3">
        <w:rPr>
          <w:rFonts w:eastAsia="Calibri"/>
          <w:b/>
          <w:szCs w:val="24"/>
          <w:lang w:val="bg-BG" w:eastAsia="x-none"/>
        </w:rPr>
        <w:t>Непреднамерено произвеждани емисии на УОЗ</w:t>
      </w:r>
      <w:r w:rsidRPr="00DE30C3">
        <w:rPr>
          <w:rFonts w:eastAsia="Calibri"/>
          <w:szCs w:val="24"/>
          <w:lang w:val="bg-BG" w:eastAsia="x-none"/>
        </w:rPr>
        <w:t>:</w:t>
      </w:r>
      <w:r w:rsidRPr="00DE30C3">
        <w:rPr>
          <w:rFonts w:eastAsia="Calibri"/>
          <w:szCs w:val="24"/>
          <w:lang w:val="bg-BG" w:eastAsia="bg-BG"/>
        </w:rPr>
        <w:t xml:space="preserve">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дибензо-р-диоксини</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дибензофурани</w:t>
      </w:r>
      <w:proofErr w:type="spellEnd"/>
      <w:r w:rsidRPr="00DE30C3">
        <w:rPr>
          <w:rFonts w:eastAsia="Calibri"/>
          <w:szCs w:val="24"/>
          <w:lang w:val="bg-BG" w:eastAsia="bg-BG"/>
        </w:rPr>
        <w:t xml:space="preserve"> (РСDD/РСDF);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бифенили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PCBs</w:t>
      </w:r>
      <w:proofErr w:type="spellEnd"/>
      <w:r w:rsidRPr="00DE30C3">
        <w:rPr>
          <w:rFonts w:eastAsia="Calibri"/>
          <w:szCs w:val="24"/>
          <w:lang w:val="bg-BG" w:eastAsia="bg-BG"/>
        </w:rPr>
        <w:t xml:space="preserve">);, </w:t>
      </w:r>
      <w:proofErr w:type="spellStart"/>
      <w:r w:rsidRPr="00DE30C3">
        <w:rPr>
          <w:rFonts w:eastAsia="Calibri"/>
          <w:szCs w:val="24"/>
          <w:lang w:val="bg-BG" w:eastAsia="bg-BG"/>
        </w:rPr>
        <w:t>пентахлорбензен</w:t>
      </w:r>
      <w:proofErr w:type="spellEnd"/>
      <w:r w:rsidRPr="00DE30C3">
        <w:rPr>
          <w:rFonts w:eastAsia="Calibri"/>
          <w:szCs w:val="24"/>
          <w:lang w:val="bg-BG" w:eastAsia="bg-BG"/>
        </w:rPr>
        <w:t xml:space="preserve"> (</w:t>
      </w:r>
      <w:proofErr w:type="spellStart"/>
      <w:r w:rsidRPr="00DE30C3">
        <w:rPr>
          <w:rFonts w:eastAsia="Calibri"/>
          <w:szCs w:val="24"/>
          <w:lang w:val="bg-BG" w:eastAsia="bg-BG"/>
        </w:rPr>
        <w:t>РеСВ</w:t>
      </w:r>
      <w:proofErr w:type="spellEnd"/>
      <w:r w:rsidRPr="00DE30C3">
        <w:rPr>
          <w:rFonts w:eastAsia="Calibri"/>
          <w:szCs w:val="24"/>
          <w:lang w:val="bg-BG" w:eastAsia="bg-BG"/>
        </w:rPr>
        <w:t xml:space="preserve">); </w:t>
      </w:r>
      <w:proofErr w:type="spellStart"/>
      <w:r w:rsidRPr="00DE30C3">
        <w:rPr>
          <w:rFonts w:eastAsia="Calibri"/>
          <w:szCs w:val="24"/>
          <w:lang w:val="bg-BG" w:eastAsia="bg-BG"/>
        </w:rPr>
        <w:t>хексахлорбензен</w:t>
      </w:r>
      <w:proofErr w:type="spellEnd"/>
      <w:r w:rsidRPr="00DE30C3">
        <w:rPr>
          <w:rFonts w:eastAsia="Calibri"/>
          <w:szCs w:val="24"/>
          <w:lang w:val="bg-BG" w:eastAsia="bg-BG"/>
        </w:rPr>
        <w:t xml:space="preserve"> (НСВ); </w:t>
      </w:r>
      <w:proofErr w:type="spellStart"/>
      <w:r w:rsidRPr="00DE30C3">
        <w:rPr>
          <w:rFonts w:eastAsia="Calibri"/>
          <w:szCs w:val="24"/>
          <w:lang w:val="bg-BG" w:eastAsia="bg-BG"/>
        </w:rPr>
        <w:t>полихлорирани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нафталени</w:t>
      </w:r>
      <w:proofErr w:type="spellEnd"/>
      <w:r w:rsidRPr="00DE30C3">
        <w:rPr>
          <w:rFonts w:eastAsia="Calibri"/>
          <w:szCs w:val="24"/>
          <w:lang w:val="bg-BG" w:eastAsia="bg-BG"/>
        </w:rPr>
        <w:t xml:space="preserve"> (</w:t>
      </w:r>
      <w:proofErr w:type="spellStart"/>
      <w:r w:rsidRPr="00DE30C3">
        <w:rPr>
          <w:rFonts w:eastAsia="Calibri"/>
          <w:szCs w:val="24"/>
          <w:lang w:val="bg-BG" w:eastAsia="bg-BG"/>
        </w:rPr>
        <w:t>PCNs</w:t>
      </w:r>
      <w:proofErr w:type="spellEnd"/>
      <w:r w:rsidRPr="00DE30C3">
        <w:rPr>
          <w:rFonts w:eastAsia="Calibri"/>
          <w:szCs w:val="24"/>
          <w:lang w:val="bg-BG" w:eastAsia="bg-BG"/>
        </w:rPr>
        <w:t xml:space="preserve">) и </w:t>
      </w:r>
      <w:proofErr w:type="spellStart"/>
      <w:r w:rsidRPr="00DE30C3">
        <w:rPr>
          <w:rFonts w:eastAsia="Calibri"/>
          <w:szCs w:val="24"/>
          <w:lang w:val="bg-BG" w:eastAsia="bg-BG"/>
        </w:rPr>
        <w:t>хексахлоробутадиен</w:t>
      </w:r>
      <w:proofErr w:type="spellEnd"/>
      <w:r w:rsidRPr="00DE30C3">
        <w:rPr>
          <w:rFonts w:eastAsia="Calibri"/>
          <w:szCs w:val="24"/>
          <w:lang w:val="bg-BG" w:eastAsia="bg-BG"/>
        </w:rPr>
        <w:t xml:space="preserve"> (HCBD)</w:t>
      </w:r>
      <w:r w:rsidRPr="00DE30C3">
        <w:rPr>
          <w:rFonts w:eastAsia="Calibri"/>
          <w:szCs w:val="24"/>
          <w:lang w:val="bg-BG" w:eastAsia="x-none"/>
        </w:rPr>
        <w:t>;</w:t>
      </w:r>
    </w:p>
    <w:p w:rsidR="00E72CEA" w:rsidRPr="00DE30C3" w:rsidRDefault="00E72CEA" w:rsidP="00E72CEA">
      <w:pPr>
        <w:numPr>
          <w:ilvl w:val="0"/>
          <w:numId w:val="2"/>
        </w:numPr>
        <w:spacing w:before="120" w:after="200"/>
        <w:ind w:left="1276"/>
        <w:contextualSpacing/>
        <w:jc w:val="both"/>
        <w:rPr>
          <w:rFonts w:eastAsia="Calibri"/>
          <w:szCs w:val="24"/>
          <w:lang w:val="bg-BG" w:eastAsia="x-none"/>
        </w:rPr>
      </w:pPr>
      <w:r w:rsidRPr="00DE30C3">
        <w:rPr>
          <w:rFonts w:eastAsia="Calibri"/>
          <w:szCs w:val="24"/>
          <w:lang w:val="bg-BG" w:eastAsia="x-none"/>
        </w:rPr>
        <w:t xml:space="preserve">Отпадъци, съдържащи УОЗ и потенциално замърсени места; </w:t>
      </w:r>
    </w:p>
    <w:p w:rsidR="00E72CEA" w:rsidRPr="00DE30C3" w:rsidRDefault="00E72CEA" w:rsidP="00E72CEA">
      <w:pPr>
        <w:numPr>
          <w:ilvl w:val="0"/>
          <w:numId w:val="8"/>
        </w:numPr>
        <w:spacing w:before="120" w:after="200"/>
        <w:ind w:left="426"/>
        <w:contextualSpacing/>
        <w:jc w:val="both"/>
        <w:rPr>
          <w:rFonts w:eastAsia="Calibri"/>
          <w:szCs w:val="24"/>
          <w:lang w:val="bg-BG" w:eastAsia="x-none"/>
        </w:rPr>
      </w:pPr>
      <w:r w:rsidRPr="00DE30C3">
        <w:rPr>
          <w:rFonts w:eastAsia="Calibri"/>
          <w:szCs w:val="24"/>
          <w:lang w:val="bg-BG" w:eastAsia="x-none"/>
        </w:rPr>
        <w:t xml:space="preserve">Стратегия за изпълнение и национален план за действие за УОЗ </w:t>
      </w:r>
    </w:p>
    <w:p w:rsidR="00E72CEA" w:rsidRPr="00DE30C3" w:rsidRDefault="00E72CEA" w:rsidP="00E72CEA">
      <w:pPr>
        <w:numPr>
          <w:ilvl w:val="0"/>
          <w:numId w:val="8"/>
        </w:numPr>
        <w:spacing w:before="120" w:after="200"/>
        <w:ind w:left="426"/>
        <w:contextualSpacing/>
        <w:jc w:val="both"/>
        <w:rPr>
          <w:rFonts w:eastAsia="Calibri"/>
          <w:szCs w:val="24"/>
          <w:lang w:val="bg-BG" w:eastAsia="x-none"/>
        </w:rPr>
      </w:pPr>
      <w:r w:rsidRPr="00DE30C3">
        <w:rPr>
          <w:rFonts w:eastAsia="Calibri"/>
          <w:szCs w:val="24"/>
          <w:lang w:val="bg-BG" w:eastAsia="x-none"/>
        </w:rPr>
        <w:t xml:space="preserve">Приложения: </w:t>
      </w:r>
    </w:p>
    <w:p w:rsidR="00E72CEA" w:rsidRPr="00DE30C3" w:rsidRDefault="00E72CEA" w:rsidP="00E72CEA">
      <w:pPr>
        <w:numPr>
          <w:ilvl w:val="0"/>
          <w:numId w:val="1"/>
        </w:numPr>
        <w:spacing w:before="120" w:after="200"/>
        <w:contextualSpacing/>
        <w:jc w:val="both"/>
        <w:rPr>
          <w:rFonts w:eastAsia="Calibri"/>
          <w:szCs w:val="24"/>
          <w:lang w:val="bg-BG" w:eastAsia="x-none"/>
        </w:rPr>
      </w:pPr>
      <w:r w:rsidRPr="00DE30C3">
        <w:rPr>
          <w:rFonts w:eastAsia="Calibri"/>
          <w:szCs w:val="24"/>
          <w:lang w:val="bg-BG" w:eastAsia="x-none"/>
        </w:rPr>
        <w:t>Национален план за действие</w:t>
      </w:r>
    </w:p>
    <w:p w:rsidR="00E72CEA" w:rsidRPr="00DE30C3" w:rsidRDefault="00E72CEA" w:rsidP="00E72CEA">
      <w:pPr>
        <w:numPr>
          <w:ilvl w:val="0"/>
          <w:numId w:val="1"/>
        </w:numPr>
        <w:spacing w:before="120" w:after="200"/>
        <w:contextualSpacing/>
        <w:jc w:val="both"/>
        <w:rPr>
          <w:rFonts w:eastAsia="Calibri"/>
          <w:szCs w:val="24"/>
          <w:lang w:val="bg-BG" w:eastAsia="x-none"/>
        </w:rPr>
      </w:pPr>
      <w:r w:rsidRPr="00DE30C3">
        <w:rPr>
          <w:rFonts w:eastAsia="Calibri"/>
          <w:szCs w:val="24"/>
          <w:lang w:val="bg-BG" w:eastAsia="x-none"/>
        </w:rPr>
        <w:t>Използвани източници на информация</w:t>
      </w:r>
    </w:p>
    <w:p w:rsidR="00E72CEA" w:rsidRPr="00DE30C3" w:rsidRDefault="00E72CEA" w:rsidP="00E72CEA">
      <w:pPr>
        <w:numPr>
          <w:ilvl w:val="0"/>
          <w:numId w:val="1"/>
        </w:numPr>
        <w:spacing w:before="120" w:after="200"/>
        <w:contextualSpacing/>
        <w:jc w:val="both"/>
        <w:rPr>
          <w:rFonts w:eastAsia="Calibri"/>
          <w:szCs w:val="24"/>
          <w:lang w:val="bg-BG" w:eastAsia="x-none"/>
        </w:rPr>
      </w:pPr>
      <w:r w:rsidRPr="00DE30C3">
        <w:rPr>
          <w:rFonts w:eastAsia="Calibri"/>
          <w:szCs w:val="24"/>
          <w:lang w:val="bg-BG" w:eastAsia="x-none"/>
        </w:rPr>
        <w:t xml:space="preserve">Други – например токсикологични и </w:t>
      </w:r>
      <w:proofErr w:type="spellStart"/>
      <w:r w:rsidRPr="00DE30C3">
        <w:rPr>
          <w:rFonts w:eastAsia="Calibri"/>
          <w:szCs w:val="24"/>
          <w:lang w:val="bg-BG" w:eastAsia="x-none"/>
        </w:rPr>
        <w:t>екотоксикологични</w:t>
      </w:r>
      <w:proofErr w:type="spellEnd"/>
      <w:r w:rsidRPr="00DE30C3">
        <w:rPr>
          <w:rFonts w:eastAsia="Calibri"/>
          <w:szCs w:val="24"/>
          <w:lang w:val="bg-BG" w:eastAsia="x-none"/>
        </w:rPr>
        <w:t xml:space="preserve"> характеристики; лаборатории за мониторинг на УОЗ </w:t>
      </w:r>
    </w:p>
    <w:p w:rsidR="00E72CEA" w:rsidRPr="00DE30C3" w:rsidRDefault="00E72CEA" w:rsidP="00E72CEA">
      <w:pPr>
        <w:spacing w:before="120"/>
        <w:ind w:left="720"/>
        <w:contextualSpacing/>
        <w:jc w:val="both"/>
        <w:rPr>
          <w:rFonts w:eastAsia="Calibri"/>
          <w:szCs w:val="24"/>
          <w:lang w:val="bg-BG" w:eastAsia="x-none"/>
        </w:rPr>
      </w:pPr>
    </w:p>
    <w:p w:rsidR="00E72CEA" w:rsidRPr="00DE30C3" w:rsidRDefault="00E72CEA" w:rsidP="00E72CEA">
      <w:pPr>
        <w:spacing w:before="120"/>
        <w:ind w:firstLine="360"/>
        <w:contextualSpacing/>
        <w:jc w:val="both"/>
        <w:rPr>
          <w:rFonts w:eastAsia="Calibri"/>
          <w:szCs w:val="24"/>
          <w:lang w:val="bg-BG" w:eastAsia="x-none"/>
        </w:rPr>
      </w:pPr>
      <w:r w:rsidRPr="00DE30C3">
        <w:rPr>
          <w:rFonts w:eastAsia="Calibri"/>
          <w:szCs w:val="24"/>
          <w:lang w:val="bg-BG" w:eastAsia="x-none"/>
        </w:rPr>
        <w:t xml:space="preserve">Същевременно трябва да включва пълна информация за всички 6 нови УОЗ вещества и актуализация на състоянието на съществуващите 22 УОЗ, така че да в документа да се съдържа информация за всички 28 УОЗ вещества. </w:t>
      </w:r>
    </w:p>
    <w:p w:rsidR="00E72CEA" w:rsidRPr="00DE30C3" w:rsidRDefault="00E72CEA" w:rsidP="00E72CEA">
      <w:pPr>
        <w:spacing w:before="120"/>
        <w:ind w:firstLine="360"/>
        <w:contextualSpacing/>
        <w:jc w:val="both"/>
        <w:rPr>
          <w:rFonts w:eastAsia="Calibri"/>
          <w:szCs w:val="24"/>
          <w:lang w:val="bg-BG" w:eastAsia="x-none"/>
        </w:rPr>
      </w:pPr>
      <w:r w:rsidRPr="00DE30C3">
        <w:rPr>
          <w:rFonts w:eastAsia="Calibri"/>
          <w:szCs w:val="24"/>
          <w:lang w:val="bg-BG" w:eastAsia="x-none"/>
        </w:rPr>
        <w:t xml:space="preserve">Инвентаризацията на веществото </w:t>
      </w:r>
      <w:proofErr w:type="spellStart"/>
      <w:r w:rsidRPr="00DE30C3">
        <w:rPr>
          <w:rFonts w:eastAsia="Calibri"/>
          <w:szCs w:val="24"/>
          <w:lang w:eastAsia="x-none"/>
        </w:rPr>
        <w:t>deca</w:t>
      </w:r>
      <w:proofErr w:type="spellEnd"/>
      <w:r w:rsidRPr="00DE30C3">
        <w:rPr>
          <w:rFonts w:eastAsia="Calibri"/>
          <w:szCs w:val="24"/>
          <w:lang w:eastAsia="x-none"/>
        </w:rPr>
        <w:t xml:space="preserve">-BDE </w:t>
      </w:r>
      <w:r w:rsidRPr="00DE30C3">
        <w:rPr>
          <w:rFonts w:eastAsia="Calibri"/>
          <w:szCs w:val="24"/>
          <w:lang w:val="bg-BG" w:eastAsia="x-none"/>
        </w:rPr>
        <w:t xml:space="preserve">трябва да включва следната информация: </w:t>
      </w:r>
    </w:p>
    <w:p w:rsidR="00E72CEA" w:rsidRPr="00DE30C3" w:rsidRDefault="00E72CEA" w:rsidP="00E72CEA">
      <w:pPr>
        <w:numPr>
          <w:ilvl w:val="0"/>
          <w:numId w:val="3"/>
        </w:numPr>
        <w:tabs>
          <w:tab w:val="left" w:pos="426"/>
          <w:tab w:val="left" w:pos="851"/>
          <w:tab w:val="left" w:pos="1620"/>
        </w:tabs>
        <w:spacing w:after="200"/>
        <w:ind w:left="426" w:firstLine="0"/>
        <w:contextualSpacing/>
        <w:jc w:val="both"/>
        <w:rPr>
          <w:rFonts w:eastAsia="Calibri"/>
          <w:b/>
          <w:szCs w:val="24"/>
          <w:lang w:val="bg-BG"/>
        </w:rPr>
      </w:pPr>
      <w:r w:rsidRPr="00DE30C3">
        <w:rPr>
          <w:rFonts w:eastAsia="Calibri"/>
          <w:b/>
          <w:szCs w:val="24"/>
          <w:lang w:val="bg-BG"/>
        </w:rPr>
        <w:t>Набиране на обща информация, както следва:</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Химична идентичност и търговски наименования;</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Характеристики на </w:t>
      </w:r>
      <w:proofErr w:type="spellStart"/>
      <w:r w:rsidRPr="00DE30C3">
        <w:rPr>
          <w:rFonts w:eastAsia="Calibri"/>
          <w:szCs w:val="24"/>
        </w:rPr>
        <w:t>deca</w:t>
      </w:r>
      <w:proofErr w:type="spellEnd"/>
      <w:r w:rsidRPr="00DE30C3">
        <w:rPr>
          <w:rFonts w:eastAsia="Calibri"/>
          <w:szCs w:val="24"/>
        </w:rPr>
        <w:t xml:space="preserve">-BDE </w:t>
      </w:r>
      <w:r w:rsidRPr="00DE30C3">
        <w:rPr>
          <w:rFonts w:eastAsia="Calibri"/>
          <w:szCs w:val="24"/>
          <w:lang w:val="bg-BG"/>
        </w:rPr>
        <w:t xml:space="preserve">(химични, физични, токсикологични и </w:t>
      </w:r>
      <w:proofErr w:type="spellStart"/>
      <w:r w:rsidRPr="00DE30C3">
        <w:rPr>
          <w:rFonts w:eastAsia="Calibri"/>
          <w:szCs w:val="24"/>
          <w:lang w:val="bg-BG"/>
        </w:rPr>
        <w:t>екотоксикологични</w:t>
      </w:r>
      <w:proofErr w:type="spellEnd"/>
      <w:r w:rsidRPr="00DE30C3">
        <w:rPr>
          <w:rFonts w:eastAsia="Calibri"/>
          <w:szCs w:val="24"/>
          <w:lang w:val="bg-BG"/>
        </w:rPr>
        <w:t xml:space="preserve"> характеристики на </w:t>
      </w:r>
      <w:proofErr w:type="spellStart"/>
      <w:r w:rsidRPr="00DE30C3">
        <w:rPr>
          <w:rFonts w:eastAsia="Calibri"/>
          <w:szCs w:val="24"/>
        </w:rPr>
        <w:t>deca</w:t>
      </w:r>
      <w:proofErr w:type="spellEnd"/>
      <w:r w:rsidRPr="00DE30C3">
        <w:rPr>
          <w:rFonts w:eastAsia="Calibri"/>
          <w:szCs w:val="24"/>
        </w:rPr>
        <w:t xml:space="preserve">-BDE </w:t>
      </w:r>
      <w:r w:rsidRPr="00DE30C3">
        <w:rPr>
          <w:rFonts w:eastAsia="Calibri"/>
          <w:szCs w:val="24"/>
          <w:lang w:val="bg-BG"/>
        </w:rPr>
        <w:t>– по данни от литературни издания и електронни публикации;</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Международно, европейско и национално законодателство (регулаторна рамка) за </w:t>
      </w:r>
      <w:proofErr w:type="spellStart"/>
      <w:r w:rsidRPr="00DE30C3">
        <w:rPr>
          <w:rFonts w:eastAsia="Calibri"/>
          <w:szCs w:val="24"/>
        </w:rPr>
        <w:t>deca</w:t>
      </w:r>
      <w:proofErr w:type="spellEnd"/>
      <w:r w:rsidRPr="00DE30C3">
        <w:rPr>
          <w:rFonts w:eastAsia="Calibri"/>
          <w:szCs w:val="24"/>
        </w:rPr>
        <w:t>-BDE</w:t>
      </w:r>
      <w:r w:rsidRPr="00DE30C3">
        <w:rPr>
          <w:rFonts w:eastAsia="Calibri"/>
          <w:szCs w:val="24"/>
          <w:lang w:val="bg-BG"/>
        </w:rPr>
        <w:t xml:space="preserve">, съответно за третиране на отпадъци, съдържащи </w:t>
      </w:r>
      <w:proofErr w:type="spellStart"/>
      <w:r w:rsidRPr="00DE30C3">
        <w:rPr>
          <w:rFonts w:eastAsia="Calibri"/>
          <w:szCs w:val="24"/>
        </w:rPr>
        <w:t>deca</w:t>
      </w:r>
      <w:proofErr w:type="spellEnd"/>
      <w:r w:rsidRPr="00DE30C3">
        <w:rPr>
          <w:rFonts w:eastAsia="Calibri"/>
          <w:szCs w:val="24"/>
        </w:rPr>
        <w:t>-BDE</w:t>
      </w:r>
      <w:r w:rsidRPr="00DE30C3">
        <w:rPr>
          <w:rFonts w:eastAsia="Calibri"/>
          <w:szCs w:val="24"/>
          <w:lang w:val="bg-BG"/>
        </w:rPr>
        <w:t>; нормативни ограничения при производство, пускане на пазара и употреба; нормативни изключения и разрешителни режими;</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Производство на </w:t>
      </w:r>
      <w:proofErr w:type="spellStart"/>
      <w:r w:rsidRPr="00DE30C3">
        <w:rPr>
          <w:rFonts w:eastAsia="Calibri"/>
          <w:szCs w:val="24"/>
        </w:rPr>
        <w:t>deca</w:t>
      </w:r>
      <w:proofErr w:type="spellEnd"/>
      <w:r w:rsidRPr="00DE30C3">
        <w:rPr>
          <w:rFonts w:eastAsia="Calibri"/>
          <w:szCs w:val="24"/>
        </w:rPr>
        <w:t>-BDE</w:t>
      </w:r>
      <w:r w:rsidRPr="00DE30C3">
        <w:rPr>
          <w:rFonts w:eastAsia="Calibri"/>
          <w:szCs w:val="24"/>
          <w:lang w:val="bg-BG"/>
        </w:rPr>
        <w:t xml:space="preserve"> на световно и европейско ниво (производители)</w:t>
      </w:r>
    </w:p>
    <w:p w:rsidR="00E72CEA" w:rsidRPr="00DE30C3" w:rsidRDefault="00E72CEA" w:rsidP="00E72CEA">
      <w:pPr>
        <w:tabs>
          <w:tab w:val="left" w:pos="1080"/>
        </w:tabs>
        <w:spacing w:after="160" w:line="259" w:lineRule="auto"/>
        <w:ind w:left="1440"/>
        <w:contextualSpacing/>
        <w:jc w:val="both"/>
        <w:rPr>
          <w:rFonts w:eastAsia="Calibri"/>
          <w:szCs w:val="24"/>
          <w:lang w:val="bg-BG"/>
        </w:rPr>
      </w:pPr>
      <w:r w:rsidRPr="00DE30C3">
        <w:rPr>
          <w:rFonts w:eastAsia="Calibri"/>
          <w:szCs w:val="24"/>
          <w:lang w:val="bg-BG"/>
        </w:rPr>
        <w:lastRenderedPageBreak/>
        <w:t>– по данни от литературни издания и електронни публикации;</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Видове употреби на  </w:t>
      </w:r>
      <w:proofErr w:type="spellStart"/>
      <w:r w:rsidRPr="00DE30C3">
        <w:rPr>
          <w:rFonts w:eastAsia="Calibri"/>
          <w:szCs w:val="24"/>
          <w:lang w:val="bg-BG"/>
        </w:rPr>
        <w:t>deca-BDE</w:t>
      </w:r>
      <w:proofErr w:type="spellEnd"/>
      <w:r w:rsidRPr="00DE30C3">
        <w:rPr>
          <w:rFonts w:eastAsia="Calibri"/>
          <w:szCs w:val="24"/>
          <w:lang w:val="bg-BG"/>
        </w:rPr>
        <w:t xml:space="preserve"> – настоящи и исторически на световно и европейско ниво (в пластмаси, текстил, лепила, уплътнители, покрития и мастила и др.) </w:t>
      </w:r>
      <w:proofErr w:type="spellStart"/>
      <w:r w:rsidRPr="00DE30C3">
        <w:rPr>
          <w:rFonts w:eastAsia="Calibri"/>
          <w:szCs w:val="24"/>
          <w:lang w:val="bg-BG"/>
        </w:rPr>
        <w:t>Deca-BDE</w:t>
      </w:r>
      <w:proofErr w:type="spellEnd"/>
      <w:r w:rsidRPr="00DE30C3">
        <w:rPr>
          <w:rFonts w:eastAsia="Calibri"/>
          <w:szCs w:val="24"/>
          <w:lang w:val="bg-BG"/>
        </w:rPr>
        <w:t xml:space="preserve"> - съдържащите пластмаси се използват в пластмасови корпуси и части електрическо и електронно оборудване, в битови отоплителни уреди, ютии, вентилатори, проводници и кабели. В текстила, </w:t>
      </w:r>
      <w:proofErr w:type="spellStart"/>
      <w:r w:rsidRPr="00DE30C3">
        <w:rPr>
          <w:rFonts w:eastAsia="Calibri"/>
          <w:szCs w:val="24"/>
          <w:lang w:val="bg-BG"/>
        </w:rPr>
        <w:t>deca-BDE</w:t>
      </w:r>
      <w:proofErr w:type="spellEnd"/>
      <w:r w:rsidRPr="00DE30C3">
        <w:rPr>
          <w:rFonts w:eastAsia="Calibri"/>
          <w:szCs w:val="24"/>
          <w:lang w:val="bg-BG"/>
        </w:rPr>
        <w:t xml:space="preserve"> се използва основно в тапицерия, щори, пердета и матраци за обществени и битови сгради, в килими, както и в сектора на транспорта - в части за моторни превозни средства, чието масово производство е преустановено като арматурни табла и интериорни декоративни елементи, проводници и кабелни обвивки , корпуси и поставки на акумулатора, електрически конектори за системата за управление на двигателя, радио компоненти, сателитни навигационни системи, глобални системи за позициониране и компютърни системи, тъкани като задните панели, тапицерия, интериорни тавани, седалки за автомобили, облегалки за глава, сенници, облицовъчни панели, килими;</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Специфични изключения за производство и употреба на </w:t>
      </w:r>
      <w:proofErr w:type="spellStart"/>
      <w:r w:rsidRPr="00DE30C3">
        <w:rPr>
          <w:rFonts w:eastAsia="Calibri"/>
          <w:szCs w:val="24"/>
          <w:lang w:val="bg-BG"/>
        </w:rPr>
        <w:t>deca-BDE</w:t>
      </w:r>
      <w:proofErr w:type="spellEnd"/>
      <w:r w:rsidRPr="00DE30C3">
        <w:rPr>
          <w:rFonts w:eastAsia="Calibri"/>
          <w:szCs w:val="24"/>
          <w:lang w:val="bg-BG"/>
        </w:rPr>
        <w:t>; разрешени употреби по Стокхолмската конвенция;</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Идентифицирани исторически и настоящи потреби на </w:t>
      </w:r>
      <w:proofErr w:type="spellStart"/>
      <w:r w:rsidRPr="00DE30C3">
        <w:rPr>
          <w:rFonts w:eastAsia="Calibri"/>
          <w:szCs w:val="24"/>
          <w:lang w:val="bg-BG"/>
        </w:rPr>
        <w:t>deca-BDE</w:t>
      </w:r>
      <w:proofErr w:type="spellEnd"/>
      <w:r w:rsidRPr="00DE30C3">
        <w:rPr>
          <w:rFonts w:eastAsia="Calibri"/>
          <w:szCs w:val="24"/>
          <w:lang w:val="bg-BG"/>
        </w:rPr>
        <w:t xml:space="preserve"> в страната;</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Производители на продукти и изделия, съдържащи </w:t>
      </w:r>
      <w:proofErr w:type="spellStart"/>
      <w:r w:rsidRPr="00DE30C3">
        <w:rPr>
          <w:rFonts w:eastAsia="Calibri"/>
          <w:szCs w:val="24"/>
          <w:lang w:val="bg-BG"/>
        </w:rPr>
        <w:t>deca-BDE</w:t>
      </w:r>
      <w:proofErr w:type="spellEnd"/>
      <w:r w:rsidRPr="00DE30C3">
        <w:rPr>
          <w:rFonts w:eastAsia="Calibri"/>
          <w:szCs w:val="24"/>
          <w:lang w:val="bg-BG"/>
        </w:rPr>
        <w:t xml:space="preserve"> в страната;</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Пускане на пазара и употреба по видове употреби в самостоятелен вид; в смеси; в продукти и изделия (идентифициране на потребители надолу по веригата);</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Внос и износ на изделия (идентифициране на вносители и износители),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по видове употреби и по индустриални сектори в страната;</w:t>
      </w:r>
    </w:p>
    <w:p w:rsidR="00E72CEA" w:rsidRPr="00DE30C3" w:rsidRDefault="00E72CEA" w:rsidP="00E72CEA">
      <w:pPr>
        <w:numPr>
          <w:ilvl w:val="0"/>
          <w:numId w:val="9"/>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Идентифициране на фирми за третиране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в страната – рециклиране, съхранение, разкомплектоване на ИУМПС и ИУЕЕО, износ за обезвреждане в чужбина.</w:t>
      </w:r>
    </w:p>
    <w:p w:rsidR="00E72CEA" w:rsidRPr="00DE30C3" w:rsidRDefault="00E72CEA" w:rsidP="00E72CEA">
      <w:pPr>
        <w:tabs>
          <w:tab w:val="left" w:pos="851"/>
        </w:tabs>
        <w:spacing w:before="120"/>
        <w:ind w:firstLine="720"/>
        <w:contextualSpacing/>
        <w:jc w:val="both"/>
        <w:rPr>
          <w:rFonts w:eastAsia="Calibri"/>
          <w:szCs w:val="24"/>
          <w:lang w:val="bg-BG"/>
        </w:rPr>
      </w:pPr>
    </w:p>
    <w:p w:rsidR="00E72CEA" w:rsidRPr="00DE30C3" w:rsidRDefault="00E72CEA" w:rsidP="00E72CEA">
      <w:pPr>
        <w:numPr>
          <w:ilvl w:val="0"/>
          <w:numId w:val="3"/>
        </w:numPr>
        <w:tabs>
          <w:tab w:val="left" w:pos="426"/>
          <w:tab w:val="left" w:pos="851"/>
          <w:tab w:val="left" w:pos="1620"/>
        </w:tabs>
        <w:spacing w:after="200"/>
        <w:ind w:left="426" w:firstLine="0"/>
        <w:contextualSpacing/>
        <w:jc w:val="both"/>
        <w:rPr>
          <w:rFonts w:eastAsia="Calibri"/>
          <w:b/>
          <w:szCs w:val="24"/>
          <w:lang w:val="bg-BG"/>
        </w:rPr>
      </w:pPr>
      <w:r w:rsidRPr="00DE30C3">
        <w:rPr>
          <w:rFonts w:eastAsia="Calibri"/>
          <w:b/>
          <w:szCs w:val="24"/>
          <w:lang w:val="bg-BG"/>
        </w:rPr>
        <w:t xml:space="preserve">Събиране, обработка, обобщаване и анализ на данни за </w:t>
      </w:r>
      <w:proofErr w:type="spellStart"/>
      <w:r w:rsidRPr="00DE30C3">
        <w:rPr>
          <w:rFonts w:eastAsia="Calibri"/>
          <w:b/>
          <w:szCs w:val="24"/>
          <w:lang w:val="bg-BG"/>
        </w:rPr>
        <w:t>deca-BDE</w:t>
      </w:r>
      <w:proofErr w:type="spellEnd"/>
      <w:r w:rsidRPr="00DE30C3">
        <w:rPr>
          <w:rFonts w:eastAsia="Calibri"/>
          <w:b/>
          <w:szCs w:val="24"/>
          <w:lang w:val="bg-BG"/>
        </w:rPr>
        <w:t>:</w:t>
      </w:r>
    </w:p>
    <w:p w:rsidR="00E72CEA" w:rsidRPr="00DE30C3" w:rsidRDefault="00E72CEA" w:rsidP="00E72CEA">
      <w:pPr>
        <w:numPr>
          <w:ilvl w:val="0"/>
          <w:numId w:val="10"/>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Производство, пускане на пазара, внос и износ на продукти и изделия, доставки надолу по веригата, съдържащи </w:t>
      </w:r>
      <w:proofErr w:type="spellStart"/>
      <w:r w:rsidRPr="00DE30C3">
        <w:rPr>
          <w:rFonts w:eastAsia="Calibri"/>
          <w:szCs w:val="24"/>
          <w:lang w:val="bg-BG"/>
        </w:rPr>
        <w:t>deca-BDE</w:t>
      </w:r>
      <w:proofErr w:type="spellEnd"/>
      <w:r w:rsidRPr="00DE30C3">
        <w:rPr>
          <w:rFonts w:eastAsia="Calibri"/>
          <w:szCs w:val="24"/>
          <w:lang w:val="bg-BG"/>
        </w:rPr>
        <w:t xml:space="preserve"> по индустриални сектори и по видове употреби; третиране и износ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w:t>
      </w:r>
    </w:p>
    <w:p w:rsidR="00E72CEA" w:rsidRPr="00DE30C3" w:rsidRDefault="00E72CEA" w:rsidP="00E72CEA">
      <w:pPr>
        <w:numPr>
          <w:ilvl w:val="0"/>
          <w:numId w:val="10"/>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Идентифициране на фирми за третиране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в страната – рециклиране, съхранение, разкомплектоване на ИУМПС и ИУЕЕО, износ за обезвреждане в чужбина  и потенциално замърсени с </w:t>
      </w:r>
      <w:proofErr w:type="spellStart"/>
      <w:r w:rsidRPr="00DE30C3">
        <w:rPr>
          <w:rFonts w:eastAsia="Calibri"/>
          <w:szCs w:val="24"/>
          <w:lang w:val="bg-BG"/>
        </w:rPr>
        <w:t>deca-BDE</w:t>
      </w:r>
      <w:proofErr w:type="spellEnd"/>
      <w:r w:rsidRPr="00DE30C3">
        <w:rPr>
          <w:rFonts w:eastAsia="Calibri"/>
          <w:szCs w:val="24"/>
          <w:lang w:val="bg-BG"/>
        </w:rPr>
        <w:t xml:space="preserve"> места.</w:t>
      </w:r>
    </w:p>
    <w:p w:rsidR="00E72CEA" w:rsidRPr="00DE30C3" w:rsidRDefault="00E72CEA" w:rsidP="00E72CEA">
      <w:pPr>
        <w:tabs>
          <w:tab w:val="left" w:pos="851"/>
          <w:tab w:val="left" w:pos="1080"/>
        </w:tabs>
        <w:spacing w:before="120"/>
        <w:ind w:firstLine="720"/>
        <w:contextualSpacing/>
        <w:jc w:val="both"/>
        <w:rPr>
          <w:rFonts w:eastAsia="Calibri"/>
          <w:szCs w:val="24"/>
          <w:lang w:val="bg-BG"/>
        </w:rPr>
      </w:pPr>
    </w:p>
    <w:p w:rsidR="00E72CEA" w:rsidRPr="00DE30C3" w:rsidRDefault="00E72CEA" w:rsidP="00E72CEA">
      <w:pPr>
        <w:numPr>
          <w:ilvl w:val="0"/>
          <w:numId w:val="3"/>
        </w:numPr>
        <w:tabs>
          <w:tab w:val="left" w:pos="426"/>
          <w:tab w:val="left" w:pos="851"/>
          <w:tab w:val="left" w:pos="1620"/>
        </w:tabs>
        <w:spacing w:after="200"/>
        <w:ind w:left="426" w:firstLine="0"/>
        <w:contextualSpacing/>
        <w:jc w:val="both"/>
        <w:rPr>
          <w:rFonts w:eastAsia="Calibri"/>
          <w:b/>
          <w:szCs w:val="24"/>
          <w:lang w:val="bg-BG"/>
        </w:rPr>
      </w:pPr>
      <w:r w:rsidRPr="00DE30C3">
        <w:rPr>
          <w:rFonts w:eastAsia="Calibri"/>
          <w:b/>
          <w:szCs w:val="24"/>
          <w:lang w:val="bg-BG"/>
        </w:rPr>
        <w:t xml:space="preserve">Инвентаризация на </w:t>
      </w:r>
      <w:proofErr w:type="spellStart"/>
      <w:r w:rsidRPr="00DE30C3">
        <w:rPr>
          <w:rFonts w:eastAsia="Calibri"/>
          <w:b/>
          <w:szCs w:val="24"/>
          <w:lang w:val="bg-BG"/>
        </w:rPr>
        <w:t>deca-BDE</w:t>
      </w:r>
      <w:proofErr w:type="spellEnd"/>
      <w:r w:rsidRPr="00DE30C3">
        <w:rPr>
          <w:rFonts w:eastAsia="Calibri"/>
          <w:b/>
          <w:szCs w:val="24"/>
          <w:lang w:val="bg-BG"/>
        </w:rPr>
        <w:t xml:space="preserve"> по видове употреби за периода 2013-2017 г.</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Изготвяне (превод и адаптиране за условията в страната) на въпросници за инвентаризация на </w:t>
      </w:r>
      <w:proofErr w:type="spellStart"/>
      <w:r w:rsidRPr="00DE30C3">
        <w:rPr>
          <w:rFonts w:eastAsia="Calibri"/>
          <w:szCs w:val="24"/>
          <w:lang w:val="bg-BG"/>
        </w:rPr>
        <w:t>deca-BDE</w:t>
      </w:r>
      <w:proofErr w:type="spellEnd"/>
      <w:r w:rsidRPr="00DE30C3">
        <w:rPr>
          <w:rFonts w:eastAsia="Calibri"/>
          <w:szCs w:val="24"/>
          <w:lang w:val="bg-BG"/>
        </w:rPr>
        <w:t xml:space="preserve">  по видове употреби, както и за управление на </w:t>
      </w:r>
      <w:r w:rsidRPr="00DE30C3">
        <w:rPr>
          <w:rFonts w:eastAsia="Calibri"/>
          <w:szCs w:val="24"/>
          <w:lang w:val="bg-BG"/>
        </w:rPr>
        <w:lastRenderedPageBreak/>
        <w:t xml:space="preserve">отпадъци, съдържащи </w:t>
      </w:r>
      <w:proofErr w:type="spellStart"/>
      <w:r w:rsidRPr="00DE30C3">
        <w:rPr>
          <w:rFonts w:eastAsia="Calibri"/>
          <w:szCs w:val="24"/>
          <w:lang w:val="bg-BG"/>
        </w:rPr>
        <w:t>deca-BDE</w:t>
      </w:r>
      <w:proofErr w:type="spellEnd"/>
      <w:r w:rsidRPr="00DE30C3">
        <w:rPr>
          <w:rFonts w:eastAsia="Calibri"/>
          <w:szCs w:val="24"/>
          <w:lang w:val="bg-BG"/>
        </w:rPr>
        <w:t>,  като за база се използва наличния такъв по Стокхолмска конвенция;</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Изготвяне на списък на лицата – обект на инвентаризацията;</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Определяне на лицата – обект на инвентаризация, на които ще бъде изпратен въпросника;</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Селектиране на фирми от списъка с лицата – обект на инвентаризация с по-голям принос във веригата на доставки, с които ще се извършат срещи на място със съдействието на РИОСВ при възникнала необходимост;</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Изготвяне на </w:t>
      </w:r>
      <w:proofErr w:type="spellStart"/>
      <w:r w:rsidRPr="00DE30C3">
        <w:rPr>
          <w:rFonts w:eastAsia="Calibri"/>
          <w:szCs w:val="24"/>
          <w:lang w:val="bg-BG"/>
        </w:rPr>
        <w:t>придружителни</w:t>
      </w:r>
      <w:proofErr w:type="spellEnd"/>
      <w:r w:rsidRPr="00DE30C3">
        <w:rPr>
          <w:rFonts w:eastAsia="Calibri"/>
          <w:szCs w:val="24"/>
          <w:lang w:val="bg-BG"/>
        </w:rPr>
        <w:t xml:space="preserve"> писма до лицата – обект на инвентаризация;</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Различни употреби на </w:t>
      </w:r>
      <w:proofErr w:type="spellStart"/>
      <w:r w:rsidRPr="00DE30C3">
        <w:rPr>
          <w:rFonts w:eastAsia="Calibri"/>
          <w:szCs w:val="24"/>
          <w:lang w:val="bg-BG"/>
        </w:rPr>
        <w:t>deca-BDE</w:t>
      </w:r>
      <w:proofErr w:type="spellEnd"/>
      <w:r w:rsidRPr="00DE30C3">
        <w:rPr>
          <w:rFonts w:eastAsia="Calibri"/>
          <w:szCs w:val="24"/>
          <w:lang w:val="bg-BG"/>
        </w:rPr>
        <w:t>:</w:t>
      </w:r>
    </w:p>
    <w:p w:rsidR="00E72CEA" w:rsidRPr="00DE30C3" w:rsidRDefault="00E72CEA" w:rsidP="00E72CEA">
      <w:pPr>
        <w:numPr>
          <w:ilvl w:val="0"/>
          <w:numId w:val="4"/>
        </w:numPr>
        <w:tabs>
          <w:tab w:val="left" w:pos="1134"/>
        </w:tabs>
        <w:spacing w:after="200"/>
        <w:ind w:firstLine="720"/>
        <w:contextualSpacing/>
        <w:jc w:val="both"/>
        <w:rPr>
          <w:rFonts w:eastAsia="Calibri"/>
          <w:szCs w:val="24"/>
          <w:lang w:val="bg-BG"/>
        </w:rPr>
      </w:pPr>
      <w:r w:rsidRPr="00DE30C3">
        <w:rPr>
          <w:rFonts w:eastAsia="Calibri"/>
          <w:szCs w:val="24"/>
          <w:lang w:val="bg-BG"/>
        </w:rPr>
        <w:t xml:space="preserve">Употреба на </w:t>
      </w:r>
      <w:proofErr w:type="spellStart"/>
      <w:r w:rsidRPr="00DE30C3">
        <w:rPr>
          <w:rFonts w:eastAsia="Calibri"/>
          <w:szCs w:val="24"/>
          <w:lang w:val="bg-BG"/>
        </w:rPr>
        <w:t>deca-BDE</w:t>
      </w:r>
      <w:proofErr w:type="spellEnd"/>
      <w:r w:rsidRPr="00DE30C3">
        <w:rPr>
          <w:rFonts w:eastAsia="Calibri"/>
          <w:szCs w:val="24"/>
          <w:lang w:val="bg-BG"/>
        </w:rPr>
        <w:t xml:space="preserve"> в пластмаси за приложения в електрическо и електронно оборудване (ЕЕО) и резервни части за моторни превозни средства (МПС) с преустановено масово производство (историческа и настояща): фирми производители (в ЕС и в България – произведени и пуснати на пазара количества по години 2013-2017 г.; фирми вносители в България и фирми доставчици от ЕС или трети страни (количества по години 2013-2017 г.), потребители/доставки надолу по веригата;</w:t>
      </w:r>
    </w:p>
    <w:p w:rsidR="00E72CEA" w:rsidRPr="00DE30C3" w:rsidRDefault="00E72CEA" w:rsidP="00E72CEA">
      <w:pPr>
        <w:numPr>
          <w:ilvl w:val="0"/>
          <w:numId w:val="4"/>
        </w:numPr>
        <w:tabs>
          <w:tab w:val="left" w:pos="1134"/>
        </w:tabs>
        <w:spacing w:after="200"/>
        <w:ind w:firstLine="720"/>
        <w:contextualSpacing/>
        <w:jc w:val="both"/>
        <w:rPr>
          <w:rFonts w:eastAsia="Calibri"/>
          <w:szCs w:val="24"/>
          <w:lang w:val="bg-BG"/>
        </w:rPr>
      </w:pPr>
      <w:r w:rsidRPr="00DE30C3">
        <w:rPr>
          <w:rFonts w:eastAsia="Calibri"/>
          <w:szCs w:val="24"/>
          <w:lang w:val="bg-BG"/>
        </w:rPr>
        <w:t xml:space="preserve">Употреба на </w:t>
      </w:r>
      <w:proofErr w:type="spellStart"/>
      <w:r w:rsidRPr="00DE30C3">
        <w:rPr>
          <w:rFonts w:eastAsia="Calibri"/>
          <w:szCs w:val="24"/>
          <w:lang w:val="bg-BG"/>
        </w:rPr>
        <w:t>deca-BDE</w:t>
      </w:r>
      <w:proofErr w:type="spellEnd"/>
      <w:r w:rsidRPr="00DE30C3">
        <w:rPr>
          <w:rFonts w:eastAsia="Calibri"/>
          <w:szCs w:val="24"/>
          <w:lang w:val="bg-BG"/>
        </w:rPr>
        <w:t xml:space="preserve"> в текстил  за приложения в дамаски/тапицерии (в мебели, автомобилни седалки и автомобилен интериор, щори, дюшеклък за матраци и пердета - историческа и настояща): фирми производители (в ЕС и в България – произведени и пуснати на пазара количества по години 2013-2017 г.; фирми вносители в България и фирми доставчици от ЕС или трети страни (количества по години 2013-2017 г.); потребители/доставки надолу по веригата;</w:t>
      </w:r>
    </w:p>
    <w:p w:rsidR="00E72CEA" w:rsidRPr="00DE30C3" w:rsidRDefault="00E72CEA" w:rsidP="00E72CEA">
      <w:pPr>
        <w:numPr>
          <w:ilvl w:val="0"/>
          <w:numId w:val="4"/>
        </w:numPr>
        <w:tabs>
          <w:tab w:val="left" w:pos="1134"/>
        </w:tabs>
        <w:spacing w:after="200"/>
        <w:ind w:firstLine="720"/>
        <w:contextualSpacing/>
        <w:jc w:val="both"/>
        <w:rPr>
          <w:rFonts w:eastAsia="Calibri"/>
          <w:szCs w:val="24"/>
          <w:lang w:val="bg-BG"/>
        </w:rPr>
      </w:pPr>
      <w:r w:rsidRPr="00DE30C3">
        <w:rPr>
          <w:rFonts w:eastAsia="Calibri"/>
          <w:szCs w:val="24"/>
          <w:lang w:val="bg-BG"/>
        </w:rPr>
        <w:t xml:space="preserve">Употреба на </w:t>
      </w:r>
      <w:proofErr w:type="spellStart"/>
      <w:r w:rsidRPr="00DE30C3">
        <w:rPr>
          <w:rFonts w:eastAsia="Calibri"/>
          <w:szCs w:val="24"/>
          <w:lang w:val="bg-BG"/>
        </w:rPr>
        <w:t>deca-BDE</w:t>
      </w:r>
      <w:proofErr w:type="spellEnd"/>
      <w:r w:rsidRPr="00DE30C3">
        <w:rPr>
          <w:rFonts w:eastAsia="Calibri"/>
          <w:szCs w:val="24"/>
          <w:lang w:val="bg-BG"/>
        </w:rPr>
        <w:t xml:space="preserve"> в лепила, мастила, уплътнители: (историческа и настояща): фирми производители (в ЕС и в България – произведени и пуснати на пазара количества по години 2013-2017 г.; фирми вносители в България и фирми доставчици от ЕС или трети страни (количества по години 2013-2017 г.), потребители/доставки надолу по веригата;</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Налични запаси от продукти или изделия от пластмаси, съдържащи </w:t>
      </w:r>
      <w:proofErr w:type="spellStart"/>
      <w:r w:rsidRPr="00DE30C3">
        <w:rPr>
          <w:rFonts w:eastAsia="Calibri"/>
          <w:szCs w:val="24"/>
          <w:lang w:val="bg-BG"/>
        </w:rPr>
        <w:t>deca-BDE</w:t>
      </w:r>
      <w:proofErr w:type="spellEnd"/>
      <w:r w:rsidRPr="00DE30C3">
        <w:rPr>
          <w:rFonts w:eastAsia="Calibri"/>
          <w:szCs w:val="24"/>
          <w:lang w:val="bg-BG"/>
        </w:rPr>
        <w:t>;</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Износ на отпадъци от пластмаси,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(количества по години 2013-2017 г. )</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Налични количества отпадъци от продукти или изделия пластмаси, съдържащи </w:t>
      </w:r>
      <w:proofErr w:type="spellStart"/>
      <w:r w:rsidRPr="00DE30C3">
        <w:rPr>
          <w:rFonts w:eastAsia="Calibri"/>
          <w:szCs w:val="24"/>
          <w:lang w:val="bg-BG"/>
        </w:rPr>
        <w:t>deca-BDE</w:t>
      </w:r>
      <w:proofErr w:type="spellEnd"/>
      <w:r w:rsidRPr="00DE30C3">
        <w:rPr>
          <w:rFonts w:eastAsia="Calibri"/>
          <w:szCs w:val="24"/>
          <w:lang w:val="bg-BG"/>
        </w:rPr>
        <w:t>;</w:t>
      </w:r>
    </w:p>
    <w:p w:rsidR="00E72CEA" w:rsidRPr="00DE30C3" w:rsidRDefault="00E72CEA" w:rsidP="00E72CEA">
      <w:pPr>
        <w:numPr>
          <w:ilvl w:val="0"/>
          <w:numId w:val="11"/>
        </w:numPr>
        <w:tabs>
          <w:tab w:val="left" w:pos="1080"/>
        </w:tabs>
        <w:spacing w:after="160" w:line="259" w:lineRule="auto"/>
        <w:contextualSpacing/>
        <w:jc w:val="both"/>
        <w:rPr>
          <w:rFonts w:eastAsia="Calibri"/>
          <w:szCs w:val="24"/>
          <w:lang w:val="bg-BG"/>
        </w:rPr>
      </w:pPr>
      <w:r w:rsidRPr="00DE30C3">
        <w:rPr>
          <w:rFonts w:eastAsia="Calibri"/>
          <w:szCs w:val="24"/>
          <w:lang w:val="bg-BG"/>
        </w:rPr>
        <w:t xml:space="preserve">Алтернативи за заместване на </w:t>
      </w:r>
      <w:proofErr w:type="spellStart"/>
      <w:r w:rsidRPr="00DE30C3">
        <w:rPr>
          <w:rFonts w:eastAsia="Calibri"/>
          <w:szCs w:val="24"/>
          <w:lang w:val="bg-BG"/>
        </w:rPr>
        <w:t>deca-BDE</w:t>
      </w:r>
      <w:proofErr w:type="spellEnd"/>
      <w:r w:rsidRPr="00DE30C3">
        <w:rPr>
          <w:rFonts w:eastAsia="Calibri"/>
          <w:szCs w:val="24"/>
          <w:lang w:val="bg-BG"/>
        </w:rPr>
        <w:t xml:space="preserve"> по видове употреби </w:t>
      </w:r>
    </w:p>
    <w:p w:rsidR="00E72CEA" w:rsidRPr="00DE30C3" w:rsidRDefault="00E72CEA" w:rsidP="00E72CEA">
      <w:pPr>
        <w:tabs>
          <w:tab w:val="left" w:pos="1080"/>
        </w:tabs>
        <w:spacing w:after="160" w:line="259" w:lineRule="auto"/>
        <w:ind w:left="1440"/>
        <w:contextualSpacing/>
        <w:jc w:val="both"/>
        <w:rPr>
          <w:rFonts w:eastAsia="Calibri"/>
          <w:szCs w:val="24"/>
          <w:lang w:val="bg-BG"/>
        </w:rPr>
      </w:pPr>
    </w:p>
    <w:p w:rsidR="00E72CEA" w:rsidRPr="00DE30C3" w:rsidRDefault="00E72CEA" w:rsidP="00E72CEA">
      <w:pPr>
        <w:numPr>
          <w:ilvl w:val="0"/>
          <w:numId w:val="3"/>
        </w:numPr>
        <w:tabs>
          <w:tab w:val="left" w:pos="851"/>
          <w:tab w:val="left" w:pos="1620"/>
        </w:tabs>
        <w:spacing w:after="200"/>
        <w:ind w:left="851" w:hanging="425"/>
        <w:contextualSpacing/>
        <w:jc w:val="both"/>
        <w:rPr>
          <w:rFonts w:eastAsia="Calibri"/>
          <w:b/>
          <w:szCs w:val="24"/>
          <w:lang w:val="bg-BG"/>
        </w:rPr>
      </w:pPr>
      <w:r w:rsidRPr="00DE30C3">
        <w:rPr>
          <w:rFonts w:eastAsia="Calibri"/>
          <w:b/>
          <w:szCs w:val="24"/>
          <w:lang w:val="bg-BG"/>
        </w:rPr>
        <w:t xml:space="preserve">Извършване на документална инвентаризация на </w:t>
      </w:r>
      <w:proofErr w:type="spellStart"/>
      <w:r w:rsidRPr="00DE30C3">
        <w:rPr>
          <w:rFonts w:eastAsia="Calibri"/>
          <w:b/>
          <w:szCs w:val="24"/>
          <w:lang w:val="bg-BG"/>
        </w:rPr>
        <w:t>deca-BDE</w:t>
      </w:r>
      <w:proofErr w:type="spellEnd"/>
      <w:r w:rsidRPr="00DE30C3">
        <w:rPr>
          <w:rFonts w:eastAsia="Calibri"/>
          <w:b/>
          <w:szCs w:val="24"/>
          <w:lang w:val="bg-BG"/>
        </w:rPr>
        <w:t xml:space="preserve"> в пластмаси (ЕЕО и МПС) за периода 2013 – 2017 г.  - </w:t>
      </w:r>
      <w:r w:rsidRPr="00DE30C3">
        <w:rPr>
          <w:rFonts w:eastAsia="Calibri"/>
          <w:szCs w:val="24"/>
          <w:lang w:val="bg-BG"/>
        </w:rPr>
        <w:t xml:space="preserve">по видове употреби чрез разпращане на въпросници до предварително определени лица – обект на инвентаризацията и регулаторни органи: производители, вносители, износители, дистрибутори и потребители надолу по веригата, фирми за рециклиране и третиране на пластмасови отпадъци, съдържащи </w:t>
      </w:r>
      <w:proofErr w:type="spellStart"/>
      <w:r w:rsidRPr="00DE30C3">
        <w:rPr>
          <w:rFonts w:eastAsia="Calibri"/>
          <w:szCs w:val="24"/>
          <w:lang w:val="bg-BG"/>
        </w:rPr>
        <w:t>deca-BDE</w:t>
      </w:r>
      <w:proofErr w:type="spellEnd"/>
      <w:r w:rsidRPr="00DE30C3">
        <w:rPr>
          <w:rFonts w:eastAsia="Calibri"/>
          <w:szCs w:val="24"/>
          <w:lang w:val="bg-BG"/>
        </w:rPr>
        <w:t>;</w:t>
      </w:r>
      <w:r w:rsidRPr="00DE30C3" w:rsidDel="00BC1B04">
        <w:rPr>
          <w:rFonts w:eastAsia="Calibri"/>
          <w:szCs w:val="24"/>
          <w:lang w:val="bg-BG"/>
        </w:rPr>
        <w:t xml:space="preserve"> </w:t>
      </w:r>
      <w:r w:rsidRPr="00DE30C3">
        <w:rPr>
          <w:rFonts w:eastAsia="Calibri"/>
          <w:szCs w:val="24"/>
          <w:lang w:val="bg-BG"/>
        </w:rPr>
        <w:t xml:space="preserve">окомплектоване на попълнените въпросници и предоставените информационни листове за безопасност (ИЛБ); при установено наличие на продукти/изделия/отпадъци,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при възникнала необходимост – изискване и събиране на допълнителна информация </w:t>
      </w:r>
      <w:r w:rsidRPr="00DE30C3">
        <w:rPr>
          <w:rFonts w:eastAsia="Calibri"/>
          <w:szCs w:val="24"/>
          <w:lang w:val="bg-BG"/>
        </w:rPr>
        <w:lastRenderedPageBreak/>
        <w:t xml:space="preserve">със съдействието на Възложителя както и посещение на място със съдействието на съответния РИОСВ; обработка, обобщаване, оценка и анализ на данните от отговорилите лица и регулаторни органи обобщаване и анализ на данните от контролната дейност на РИОСВ за 2013- 2017 г.; изчисляване на количествата </w:t>
      </w:r>
      <w:proofErr w:type="spellStart"/>
      <w:r w:rsidRPr="00DE30C3">
        <w:rPr>
          <w:rFonts w:eastAsia="Calibri"/>
          <w:szCs w:val="24"/>
          <w:lang w:val="bg-BG"/>
        </w:rPr>
        <w:t>deca-BDE</w:t>
      </w:r>
      <w:proofErr w:type="spellEnd"/>
      <w:r w:rsidRPr="00DE30C3">
        <w:rPr>
          <w:rFonts w:eastAsia="Calibri"/>
          <w:szCs w:val="24"/>
          <w:lang w:val="bg-BG"/>
        </w:rPr>
        <w:t xml:space="preserve"> в пластмасови отпадъци от продукти и изделия (ИУМПС и ИУЕЕО) по метода, посочен в Ръководството за инвентаризация на </w:t>
      </w:r>
      <w:proofErr w:type="spellStart"/>
      <w:r w:rsidRPr="00DE30C3">
        <w:rPr>
          <w:rFonts w:eastAsia="Calibri"/>
          <w:szCs w:val="24"/>
          <w:lang w:val="bg-BG"/>
        </w:rPr>
        <w:t>deca-BDE</w:t>
      </w:r>
      <w:proofErr w:type="spellEnd"/>
      <w:r w:rsidRPr="00DE30C3">
        <w:rPr>
          <w:rFonts w:eastAsia="Calibri"/>
          <w:szCs w:val="24"/>
          <w:lang w:val="bg-BG"/>
        </w:rPr>
        <w:t xml:space="preserve"> на Стокхолмската конвенция; идентифициране на операторите за третиране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изготвяне на подробен доклад от инвентаризацията, включващ обобщаване, оценка и анализ на събраната информация, изчисляване на приблизителните общи количества, идентифицирани непълноти и/или пълна липса на данни, налични алтернативи за заместване на </w:t>
      </w:r>
      <w:proofErr w:type="spellStart"/>
      <w:r w:rsidRPr="00DE30C3">
        <w:rPr>
          <w:rFonts w:eastAsia="Calibri"/>
          <w:szCs w:val="24"/>
          <w:lang w:val="bg-BG"/>
        </w:rPr>
        <w:t>deca-BDE</w:t>
      </w:r>
      <w:proofErr w:type="spellEnd"/>
      <w:r w:rsidRPr="00DE30C3">
        <w:rPr>
          <w:rFonts w:eastAsia="Calibri"/>
          <w:szCs w:val="24"/>
          <w:lang w:val="bg-BG"/>
        </w:rPr>
        <w:t xml:space="preserve"> в пластмаси, количества генерирани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управление на отпадъчните потоци; обобщени изводи и препоръки, предложени мерки за управление на </w:t>
      </w:r>
      <w:proofErr w:type="spellStart"/>
      <w:r w:rsidRPr="00DE30C3">
        <w:rPr>
          <w:rFonts w:eastAsia="Calibri"/>
          <w:szCs w:val="24"/>
          <w:lang w:val="bg-BG"/>
        </w:rPr>
        <w:t>deca-BDE</w:t>
      </w:r>
      <w:proofErr w:type="spellEnd"/>
      <w:r w:rsidRPr="00DE30C3">
        <w:rPr>
          <w:rFonts w:eastAsia="Calibri"/>
          <w:szCs w:val="24"/>
          <w:lang w:val="bg-BG"/>
        </w:rPr>
        <w:t xml:space="preserve"> и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срокове за прилагането им.</w:t>
      </w:r>
    </w:p>
    <w:p w:rsidR="00E72CEA" w:rsidRPr="00DE30C3" w:rsidRDefault="00E72CEA" w:rsidP="00E72CEA">
      <w:pPr>
        <w:tabs>
          <w:tab w:val="left" w:pos="851"/>
          <w:tab w:val="left" w:pos="1080"/>
        </w:tabs>
        <w:spacing w:before="120"/>
        <w:ind w:firstLine="720"/>
        <w:contextualSpacing/>
        <w:jc w:val="both"/>
        <w:rPr>
          <w:rFonts w:eastAsia="Calibri"/>
          <w:szCs w:val="24"/>
          <w:lang w:val="bg-BG"/>
        </w:rPr>
      </w:pPr>
    </w:p>
    <w:p w:rsidR="00E72CEA" w:rsidRPr="00DE30C3" w:rsidRDefault="00E72CEA" w:rsidP="00E72CEA">
      <w:pPr>
        <w:numPr>
          <w:ilvl w:val="0"/>
          <w:numId w:val="3"/>
        </w:numPr>
        <w:tabs>
          <w:tab w:val="left" w:pos="851"/>
          <w:tab w:val="left" w:pos="1620"/>
        </w:tabs>
        <w:spacing w:after="200"/>
        <w:ind w:left="851" w:hanging="425"/>
        <w:contextualSpacing/>
        <w:jc w:val="both"/>
        <w:rPr>
          <w:rFonts w:eastAsia="Calibri"/>
          <w:b/>
          <w:szCs w:val="24"/>
          <w:lang w:val="bg-BG"/>
        </w:rPr>
      </w:pPr>
      <w:r w:rsidRPr="00DE30C3">
        <w:rPr>
          <w:rFonts w:eastAsia="Calibri"/>
          <w:b/>
          <w:szCs w:val="24"/>
          <w:lang w:val="bg-BG"/>
        </w:rPr>
        <w:t xml:space="preserve">Извършване на документална инвентаризация на </w:t>
      </w:r>
      <w:proofErr w:type="spellStart"/>
      <w:r w:rsidRPr="00DE30C3">
        <w:rPr>
          <w:rFonts w:eastAsia="Calibri"/>
          <w:b/>
          <w:szCs w:val="24"/>
          <w:lang w:val="bg-BG"/>
        </w:rPr>
        <w:t>deca-BDE</w:t>
      </w:r>
      <w:proofErr w:type="spellEnd"/>
      <w:r w:rsidRPr="00DE30C3">
        <w:rPr>
          <w:rFonts w:eastAsia="Calibri"/>
          <w:b/>
          <w:szCs w:val="24"/>
          <w:lang w:val="bg-BG"/>
        </w:rPr>
        <w:t xml:space="preserve"> в текстил и текстилни изделия (дюшеклък за матраци, пердета, тапицерия, дамаски за мебели и автомобилни седалки, щори) за периода 2013-2017 г. – </w:t>
      </w:r>
      <w:r w:rsidRPr="00DE30C3">
        <w:rPr>
          <w:rFonts w:eastAsia="Calibri"/>
          <w:szCs w:val="24"/>
          <w:lang w:val="bg-BG"/>
        </w:rPr>
        <w:t>по видове употреби</w:t>
      </w:r>
      <w:r w:rsidRPr="00DE30C3">
        <w:rPr>
          <w:rFonts w:eastAsia="Calibri"/>
          <w:b/>
          <w:szCs w:val="24"/>
          <w:lang w:val="bg-BG"/>
        </w:rPr>
        <w:t xml:space="preserve"> </w:t>
      </w:r>
      <w:r w:rsidRPr="00DE30C3">
        <w:rPr>
          <w:rFonts w:eastAsia="Calibri"/>
          <w:szCs w:val="24"/>
          <w:lang w:val="bg-BG"/>
        </w:rPr>
        <w:t xml:space="preserve">чрез разпращане на въпросници до предварително определени лица – обект на инвентаризацията и регулаторни органи: производители, вносители, износители, дистрибутори и потребители надолу по веригата, фирми за третиране на текстилни отпадъци, съдържащи </w:t>
      </w:r>
      <w:proofErr w:type="spellStart"/>
      <w:r w:rsidRPr="00DE30C3">
        <w:rPr>
          <w:rFonts w:eastAsia="Calibri"/>
          <w:szCs w:val="24"/>
          <w:lang w:val="bg-BG"/>
        </w:rPr>
        <w:t>deca-BDE</w:t>
      </w:r>
      <w:proofErr w:type="spellEnd"/>
      <w:r w:rsidRPr="00DE30C3">
        <w:rPr>
          <w:rFonts w:eastAsia="Calibri"/>
          <w:szCs w:val="24"/>
          <w:lang w:val="bg-BG"/>
        </w:rPr>
        <w:t>;</w:t>
      </w:r>
      <w:r w:rsidRPr="00DE30C3" w:rsidDel="00BC1B04">
        <w:rPr>
          <w:rFonts w:eastAsia="Calibri"/>
          <w:szCs w:val="24"/>
          <w:lang w:val="bg-BG"/>
        </w:rPr>
        <w:t xml:space="preserve"> </w:t>
      </w:r>
      <w:r w:rsidRPr="00DE30C3">
        <w:rPr>
          <w:rFonts w:eastAsia="Calibri"/>
          <w:szCs w:val="24"/>
          <w:lang w:val="bg-BG"/>
        </w:rPr>
        <w:t>окомплектоване на попълнените въпросници и предоставените информационни листове за безопасност (ИЛБ); при установено наличие на текстил и текстилни изделия /</w:t>
      </w:r>
      <w:proofErr w:type="spellStart"/>
      <w:r w:rsidRPr="00DE30C3">
        <w:rPr>
          <w:rFonts w:eastAsia="Calibri"/>
          <w:szCs w:val="24"/>
          <w:lang w:val="bg-BG"/>
        </w:rPr>
        <w:t>изделия</w:t>
      </w:r>
      <w:proofErr w:type="spellEnd"/>
      <w:r w:rsidRPr="00DE30C3">
        <w:rPr>
          <w:rFonts w:eastAsia="Calibri"/>
          <w:szCs w:val="24"/>
          <w:lang w:val="bg-BG"/>
        </w:rPr>
        <w:t xml:space="preserve">/отпадъци,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при възникнала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обработка, обобщаване, оценка и анализ на данните от отговорилите лица и регулаторни органи, обобщаване и анализ на данните от контролната дейност на РИОСВ за 2013- 2017 г.; изчисляване на количествата </w:t>
      </w:r>
      <w:proofErr w:type="spellStart"/>
      <w:r w:rsidRPr="00DE30C3">
        <w:rPr>
          <w:rFonts w:eastAsia="Calibri"/>
          <w:szCs w:val="24"/>
          <w:lang w:val="bg-BG"/>
        </w:rPr>
        <w:t>deca-BDE</w:t>
      </w:r>
      <w:proofErr w:type="spellEnd"/>
      <w:r w:rsidRPr="00DE30C3">
        <w:rPr>
          <w:rFonts w:eastAsia="Calibri"/>
          <w:szCs w:val="24"/>
          <w:lang w:val="bg-BG"/>
        </w:rPr>
        <w:t xml:space="preserve"> в текстилни отпадъци от изделия (тапицерии, дамаски, текстилни щори, дюшеклък за матраци) по метода, посочен в Ръководството за инвентаризация на </w:t>
      </w:r>
      <w:proofErr w:type="spellStart"/>
      <w:r w:rsidRPr="00DE30C3">
        <w:rPr>
          <w:rFonts w:eastAsia="Calibri"/>
          <w:szCs w:val="24"/>
          <w:lang w:val="bg-BG"/>
        </w:rPr>
        <w:t>deca-BDE</w:t>
      </w:r>
      <w:proofErr w:type="spellEnd"/>
      <w:r w:rsidRPr="00DE30C3">
        <w:rPr>
          <w:rFonts w:eastAsia="Calibri"/>
          <w:szCs w:val="24"/>
          <w:lang w:val="bg-BG"/>
        </w:rPr>
        <w:t xml:space="preserve"> на Стокхолмската конвенция; идентифициране на операторите за третиране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изготвяне на подробен доклад от инвентаризацията, включващ обобщаване, оценка и анализ на събраната информация, изчисляване на приблизителните общи количества, идентифицирани непълноти и/или пълна липса на данни, налични алтернативи за заместване на </w:t>
      </w:r>
      <w:proofErr w:type="spellStart"/>
      <w:r w:rsidRPr="00DE30C3">
        <w:rPr>
          <w:rFonts w:eastAsia="Calibri"/>
          <w:szCs w:val="24"/>
          <w:lang w:val="bg-BG"/>
        </w:rPr>
        <w:t>deca-BDE</w:t>
      </w:r>
      <w:proofErr w:type="spellEnd"/>
      <w:r w:rsidRPr="00DE30C3">
        <w:rPr>
          <w:rFonts w:eastAsia="Calibri"/>
          <w:szCs w:val="24"/>
          <w:lang w:val="bg-BG"/>
        </w:rPr>
        <w:t xml:space="preserve"> в текстил, количества генерирани текстилни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управление на отпадъчните потоци; обобщени изводи и препоръки, предложени мерки за управление на </w:t>
      </w:r>
      <w:proofErr w:type="spellStart"/>
      <w:r w:rsidRPr="00DE30C3">
        <w:rPr>
          <w:rFonts w:eastAsia="Calibri"/>
          <w:szCs w:val="24"/>
          <w:lang w:val="bg-BG"/>
        </w:rPr>
        <w:t>deca-BDE</w:t>
      </w:r>
      <w:proofErr w:type="spellEnd"/>
      <w:r w:rsidRPr="00DE30C3">
        <w:rPr>
          <w:rFonts w:eastAsia="Calibri"/>
          <w:szCs w:val="24"/>
          <w:lang w:val="bg-BG"/>
        </w:rPr>
        <w:t xml:space="preserve"> и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срокове за прилагането им.</w:t>
      </w:r>
    </w:p>
    <w:p w:rsidR="00E72CEA" w:rsidRPr="00DE30C3" w:rsidRDefault="00E72CEA" w:rsidP="00E72CEA">
      <w:pPr>
        <w:tabs>
          <w:tab w:val="left" w:pos="851"/>
          <w:tab w:val="left" w:pos="1620"/>
        </w:tabs>
        <w:ind w:left="851"/>
        <w:contextualSpacing/>
        <w:jc w:val="both"/>
        <w:rPr>
          <w:rFonts w:eastAsia="Calibri"/>
          <w:b/>
          <w:szCs w:val="24"/>
          <w:lang w:val="bg-BG"/>
        </w:rPr>
      </w:pPr>
    </w:p>
    <w:p w:rsidR="00E72CEA" w:rsidRPr="00DE30C3" w:rsidRDefault="00E72CEA" w:rsidP="00E72CEA">
      <w:pPr>
        <w:numPr>
          <w:ilvl w:val="0"/>
          <w:numId w:val="3"/>
        </w:numPr>
        <w:tabs>
          <w:tab w:val="left" w:pos="851"/>
          <w:tab w:val="left" w:pos="1620"/>
        </w:tabs>
        <w:spacing w:after="200"/>
        <w:ind w:left="851" w:hanging="425"/>
        <w:contextualSpacing/>
        <w:jc w:val="both"/>
        <w:rPr>
          <w:rFonts w:eastAsia="Calibri"/>
          <w:b/>
          <w:szCs w:val="24"/>
          <w:lang w:val="bg-BG"/>
        </w:rPr>
      </w:pPr>
      <w:r w:rsidRPr="00DE30C3">
        <w:rPr>
          <w:rFonts w:eastAsia="Calibri"/>
          <w:b/>
          <w:szCs w:val="24"/>
          <w:lang w:val="bg-BG"/>
        </w:rPr>
        <w:t>Извършване на документална инвентаризация на HBCD в минимални употреби за периода 2013-2017 г.</w:t>
      </w:r>
      <w:r w:rsidRPr="00DE30C3">
        <w:rPr>
          <w:rFonts w:eastAsia="Calibri"/>
          <w:szCs w:val="24"/>
          <w:lang w:val="bg-BG"/>
        </w:rPr>
        <w:t xml:space="preserve"> (лепила, уплътнители, покрития, </w:t>
      </w:r>
      <w:proofErr w:type="spellStart"/>
      <w:r w:rsidRPr="00DE30C3">
        <w:rPr>
          <w:rFonts w:eastAsia="Calibri"/>
          <w:szCs w:val="24"/>
          <w:lang w:val="bg-BG"/>
        </w:rPr>
        <w:t>полиуретанова</w:t>
      </w:r>
      <w:proofErr w:type="spellEnd"/>
      <w:r w:rsidRPr="00DE30C3">
        <w:rPr>
          <w:rFonts w:eastAsia="Calibri"/>
          <w:szCs w:val="24"/>
          <w:lang w:val="bg-BG"/>
        </w:rPr>
        <w:t xml:space="preserve"> пяна за изолация в строителството, мастила) - чрез разпращане на въпросници до предварително определени лица – обект на инвентаризацията и регулаторни органи: производители, вносители, дистрибутори и потребители надолу по </w:t>
      </w:r>
      <w:r w:rsidRPr="00DE30C3">
        <w:rPr>
          <w:rFonts w:eastAsia="Calibri"/>
          <w:szCs w:val="24"/>
          <w:lang w:val="bg-BG"/>
        </w:rPr>
        <w:lastRenderedPageBreak/>
        <w:t xml:space="preserve">веригата, фирми за третиране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обработка, обобщаване и анализ на данните от отговорилите лица по съответните видове употреби; окомплектоване на попълнените въпросници и предоставените информационни листове за безопасност (ИЛБ); при установено наличие на продукти /изделия/отпадъци,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при възникнала необходимост – изискване и събиране на допълнителна информация със съдействието на Възложителя както и посещение на място със съдействието на съответния РИОСВ; обработка, обобщаване, оценка и анализ на данните от отговорилите лица и регулаторни органи, обобщаване и анализ на данните от контролната дейност на РИОСВ за 2013- 2017 г.; изчисляване на количествата </w:t>
      </w:r>
      <w:proofErr w:type="spellStart"/>
      <w:r w:rsidRPr="00DE30C3">
        <w:rPr>
          <w:rFonts w:eastAsia="Calibri"/>
          <w:szCs w:val="24"/>
          <w:lang w:val="bg-BG"/>
        </w:rPr>
        <w:t>deca-BDE</w:t>
      </w:r>
      <w:proofErr w:type="spellEnd"/>
      <w:r w:rsidRPr="00DE30C3">
        <w:rPr>
          <w:rFonts w:eastAsia="Calibri"/>
          <w:szCs w:val="24"/>
          <w:lang w:val="bg-BG"/>
        </w:rPr>
        <w:t xml:space="preserve"> в отпадъци от продукти и изделия по метода, посочен в Ръководството за инвентаризация на </w:t>
      </w:r>
      <w:proofErr w:type="spellStart"/>
      <w:r w:rsidRPr="00DE30C3">
        <w:rPr>
          <w:rFonts w:eastAsia="Calibri"/>
          <w:szCs w:val="24"/>
          <w:lang w:val="bg-BG"/>
        </w:rPr>
        <w:t>deca-BDE</w:t>
      </w:r>
      <w:proofErr w:type="spellEnd"/>
      <w:r w:rsidRPr="00DE30C3">
        <w:rPr>
          <w:rFonts w:eastAsia="Calibri"/>
          <w:szCs w:val="24"/>
          <w:lang w:val="bg-BG"/>
        </w:rPr>
        <w:t xml:space="preserve"> на Стокхолмската конвенция; идентифициране на операторите за третиране на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изготвяне на подробен доклад от инвентаризацията, включващ обобщаване, оценка и анализ на събраната информация, изчисляване на приблизителните общи количества, идентифицирани непълноти и/или пълна липса на данни, налични алтернативи за заместване на </w:t>
      </w:r>
      <w:proofErr w:type="spellStart"/>
      <w:r w:rsidRPr="00DE30C3">
        <w:rPr>
          <w:rFonts w:eastAsia="Calibri"/>
          <w:szCs w:val="24"/>
          <w:lang w:val="bg-BG"/>
        </w:rPr>
        <w:t>deca-BDE</w:t>
      </w:r>
      <w:proofErr w:type="spellEnd"/>
      <w:r w:rsidRPr="00DE30C3">
        <w:rPr>
          <w:rFonts w:eastAsia="Calibri"/>
          <w:szCs w:val="24"/>
          <w:lang w:val="bg-BG"/>
        </w:rPr>
        <w:t xml:space="preserve">, количества генерирани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управление на отпадъчните потоци; обобщени изводи и препоръки, </w:t>
      </w:r>
      <w:r w:rsidRPr="00DE30C3">
        <w:rPr>
          <w:rFonts w:eastAsia="Calibri"/>
          <w:strike/>
          <w:szCs w:val="24"/>
          <w:lang w:val="bg-BG"/>
        </w:rPr>
        <w:t>както и</w:t>
      </w:r>
      <w:r w:rsidRPr="00DE30C3">
        <w:rPr>
          <w:rFonts w:eastAsia="Calibri"/>
          <w:szCs w:val="24"/>
          <w:lang w:val="bg-BG"/>
        </w:rPr>
        <w:t xml:space="preserve"> предложени мерки за управление на </w:t>
      </w:r>
      <w:proofErr w:type="spellStart"/>
      <w:r w:rsidRPr="00DE30C3">
        <w:rPr>
          <w:rFonts w:eastAsia="Calibri"/>
          <w:szCs w:val="24"/>
          <w:lang w:val="bg-BG"/>
        </w:rPr>
        <w:t>deca-BDE</w:t>
      </w:r>
      <w:proofErr w:type="spellEnd"/>
      <w:r w:rsidRPr="00DE30C3">
        <w:rPr>
          <w:rFonts w:eastAsia="Calibri"/>
          <w:szCs w:val="24"/>
          <w:lang w:val="bg-BG"/>
        </w:rPr>
        <w:t xml:space="preserve"> и отпадъци, съдържащи </w:t>
      </w:r>
      <w:proofErr w:type="spellStart"/>
      <w:r w:rsidRPr="00DE30C3">
        <w:rPr>
          <w:rFonts w:eastAsia="Calibri"/>
          <w:szCs w:val="24"/>
          <w:lang w:val="bg-BG"/>
        </w:rPr>
        <w:t>deca-BDE</w:t>
      </w:r>
      <w:proofErr w:type="spellEnd"/>
      <w:r w:rsidRPr="00DE30C3">
        <w:rPr>
          <w:rFonts w:eastAsia="Calibri"/>
          <w:szCs w:val="24"/>
          <w:lang w:val="bg-BG"/>
        </w:rPr>
        <w:t xml:space="preserve"> и срокове за прилагането им.</w:t>
      </w:r>
    </w:p>
    <w:p w:rsidR="00E72CEA" w:rsidRDefault="00E72CEA" w:rsidP="00E72CEA">
      <w:pPr>
        <w:tabs>
          <w:tab w:val="left" w:pos="993"/>
        </w:tabs>
        <w:spacing w:before="120"/>
        <w:ind w:firstLine="403"/>
        <w:jc w:val="both"/>
        <w:rPr>
          <w:b/>
          <w:bCs/>
          <w:szCs w:val="24"/>
          <w:lang w:val="bg-BG" w:eastAsia="bg-BG"/>
        </w:rPr>
      </w:pPr>
      <w:bookmarkStart w:id="8" w:name="_Toc462934866"/>
      <w:bookmarkStart w:id="9" w:name="_Toc30931662"/>
      <w:bookmarkStart w:id="10" w:name="_Toc44408403"/>
      <w:bookmarkStart w:id="11" w:name="_Toc44408653"/>
      <w:bookmarkStart w:id="12" w:name="_Toc44409788"/>
      <w:bookmarkStart w:id="13" w:name="_Toc46137513"/>
    </w:p>
    <w:p w:rsidR="00E72CEA" w:rsidRDefault="00E72CEA" w:rsidP="00E72CEA">
      <w:pPr>
        <w:tabs>
          <w:tab w:val="left" w:pos="993"/>
        </w:tabs>
        <w:spacing w:before="120"/>
        <w:ind w:firstLine="403"/>
        <w:jc w:val="both"/>
        <w:rPr>
          <w:b/>
          <w:bCs/>
          <w:szCs w:val="24"/>
          <w:lang w:val="bg-BG" w:eastAsia="bg-BG"/>
        </w:rPr>
      </w:pPr>
    </w:p>
    <w:p w:rsidR="00E72CEA" w:rsidRPr="008E3E44" w:rsidRDefault="00E72CEA" w:rsidP="00E72CEA">
      <w:pPr>
        <w:tabs>
          <w:tab w:val="left" w:pos="993"/>
        </w:tabs>
        <w:spacing w:before="120"/>
        <w:jc w:val="both"/>
        <w:rPr>
          <w:b/>
          <w:bCs/>
          <w:szCs w:val="24"/>
          <w:u w:val="single"/>
          <w:lang w:val="bg-BG" w:eastAsia="bg-BG"/>
        </w:rPr>
      </w:pPr>
      <w:r w:rsidRPr="008E3E44">
        <w:rPr>
          <w:b/>
          <w:bCs/>
          <w:szCs w:val="24"/>
          <w:u w:val="single"/>
          <w:lang w:val="bg-BG" w:eastAsia="bg-BG"/>
        </w:rPr>
        <w:t>3. ЕКСПЕРТЕН СЪСТАВ</w:t>
      </w:r>
      <w:bookmarkEnd w:id="8"/>
      <w:r w:rsidRPr="008E3E44">
        <w:rPr>
          <w:b/>
          <w:bCs/>
          <w:szCs w:val="24"/>
          <w:u w:val="single"/>
          <w:lang w:val="bg-BG" w:eastAsia="bg-BG"/>
        </w:rPr>
        <w:t>.</w:t>
      </w:r>
    </w:p>
    <w:p w:rsidR="00E72CEA" w:rsidRPr="00DC5280" w:rsidRDefault="00E72CEA" w:rsidP="00E72CEA">
      <w:pPr>
        <w:tabs>
          <w:tab w:val="left" w:pos="993"/>
        </w:tabs>
        <w:spacing w:before="120"/>
        <w:ind w:firstLine="403"/>
        <w:jc w:val="both"/>
        <w:rPr>
          <w:bCs/>
          <w:szCs w:val="24"/>
          <w:lang w:val="bg-BG" w:eastAsia="bg-BG"/>
        </w:rPr>
      </w:pPr>
      <w:r w:rsidRPr="00DC5280">
        <w:rPr>
          <w:bCs/>
          <w:szCs w:val="24"/>
          <w:lang w:val="bg-BG" w:eastAsia="bg-BG"/>
        </w:rPr>
        <w:t>Участникът в настоящата обществената поръчка трябва да разполага с минимум един експерт, който да има квалификация и правоспособност да изпъл</w:t>
      </w:r>
      <w:r w:rsidRPr="00DC5280">
        <w:rPr>
          <w:bCs/>
          <w:szCs w:val="24"/>
          <w:lang w:val="bg-BG" w:eastAsia="bg-BG"/>
        </w:rPr>
        <w:softHyphen/>
        <w:t>нява качествено в срок и по обем всички задължения на Изпълнителя описани в настоящата Техническа спецификация през целия срок на договора.</w:t>
      </w:r>
    </w:p>
    <w:bookmarkEnd w:id="9"/>
    <w:bookmarkEnd w:id="10"/>
    <w:bookmarkEnd w:id="11"/>
    <w:bookmarkEnd w:id="12"/>
    <w:bookmarkEnd w:id="13"/>
    <w:p w:rsidR="00E72CEA" w:rsidRPr="00DC5280" w:rsidRDefault="00E72CEA" w:rsidP="00E72CEA">
      <w:pPr>
        <w:tabs>
          <w:tab w:val="left" w:pos="993"/>
        </w:tabs>
        <w:spacing w:before="120"/>
        <w:ind w:firstLine="403"/>
        <w:jc w:val="both"/>
        <w:rPr>
          <w:bCs/>
          <w:szCs w:val="24"/>
          <w:lang w:val="bg-BG" w:eastAsia="bg-BG"/>
        </w:rPr>
      </w:pPr>
      <w:r w:rsidRPr="00DC5280">
        <w:rPr>
          <w:bCs/>
          <w:szCs w:val="24"/>
          <w:lang w:val="bg-BG" w:eastAsia="bg-BG"/>
        </w:rPr>
        <w:t>Експертът за изпълнение на поръчката следва да отговаря на следните минимални изисквания за професионална компетентност:</w:t>
      </w:r>
    </w:p>
    <w:p w:rsidR="00E72CEA" w:rsidRPr="00DC5280" w:rsidRDefault="00E72CEA" w:rsidP="00E72CEA">
      <w:pPr>
        <w:tabs>
          <w:tab w:val="left" w:pos="993"/>
        </w:tabs>
        <w:spacing w:before="120"/>
        <w:jc w:val="both"/>
        <w:rPr>
          <w:bCs/>
          <w:szCs w:val="24"/>
          <w:lang w:val="bg-BG" w:eastAsia="bg-BG"/>
        </w:rPr>
      </w:pPr>
      <w:r>
        <w:rPr>
          <w:b/>
          <w:bCs/>
          <w:szCs w:val="24"/>
          <w:lang w:val="bg-BG" w:eastAsia="bg-BG"/>
        </w:rPr>
        <w:t>3</w:t>
      </w:r>
      <w:r w:rsidRPr="00DC5280">
        <w:rPr>
          <w:b/>
          <w:bCs/>
          <w:szCs w:val="24"/>
          <w:lang w:val="bg-BG" w:eastAsia="bg-BG"/>
        </w:rPr>
        <w:t>.1. Образование:</w:t>
      </w:r>
      <w:r w:rsidRPr="00DC5280">
        <w:rPr>
          <w:bCs/>
          <w:szCs w:val="24"/>
          <w:lang w:val="bg-BG" w:eastAsia="bg-BG"/>
        </w:rPr>
        <w:t xml:space="preserve"> Висше образование, образователно-квалификационна степен „магистър“. Специалности – в областта на химически науки, химичните технологии, екологията или опазването на околната среда;</w:t>
      </w:r>
    </w:p>
    <w:p w:rsidR="00E72CEA" w:rsidRPr="00DC5280" w:rsidRDefault="00E72CEA" w:rsidP="00E72CEA">
      <w:pPr>
        <w:tabs>
          <w:tab w:val="left" w:pos="993"/>
        </w:tabs>
        <w:spacing w:before="120"/>
        <w:ind w:firstLine="403"/>
        <w:jc w:val="both"/>
        <w:rPr>
          <w:bCs/>
          <w:szCs w:val="24"/>
          <w:lang w:val="bg-BG" w:eastAsia="bg-BG"/>
        </w:rPr>
      </w:pPr>
      <w:r w:rsidRPr="00DC5280">
        <w:rPr>
          <w:bCs/>
          <w:szCs w:val="24"/>
          <w:lang w:val="bg-BG" w:eastAsia="bg-BG"/>
        </w:rPr>
        <w:t>Лицата, придобили специалността си извън пределите на Република България следва да притежават еквивалентна специалност на посочените, придобити в българско учебно заведение.</w:t>
      </w:r>
    </w:p>
    <w:p w:rsidR="00E72CEA" w:rsidRPr="00DC5280" w:rsidRDefault="00E72CEA" w:rsidP="00E72CEA">
      <w:pPr>
        <w:tabs>
          <w:tab w:val="left" w:pos="993"/>
        </w:tabs>
        <w:spacing w:before="120"/>
        <w:jc w:val="both"/>
        <w:rPr>
          <w:b/>
          <w:bCs/>
          <w:szCs w:val="24"/>
          <w:lang w:val="bg-BG" w:eastAsia="bg-BG"/>
        </w:rPr>
      </w:pPr>
      <w:r>
        <w:rPr>
          <w:b/>
          <w:bCs/>
          <w:szCs w:val="24"/>
          <w:lang w:val="bg-BG" w:eastAsia="bg-BG"/>
        </w:rPr>
        <w:t>3</w:t>
      </w:r>
      <w:r w:rsidRPr="00DC5280">
        <w:rPr>
          <w:b/>
          <w:bCs/>
          <w:szCs w:val="24"/>
          <w:lang w:val="bg-BG" w:eastAsia="bg-BG"/>
        </w:rPr>
        <w:t>.2. Професионален опит:</w:t>
      </w:r>
    </w:p>
    <w:p w:rsidR="00E72CEA" w:rsidRPr="006F0C1D" w:rsidRDefault="00E72CEA" w:rsidP="00E72CEA">
      <w:pPr>
        <w:spacing w:before="120" w:after="200" w:line="276" w:lineRule="auto"/>
        <w:ind w:left="360"/>
        <w:contextualSpacing/>
        <w:jc w:val="both"/>
        <w:rPr>
          <w:rFonts w:eastAsia="Calibri"/>
          <w:szCs w:val="24"/>
          <w:lang w:val="bg-BG" w:eastAsia="x-none"/>
        </w:rPr>
      </w:pPr>
      <w:r>
        <w:rPr>
          <w:rFonts w:eastAsia="Calibri"/>
          <w:szCs w:val="24"/>
          <w:lang w:val="bg-BG" w:eastAsia="x-none"/>
        </w:rPr>
        <w:t xml:space="preserve">а) </w:t>
      </w:r>
      <w:r w:rsidRPr="006F0C1D">
        <w:rPr>
          <w:rFonts w:eastAsia="Calibri"/>
          <w:szCs w:val="24"/>
          <w:lang w:val="bg-BG" w:eastAsia="x-none"/>
        </w:rPr>
        <w:t xml:space="preserve">Участие като водещ експерт или ръководител на минимум 1 ( една ) успешно изпълнена договорна разработка (договор, проект, задача), свързана с управление на УОЗ в страната; </w:t>
      </w:r>
    </w:p>
    <w:p w:rsidR="00E72CEA" w:rsidRPr="006F0C1D" w:rsidRDefault="00E72CEA" w:rsidP="00E72CEA">
      <w:pPr>
        <w:spacing w:before="120" w:after="200" w:line="276" w:lineRule="auto"/>
        <w:ind w:left="360"/>
        <w:contextualSpacing/>
        <w:jc w:val="both"/>
        <w:rPr>
          <w:rFonts w:eastAsia="Calibri"/>
          <w:szCs w:val="24"/>
          <w:lang w:val="bg-BG" w:eastAsia="x-none"/>
        </w:rPr>
      </w:pPr>
      <w:r>
        <w:rPr>
          <w:rFonts w:eastAsia="Calibri"/>
          <w:szCs w:val="24"/>
          <w:lang w:val="bg-BG" w:eastAsia="x-none"/>
        </w:rPr>
        <w:t xml:space="preserve">б) </w:t>
      </w:r>
      <w:r w:rsidRPr="006F0C1D">
        <w:rPr>
          <w:rFonts w:eastAsia="Calibri"/>
          <w:szCs w:val="24"/>
          <w:lang w:val="bg-BG" w:eastAsia="x-none"/>
        </w:rPr>
        <w:t>Участие като водещ експерт или ръководител на минимум 1 (един) успешно изготвен и приет национален или</w:t>
      </w:r>
      <w:r>
        <w:rPr>
          <w:rFonts w:eastAsia="Calibri"/>
          <w:szCs w:val="24"/>
          <w:lang w:val="bg-BG" w:eastAsia="x-none"/>
        </w:rPr>
        <w:t xml:space="preserve"> регионален „план или програма“,</w:t>
      </w:r>
      <w:r w:rsidRPr="006F0C1D">
        <w:rPr>
          <w:rFonts w:eastAsia="Calibri"/>
          <w:szCs w:val="24"/>
          <w:lang w:val="bg-BG" w:eastAsia="x-none"/>
        </w:rPr>
        <w:t xml:space="preserve"> свързани с управление на УОЗ в страната.</w:t>
      </w:r>
    </w:p>
    <w:p w:rsidR="00E72CEA" w:rsidRDefault="00E72CEA" w:rsidP="00E72CEA">
      <w:pPr>
        <w:spacing w:before="120" w:after="200" w:line="276" w:lineRule="auto"/>
        <w:ind w:left="360"/>
        <w:contextualSpacing/>
        <w:jc w:val="both"/>
        <w:rPr>
          <w:rFonts w:eastAsia="Calibri"/>
          <w:szCs w:val="24"/>
          <w:lang w:val="bg-BG" w:eastAsia="x-none"/>
        </w:rPr>
      </w:pPr>
      <w:r>
        <w:rPr>
          <w:rFonts w:eastAsia="Calibri"/>
          <w:szCs w:val="24"/>
          <w:lang w:val="bg-BG" w:eastAsia="x-none"/>
        </w:rPr>
        <w:lastRenderedPageBreak/>
        <w:t xml:space="preserve">в) </w:t>
      </w:r>
      <w:r w:rsidRPr="006F0C1D">
        <w:rPr>
          <w:rFonts w:eastAsia="Calibri"/>
          <w:szCs w:val="24"/>
          <w:lang w:val="bg-BG" w:eastAsia="x-none"/>
        </w:rPr>
        <w:t>Участие в написването и излизането от печат на научни публикации, книги, ръководства, популярни брошури</w:t>
      </w:r>
      <w:r>
        <w:rPr>
          <w:rFonts w:eastAsia="Calibri"/>
          <w:szCs w:val="24"/>
          <w:lang w:val="bg-BG" w:eastAsia="x-none"/>
        </w:rPr>
        <w:t xml:space="preserve"> и други</w:t>
      </w:r>
      <w:r w:rsidRPr="006F0C1D">
        <w:rPr>
          <w:rFonts w:eastAsia="Calibri"/>
          <w:szCs w:val="24"/>
          <w:lang w:val="bg-BG" w:eastAsia="x-none"/>
        </w:rPr>
        <w:t xml:space="preserve">, свързани с управлението на УОЗ в страната; </w:t>
      </w:r>
    </w:p>
    <w:p w:rsidR="00E72CEA" w:rsidRPr="003A550D" w:rsidRDefault="00E72CEA" w:rsidP="00E72CEA">
      <w:pPr>
        <w:spacing w:before="120" w:after="200" w:line="276" w:lineRule="auto"/>
        <w:ind w:left="360"/>
        <w:contextualSpacing/>
        <w:jc w:val="both"/>
        <w:rPr>
          <w:rFonts w:eastAsia="Calibri"/>
          <w:szCs w:val="24"/>
          <w:lang w:val="bg-BG" w:eastAsia="x-none"/>
        </w:rPr>
      </w:pPr>
      <w:r>
        <w:rPr>
          <w:rFonts w:eastAsia="Calibri"/>
          <w:szCs w:val="24"/>
          <w:lang w:val="bg-BG" w:eastAsia="x-none"/>
        </w:rPr>
        <w:t xml:space="preserve">г) </w:t>
      </w:r>
      <w:r w:rsidRPr="003A550D">
        <w:rPr>
          <w:rFonts w:eastAsia="Calibri"/>
          <w:szCs w:val="24"/>
          <w:lang w:val="bg-BG" w:eastAsia="x-none"/>
        </w:rPr>
        <w:t>Участие в подготовката на студенти, дипломанти, докторанти, специализанти по управление на УОЗ в страната или управление на отпадъците.</w:t>
      </w:r>
    </w:p>
    <w:p w:rsidR="00E72CEA" w:rsidRDefault="00E72CEA" w:rsidP="00E72CEA">
      <w:pPr>
        <w:tabs>
          <w:tab w:val="left" w:pos="993"/>
        </w:tabs>
        <w:spacing w:before="120"/>
        <w:ind w:firstLine="403"/>
        <w:jc w:val="both"/>
        <w:rPr>
          <w:bCs/>
          <w:szCs w:val="24"/>
          <w:lang w:val="bg-BG" w:eastAsia="bg-BG"/>
        </w:rPr>
      </w:pPr>
    </w:p>
    <w:p w:rsidR="00E72CEA" w:rsidRPr="00CE7A2C" w:rsidRDefault="00E72CEA" w:rsidP="00E72CEA">
      <w:pPr>
        <w:tabs>
          <w:tab w:val="left" w:pos="993"/>
        </w:tabs>
        <w:spacing w:before="120"/>
        <w:ind w:firstLine="403"/>
        <w:jc w:val="both"/>
        <w:rPr>
          <w:bCs/>
          <w:szCs w:val="24"/>
          <w:lang w:val="bg-BG" w:eastAsia="bg-BG"/>
        </w:rPr>
      </w:pPr>
      <w:r w:rsidRPr="00CE7A2C">
        <w:rPr>
          <w:bCs/>
          <w:szCs w:val="24"/>
          <w:lang w:val="bg-BG" w:eastAsia="bg-BG"/>
        </w:rPr>
        <w:t xml:space="preserve">Участникът следва да попълни автобиография (CV) на експерта, който ще изпълнява (отговаря, ръководи) </w:t>
      </w:r>
      <w:r w:rsidRPr="00CE7A2C">
        <w:rPr>
          <w:rFonts w:eastAsia="Calibri"/>
          <w:szCs w:val="24"/>
          <w:lang w:val="bg-BG" w:eastAsia="x-none"/>
        </w:rPr>
        <w:t xml:space="preserve">изпълнението </w:t>
      </w:r>
      <w:r w:rsidRPr="00B7321A">
        <w:rPr>
          <w:rFonts w:eastAsia="Calibri"/>
          <w:szCs w:val="24"/>
          <w:lang w:val="bg-BG" w:eastAsia="x-none"/>
        </w:rPr>
        <w:t>на</w:t>
      </w:r>
      <w:r w:rsidRPr="00CE7A2C">
        <w:rPr>
          <w:rFonts w:eastAsia="Calibri"/>
          <w:szCs w:val="24"/>
          <w:lang w:val="bg-BG" w:eastAsia="x-none"/>
        </w:rPr>
        <w:t xml:space="preserve"> </w:t>
      </w:r>
      <w:r w:rsidRPr="00CE7A2C">
        <w:rPr>
          <w:bCs/>
          <w:szCs w:val="24"/>
          <w:lang w:val="bg-BG" w:eastAsia="bg-BG"/>
        </w:rPr>
        <w:t xml:space="preserve">поръчката с посочена професионална компетентност, съгласно образеца по </w:t>
      </w:r>
      <w:r w:rsidRPr="00B7321A">
        <w:rPr>
          <w:b/>
          <w:bCs/>
          <w:szCs w:val="24"/>
          <w:lang w:val="bg-BG" w:eastAsia="bg-BG"/>
        </w:rPr>
        <w:t>Приложение № 5,</w:t>
      </w:r>
      <w:r w:rsidRPr="00CE7A2C">
        <w:rPr>
          <w:bCs/>
          <w:szCs w:val="24"/>
          <w:lang w:val="bg-BG" w:eastAsia="bg-BG"/>
        </w:rPr>
        <w:t xml:space="preserve"> в която да посочи образованието, професионалния и специфичен опит, квалификация и декларация за разположение на експерта за изпълнение на поръчката, </w:t>
      </w:r>
      <w:r w:rsidRPr="00F3668B">
        <w:rPr>
          <w:b/>
          <w:bCs/>
          <w:szCs w:val="24"/>
          <w:lang w:val="bg-BG" w:eastAsia="bg-BG"/>
        </w:rPr>
        <w:t>както и да приложи доказателства</w:t>
      </w:r>
      <w:r w:rsidRPr="00CE7A2C">
        <w:rPr>
          <w:bCs/>
          <w:szCs w:val="24"/>
          <w:lang w:val="bg-BG" w:eastAsia="bg-BG"/>
        </w:rPr>
        <w:t>, които да доказват професионалната компетентност на експерта.</w:t>
      </w:r>
    </w:p>
    <w:p w:rsidR="00E72CEA" w:rsidRDefault="00E72CEA" w:rsidP="00E72CEA">
      <w:pPr>
        <w:tabs>
          <w:tab w:val="left" w:pos="993"/>
        </w:tabs>
        <w:spacing w:before="120"/>
        <w:ind w:firstLine="403"/>
        <w:jc w:val="both"/>
        <w:rPr>
          <w:bCs/>
          <w:szCs w:val="24"/>
          <w:lang w:val="bg-BG" w:eastAsia="bg-BG"/>
        </w:rPr>
      </w:pPr>
      <w:r>
        <w:rPr>
          <w:bCs/>
          <w:szCs w:val="24"/>
          <w:lang w:val="bg-BG" w:eastAsia="bg-BG"/>
        </w:rPr>
        <w:t xml:space="preserve">За доказване на образованието по т. 3.1. се прилагат копия на </w:t>
      </w:r>
      <w:r w:rsidRPr="00ED67EC">
        <w:rPr>
          <w:bCs/>
          <w:szCs w:val="24"/>
          <w:lang w:val="bg-BG" w:eastAsia="bg-BG"/>
        </w:rPr>
        <w:t>дипломи</w:t>
      </w:r>
      <w:r>
        <w:rPr>
          <w:bCs/>
          <w:szCs w:val="24"/>
          <w:lang w:val="bg-BG" w:eastAsia="bg-BG"/>
        </w:rPr>
        <w:t xml:space="preserve"> и други документи, доказващи придобиването на </w:t>
      </w:r>
      <w:r w:rsidRPr="00445E37">
        <w:rPr>
          <w:rFonts w:eastAsia="Calibri"/>
          <w:color w:val="000000"/>
          <w:szCs w:val="24"/>
          <w:lang w:val="bg-BG" w:eastAsia="bg-BG"/>
        </w:rPr>
        <w:t>научни и образователни „степени„ и „звания”</w:t>
      </w:r>
      <w:r>
        <w:rPr>
          <w:rFonts w:eastAsia="Calibri"/>
          <w:color w:val="000000"/>
          <w:szCs w:val="24"/>
          <w:lang w:val="bg-BG" w:eastAsia="bg-BG"/>
        </w:rPr>
        <w:t>.</w:t>
      </w:r>
    </w:p>
    <w:p w:rsidR="00E72CEA" w:rsidRPr="00CE7A2C" w:rsidRDefault="00E72CEA" w:rsidP="00E72CEA">
      <w:pPr>
        <w:tabs>
          <w:tab w:val="left" w:pos="993"/>
        </w:tabs>
        <w:spacing w:before="120"/>
        <w:ind w:firstLine="403"/>
        <w:jc w:val="both"/>
        <w:rPr>
          <w:bCs/>
          <w:szCs w:val="24"/>
          <w:lang w:val="bg-BG" w:eastAsia="bg-BG"/>
        </w:rPr>
      </w:pPr>
      <w:r w:rsidRPr="00CE7A2C">
        <w:rPr>
          <w:bCs/>
          <w:szCs w:val="24"/>
          <w:lang w:val="bg-BG" w:eastAsia="bg-BG"/>
        </w:rPr>
        <w:t xml:space="preserve">За доказване на </w:t>
      </w:r>
      <w:r>
        <w:rPr>
          <w:bCs/>
          <w:szCs w:val="24"/>
          <w:lang w:val="bg-BG" w:eastAsia="bg-BG"/>
        </w:rPr>
        <w:t>т. 3.2., букви а) и б)</w:t>
      </w:r>
      <w:r w:rsidRPr="00CE7A2C">
        <w:rPr>
          <w:bCs/>
          <w:szCs w:val="24"/>
          <w:lang w:val="bg-BG" w:eastAsia="bg-BG"/>
        </w:rPr>
        <w:t xml:space="preserve"> се прилагат </w:t>
      </w:r>
      <w:r>
        <w:rPr>
          <w:bCs/>
          <w:szCs w:val="24"/>
          <w:lang w:val="bg-BG" w:eastAsia="bg-BG"/>
        </w:rPr>
        <w:t xml:space="preserve">копия на </w:t>
      </w:r>
      <w:r w:rsidRPr="00CE7A2C">
        <w:rPr>
          <w:bCs/>
          <w:szCs w:val="24"/>
          <w:lang w:val="bg-BG" w:eastAsia="bg-BG"/>
        </w:rPr>
        <w:t>договори, протоколи, референции</w:t>
      </w:r>
      <w:r>
        <w:rPr>
          <w:bCs/>
          <w:szCs w:val="24"/>
          <w:lang w:eastAsia="bg-BG"/>
        </w:rPr>
        <w:t xml:space="preserve"> </w:t>
      </w:r>
      <w:r>
        <w:rPr>
          <w:bCs/>
          <w:szCs w:val="24"/>
          <w:lang w:val="bg-BG" w:eastAsia="bg-BG"/>
        </w:rPr>
        <w:t>и други</w:t>
      </w:r>
      <w:r w:rsidRPr="00CE7A2C">
        <w:rPr>
          <w:bCs/>
          <w:szCs w:val="24"/>
          <w:lang w:val="bg-BG" w:eastAsia="bg-BG"/>
        </w:rPr>
        <w:t>;</w:t>
      </w:r>
    </w:p>
    <w:p w:rsidR="00E72CEA" w:rsidRPr="00CE7A2C" w:rsidRDefault="00E72CEA" w:rsidP="00E72CEA">
      <w:pPr>
        <w:tabs>
          <w:tab w:val="left" w:pos="993"/>
        </w:tabs>
        <w:spacing w:before="120"/>
        <w:ind w:firstLine="403"/>
        <w:jc w:val="both"/>
        <w:rPr>
          <w:bCs/>
          <w:szCs w:val="24"/>
          <w:lang w:val="bg-BG" w:eastAsia="bg-BG"/>
        </w:rPr>
      </w:pPr>
      <w:r w:rsidRPr="00CE7A2C">
        <w:rPr>
          <w:bCs/>
          <w:szCs w:val="24"/>
          <w:lang w:val="bg-BG" w:eastAsia="bg-BG"/>
        </w:rPr>
        <w:t xml:space="preserve">За доказване на </w:t>
      </w:r>
      <w:r>
        <w:rPr>
          <w:bCs/>
          <w:szCs w:val="24"/>
          <w:lang w:val="bg-BG" w:eastAsia="bg-BG"/>
        </w:rPr>
        <w:t>т. 3.2., буква г) се прилагат</w:t>
      </w:r>
      <w:r w:rsidRPr="00CE7A2C">
        <w:rPr>
          <w:bCs/>
          <w:szCs w:val="24"/>
          <w:lang w:val="bg-BG" w:eastAsia="bg-BG"/>
        </w:rPr>
        <w:t xml:space="preserve"> </w:t>
      </w:r>
      <w:r>
        <w:rPr>
          <w:bCs/>
          <w:szCs w:val="24"/>
          <w:lang w:val="bg-BG" w:eastAsia="bg-BG"/>
        </w:rPr>
        <w:t>копия на:</w:t>
      </w:r>
      <w:r w:rsidRPr="00CE7A2C">
        <w:rPr>
          <w:bCs/>
          <w:szCs w:val="24"/>
          <w:lang w:val="bg-BG" w:eastAsia="bg-BG"/>
        </w:rPr>
        <w:t>списък на нау</w:t>
      </w:r>
      <w:r>
        <w:rPr>
          <w:bCs/>
          <w:szCs w:val="24"/>
          <w:lang w:val="bg-BG" w:eastAsia="bg-BG"/>
        </w:rPr>
        <w:t>чни публикации; списък на книги</w:t>
      </w:r>
      <w:r w:rsidRPr="00CE7A2C">
        <w:rPr>
          <w:bCs/>
          <w:szCs w:val="24"/>
          <w:lang w:val="bg-BG" w:eastAsia="bg-BG"/>
        </w:rPr>
        <w:t>; списък на ръководства; списък на брошури; в т.ч. челни страници; списък на темите за лекции; на дипломни работи; на докторски дисертации; на индивидуални и групови специализации</w:t>
      </w:r>
      <w:r>
        <w:rPr>
          <w:bCs/>
          <w:szCs w:val="24"/>
          <w:lang w:val="bg-BG" w:eastAsia="bg-BG"/>
        </w:rPr>
        <w:t xml:space="preserve"> и др</w:t>
      </w:r>
      <w:r w:rsidRPr="00CE7A2C">
        <w:rPr>
          <w:bCs/>
          <w:szCs w:val="24"/>
          <w:lang w:val="bg-BG" w:eastAsia="bg-BG"/>
        </w:rPr>
        <w:t>.</w:t>
      </w:r>
    </w:p>
    <w:p w:rsidR="00990517" w:rsidRDefault="00990517"/>
    <w:sectPr w:rsidR="00990517" w:rsidSect="00E72CEA">
      <w:headerReference w:type="default" r:id="rId9"/>
      <w:footerReference w:type="default" r:id="rId10"/>
      <w:pgSz w:w="12240" w:h="15840"/>
      <w:pgMar w:top="1417" w:right="1417" w:bottom="141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EA" w:rsidRDefault="00E72CEA" w:rsidP="00E72CEA">
      <w:r>
        <w:separator/>
      </w:r>
    </w:p>
  </w:endnote>
  <w:endnote w:type="continuationSeparator" w:id="0">
    <w:p w:rsidR="00E72CEA" w:rsidRDefault="00E72CEA" w:rsidP="00E7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17436"/>
      <w:docPartObj>
        <w:docPartGallery w:val="Page Numbers (Bottom of Page)"/>
        <w:docPartUnique/>
      </w:docPartObj>
    </w:sdtPr>
    <w:sdtEndPr>
      <w:rPr>
        <w:color w:val="808080" w:themeColor="background1" w:themeShade="80"/>
        <w:spacing w:val="60"/>
      </w:rPr>
    </w:sdtEndPr>
    <w:sdtContent>
      <w:p w:rsidR="00E72CEA" w:rsidRDefault="00E72C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7A6B" w:rsidRPr="00067A6B">
          <w:rPr>
            <w:b/>
            <w:bCs/>
            <w:noProof/>
          </w:rPr>
          <w:t>3</w:t>
        </w:r>
        <w:r>
          <w:rPr>
            <w:b/>
            <w:bCs/>
            <w:noProof/>
          </w:rPr>
          <w:fldChar w:fldCharType="end"/>
        </w:r>
        <w:r>
          <w:rPr>
            <w:b/>
            <w:bCs/>
          </w:rPr>
          <w:t xml:space="preserve"> | </w:t>
        </w:r>
        <w:r>
          <w:rPr>
            <w:color w:val="808080" w:themeColor="background1" w:themeShade="80"/>
            <w:spacing w:val="60"/>
          </w:rPr>
          <w:t>Page</w:t>
        </w:r>
      </w:p>
    </w:sdtContent>
  </w:sdt>
  <w:p w:rsidR="00E72CEA" w:rsidRDefault="00E72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EA" w:rsidRDefault="00E72CEA" w:rsidP="00E72CEA">
      <w:r>
        <w:separator/>
      </w:r>
    </w:p>
  </w:footnote>
  <w:footnote w:type="continuationSeparator" w:id="0">
    <w:p w:rsidR="00E72CEA" w:rsidRDefault="00E72CEA" w:rsidP="00E7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6B" w:rsidRDefault="00067A6B" w:rsidP="00067A6B">
    <w:pPr>
      <w:pStyle w:val="Header"/>
      <w:jc w:val="right"/>
      <w:rPr>
        <w:lang w:val="bg-BG"/>
      </w:rPr>
    </w:pPr>
    <w:r>
      <w:rPr>
        <w:lang w:val="bg-BG"/>
      </w:rPr>
      <w:t xml:space="preserve">Приложение 1 </w:t>
    </w:r>
  </w:p>
  <w:p w:rsidR="00E72CEA" w:rsidRPr="00067A6B" w:rsidRDefault="00067A6B" w:rsidP="00067A6B">
    <w:pPr>
      <w:pStyle w:val="Header"/>
      <w:jc w:val="right"/>
      <w:rPr>
        <w:lang w:val="bg-BG"/>
      </w:rPr>
    </w:pPr>
    <w:r>
      <w:rPr>
        <w:lang w:val="bg-BG"/>
      </w:rPr>
      <w:t>Техническа спецификация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A41"/>
    <w:multiLevelType w:val="multilevel"/>
    <w:tmpl w:val="7922A3BE"/>
    <w:lvl w:ilvl="0">
      <w:start w:val="2"/>
      <w:numFmt w:val="decimal"/>
      <w:lvlText w:val="1.%1.1"/>
      <w:lvlJc w:val="left"/>
      <w:pPr>
        <w:ind w:left="1080" w:hanging="72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54D1AF3"/>
    <w:multiLevelType w:val="hybridMultilevel"/>
    <w:tmpl w:val="4218E7AA"/>
    <w:lvl w:ilvl="0" w:tplc="384E705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E073E"/>
    <w:multiLevelType w:val="hybridMultilevel"/>
    <w:tmpl w:val="1A76A140"/>
    <w:lvl w:ilvl="0" w:tplc="86E0DE06">
      <w:start w:val="1"/>
      <w:numFmt w:val="decimal"/>
      <w:lvlText w:val="%1."/>
      <w:lvlJc w:val="left"/>
      <w:pPr>
        <w:ind w:left="1080" w:hanging="360"/>
      </w:pPr>
      <w:rPr>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2AA5450B"/>
    <w:multiLevelType w:val="hybridMultilevel"/>
    <w:tmpl w:val="6F4C390A"/>
    <w:lvl w:ilvl="0" w:tplc="7A325760">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E676014"/>
    <w:multiLevelType w:val="hybridMultilevel"/>
    <w:tmpl w:val="CBE0E97E"/>
    <w:lvl w:ilvl="0" w:tplc="0BA2B82A">
      <w:start w:val="1"/>
      <w:numFmt w:val="lowerRoman"/>
      <w:lvlText w:val="%1)"/>
      <w:lvlJc w:val="left"/>
      <w:pPr>
        <w:ind w:left="1080" w:hanging="72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2E144C2"/>
    <w:multiLevelType w:val="hybridMultilevel"/>
    <w:tmpl w:val="248214D8"/>
    <w:lvl w:ilvl="0" w:tplc="6570DF2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E7145"/>
    <w:multiLevelType w:val="hybridMultilevel"/>
    <w:tmpl w:val="8744D1A8"/>
    <w:lvl w:ilvl="0" w:tplc="D40201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F2639"/>
    <w:multiLevelType w:val="hybridMultilevel"/>
    <w:tmpl w:val="1D9C3E9A"/>
    <w:lvl w:ilvl="0" w:tplc="04020017">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60A50"/>
    <w:multiLevelType w:val="hybridMultilevel"/>
    <w:tmpl w:val="A246EEF8"/>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8014331"/>
    <w:multiLevelType w:val="hybridMultilevel"/>
    <w:tmpl w:val="320A35CA"/>
    <w:lvl w:ilvl="0" w:tplc="29B2E4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E4DBD"/>
    <w:multiLevelType w:val="hybridMultilevel"/>
    <w:tmpl w:val="D1D2E15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2622AA"/>
    <w:multiLevelType w:val="hybridMultilevel"/>
    <w:tmpl w:val="10C49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42715D"/>
    <w:multiLevelType w:val="hybridMultilevel"/>
    <w:tmpl w:val="B2669C3E"/>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9"/>
  </w:num>
  <w:num w:numId="3">
    <w:abstractNumId w:val="10"/>
  </w:num>
  <w:num w:numId="4">
    <w:abstractNumId w:val="12"/>
  </w:num>
  <w:num w:numId="5">
    <w:abstractNumId w:val="4"/>
  </w:num>
  <w:num w:numId="6">
    <w:abstractNumId w:val="3"/>
  </w:num>
  <w:num w:numId="7">
    <w:abstractNumId w:val="8"/>
  </w:num>
  <w:num w:numId="8">
    <w:abstractNumId w:val="2"/>
  </w:num>
  <w:num w:numId="9">
    <w:abstractNumId w:val="7"/>
  </w:num>
  <w:num w:numId="10">
    <w:abstractNumId w:val="5"/>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D9"/>
    <w:rsid w:val="00067A6B"/>
    <w:rsid w:val="00413AD9"/>
    <w:rsid w:val="00990517"/>
    <w:rsid w:val="00B60C00"/>
    <w:rsid w:val="00E7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CEA"/>
    <w:pPr>
      <w:tabs>
        <w:tab w:val="center" w:pos="4703"/>
        <w:tab w:val="right" w:pos="9406"/>
      </w:tabs>
    </w:pPr>
  </w:style>
  <w:style w:type="character" w:customStyle="1" w:styleId="HeaderChar">
    <w:name w:val="Header Char"/>
    <w:basedOn w:val="DefaultParagraphFont"/>
    <w:link w:val="Header"/>
    <w:uiPriority w:val="99"/>
    <w:rsid w:val="00E72CE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2CEA"/>
    <w:pPr>
      <w:tabs>
        <w:tab w:val="center" w:pos="4703"/>
        <w:tab w:val="right" w:pos="9406"/>
      </w:tabs>
    </w:pPr>
  </w:style>
  <w:style w:type="character" w:customStyle="1" w:styleId="FooterChar">
    <w:name w:val="Footer Char"/>
    <w:basedOn w:val="DefaultParagraphFont"/>
    <w:link w:val="Footer"/>
    <w:uiPriority w:val="99"/>
    <w:rsid w:val="00E72CE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CEA"/>
    <w:pPr>
      <w:tabs>
        <w:tab w:val="center" w:pos="4703"/>
        <w:tab w:val="right" w:pos="9406"/>
      </w:tabs>
    </w:pPr>
  </w:style>
  <w:style w:type="character" w:customStyle="1" w:styleId="HeaderChar">
    <w:name w:val="Header Char"/>
    <w:basedOn w:val="DefaultParagraphFont"/>
    <w:link w:val="Header"/>
    <w:uiPriority w:val="99"/>
    <w:rsid w:val="00E72CE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2CEA"/>
    <w:pPr>
      <w:tabs>
        <w:tab w:val="center" w:pos="4703"/>
        <w:tab w:val="right" w:pos="9406"/>
      </w:tabs>
    </w:pPr>
  </w:style>
  <w:style w:type="character" w:customStyle="1" w:styleId="FooterChar">
    <w:name w:val="Footer Char"/>
    <w:basedOn w:val="DefaultParagraphFont"/>
    <w:link w:val="Footer"/>
    <w:uiPriority w:val="99"/>
    <w:rsid w:val="00E72CE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B44F-FEBD-43E8-AE4D-123BD2B4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2018-08-23T15:08:00Z</dcterms:created>
  <dcterms:modified xsi:type="dcterms:W3CDTF">2018-08-23T15:13:00Z</dcterms:modified>
</cp:coreProperties>
</file>