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2.xml" ContentType="application/vnd.openxmlformats-officedocument.drawingml.chartshapes+xml"/>
  <Override PartName="/word/charts/chart19.xml" ContentType="application/vnd.openxmlformats-officedocument.drawingml.chart+xml"/>
  <Override PartName="/word/drawings/drawing3.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78A9A0" w14:textId="77777777" w:rsidR="003627D6" w:rsidRPr="003627D6" w:rsidRDefault="003627D6" w:rsidP="003627D6">
      <w:pPr>
        <w:spacing w:after="0" w:line="240" w:lineRule="auto"/>
        <w:rPr>
          <w:rFonts w:eastAsia="Times New Roman" w:cs="Arial"/>
          <w:noProof/>
          <w:sz w:val="20"/>
          <w:szCs w:val="18"/>
          <w:lang w:eastAsia="en-GB"/>
        </w:rPr>
      </w:pPr>
    </w:p>
    <w:p w14:paraId="58102E53" w14:textId="77777777" w:rsidR="003627D6" w:rsidRPr="003627D6" w:rsidRDefault="003627D6" w:rsidP="003627D6">
      <w:pPr>
        <w:rPr>
          <w:rFonts w:eastAsia="Calibri" w:cs="Arial"/>
          <w:noProof/>
          <w:lang w:eastAsia="en-GB"/>
        </w:rPr>
      </w:pPr>
    </w:p>
    <w:p w14:paraId="7FCDFFC3" w14:textId="77777777" w:rsidR="003627D6" w:rsidRPr="003627D6" w:rsidRDefault="003627D6" w:rsidP="003627D6">
      <w:pPr>
        <w:rPr>
          <w:rFonts w:eastAsia="Calibri" w:cs="Arial"/>
        </w:rPr>
      </w:pPr>
    </w:p>
    <w:p w14:paraId="1CD9E556" w14:textId="77777777" w:rsidR="003627D6" w:rsidRPr="003627D6" w:rsidRDefault="003627D6" w:rsidP="003627D6">
      <w:pPr>
        <w:spacing w:after="0" w:line="240" w:lineRule="auto"/>
        <w:contextualSpacing/>
        <w:jc w:val="center"/>
        <w:rPr>
          <w:rFonts w:ascii="Calibri" w:eastAsia="Times New Roman" w:hAnsi="Calibri" w:cs="Calibri"/>
          <w:color w:val="365F91"/>
          <w:spacing w:val="-10"/>
          <w:kern w:val="28"/>
          <w:sz w:val="40"/>
          <w:szCs w:val="40"/>
        </w:rPr>
      </w:pPr>
      <w:r w:rsidRPr="003627D6">
        <w:rPr>
          <w:rFonts w:ascii="Calibri" w:eastAsia="Times New Roman" w:hAnsi="Calibri" w:cs="Calibri"/>
          <w:b/>
          <w:color w:val="365F91"/>
          <w:spacing w:val="-10"/>
          <w:kern w:val="28"/>
          <w:sz w:val="40"/>
          <w:szCs w:val="40"/>
        </w:rPr>
        <w:t>Republic of Bulgaria</w:t>
      </w:r>
    </w:p>
    <w:p w14:paraId="6E3FD3B4" w14:textId="77777777" w:rsidR="003627D6" w:rsidRPr="003627D6" w:rsidRDefault="003627D6" w:rsidP="003627D6">
      <w:pPr>
        <w:spacing w:after="0" w:line="240" w:lineRule="auto"/>
        <w:contextualSpacing/>
        <w:jc w:val="center"/>
        <w:rPr>
          <w:rFonts w:ascii="Calibri" w:eastAsia="Times New Roman" w:hAnsi="Calibri" w:cs="Calibri"/>
          <w:color w:val="365F91"/>
          <w:spacing w:val="-10"/>
          <w:kern w:val="28"/>
          <w:sz w:val="40"/>
          <w:szCs w:val="40"/>
        </w:rPr>
      </w:pPr>
      <w:r w:rsidRPr="003627D6">
        <w:rPr>
          <w:rFonts w:ascii="Calibri" w:eastAsia="Times New Roman" w:hAnsi="Calibri" w:cs="Calibri"/>
          <w:b/>
          <w:color w:val="365F91"/>
          <w:spacing w:val="-10"/>
          <w:kern w:val="28"/>
          <w:sz w:val="40"/>
          <w:szCs w:val="40"/>
        </w:rPr>
        <w:t xml:space="preserve"> </w:t>
      </w:r>
    </w:p>
    <w:p w14:paraId="21A99AD3" w14:textId="77777777" w:rsidR="003627D6" w:rsidRPr="003627D6" w:rsidRDefault="003627D6" w:rsidP="003627D6">
      <w:pPr>
        <w:spacing w:after="0" w:line="240" w:lineRule="auto"/>
        <w:contextualSpacing/>
        <w:jc w:val="center"/>
        <w:rPr>
          <w:rFonts w:ascii="Calibri" w:eastAsia="Times New Roman" w:hAnsi="Calibri" w:cs="Calibri"/>
          <w:color w:val="365F91"/>
          <w:spacing w:val="-10"/>
          <w:kern w:val="28"/>
          <w:sz w:val="40"/>
          <w:szCs w:val="40"/>
        </w:rPr>
      </w:pPr>
      <w:r w:rsidRPr="003627D6">
        <w:rPr>
          <w:rFonts w:ascii="Calibri" w:eastAsia="Times New Roman" w:hAnsi="Calibri" w:cs="Calibri"/>
          <w:b/>
          <w:color w:val="365F91"/>
          <w:spacing w:val="-10"/>
          <w:kern w:val="28"/>
          <w:sz w:val="40"/>
          <w:szCs w:val="40"/>
        </w:rPr>
        <w:t>Advisory Services on a National Climate Change Adaptation Strategy and Action Plan</w:t>
      </w:r>
    </w:p>
    <w:p w14:paraId="02A56301" w14:textId="77777777" w:rsidR="003627D6" w:rsidRPr="003627D6" w:rsidRDefault="003627D6" w:rsidP="003627D6">
      <w:pPr>
        <w:tabs>
          <w:tab w:val="left" w:pos="3810"/>
        </w:tabs>
        <w:rPr>
          <w:rFonts w:eastAsia="Calibri" w:cs="Arial"/>
          <w:sz w:val="56"/>
          <w:szCs w:val="56"/>
        </w:rPr>
      </w:pPr>
      <w:r w:rsidRPr="003627D6">
        <w:rPr>
          <w:rFonts w:eastAsia="Calibri" w:cs="Arial"/>
          <w:sz w:val="56"/>
          <w:szCs w:val="56"/>
        </w:rPr>
        <w:tab/>
      </w:r>
    </w:p>
    <w:p w14:paraId="1DD3C261" w14:textId="77777777" w:rsidR="003627D6" w:rsidRPr="003627D6" w:rsidRDefault="003627D6" w:rsidP="003627D6">
      <w:pPr>
        <w:rPr>
          <w:rFonts w:eastAsia="Calibri" w:cs="Arial"/>
        </w:rPr>
      </w:pPr>
    </w:p>
    <w:p w14:paraId="5FD4D2BD" w14:textId="77777777" w:rsidR="003627D6" w:rsidRPr="003627D6" w:rsidRDefault="003627D6" w:rsidP="003627D6">
      <w:pPr>
        <w:rPr>
          <w:rFonts w:eastAsia="Calibri" w:cs="Arial"/>
        </w:rPr>
      </w:pPr>
    </w:p>
    <w:p w14:paraId="229748F7" w14:textId="77777777" w:rsidR="003627D6" w:rsidRPr="003627D6" w:rsidRDefault="003627D6" w:rsidP="003627D6">
      <w:pPr>
        <w:rPr>
          <w:rFonts w:eastAsia="Calibri" w:cs="Arial"/>
        </w:rPr>
      </w:pPr>
    </w:p>
    <w:p w14:paraId="20D6ED72" w14:textId="77777777" w:rsidR="003627D6" w:rsidRPr="003627D6" w:rsidRDefault="003627D6" w:rsidP="003627D6">
      <w:pPr>
        <w:rPr>
          <w:rFonts w:eastAsia="Calibri" w:cs="Arial"/>
        </w:rPr>
      </w:pPr>
    </w:p>
    <w:p w14:paraId="7060045B" w14:textId="77777777" w:rsidR="003627D6" w:rsidRPr="003627D6" w:rsidRDefault="003627D6" w:rsidP="003627D6">
      <w:pPr>
        <w:rPr>
          <w:rFonts w:eastAsia="Calibri" w:cs="Arial"/>
        </w:rPr>
      </w:pPr>
    </w:p>
    <w:p w14:paraId="2E93FE03" w14:textId="49EE384A" w:rsidR="003627D6" w:rsidRPr="003627D6" w:rsidRDefault="003627D6" w:rsidP="003627D6">
      <w:pPr>
        <w:spacing w:after="0" w:line="240" w:lineRule="auto"/>
        <w:contextualSpacing/>
        <w:jc w:val="center"/>
        <w:rPr>
          <w:rFonts w:ascii="Calibri" w:eastAsia="Times New Roman" w:hAnsi="Calibri" w:cs="Arial"/>
          <w:b/>
          <w:i/>
          <w:color w:val="365F91"/>
          <w:spacing w:val="-10"/>
          <w:kern w:val="28"/>
          <w:sz w:val="84"/>
          <w:szCs w:val="84"/>
        </w:rPr>
      </w:pPr>
      <w:r w:rsidRPr="003627D6">
        <w:rPr>
          <w:rFonts w:ascii="Calibri" w:eastAsia="Times New Roman" w:hAnsi="Calibri" w:cs="Arial"/>
          <w:b/>
          <w:i/>
          <w:color w:val="365F91"/>
          <w:spacing w:val="-10"/>
          <w:kern w:val="28"/>
          <w:sz w:val="84"/>
          <w:szCs w:val="84"/>
        </w:rPr>
        <w:t xml:space="preserve">Appendix </w:t>
      </w:r>
      <w:r>
        <w:rPr>
          <w:rFonts w:ascii="Calibri" w:eastAsia="Times New Roman" w:hAnsi="Calibri" w:cs="Arial"/>
          <w:b/>
          <w:i/>
          <w:color w:val="365F91"/>
          <w:spacing w:val="-10"/>
          <w:kern w:val="28"/>
          <w:sz w:val="84"/>
          <w:szCs w:val="84"/>
        </w:rPr>
        <w:t>11</w:t>
      </w:r>
      <w:r w:rsidRPr="003627D6">
        <w:rPr>
          <w:rFonts w:ascii="Calibri" w:eastAsia="Times New Roman" w:hAnsi="Calibri" w:cs="Arial"/>
          <w:b/>
          <w:i/>
          <w:color w:val="365F91"/>
          <w:spacing w:val="-10"/>
          <w:kern w:val="28"/>
          <w:sz w:val="84"/>
          <w:szCs w:val="84"/>
        </w:rPr>
        <w:t>:</w:t>
      </w:r>
    </w:p>
    <w:p w14:paraId="7E8482BE" w14:textId="39BE06EB" w:rsidR="003627D6" w:rsidRPr="003627D6" w:rsidRDefault="003627D6" w:rsidP="003627D6">
      <w:pPr>
        <w:spacing w:after="0" w:line="240" w:lineRule="auto"/>
        <w:contextualSpacing/>
        <w:jc w:val="center"/>
        <w:rPr>
          <w:rFonts w:ascii="Calibri" w:eastAsia="Times New Roman" w:hAnsi="Calibri" w:cs="Arial"/>
          <w:b/>
          <w:i/>
          <w:color w:val="365F91"/>
          <w:spacing w:val="-10"/>
          <w:kern w:val="28"/>
          <w:sz w:val="84"/>
          <w:szCs w:val="84"/>
        </w:rPr>
      </w:pPr>
      <w:r>
        <w:rPr>
          <w:rFonts w:ascii="Calibri" w:eastAsia="Times New Roman" w:hAnsi="Calibri" w:cs="Arial"/>
          <w:b/>
          <w:i/>
          <w:color w:val="365F91"/>
          <w:spacing w:val="-10"/>
          <w:kern w:val="28"/>
          <w:sz w:val="84"/>
          <w:szCs w:val="84"/>
        </w:rPr>
        <w:t>Macroeconomic Implications of Climate Change – Analysis</w:t>
      </w:r>
    </w:p>
    <w:p w14:paraId="3C98A211" w14:textId="77777777" w:rsidR="003627D6" w:rsidRPr="003627D6" w:rsidRDefault="003627D6" w:rsidP="003627D6">
      <w:pPr>
        <w:tabs>
          <w:tab w:val="left" w:pos="6636"/>
        </w:tabs>
        <w:spacing w:after="0" w:line="276" w:lineRule="auto"/>
        <w:rPr>
          <w:rFonts w:eastAsia="Calibri" w:cs="Arial"/>
          <w:i/>
        </w:rPr>
      </w:pPr>
      <w:r w:rsidRPr="003627D6">
        <w:rPr>
          <w:rFonts w:eastAsia="Calibri" w:cs="Arial"/>
          <w:i/>
        </w:rPr>
        <w:tab/>
      </w:r>
    </w:p>
    <w:p w14:paraId="468E4782" w14:textId="77777777" w:rsidR="003627D6" w:rsidRPr="003627D6" w:rsidRDefault="003627D6" w:rsidP="003627D6">
      <w:pPr>
        <w:tabs>
          <w:tab w:val="left" w:pos="6636"/>
        </w:tabs>
        <w:spacing w:after="0" w:line="276" w:lineRule="auto"/>
        <w:rPr>
          <w:rFonts w:eastAsia="Calibri" w:cs="Arial"/>
          <w:i/>
        </w:rPr>
      </w:pPr>
    </w:p>
    <w:p w14:paraId="5B5A1E31" w14:textId="77777777" w:rsidR="003627D6" w:rsidRPr="003627D6" w:rsidRDefault="003627D6" w:rsidP="003627D6">
      <w:pPr>
        <w:tabs>
          <w:tab w:val="left" w:pos="6636"/>
        </w:tabs>
        <w:spacing w:after="0" w:line="276" w:lineRule="auto"/>
        <w:rPr>
          <w:rFonts w:eastAsia="Calibri" w:cs="Arial"/>
          <w:i/>
        </w:rPr>
      </w:pPr>
    </w:p>
    <w:p w14:paraId="2B452115" w14:textId="77777777" w:rsidR="003627D6" w:rsidRPr="003627D6" w:rsidRDefault="003627D6" w:rsidP="003627D6">
      <w:pPr>
        <w:tabs>
          <w:tab w:val="left" w:pos="6636"/>
        </w:tabs>
        <w:spacing w:after="0" w:line="276" w:lineRule="auto"/>
        <w:rPr>
          <w:rFonts w:eastAsia="Calibri" w:cs="Arial"/>
          <w:i/>
        </w:rPr>
      </w:pPr>
    </w:p>
    <w:p w14:paraId="6F8C4EDC" w14:textId="77777777" w:rsidR="003627D6" w:rsidRPr="003627D6" w:rsidRDefault="003627D6" w:rsidP="003627D6">
      <w:pPr>
        <w:spacing w:after="0" w:line="276" w:lineRule="auto"/>
        <w:rPr>
          <w:rFonts w:eastAsia="Calibri" w:cs="Arial"/>
          <w:i/>
        </w:rPr>
      </w:pPr>
    </w:p>
    <w:p w14:paraId="74BA4B59" w14:textId="77777777" w:rsidR="003627D6" w:rsidRPr="003627D6" w:rsidRDefault="003627D6" w:rsidP="003627D6">
      <w:pPr>
        <w:spacing w:after="0" w:line="276" w:lineRule="auto"/>
        <w:rPr>
          <w:rFonts w:eastAsia="Calibri" w:cs="Arial"/>
          <w:i/>
        </w:rPr>
      </w:pPr>
    </w:p>
    <w:p w14:paraId="29E9983C" w14:textId="77777777" w:rsidR="003627D6" w:rsidRPr="003627D6" w:rsidRDefault="003627D6" w:rsidP="003627D6">
      <w:pPr>
        <w:spacing w:after="0" w:line="276" w:lineRule="auto"/>
        <w:rPr>
          <w:rFonts w:eastAsia="Calibri" w:cs="Arial"/>
          <w:i/>
        </w:rPr>
      </w:pPr>
    </w:p>
    <w:p w14:paraId="0181F5DD" w14:textId="77777777" w:rsidR="003627D6" w:rsidRPr="003627D6" w:rsidRDefault="003627D6" w:rsidP="003627D6">
      <w:pPr>
        <w:spacing w:after="0" w:line="276" w:lineRule="auto"/>
        <w:rPr>
          <w:rFonts w:eastAsia="Calibri" w:cs="Arial"/>
          <w:i/>
        </w:rPr>
      </w:pPr>
    </w:p>
    <w:p w14:paraId="71C1DE5F" w14:textId="77777777" w:rsidR="003627D6" w:rsidRPr="003627D6" w:rsidRDefault="003627D6" w:rsidP="003627D6">
      <w:pPr>
        <w:spacing w:after="0" w:line="276" w:lineRule="auto"/>
        <w:rPr>
          <w:rFonts w:eastAsia="Calibri" w:cs="Arial"/>
          <w:i/>
        </w:rPr>
      </w:pPr>
    </w:p>
    <w:p w14:paraId="0F78A0CE" w14:textId="13450376" w:rsidR="00702B7C" w:rsidRPr="001C3EDC" w:rsidRDefault="00702B7C" w:rsidP="00A64BBB">
      <w:pPr>
        <w:spacing w:after="220" w:line="276" w:lineRule="auto"/>
        <w:sectPr w:rsidR="00702B7C" w:rsidRPr="001C3EDC" w:rsidSect="00702B7C">
          <w:headerReference w:type="default" r:id="rId12"/>
          <w:footerReference w:type="default" r:id="rId13"/>
          <w:headerReference w:type="first" r:id="rId14"/>
          <w:pgSz w:w="11906" w:h="16838"/>
          <w:pgMar w:top="1411" w:right="1411" w:bottom="1411" w:left="1411" w:header="708" w:footer="708" w:gutter="0"/>
          <w:pgNumType w:fmt="lowerRoman" w:start="1"/>
          <w:cols w:space="708"/>
          <w:titlePg/>
          <w:docGrid w:linePitch="360"/>
        </w:sectPr>
      </w:pPr>
    </w:p>
    <w:p w14:paraId="38FC20FE" w14:textId="4FB28A83" w:rsidR="008455EC" w:rsidRPr="001C3EDC" w:rsidRDefault="008455EC" w:rsidP="00B945C9">
      <w:pPr>
        <w:spacing w:after="0" w:line="276" w:lineRule="auto"/>
      </w:pPr>
    </w:p>
    <w:tbl>
      <w:tblPr>
        <w:tblStyle w:val="ListTable3-Accent1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4508"/>
        <w:gridCol w:w="4508"/>
      </w:tblGrid>
      <w:tr w:rsidR="00702B7C" w:rsidRPr="001C3EDC" w14:paraId="389A249A" w14:textId="77777777" w:rsidTr="00702B7C">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302AB" w14:textId="77777777" w:rsidR="00702B7C" w:rsidRPr="001C3EDC" w:rsidRDefault="00702B7C" w:rsidP="00702B7C">
            <w:pPr>
              <w:spacing w:after="120" w:line="276" w:lineRule="auto"/>
              <w:jc w:val="center"/>
              <w:rPr>
                <w:rFonts w:asciiTheme="minorHAnsi" w:hAnsiTheme="minorHAnsi" w:cstheme="minorHAnsi"/>
                <w:b/>
                <w:color w:val="244061" w:themeColor="accent1" w:themeShade="80"/>
                <w:sz w:val="32"/>
                <w:szCs w:val="32"/>
              </w:rPr>
            </w:pPr>
            <w:r w:rsidRPr="001C3EDC">
              <w:rPr>
                <w:rFonts w:asciiTheme="minorHAnsi" w:hAnsiTheme="minorHAnsi" w:cstheme="minorHAnsi"/>
                <w:b/>
                <w:color w:val="365F91" w:themeColor="accent1" w:themeShade="BF"/>
                <w:sz w:val="32"/>
                <w:szCs w:val="32"/>
              </w:rPr>
              <w:t>(Project number P160511)</w:t>
            </w:r>
          </w:p>
        </w:tc>
      </w:tr>
      <w:tr w:rsidR="00702B7C" w:rsidRPr="001C3EDC" w14:paraId="2355E635" w14:textId="77777777" w:rsidTr="00702B7C">
        <w:trPr>
          <w:trHeight w:val="838"/>
        </w:trPr>
        <w:tc>
          <w:tcPr>
            <w:cnfStyle w:val="000010000000" w:firstRow="0" w:lastRow="0" w:firstColumn="0" w:lastColumn="0" w:oddVBand="1" w:evenVBand="0" w:oddHBand="0" w:evenHBand="0" w:firstRowFirstColumn="0" w:firstRowLastColumn="0" w:lastRowFirstColumn="0" w:lastRowLastColumn="0"/>
            <w:tcW w:w="4508" w:type="dxa"/>
            <w:tcBorders>
              <w:top w:val="single" w:sz="4" w:space="0" w:color="000000" w:themeColor="text1"/>
              <w:left w:val="single" w:sz="4" w:space="0" w:color="auto"/>
            </w:tcBorders>
          </w:tcPr>
          <w:p w14:paraId="0C7AF08E" w14:textId="77777777" w:rsidR="00702B7C" w:rsidRPr="001C3EDC" w:rsidRDefault="00702B7C" w:rsidP="008E0DFF">
            <w:pPr>
              <w:tabs>
                <w:tab w:val="right" w:pos="4230"/>
              </w:tabs>
              <w:spacing w:after="120" w:line="276" w:lineRule="auto"/>
              <w:jc w:val="right"/>
              <w:rPr>
                <w:rFonts w:asciiTheme="minorHAnsi" w:eastAsia="Times New Roman" w:hAnsiTheme="minorHAnsi" w:cstheme="minorHAnsi"/>
                <w:sz w:val="22"/>
                <w:lang w:eastAsia="da-DK"/>
              </w:rPr>
            </w:pPr>
            <w:r w:rsidRPr="001C3EDC">
              <w:rPr>
                <w:rFonts w:asciiTheme="minorHAnsi" w:eastAsia="Times New Roman" w:hAnsiTheme="minorHAnsi" w:cstheme="minorHAnsi"/>
                <w:sz w:val="22"/>
                <w:lang w:eastAsia="da-DK"/>
              </w:rPr>
              <w:t>Country Manager:</w:t>
            </w:r>
          </w:p>
          <w:p w14:paraId="636B2B6F" w14:textId="77777777" w:rsidR="00702B7C" w:rsidRPr="001C3EDC" w:rsidRDefault="00702B7C" w:rsidP="008E0DFF">
            <w:pPr>
              <w:tabs>
                <w:tab w:val="right" w:pos="4230"/>
              </w:tabs>
              <w:spacing w:after="120" w:line="276" w:lineRule="auto"/>
              <w:jc w:val="right"/>
              <w:rPr>
                <w:rFonts w:asciiTheme="minorHAnsi" w:eastAsia="Times New Roman" w:hAnsiTheme="minorHAnsi" w:cstheme="minorHAnsi"/>
                <w:sz w:val="22"/>
                <w:lang w:eastAsia="da-DK"/>
              </w:rPr>
            </w:pPr>
            <w:r w:rsidRPr="001C3EDC">
              <w:rPr>
                <w:rFonts w:asciiTheme="minorHAnsi" w:eastAsia="Times New Roman" w:hAnsiTheme="minorHAnsi" w:cstheme="minorHAnsi"/>
                <w:sz w:val="22"/>
                <w:lang w:eastAsia="da-DK"/>
              </w:rPr>
              <w:t>Practice Manager:</w:t>
            </w:r>
          </w:p>
          <w:p w14:paraId="216E35D7" w14:textId="77777777" w:rsidR="00702B7C" w:rsidRPr="001C3EDC" w:rsidRDefault="00702B7C" w:rsidP="008E0DFF">
            <w:pPr>
              <w:tabs>
                <w:tab w:val="right" w:pos="4230"/>
              </w:tabs>
              <w:spacing w:after="120" w:line="276" w:lineRule="auto"/>
              <w:jc w:val="right"/>
              <w:rPr>
                <w:rFonts w:asciiTheme="minorHAnsi" w:eastAsia="Times New Roman" w:hAnsiTheme="minorHAnsi" w:cstheme="minorHAnsi"/>
                <w:sz w:val="22"/>
                <w:lang w:eastAsia="da-DK"/>
              </w:rPr>
            </w:pPr>
            <w:r w:rsidRPr="001C3EDC">
              <w:rPr>
                <w:rFonts w:asciiTheme="minorHAnsi" w:eastAsia="Times New Roman" w:hAnsiTheme="minorHAnsi" w:cstheme="minorHAnsi"/>
                <w:sz w:val="22"/>
                <w:lang w:eastAsia="da-DK"/>
              </w:rPr>
              <w:t>(Co-)Task Team Leaders:</w:t>
            </w:r>
          </w:p>
          <w:p w14:paraId="1C143DE4" w14:textId="77777777" w:rsidR="00702B7C" w:rsidRPr="001C3EDC" w:rsidRDefault="00702B7C" w:rsidP="008E0DFF">
            <w:pPr>
              <w:tabs>
                <w:tab w:val="right" w:pos="4230"/>
              </w:tabs>
              <w:spacing w:after="120" w:line="276" w:lineRule="auto"/>
              <w:jc w:val="right"/>
              <w:rPr>
                <w:rFonts w:asciiTheme="minorHAnsi" w:eastAsia="Times New Roman" w:hAnsiTheme="minorHAnsi" w:cstheme="minorHAnsi"/>
                <w:sz w:val="22"/>
                <w:lang w:eastAsia="da-DK"/>
              </w:rPr>
            </w:pPr>
            <w:r w:rsidRPr="001C3EDC">
              <w:rPr>
                <w:rFonts w:asciiTheme="minorHAnsi" w:eastAsia="Times New Roman" w:hAnsiTheme="minorHAnsi" w:cstheme="minorHAnsi"/>
                <w:sz w:val="22"/>
                <w:lang w:eastAsia="da-DK"/>
              </w:rPr>
              <w:t>Project Coordinator:</w:t>
            </w:r>
          </w:p>
        </w:tc>
        <w:tc>
          <w:tcPr>
            <w:tcW w:w="4508" w:type="dxa"/>
            <w:tcBorders>
              <w:top w:val="single" w:sz="4" w:space="0" w:color="000000" w:themeColor="text1"/>
            </w:tcBorders>
          </w:tcPr>
          <w:p w14:paraId="4F9723ED" w14:textId="77777777" w:rsidR="00702B7C" w:rsidRPr="001C3EDC" w:rsidRDefault="00702B7C" w:rsidP="008E0DFF">
            <w:pPr>
              <w:tabs>
                <w:tab w:val="right" w:pos="4230"/>
              </w:tabs>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da-DK"/>
              </w:rPr>
            </w:pPr>
            <w:r w:rsidRPr="001C3EDC">
              <w:rPr>
                <w:rFonts w:asciiTheme="minorHAnsi" w:eastAsia="Times New Roman" w:hAnsiTheme="minorHAnsi" w:cstheme="minorHAnsi"/>
                <w:sz w:val="22"/>
                <w:lang w:eastAsia="da-DK"/>
              </w:rPr>
              <w:t xml:space="preserve">Antony Thompson </w:t>
            </w:r>
          </w:p>
          <w:p w14:paraId="744A1B9A" w14:textId="0CBC9FE9" w:rsidR="00702B7C" w:rsidRPr="001C3EDC" w:rsidRDefault="00702B7C" w:rsidP="008E0DFF">
            <w:pPr>
              <w:tabs>
                <w:tab w:val="right" w:pos="4230"/>
              </w:tabs>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da-DK"/>
              </w:rPr>
            </w:pPr>
            <w:r w:rsidRPr="001C3EDC">
              <w:rPr>
                <w:rFonts w:asciiTheme="minorHAnsi" w:eastAsia="Times New Roman" w:hAnsiTheme="minorHAnsi" w:cstheme="minorHAnsi"/>
                <w:sz w:val="22"/>
                <w:lang w:eastAsia="da-DK"/>
              </w:rPr>
              <w:t>Ruxandra Maria Floroiu</w:t>
            </w:r>
            <w:r w:rsidR="00817D5C" w:rsidRPr="001C3EDC">
              <w:rPr>
                <w:rFonts w:asciiTheme="minorHAnsi" w:eastAsia="Times New Roman" w:hAnsiTheme="minorHAnsi" w:cstheme="minorHAnsi"/>
                <w:sz w:val="22"/>
                <w:lang w:eastAsia="da-DK"/>
              </w:rPr>
              <w:t xml:space="preserve"> (acting)</w:t>
            </w:r>
          </w:p>
          <w:p w14:paraId="5A11E159" w14:textId="77777777" w:rsidR="00702B7C" w:rsidRPr="001C3EDC" w:rsidRDefault="00702B7C" w:rsidP="008E0DFF">
            <w:pPr>
              <w:tabs>
                <w:tab w:val="right" w:pos="4230"/>
              </w:tabs>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da-DK"/>
              </w:rPr>
            </w:pPr>
            <w:r w:rsidRPr="001C3EDC">
              <w:rPr>
                <w:rFonts w:asciiTheme="minorHAnsi" w:eastAsia="Times New Roman" w:hAnsiTheme="minorHAnsi" w:cstheme="minorHAnsi"/>
                <w:sz w:val="22"/>
                <w:lang w:eastAsia="da-DK"/>
              </w:rPr>
              <w:t xml:space="preserve">Philippe Ambrosi, </w:t>
            </w:r>
            <w:r w:rsidRPr="00166A66">
              <w:rPr>
                <w:rFonts w:asciiTheme="minorHAnsi" w:eastAsia="Times New Roman" w:hAnsiTheme="minorHAnsi" w:cstheme="minorHAnsi"/>
                <w:sz w:val="22"/>
                <w:lang w:eastAsia="da-DK"/>
              </w:rPr>
              <w:t>Eolina Petrova Milova</w:t>
            </w:r>
          </w:p>
          <w:p w14:paraId="7AFEFDA7" w14:textId="77777777" w:rsidR="00702B7C" w:rsidRPr="001C3EDC" w:rsidRDefault="00702B7C" w:rsidP="008E0DFF">
            <w:pPr>
              <w:tabs>
                <w:tab w:val="right" w:pos="4230"/>
              </w:tabs>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da-DK"/>
              </w:rPr>
            </w:pPr>
            <w:r w:rsidRPr="001C3EDC">
              <w:rPr>
                <w:rFonts w:asciiTheme="minorHAnsi" w:eastAsia="Times New Roman" w:hAnsiTheme="minorHAnsi" w:cstheme="minorHAnsi"/>
                <w:sz w:val="22"/>
                <w:lang w:eastAsia="da-DK"/>
              </w:rPr>
              <w:t>Robert Bakx</w:t>
            </w:r>
          </w:p>
        </w:tc>
      </w:tr>
    </w:tbl>
    <w:p w14:paraId="11A8E63D" w14:textId="23481FA9" w:rsidR="006934CC" w:rsidRPr="001C3EDC" w:rsidRDefault="006934CC" w:rsidP="00F734AE">
      <w:pPr>
        <w:spacing w:line="276" w:lineRule="auto"/>
      </w:pPr>
    </w:p>
    <w:p w14:paraId="4DBC9E6E" w14:textId="77777777" w:rsidR="008F359F" w:rsidRDefault="008F359F" w:rsidP="00F734AE">
      <w:pPr>
        <w:spacing w:line="276" w:lineRule="auto"/>
        <w:rPr>
          <w:sz w:val="20"/>
          <w:szCs w:val="20"/>
        </w:rPr>
      </w:pPr>
    </w:p>
    <w:p w14:paraId="7A522319" w14:textId="77777777" w:rsidR="008F359F" w:rsidRDefault="008F359F" w:rsidP="00F734AE">
      <w:pPr>
        <w:spacing w:line="276" w:lineRule="auto"/>
        <w:rPr>
          <w:sz w:val="20"/>
          <w:szCs w:val="20"/>
        </w:rPr>
      </w:pPr>
    </w:p>
    <w:p w14:paraId="3959EEFE" w14:textId="77777777" w:rsidR="008F359F" w:rsidRDefault="008F359F" w:rsidP="00F734AE">
      <w:pPr>
        <w:spacing w:line="276" w:lineRule="auto"/>
        <w:rPr>
          <w:sz w:val="20"/>
          <w:szCs w:val="20"/>
        </w:rPr>
      </w:pPr>
    </w:p>
    <w:p w14:paraId="07E63DFF" w14:textId="77777777" w:rsidR="008F359F" w:rsidRDefault="008F359F" w:rsidP="00F734AE">
      <w:pPr>
        <w:spacing w:line="276" w:lineRule="auto"/>
        <w:rPr>
          <w:sz w:val="20"/>
          <w:szCs w:val="20"/>
        </w:rPr>
      </w:pPr>
    </w:p>
    <w:p w14:paraId="3F8AD525" w14:textId="77777777" w:rsidR="008F359F" w:rsidRDefault="008F359F" w:rsidP="00F734AE">
      <w:pPr>
        <w:spacing w:line="276" w:lineRule="auto"/>
        <w:rPr>
          <w:sz w:val="20"/>
          <w:szCs w:val="20"/>
        </w:rPr>
      </w:pPr>
    </w:p>
    <w:p w14:paraId="782C3F2A" w14:textId="77777777" w:rsidR="008F359F" w:rsidRDefault="008F359F" w:rsidP="00F734AE">
      <w:pPr>
        <w:spacing w:line="276" w:lineRule="auto"/>
        <w:rPr>
          <w:sz w:val="20"/>
          <w:szCs w:val="20"/>
        </w:rPr>
      </w:pPr>
    </w:p>
    <w:p w14:paraId="52DCA98D" w14:textId="77777777" w:rsidR="008F359F" w:rsidRDefault="008F359F" w:rsidP="00F734AE">
      <w:pPr>
        <w:spacing w:line="276" w:lineRule="auto"/>
        <w:rPr>
          <w:sz w:val="20"/>
          <w:szCs w:val="20"/>
        </w:rPr>
      </w:pPr>
    </w:p>
    <w:p w14:paraId="0F6A461A" w14:textId="77777777" w:rsidR="008F359F" w:rsidRDefault="008F359F" w:rsidP="00F734AE">
      <w:pPr>
        <w:spacing w:line="276" w:lineRule="auto"/>
        <w:rPr>
          <w:sz w:val="20"/>
          <w:szCs w:val="20"/>
        </w:rPr>
      </w:pPr>
    </w:p>
    <w:p w14:paraId="31A414DF" w14:textId="77777777" w:rsidR="008F359F" w:rsidRDefault="008F359F" w:rsidP="00F734AE">
      <w:pPr>
        <w:spacing w:line="276" w:lineRule="auto"/>
        <w:rPr>
          <w:sz w:val="20"/>
          <w:szCs w:val="20"/>
        </w:rPr>
      </w:pPr>
    </w:p>
    <w:p w14:paraId="61166B97" w14:textId="77777777" w:rsidR="008F359F" w:rsidRDefault="008F359F" w:rsidP="00F734AE">
      <w:pPr>
        <w:spacing w:line="276" w:lineRule="auto"/>
        <w:rPr>
          <w:sz w:val="20"/>
          <w:szCs w:val="20"/>
        </w:rPr>
      </w:pPr>
    </w:p>
    <w:p w14:paraId="5B12AD0E" w14:textId="356CB9A0" w:rsidR="008F359F" w:rsidRDefault="008F359F" w:rsidP="00F734AE">
      <w:pPr>
        <w:spacing w:line="276" w:lineRule="auto"/>
        <w:rPr>
          <w:sz w:val="20"/>
          <w:szCs w:val="20"/>
        </w:rPr>
      </w:pPr>
    </w:p>
    <w:p w14:paraId="271A0A8A" w14:textId="528A1378" w:rsidR="00A44D4A" w:rsidRDefault="00A44D4A" w:rsidP="00F734AE">
      <w:pPr>
        <w:spacing w:line="276" w:lineRule="auto"/>
        <w:rPr>
          <w:sz w:val="20"/>
          <w:szCs w:val="20"/>
        </w:rPr>
      </w:pPr>
    </w:p>
    <w:p w14:paraId="073F0BDA" w14:textId="57EB2564" w:rsidR="00A44D4A" w:rsidRDefault="00A44D4A" w:rsidP="00F734AE">
      <w:pPr>
        <w:spacing w:line="276" w:lineRule="auto"/>
        <w:rPr>
          <w:sz w:val="20"/>
          <w:szCs w:val="20"/>
        </w:rPr>
      </w:pPr>
    </w:p>
    <w:p w14:paraId="0706C819" w14:textId="77777777" w:rsidR="008F359F" w:rsidRDefault="008F359F" w:rsidP="00F734AE">
      <w:pPr>
        <w:spacing w:line="276" w:lineRule="auto"/>
        <w:rPr>
          <w:sz w:val="20"/>
          <w:szCs w:val="20"/>
        </w:rPr>
      </w:pPr>
    </w:p>
    <w:p w14:paraId="21A9131A" w14:textId="77777777" w:rsidR="008F359F" w:rsidRDefault="008F359F" w:rsidP="00F734AE">
      <w:pPr>
        <w:spacing w:line="276" w:lineRule="auto"/>
        <w:rPr>
          <w:sz w:val="20"/>
          <w:szCs w:val="20"/>
        </w:rPr>
      </w:pPr>
    </w:p>
    <w:p w14:paraId="0608B00D" w14:textId="0FA5A4DA" w:rsidR="00F734AE" w:rsidRPr="001C3EDC" w:rsidRDefault="00F734AE" w:rsidP="00F734AE">
      <w:pPr>
        <w:spacing w:line="276" w:lineRule="auto"/>
        <w:rPr>
          <w:sz w:val="20"/>
          <w:szCs w:val="20"/>
        </w:rPr>
      </w:pPr>
      <w:r w:rsidRPr="001C3EDC">
        <w:rPr>
          <w:sz w:val="20"/>
          <w:szCs w:val="20"/>
        </w:rPr>
        <w:t xml:space="preserve">This report was produced by </w:t>
      </w:r>
      <w:r w:rsidR="00E96796" w:rsidRPr="001C3EDC">
        <w:rPr>
          <w:sz w:val="20"/>
          <w:szCs w:val="20"/>
        </w:rPr>
        <w:t>Sebnem Sahin</w:t>
      </w:r>
      <w:r w:rsidR="00AD7047" w:rsidRPr="001C3EDC">
        <w:rPr>
          <w:sz w:val="20"/>
          <w:szCs w:val="20"/>
        </w:rPr>
        <w:t xml:space="preserve"> and</w:t>
      </w:r>
      <w:r w:rsidR="00442CBB" w:rsidRPr="001C3EDC">
        <w:rPr>
          <w:sz w:val="20"/>
          <w:szCs w:val="20"/>
        </w:rPr>
        <w:t xml:space="preserve"> Badri Narayanang, </w:t>
      </w:r>
      <w:r w:rsidRPr="001C3EDC">
        <w:rPr>
          <w:sz w:val="20"/>
          <w:szCs w:val="20"/>
        </w:rPr>
        <w:t xml:space="preserve">under the overall guidance of Philippe Ambrosi (Senior Environmental Economist, </w:t>
      </w:r>
      <w:r w:rsidR="00817D5C" w:rsidRPr="001C3EDC">
        <w:rPr>
          <w:sz w:val="20"/>
          <w:szCs w:val="20"/>
        </w:rPr>
        <w:t>Co-</w:t>
      </w:r>
      <w:r w:rsidRPr="001C3EDC">
        <w:rPr>
          <w:sz w:val="20"/>
          <w:szCs w:val="20"/>
        </w:rPr>
        <w:t xml:space="preserve">Task Team Leader), Eolina Petrova Milova (Senior Operations Officer, Co-Task Team Leader), </w:t>
      </w:r>
      <w:r w:rsidR="00744A45" w:rsidRPr="001C3EDC">
        <w:rPr>
          <w:sz w:val="20"/>
          <w:szCs w:val="20"/>
        </w:rPr>
        <w:t xml:space="preserve">and </w:t>
      </w:r>
      <w:r w:rsidRPr="001C3EDC">
        <w:rPr>
          <w:sz w:val="20"/>
          <w:szCs w:val="20"/>
        </w:rPr>
        <w:t>Robert Bakx (Climate Change Adaptation Expert and</w:t>
      </w:r>
      <w:r w:rsidR="00E96796" w:rsidRPr="001C3EDC">
        <w:rPr>
          <w:sz w:val="20"/>
          <w:szCs w:val="20"/>
        </w:rPr>
        <w:t xml:space="preserve"> Resident Project Coordinator)</w:t>
      </w:r>
      <w:r w:rsidR="0053193A">
        <w:rPr>
          <w:sz w:val="20"/>
          <w:szCs w:val="20"/>
          <w:lang w:val="bg-BG"/>
        </w:rPr>
        <w:t xml:space="preserve">, </w:t>
      </w:r>
      <w:r w:rsidR="0053193A">
        <w:rPr>
          <w:sz w:val="20"/>
          <w:szCs w:val="20"/>
        </w:rPr>
        <w:t>supported by Dimitar Nachev and Adelina Dotzinska (Team Assista</w:t>
      </w:r>
      <w:r w:rsidR="00166A66">
        <w:rPr>
          <w:sz w:val="20"/>
          <w:szCs w:val="20"/>
        </w:rPr>
        <w:t>n</w:t>
      </w:r>
      <w:r w:rsidR="0053193A">
        <w:rPr>
          <w:sz w:val="20"/>
          <w:szCs w:val="20"/>
        </w:rPr>
        <w:t>ts)</w:t>
      </w:r>
      <w:r w:rsidR="00E96796" w:rsidRPr="001C3EDC">
        <w:rPr>
          <w:sz w:val="20"/>
          <w:szCs w:val="20"/>
        </w:rPr>
        <w:t>.</w:t>
      </w:r>
      <w:r w:rsidR="00AD7047" w:rsidRPr="001C3EDC">
        <w:rPr>
          <w:sz w:val="20"/>
          <w:szCs w:val="20"/>
        </w:rPr>
        <w:t xml:space="preserve"> The authors would like to also acknowledge the contribution from Zekarias Hussein.</w:t>
      </w:r>
    </w:p>
    <w:p w14:paraId="79F6D8C9" w14:textId="77777777" w:rsidR="00A64BBB" w:rsidRPr="001C3EDC" w:rsidRDefault="00A64BBB" w:rsidP="00A44D4A">
      <w:pPr>
        <w:spacing w:before="240" w:line="240" w:lineRule="auto"/>
        <w:jc w:val="center"/>
        <w:rPr>
          <w:rFonts w:ascii="Calibri" w:eastAsiaTheme="majorEastAsia" w:hAnsi="Calibri" w:cstheme="majorBidi"/>
          <w:b/>
          <w:color w:val="365F91" w:themeColor="accent1" w:themeShade="BF"/>
          <w:sz w:val="32"/>
          <w:szCs w:val="32"/>
        </w:rPr>
      </w:pPr>
      <w:bookmarkStart w:id="0" w:name="_GoBack"/>
      <w:bookmarkEnd w:id="0"/>
      <w:r w:rsidRPr="001C3EDC">
        <w:rPr>
          <w:rFonts w:ascii="Calibri" w:eastAsiaTheme="majorEastAsia" w:hAnsi="Calibri" w:cstheme="majorBidi"/>
          <w:b/>
          <w:color w:val="365F91" w:themeColor="accent1" w:themeShade="BF"/>
          <w:sz w:val="32"/>
          <w:szCs w:val="32"/>
        </w:rPr>
        <w:t>ACKNOWLEDGEMENTS</w:t>
      </w:r>
    </w:p>
    <w:p w14:paraId="0DE79367" w14:textId="0136362A" w:rsidR="00A64BBB" w:rsidRPr="001C3EDC" w:rsidRDefault="00F734AE" w:rsidP="00156BEE">
      <w:pPr>
        <w:spacing w:line="276" w:lineRule="auto"/>
        <w:rPr>
          <w:sz w:val="20"/>
          <w:szCs w:val="20"/>
        </w:rPr>
      </w:pPr>
      <w:r w:rsidRPr="001C3EDC">
        <w:rPr>
          <w:sz w:val="20"/>
          <w:szCs w:val="20"/>
        </w:rPr>
        <w:t>The team would also like to thank the Government of Bulgaria, in particular Ms. Atanaska Nikolova (Deputy Minister of Environment</w:t>
      </w:r>
      <w:r w:rsidR="008E0DFF">
        <w:rPr>
          <w:sz w:val="20"/>
          <w:szCs w:val="20"/>
        </w:rPr>
        <w:t xml:space="preserve"> and Water</w:t>
      </w:r>
      <w:r w:rsidRPr="001C3EDC">
        <w:rPr>
          <w:sz w:val="20"/>
          <w:szCs w:val="20"/>
        </w:rPr>
        <w:t>), Ms. Boriana Kamenova (Director of the M</w:t>
      </w:r>
      <w:r w:rsidR="00442CBB" w:rsidRPr="001C3EDC">
        <w:rPr>
          <w:sz w:val="20"/>
          <w:szCs w:val="20"/>
        </w:rPr>
        <w:t>o</w:t>
      </w:r>
      <w:r w:rsidRPr="001C3EDC">
        <w:rPr>
          <w:sz w:val="20"/>
          <w:szCs w:val="20"/>
        </w:rPr>
        <w:t>EW’s Climate Change Policy Directorate)</w:t>
      </w:r>
      <w:r w:rsidR="00FA228B" w:rsidRPr="001C3EDC">
        <w:rPr>
          <w:sz w:val="20"/>
          <w:szCs w:val="20"/>
        </w:rPr>
        <w:t>,</w:t>
      </w:r>
      <w:r w:rsidRPr="001C3EDC">
        <w:rPr>
          <w:sz w:val="20"/>
          <w:szCs w:val="20"/>
        </w:rPr>
        <w:t xml:space="preserve"> Ms. Veronika Dacheva </w:t>
      </w:r>
      <w:r w:rsidR="008E63ED">
        <w:rPr>
          <w:sz w:val="20"/>
          <w:szCs w:val="20"/>
        </w:rPr>
        <w:t xml:space="preserve"> and </w:t>
      </w:r>
      <w:r w:rsidR="00350F07">
        <w:rPr>
          <w:sz w:val="20"/>
          <w:szCs w:val="20"/>
        </w:rPr>
        <w:t xml:space="preserve">Ms. </w:t>
      </w:r>
      <w:r w:rsidR="008E63ED">
        <w:rPr>
          <w:sz w:val="20"/>
          <w:szCs w:val="20"/>
        </w:rPr>
        <w:t xml:space="preserve">Mariya Todorova </w:t>
      </w:r>
      <w:r w:rsidRPr="001C3EDC">
        <w:rPr>
          <w:sz w:val="20"/>
          <w:szCs w:val="20"/>
        </w:rPr>
        <w:t>(Expert</w:t>
      </w:r>
      <w:r w:rsidR="008E63ED">
        <w:rPr>
          <w:sz w:val="20"/>
          <w:szCs w:val="20"/>
        </w:rPr>
        <w:t>s</w:t>
      </w:r>
      <w:r w:rsidRPr="001C3EDC">
        <w:rPr>
          <w:sz w:val="20"/>
          <w:szCs w:val="20"/>
        </w:rPr>
        <w:t xml:space="preserve"> in the M</w:t>
      </w:r>
      <w:r w:rsidR="00442CBB" w:rsidRPr="001C3EDC">
        <w:rPr>
          <w:sz w:val="20"/>
          <w:szCs w:val="20"/>
        </w:rPr>
        <w:t>o</w:t>
      </w:r>
      <w:r w:rsidRPr="001C3EDC">
        <w:rPr>
          <w:sz w:val="20"/>
          <w:szCs w:val="20"/>
        </w:rPr>
        <w:t xml:space="preserve">EW’s Climate Change Policy Directorate), </w:t>
      </w:r>
      <w:r w:rsidR="00E96796" w:rsidRPr="001C3EDC">
        <w:rPr>
          <w:sz w:val="20"/>
          <w:szCs w:val="20"/>
        </w:rPr>
        <w:t xml:space="preserve">Mr. Anton Gladnishki (Director at the Ministry of Finance) and his team, </w:t>
      </w:r>
      <w:r w:rsidRPr="001C3EDC">
        <w:rPr>
          <w:sz w:val="20"/>
          <w:szCs w:val="20"/>
        </w:rPr>
        <w:t xml:space="preserve">and other experts in </w:t>
      </w:r>
      <w:r w:rsidR="00E96796" w:rsidRPr="001C3EDC">
        <w:rPr>
          <w:sz w:val="20"/>
          <w:szCs w:val="20"/>
        </w:rPr>
        <w:t xml:space="preserve">and outside </w:t>
      </w:r>
      <w:r w:rsidRPr="001C3EDC">
        <w:rPr>
          <w:sz w:val="20"/>
          <w:szCs w:val="20"/>
        </w:rPr>
        <w:t>government institutions</w:t>
      </w:r>
      <w:r w:rsidR="00E96796" w:rsidRPr="001C3EDC">
        <w:rPr>
          <w:sz w:val="20"/>
          <w:szCs w:val="20"/>
        </w:rPr>
        <w:t xml:space="preserve"> in Bulgaria </w:t>
      </w:r>
      <w:r w:rsidRPr="001C3EDC">
        <w:rPr>
          <w:sz w:val="20"/>
          <w:szCs w:val="20"/>
        </w:rPr>
        <w:t>for their excellent cooperation and supp</w:t>
      </w:r>
      <w:r w:rsidR="00E96796" w:rsidRPr="001C3EDC">
        <w:rPr>
          <w:sz w:val="20"/>
          <w:szCs w:val="20"/>
        </w:rPr>
        <w:t xml:space="preserve">ort in spoken and written form. </w:t>
      </w:r>
      <w:r w:rsidRPr="001C3EDC">
        <w:rPr>
          <w:sz w:val="20"/>
          <w:szCs w:val="20"/>
        </w:rPr>
        <w:t>The contribution of Antony Thompson (Country Manager) in the preparation and negotiation of the Advisory Program is also acknowledged here.</w:t>
      </w:r>
    </w:p>
    <w:p w14:paraId="780AA796" w14:textId="6F3FB9D6" w:rsidR="00702B7C" w:rsidRPr="001C3EDC" w:rsidRDefault="00702B7C" w:rsidP="005E4694">
      <w:pPr>
        <w:spacing w:after="120" w:line="276" w:lineRule="auto"/>
      </w:pPr>
      <w:r w:rsidRPr="001C3EDC">
        <w:br w:type="page"/>
      </w:r>
      <w:r w:rsidRPr="001C3EDC">
        <w:rPr>
          <w:rFonts w:ascii="Calibri" w:eastAsiaTheme="majorEastAsia" w:hAnsi="Calibri" w:cstheme="majorBidi"/>
          <w:b/>
          <w:color w:val="365F91" w:themeColor="accent1" w:themeShade="BF"/>
          <w:sz w:val="32"/>
          <w:szCs w:val="32"/>
        </w:rPr>
        <w:lastRenderedPageBreak/>
        <w:t>Table of Contents</w:t>
      </w:r>
    </w:p>
    <w:p w14:paraId="0324BC47" w14:textId="375EF778" w:rsidR="001E37D1" w:rsidRPr="001E37D1" w:rsidRDefault="00603E67">
      <w:pPr>
        <w:pStyle w:val="TOC1"/>
        <w:tabs>
          <w:tab w:val="right" w:leader="dot" w:pos="9074"/>
        </w:tabs>
        <w:rPr>
          <w:rFonts w:ascii="Times New Roman" w:hAnsi="Times New Roman"/>
          <w:noProof/>
          <w:szCs w:val="22"/>
          <w:lang w:eastAsia="en-US"/>
        </w:rPr>
      </w:pPr>
      <w:r w:rsidRPr="001E37D1">
        <w:rPr>
          <w:rFonts w:ascii="Times New Roman" w:hAnsi="Times New Roman"/>
          <w:szCs w:val="22"/>
        </w:rPr>
        <w:fldChar w:fldCharType="begin"/>
      </w:r>
      <w:r w:rsidRPr="001E37D1">
        <w:rPr>
          <w:rFonts w:ascii="Times New Roman" w:hAnsi="Times New Roman"/>
          <w:szCs w:val="22"/>
        </w:rPr>
        <w:instrText xml:space="preserve"> TOC \o "1-3" \h \z \u </w:instrText>
      </w:r>
      <w:r w:rsidRPr="001E37D1">
        <w:rPr>
          <w:rFonts w:ascii="Times New Roman" w:hAnsi="Times New Roman"/>
          <w:szCs w:val="22"/>
        </w:rPr>
        <w:fldChar w:fldCharType="separate"/>
      </w:r>
      <w:hyperlink w:anchor="_Toc522036451" w:history="1">
        <w:r w:rsidR="001E37D1" w:rsidRPr="001E37D1">
          <w:rPr>
            <w:rStyle w:val="Hyperlink"/>
            <w:noProof/>
            <w:sz w:val="22"/>
            <w:szCs w:val="22"/>
          </w:rPr>
          <w:t>Abbreviations and Acronyms</w:t>
        </w:r>
        <w:r w:rsidR="001E37D1" w:rsidRPr="001E37D1">
          <w:rPr>
            <w:rFonts w:ascii="Times New Roman" w:hAnsi="Times New Roman"/>
            <w:noProof/>
            <w:webHidden/>
            <w:szCs w:val="22"/>
          </w:rPr>
          <w:tab/>
        </w:r>
        <w:r w:rsidR="001E37D1" w:rsidRPr="001E37D1">
          <w:rPr>
            <w:rFonts w:ascii="Times New Roman" w:hAnsi="Times New Roman"/>
            <w:noProof/>
            <w:webHidden/>
            <w:szCs w:val="22"/>
          </w:rPr>
          <w:fldChar w:fldCharType="begin"/>
        </w:r>
        <w:r w:rsidR="001E37D1" w:rsidRPr="001E37D1">
          <w:rPr>
            <w:rFonts w:ascii="Times New Roman" w:hAnsi="Times New Roman"/>
            <w:noProof/>
            <w:webHidden/>
            <w:szCs w:val="22"/>
          </w:rPr>
          <w:instrText xml:space="preserve"> PAGEREF _Toc522036451 \h </w:instrText>
        </w:r>
        <w:r w:rsidR="001E37D1" w:rsidRPr="001E37D1">
          <w:rPr>
            <w:rFonts w:ascii="Times New Roman" w:hAnsi="Times New Roman"/>
            <w:noProof/>
            <w:webHidden/>
            <w:szCs w:val="22"/>
          </w:rPr>
        </w:r>
        <w:r w:rsidR="001E37D1" w:rsidRPr="001E37D1">
          <w:rPr>
            <w:rFonts w:ascii="Times New Roman" w:hAnsi="Times New Roman"/>
            <w:noProof/>
            <w:webHidden/>
            <w:szCs w:val="22"/>
          </w:rPr>
          <w:fldChar w:fldCharType="separate"/>
        </w:r>
        <w:r w:rsidR="001E37D1" w:rsidRPr="001E37D1">
          <w:rPr>
            <w:rFonts w:ascii="Times New Roman" w:hAnsi="Times New Roman"/>
            <w:noProof/>
            <w:webHidden/>
            <w:szCs w:val="22"/>
          </w:rPr>
          <w:t>v</w:t>
        </w:r>
        <w:r w:rsidR="001E37D1" w:rsidRPr="001E37D1">
          <w:rPr>
            <w:rFonts w:ascii="Times New Roman" w:hAnsi="Times New Roman"/>
            <w:noProof/>
            <w:webHidden/>
            <w:szCs w:val="22"/>
          </w:rPr>
          <w:fldChar w:fldCharType="end"/>
        </w:r>
      </w:hyperlink>
    </w:p>
    <w:p w14:paraId="3357AD59" w14:textId="1E574C29" w:rsidR="001E37D1" w:rsidRPr="001E37D1" w:rsidRDefault="00460389">
      <w:pPr>
        <w:pStyle w:val="TOC1"/>
        <w:tabs>
          <w:tab w:val="left" w:pos="475"/>
          <w:tab w:val="right" w:leader="dot" w:pos="9074"/>
        </w:tabs>
        <w:rPr>
          <w:rFonts w:ascii="Times New Roman" w:hAnsi="Times New Roman"/>
          <w:noProof/>
          <w:szCs w:val="22"/>
          <w:lang w:eastAsia="en-US"/>
        </w:rPr>
      </w:pPr>
      <w:hyperlink w:anchor="_Toc522036452" w:history="1">
        <w:r w:rsidR="001E37D1" w:rsidRPr="001E37D1">
          <w:rPr>
            <w:rStyle w:val="Hyperlink"/>
            <w:noProof/>
            <w:sz w:val="22"/>
            <w:szCs w:val="22"/>
          </w:rPr>
          <w:t xml:space="preserve">1. </w:t>
        </w:r>
        <w:r w:rsidR="001E37D1" w:rsidRPr="001E37D1">
          <w:rPr>
            <w:rFonts w:ascii="Times New Roman" w:hAnsi="Times New Roman"/>
            <w:noProof/>
            <w:szCs w:val="22"/>
            <w:lang w:eastAsia="en-US"/>
          </w:rPr>
          <w:tab/>
        </w:r>
        <w:r w:rsidR="001E37D1" w:rsidRPr="001E37D1">
          <w:rPr>
            <w:rStyle w:val="Hyperlink"/>
            <w:noProof/>
            <w:sz w:val="22"/>
            <w:szCs w:val="22"/>
          </w:rPr>
          <w:t>Introduction</w:t>
        </w:r>
        <w:r w:rsidR="001E37D1" w:rsidRPr="001E37D1">
          <w:rPr>
            <w:rFonts w:ascii="Times New Roman" w:hAnsi="Times New Roman"/>
            <w:noProof/>
            <w:webHidden/>
            <w:szCs w:val="22"/>
          </w:rPr>
          <w:tab/>
        </w:r>
        <w:r w:rsidR="001E37D1" w:rsidRPr="001E37D1">
          <w:rPr>
            <w:rFonts w:ascii="Times New Roman" w:hAnsi="Times New Roman"/>
            <w:noProof/>
            <w:webHidden/>
            <w:szCs w:val="22"/>
          </w:rPr>
          <w:fldChar w:fldCharType="begin"/>
        </w:r>
        <w:r w:rsidR="001E37D1" w:rsidRPr="001E37D1">
          <w:rPr>
            <w:rFonts w:ascii="Times New Roman" w:hAnsi="Times New Roman"/>
            <w:noProof/>
            <w:webHidden/>
            <w:szCs w:val="22"/>
          </w:rPr>
          <w:instrText xml:space="preserve"> PAGEREF _Toc522036452 \h </w:instrText>
        </w:r>
        <w:r w:rsidR="001E37D1" w:rsidRPr="001E37D1">
          <w:rPr>
            <w:rFonts w:ascii="Times New Roman" w:hAnsi="Times New Roman"/>
            <w:noProof/>
            <w:webHidden/>
            <w:szCs w:val="22"/>
          </w:rPr>
        </w:r>
        <w:r w:rsidR="001E37D1" w:rsidRPr="001E37D1">
          <w:rPr>
            <w:rFonts w:ascii="Times New Roman" w:hAnsi="Times New Roman"/>
            <w:noProof/>
            <w:webHidden/>
            <w:szCs w:val="22"/>
          </w:rPr>
          <w:fldChar w:fldCharType="separate"/>
        </w:r>
        <w:r w:rsidR="001E37D1" w:rsidRPr="001E37D1">
          <w:rPr>
            <w:rFonts w:ascii="Times New Roman" w:hAnsi="Times New Roman"/>
            <w:noProof/>
            <w:webHidden/>
            <w:szCs w:val="22"/>
          </w:rPr>
          <w:t>1</w:t>
        </w:r>
        <w:r w:rsidR="001E37D1" w:rsidRPr="001E37D1">
          <w:rPr>
            <w:rFonts w:ascii="Times New Roman" w:hAnsi="Times New Roman"/>
            <w:noProof/>
            <w:webHidden/>
            <w:szCs w:val="22"/>
          </w:rPr>
          <w:fldChar w:fldCharType="end"/>
        </w:r>
      </w:hyperlink>
    </w:p>
    <w:p w14:paraId="45A1FE59" w14:textId="31571CD0" w:rsidR="001E37D1" w:rsidRPr="001E37D1" w:rsidRDefault="00460389">
      <w:pPr>
        <w:pStyle w:val="TOC1"/>
        <w:tabs>
          <w:tab w:val="left" w:pos="475"/>
          <w:tab w:val="right" w:leader="dot" w:pos="9074"/>
        </w:tabs>
        <w:rPr>
          <w:rFonts w:ascii="Times New Roman" w:hAnsi="Times New Roman"/>
          <w:noProof/>
          <w:szCs w:val="22"/>
          <w:lang w:eastAsia="en-US"/>
        </w:rPr>
      </w:pPr>
      <w:hyperlink w:anchor="_Toc522036453" w:history="1">
        <w:r w:rsidR="001E37D1" w:rsidRPr="001E37D1">
          <w:rPr>
            <w:rStyle w:val="Hyperlink"/>
            <w:noProof/>
            <w:sz w:val="22"/>
            <w:szCs w:val="22"/>
          </w:rPr>
          <w:t xml:space="preserve">2. </w:t>
        </w:r>
        <w:r w:rsidR="001E37D1" w:rsidRPr="001E37D1">
          <w:rPr>
            <w:rFonts w:ascii="Times New Roman" w:hAnsi="Times New Roman"/>
            <w:noProof/>
            <w:szCs w:val="22"/>
            <w:lang w:eastAsia="en-US"/>
          </w:rPr>
          <w:tab/>
        </w:r>
        <w:r w:rsidR="001E37D1" w:rsidRPr="001E37D1">
          <w:rPr>
            <w:rStyle w:val="Hyperlink"/>
            <w:noProof/>
            <w:sz w:val="22"/>
            <w:szCs w:val="22"/>
          </w:rPr>
          <w:t>Bulgaria CGE: An Analytical Overview</w:t>
        </w:r>
        <w:r w:rsidR="001E37D1" w:rsidRPr="001E37D1">
          <w:rPr>
            <w:rFonts w:ascii="Times New Roman" w:hAnsi="Times New Roman"/>
            <w:noProof/>
            <w:webHidden/>
            <w:szCs w:val="22"/>
          </w:rPr>
          <w:tab/>
        </w:r>
        <w:r w:rsidR="001E37D1" w:rsidRPr="001E37D1">
          <w:rPr>
            <w:rFonts w:ascii="Times New Roman" w:hAnsi="Times New Roman"/>
            <w:noProof/>
            <w:webHidden/>
            <w:szCs w:val="22"/>
          </w:rPr>
          <w:fldChar w:fldCharType="begin"/>
        </w:r>
        <w:r w:rsidR="001E37D1" w:rsidRPr="001E37D1">
          <w:rPr>
            <w:rFonts w:ascii="Times New Roman" w:hAnsi="Times New Roman"/>
            <w:noProof/>
            <w:webHidden/>
            <w:szCs w:val="22"/>
          </w:rPr>
          <w:instrText xml:space="preserve"> PAGEREF _Toc522036453 \h </w:instrText>
        </w:r>
        <w:r w:rsidR="001E37D1" w:rsidRPr="001E37D1">
          <w:rPr>
            <w:rFonts w:ascii="Times New Roman" w:hAnsi="Times New Roman"/>
            <w:noProof/>
            <w:webHidden/>
            <w:szCs w:val="22"/>
          </w:rPr>
        </w:r>
        <w:r w:rsidR="001E37D1" w:rsidRPr="001E37D1">
          <w:rPr>
            <w:rFonts w:ascii="Times New Roman" w:hAnsi="Times New Roman"/>
            <w:noProof/>
            <w:webHidden/>
            <w:szCs w:val="22"/>
          </w:rPr>
          <w:fldChar w:fldCharType="separate"/>
        </w:r>
        <w:r w:rsidR="001E37D1" w:rsidRPr="001E37D1">
          <w:rPr>
            <w:rFonts w:ascii="Times New Roman" w:hAnsi="Times New Roman"/>
            <w:noProof/>
            <w:webHidden/>
            <w:szCs w:val="22"/>
          </w:rPr>
          <w:t>3</w:t>
        </w:r>
        <w:r w:rsidR="001E37D1" w:rsidRPr="001E37D1">
          <w:rPr>
            <w:rFonts w:ascii="Times New Roman" w:hAnsi="Times New Roman"/>
            <w:noProof/>
            <w:webHidden/>
            <w:szCs w:val="22"/>
          </w:rPr>
          <w:fldChar w:fldCharType="end"/>
        </w:r>
      </w:hyperlink>
    </w:p>
    <w:p w14:paraId="72A76858" w14:textId="0570E41F" w:rsidR="001E37D1" w:rsidRPr="001E37D1" w:rsidRDefault="00460389">
      <w:pPr>
        <w:pStyle w:val="TOC2"/>
        <w:tabs>
          <w:tab w:val="left" w:pos="880"/>
          <w:tab w:val="right" w:leader="dot" w:pos="9074"/>
        </w:tabs>
        <w:rPr>
          <w:rFonts w:ascii="Times New Roman" w:eastAsiaTheme="minorEastAsia" w:hAnsi="Times New Roman" w:cs="Times New Roman"/>
          <w:noProof/>
        </w:rPr>
      </w:pPr>
      <w:hyperlink w:anchor="_Toc522036454" w:history="1">
        <w:r w:rsidR="001E37D1" w:rsidRPr="001E37D1">
          <w:rPr>
            <w:rStyle w:val="Hyperlink"/>
            <w:rFonts w:cs="Times New Roman"/>
            <w:noProof/>
            <w:sz w:val="22"/>
          </w:rPr>
          <w:t xml:space="preserve">2.1. </w:t>
        </w:r>
        <w:r w:rsidR="001E37D1" w:rsidRPr="001E37D1">
          <w:rPr>
            <w:rFonts w:ascii="Times New Roman" w:eastAsiaTheme="minorEastAsia" w:hAnsi="Times New Roman" w:cs="Times New Roman"/>
            <w:noProof/>
          </w:rPr>
          <w:tab/>
        </w:r>
        <w:r w:rsidR="001E37D1" w:rsidRPr="001E37D1">
          <w:rPr>
            <w:rStyle w:val="Hyperlink"/>
            <w:rFonts w:cs="Times New Roman"/>
            <w:noProof/>
            <w:sz w:val="22"/>
          </w:rPr>
          <w:t>Description of the economic model structure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_Toc522036454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6</w:t>
        </w:r>
        <w:r w:rsidR="001E37D1" w:rsidRPr="001E37D1">
          <w:rPr>
            <w:rFonts w:ascii="Times New Roman" w:hAnsi="Times New Roman" w:cs="Times New Roman"/>
            <w:noProof/>
            <w:webHidden/>
          </w:rPr>
          <w:fldChar w:fldCharType="end"/>
        </w:r>
      </w:hyperlink>
    </w:p>
    <w:p w14:paraId="1B5AEF8F" w14:textId="76B928C9" w:rsidR="001E37D1" w:rsidRPr="001E37D1" w:rsidRDefault="00460389">
      <w:pPr>
        <w:pStyle w:val="TOC2"/>
        <w:tabs>
          <w:tab w:val="left" w:pos="880"/>
          <w:tab w:val="right" w:leader="dot" w:pos="9074"/>
        </w:tabs>
        <w:rPr>
          <w:rFonts w:ascii="Times New Roman" w:eastAsiaTheme="minorEastAsia" w:hAnsi="Times New Roman" w:cs="Times New Roman"/>
          <w:noProof/>
        </w:rPr>
      </w:pPr>
      <w:hyperlink w:anchor="_Toc522036455" w:history="1">
        <w:r w:rsidR="001E37D1" w:rsidRPr="001E37D1">
          <w:rPr>
            <w:rStyle w:val="Hyperlink"/>
            <w:rFonts w:cs="Times New Roman"/>
            <w:noProof/>
            <w:sz w:val="22"/>
          </w:rPr>
          <w:t xml:space="preserve">2.2. </w:t>
        </w:r>
        <w:r w:rsidR="001E37D1" w:rsidRPr="001E37D1">
          <w:rPr>
            <w:rFonts w:ascii="Times New Roman" w:eastAsiaTheme="minorEastAsia" w:hAnsi="Times New Roman" w:cs="Times New Roman"/>
            <w:noProof/>
          </w:rPr>
          <w:tab/>
        </w:r>
        <w:r w:rsidR="001E37D1" w:rsidRPr="001E37D1">
          <w:rPr>
            <w:rStyle w:val="Hyperlink"/>
            <w:rFonts w:cs="Times New Roman"/>
            <w:noProof/>
            <w:sz w:val="22"/>
          </w:rPr>
          <w:t>Production functions and derived demands for inputs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_Toc522036455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8</w:t>
        </w:r>
        <w:r w:rsidR="001E37D1" w:rsidRPr="001E37D1">
          <w:rPr>
            <w:rFonts w:ascii="Times New Roman" w:hAnsi="Times New Roman" w:cs="Times New Roman"/>
            <w:noProof/>
            <w:webHidden/>
          </w:rPr>
          <w:fldChar w:fldCharType="end"/>
        </w:r>
      </w:hyperlink>
    </w:p>
    <w:p w14:paraId="0AA4F088" w14:textId="4D99822C" w:rsidR="001E37D1" w:rsidRPr="001E37D1" w:rsidRDefault="00460389">
      <w:pPr>
        <w:pStyle w:val="TOC2"/>
        <w:tabs>
          <w:tab w:val="left" w:pos="880"/>
          <w:tab w:val="right" w:leader="dot" w:pos="9074"/>
        </w:tabs>
        <w:rPr>
          <w:rFonts w:ascii="Times New Roman" w:eastAsiaTheme="minorEastAsia" w:hAnsi="Times New Roman" w:cs="Times New Roman"/>
          <w:noProof/>
        </w:rPr>
      </w:pPr>
      <w:hyperlink w:anchor="_Toc522036456" w:history="1">
        <w:r w:rsidR="001E37D1" w:rsidRPr="001E37D1">
          <w:rPr>
            <w:rStyle w:val="Hyperlink"/>
            <w:rFonts w:cs="Times New Roman"/>
            <w:noProof/>
            <w:sz w:val="22"/>
          </w:rPr>
          <w:t xml:space="preserve">2.3. </w:t>
        </w:r>
        <w:r w:rsidR="001E37D1" w:rsidRPr="001E37D1">
          <w:rPr>
            <w:rFonts w:ascii="Times New Roman" w:eastAsiaTheme="minorEastAsia" w:hAnsi="Times New Roman" w:cs="Times New Roman"/>
            <w:noProof/>
          </w:rPr>
          <w:tab/>
        </w:r>
        <w:r w:rsidR="001E37D1" w:rsidRPr="001E37D1">
          <w:rPr>
            <w:rStyle w:val="Hyperlink"/>
            <w:rFonts w:cs="Times New Roman"/>
            <w:noProof/>
            <w:sz w:val="22"/>
          </w:rPr>
          <w:t>Household demand for final goods and services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_Toc522036456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9</w:t>
        </w:r>
        <w:r w:rsidR="001E37D1" w:rsidRPr="001E37D1">
          <w:rPr>
            <w:rFonts w:ascii="Times New Roman" w:hAnsi="Times New Roman" w:cs="Times New Roman"/>
            <w:noProof/>
            <w:webHidden/>
          </w:rPr>
          <w:fldChar w:fldCharType="end"/>
        </w:r>
      </w:hyperlink>
    </w:p>
    <w:p w14:paraId="74AC51FE" w14:textId="28610A48" w:rsidR="001E37D1" w:rsidRPr="001E37D1" w:rsidRDefault="00460389">
      <w:pPr>
        <w:pStyle w:val="TOC2"/>
        <w:tabs>
          <w:tab w:val="left" w:pos="880"/>
          <w:tab w:val="right" w:leader="dot" w:pos="9074"/>
        </w:tabs>
        <w:rPr>
          <w:rFonts w:ascii="Times New Roman" w:eastAsiaTheme="minorEastAsia" w:hAnsi="Times New Roman" w:cs="Times New Roman"/>
          <w:noProof/>
        </w:rPr>
      </w:pPr>
      <w:hyperlink w:anchor="_Toc522036457" w:history="1">
        <w:r w:rsidR="001E37D1" w:rsidRPr="001E37D1">
          <w:rPr>
            <w:rStyle w:val="Hyperlink"/>
            <w:rFonts w:cs="Times New Roman"/>
            <w:noProof/>
            <w:sz w:val="22"/>
          </w:rPr>
          <w:t xml:space="preserve">2.4. </w:t>
        </w:r>
        <w:r w:rsidR="001E37D1" w:rsidRPr="001E37D1">
          <w:rPr>
            <w:rFonts w:ascii="Times New Roman" w:eastAsiaTheme="minorEastAsia" w:hAnsi="Times New Roman" w:cs="Times New Roman"/>
            <w:noProof/>
          </w:rPr>
          <w:tab/>
        </w:r>
        <w:r w:rsidR="001E37D1" w:rsidRPr="001E37D1">
          <w:rPr>
            <w:rStyle w:val="Hyperlink"/>
            <w:rFonts w:cs="Times New Roman"/>
            <w:noProof/>
            <w:sz w:val="22"/>
          </w:rPr>
          <w:t>Modeling of the agriculture sector</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_Toc522036457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9</w:t>
        </w:r>
        <w:r w:rsidR="001E37D1" w:rsidRPr="001E37D1">
          <w:rPr>
            <w:rFonts w:ascii="Times New Roman" w:hAnsi="Times New Roman" w:cs="Times New Roman"/>
            <w:noProof/>
            <w:webHidden/>
          </w:rPr>
          <w:fldChar w:fldCharType="end"/>
        </w:r>
      </w:hyperlink>
    </w:p>
    <w:p w14:paraId="11D26D25" w14:textId="224727D2" w:rsidR="001E37D1" w:rsidRPr="001E37D1" w:rsidRDefault="00460389">
      <w:pPr>
        <w:pStyle w:val="TOC3"/>
        <w:tabs>
          <w:tab w:val="right" w:leader="dot" w:pos="9074"/>
        </w:tabs>
        <w:rPr>
          <w:rFonts w:ascii="Times New Roman" w:eastAsiaTheme="minorEastAsia" w:hAnsi="Times New Roman" w:cs="Times New Roman"/>
          <w:noProof/>
        </w:rPr>
      </w:pPr>
      <w:hyperlink w:anchor="_Toc522036458" w:history="1">
        <w:r w:rsidR="001E37D1" w:rsidRPr="001E37D1">
          <w:rPr>
            <w:rStyle w:val="Hyperlink"/>
            <w:rFonts w:cs="Times New Roman"/>
            <w:noProof/>
            <w:sz w:val="22"/>
          </w:rPr>
          <w:t>2.4.1. Land database construction</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_Toc522036458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14</w:t>
        </w:r>
        <w:r w:rsidR="001E37D1" w:rsidRPr="001E37D1">
          <w:rPr>
            <w:rFonts w:ascii="Times New Roman" w:hAnsi="Times New Roman" w:cs="Times New Roman"/>
            <w:noProof/>
            <w:webHidden/>
          </w:rPr>
          <w:fldChar w:fldCharType="end"/>
        </w:r>
      </w:hyperlink>
    </w:p>
    <w:p w14:paraId="50B1DF42" w14:textId="72FA6727" w:rsidR="001E37D1" w:rsidRPr="001E37D1" w:rsidRDefault="00460389">
      <w:pPr>
        <w:pStyle w:val="TOC3"/>
        <w:tabs>
          <w:tab w:val="right" w:leader="dot" w:pos="9074"/>
        </w:tabs>
        <w:rPr>
          <w:rFonts w:ascii="Times New Roman" w:eastAsiaTheme="minorEastAsia" w:hAnsi="Times New Roman" w:cs="Times New Roman"/>
          <w:noProof/>
        </w:rPr>
      </w:pPr>
      <w:hyperlink w:anchor="_Toc522036459" w:history="1">
        <w:r w:rsidR="001E37D1" w:rsidRPr="001E37D1">
          <w:rPr>
            <w:rStyle w:val="Hyperlink"/>
            <w:rFonts w:cs="Times New Roman"/>
            <w:noProof/>
            <w:sz w:val="22"/>
          </w:rPr>
          <w:t>2.4.2. Water database construction</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_Toc522036459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15</w:t>
        </w:r>
        <w:r w:rsidR="001E37D1" w:rsidRPr="001E37D1">
          <w:rPr>
            <w:rFonts w:ascii="Times New Roman" w:hAnsi="Times New Roman" w:cs="Times New Roman"/>
            <w:noProof/>
            <w:webHidden/>
          </w:rPr>
          <w:fldChar w:fldCharType="end"/>
        </w:r>
      </w:hyperlink>
    </w:p>
    <w:p w14:paraId="52CED75E" w14:textId="596559AA" w:rsidR="001E37D1" w:rsidRPr="001E37D1" w:rsidRDefault="00460389">
      <w:pPr>
        <w:pStyle w:val="TOC2"/>
        <w:tabs>
          <w:tab w:val="left" w:pos="880"/>
          <w:tab w:val="right" w:leader="dot" w:pos="9074"/>
        </w:tabs>
        <w:rPr>
          <w:rFonts w:ascii="Times New Roman" w:eastAsiaTheme="minorEastAsia" w:hAnsi="Times New Roman" w:cs="Times New Roman"/>
          <w:noProof/>
        </w:rPr>
      </w:pPr>
      <w:hyperlink w:anchor="_Toc522036460" w:history="1">
        <w:r w:rsidR="001E37D1" w:rsidRPr="001E37D1">
          <w:rPr>
            <w:rStyle w:val="Hyperlink"/>
            <w:rFonts w:cs="Times New Roman"/>
            <w:noProof/>
            <w:sz w:val="22"/>
          </w:rPr>
          <w:t xml:space="preserve">2.5. </w:t>
        </w:r>
        <w:r w:rsidR="001E37D1" w:rsidRPr="001E37D1">
          <w:rPr>
            <w:rFonts w:ascii="Times New Roman" w:eastAsiaTheme="minorEastAsia" w:hAnsi="Times New Roman" w:cs="Times New Roman"/>
            <w:noProof/>
          </w:rPr>
          <w:tab/>
        </w:r>
        <w:r w:rsidR="001E37D1" w:rsidRPr="001E37D1">
          <w:rPr>
            <w:rStyle w:val="Hyperlink"/>
            <w:rFonts w:cs="Times New Roman"/>
            <w:noProof/>
            <w:sz w:val="22"/>
          </w:rPr>
          <w:t>Damage functions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_Toc522036460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18</w:t>
        </w:r>
        <w:r w:rsidR="001E37D1" w:rsidRPr="001E37D1">
          <w:rPr>
            <w:rFonts w:ascii="Times New Roman" w:hAnsi="Times New Roman" w:cs="Times New Roman"/>
            <w:noProof/>
            <w:webHidden/>
          </w:rPr>
          <w:fldChar w:fldCharType="end"/>
        </w:r>
      </w:hyperlink>
    </w:p>
    <w:p w14:paraId="64291CAB" w14:textId="7AE2156B" w:rsidR="001E37D1" w:rsidRPr="001E37D1" w:rsidRDefault="00460389">
      <w:pPr>
        <w:pStyle w:val="TOC1"/>
        <w:tabs>
          <w:tab w:val="left" w:pos="475"/>
          <w:tab w:val="right" w:leader="dot" w:pos="9074"/>
        </w:tabs>
        <w:rPr>
          <w:rFonts w:ascii="Times New Roman" w:hAnsi="Times New Roman"/>
          <w:noProof/>
          <w:szCs w:val="22"/>
          <w:lang w:eastAsia="en-US"/>
        </w:rPr>
      </w:pPr>
      <w:hyperlink w:anchor="_Toc522036461" w:history="1">
        <w:r w:rsidR="001E37D1" w:rsidRPr="001E37D1">
          <w:rPr>
            <w:rStyle w:val="Hyperlink"/>
            <w:noProof/>
            <w:sz w:val="22"/>
            <w:szCs w:val="22"/>
          </w:rPr>
          <w:t xml:space="preserve">3. </w:t>
        </w:r>
        <w:r w:rsidR="001E37D1" w:rsidRPr="001E37D1">
          <w:rPr>
            <w:rFonts w:ascii="Times New Roman" w:hAnsi="Times New Roman"/>
            <w:noProof/>
            <w:szCs w:val="22"/>
            <w:lang w:eastAsia="en-US"/>
          </w:rPr>
          <w:tab/>
        </w:r>
        <w:r w:rsidR="001E37D1" w:rsidRPr="001E37D1">
          <w:rPr>
            <w:rStyle w:val="Hyperlink"/>
            <w:noProof/>
            <w:sz w:val="22"/>
            <w:szCs w:val="22"/>
          </w:rPr>
          <w:t>Model Baseline: Growth toward 2050</w:t>
        </w:r>
        <w:r w:rsidR="001E37D1" w:rsidRPr="001E37D1">
          <w:rPr>
            <w:rFonts w:ascii="Times New Roman" w:hAnsi="Times New Roman"/>
            <w:noProof/>
            <w:webHidden/>
            <w:szCs w:val="22"/>
          </w:rPr>
          <w:tab/>
        </w:r>
        <w:r w:rsidR="001E37D1" w:rsidRPr="001E37D1">
          <w:rPr>
            <w:rFonts w:ascii="Times New Roman" w:hAnsi="Times New Roman"/>
            <w:noProof/>
            <w:webHidden/>
            <w:szCs w:val="22"/>
          </w:rPr>
          <w:fldChar w:fldCharType="begin"/>
        </w:r>
        <w:r w:rsidR="001E37D1" w:rsidRPr="001E37D1">
          <w:rPr>
            <w:rFonts w:ascii="Times New Roman" w:hAnsi="Times New Roman"/>
            <w:noProof/>
            <w:webHidden/>
            <w:szCs w:val="22"/>
          </w:rPr>
          <w:instrText xml:space="preserve"> PAGEREF _Toc522036461 \h </w:instrText>
        </w:r>
        <w:r w:rsidR="001E37D1" w:rsidRPr="001E37D1">
          <w:rPr>
            <w:rFonts w:ascii="Times New Roman" w:hAnsi="Times New Roman"/>
            <w:noProof/>
            <w:webHidden/>
            <w:szCs w:val="22"/>
          </w:rPr>
        </w:r>
        <w:r w:rsidR="001E37D1" w:rsidRPr="001E37D1">
          <w:rPr>
            <w:rFonts w:ascii="Times New Roman" w:hAnsi="Times New Roman"/>
            <w:noProof/>
            <w:webHidden/>
            <w:szCs w:val="22"/>
          </w:rPr>
          <w:fldChar w:fldCharType="separate"/>
        </w:r>
        <w:r w:rsidR="001E37D1" w:rsidRPr="001E37D1">
          <w:rPr>
            <w:rFonts w:ascii="Times New Roman" w:hAnsi="Times New Roman"/>
            <w:noProof/>
            <w:webHidden/>
            <w:szCs w:val="22"/>
          </w:rPr>
          <w:t>24</w:t>
        </w:r>
        <w:r w:rsidR="001E37D1" w:rsidRPr="001E37D1">
          <w:rPr>
            <w:rFonts w:ascii="Times New Roman" w:hAnsi="Times New Roman"/>
            <w:noProof/>
            <w:webHidden/>
            <w:szCs w:val="22"/>
          </w:rPr>
          <w:fldChar w:fldCharType="end"/>
        </w:r>
      </w:hyperlink>
    </w:p>
    <w:p w14:paraId="183DBF10" w14:textId="204481E4" w:rsidR="001E37D1" w:rsidRPr="001E37D1" w:rsidRDefault="00460389">
      <w:pPr>
        <w:pStyle w:val="TOC2"/>
        <w:tabs>
          <w:tab w:val="left" w:pos="880"/>
          <w:tab w:val="right" w:leader="dot" w:pos="9074"/>
        </w:tabs>
        <w:rPr>
          <w:rFonts w:ascii="Times New Roman" w:eastAsiaTheme="minorEastAsia" w:hAnsi="Times New Roman" w:cs="Times New Roman"/>
          <w:noProof/>
        </w:rPr>
      </w:pPr>
      <w:hyperlink w:anchor="_Toc522036462" w:history="1">
        <w:r w:rsidR="001E37D1" w:rsidRPr="001E37D1">
          <w:rPr>
            <w:rStyle w:val="Hyperlink"/>
            <w:rFonts w:cs="Times New Roman"/>
            <w:noProof/>
            <w:sz w:val="22"/>
          </w:rPr>
          <w:t xml:space="preserve">3.1. </w:t>
        </w:r>
        <w:r w:rsidR="001E37D1" w:rsidRPr="001E37D1">
          <w:rPr>
            <w:rFonts w:ascii="Times New Roman" w:eastAsiaTheme="minorEastAsia" w:hAnsi="Times New Roman" w:cs="Times New Roman"/>
            <w:noProof/>
          </w:rPr>
          <w:tab/>
        </w:r>
        <w:r w:rsidR="001E37D1" w:rsidRPr="001E37D1">
          <w:rPr>
            <w:rStyle w:val="Hyperlink"/>
            <w:rFonts w:cs="Times New Roman"/>
            <w:noProof/>
            <w:sz w:val="22"/>
          </w:rPr>
          <w:t>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_Toc522036462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24</w:t>
        </w:r>
        <w:r w:rsidR="001E37D1" w:rsidRPr="001E37D1">
          <w:rPr>
            <w:rFonts w:ascii="Times New Roman" w:hAnsi="Times New Roman" w:cs="Times New Roman"/>
            <w:noProof/>
            <w:webHidden/>
          </w:rPr>
          <w:fldChar w:fldCharType="end"/>
        </w:r>
      </w:hyperlink>
    </w:p>
    <w:p w14:paraId="13D794B8" w14:textId="53830D8A" w:rsidR="001E37D1" w:rsidRPr="001E37D1" w:rsidRDefault="00460389">
      <w:pPr>
        <w:pStyle w:val="TOC2"/>
        <w:tabs>
          <w:tab w:val="left" w:pos="880"/>
          <w:tab w:val="right" w:leader="dot" w:pos="9074"/>
        </w:tabs>
        <w:rPr>
          <w:rFonts w:ascii="Times New Roman" w:eastAsiaTheme="minorEastAsia" w:hAnsi="Times New Roman" w:cs="Times New Roman"/>
          <w:noProof/>
        </w:rPr>
      </w:pPr>
      <w:hyperlink w:anchor="_Toc522036463" w:history="1">
        <w:r w:rsidR="001E37D1" w:rsidRPr="001E37D1">
          <w:rPr>
            <w:rStyle w:val="Hyperlink"/>
            <w:rFonts w:cs="Times New Roman"/>
            <w:noProof/>
            <w:sz w:val="22"/>
          </w:rPr>
          <w:t xml:space="preserve">3.2. </w:t>
        </w:r>
        <w:r w:rsidR="001E37D1" w:rsidRPr="001E37D1">
          <w:rPr>
            <w:rFonts w:ascii="Times New Roman" w:eastAsiaTheme="minorEastAsia" w:hAnsi="Times New Roman" w:cs="Times New Roman"/>
            <w:noProof/>
          </w:rPr>
          <w:tab/>
        </w:r>
        <w:r w:rsidR="001E37D1" w:rsidRPr="001E37D1">
          <w:rPr>
            <w:rStyle w:val="Hyperlink"/>
            <w:rFonts w:cs="Times New Roman"/>
            <w:noProof/>
            <w:sz w:val="22"/>
          </w:rPr>
          <w:t>Baseline with climate change impacts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_Toc522036463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27</w:t>
        </w:r>
        <w:r w:rsidR="001E37D1" w:rsidRPr="001E37D1">
          <w:rPr>
            <w:rFonts w:ascii="Times New Roman" w:hAnsi="Times New Roman" w:cs="Times New Roman"/>
            <w:noProof/>
            <w:webHidden/>
          </w:rPr>
          <w:fldChar w:fldCharType="end"/>
        </w:r>
      </w:hyperlink>
    </w:p>
    <w:p w14:paraId="50710A65" w14:textId="028F2019" w:rsidR="001E37D1" w:rsidRPr="001E37D1" w:rsidRDefault="00460389">
      <w:pPr>
        <w:pStyle w:val="TOC1"/>
        <w:tabs>
          <w:tab w:val="left" w:pos="475"/>
          <w:tab w:val="right" w:leader="dot" w:pos="9074"/>
        </w:tabs>
        <w:rPr>
          <w:rFonts w:ascii="Times New Roman" w:hAnsi="Times New Roman"/>
          <w:noProof/>
          <w:szCs w:val="22"/>
          <w:lang w:eastAsia="en-US"/>
        </w:rPr>
      </w:pPr>
      <w:hyperlink w:anchor="_Toc522036464" w:history="1">
        <w:r w:rsidR="001E37D1" w:rsidRPr="001E37D1">
          <w:rPr>
            <w:rStyle w:val="Hyperlink"/>
            <w:noProof/>
            <w:sz w:val="22"/>
            <w:szCs w:val="22"/>
          </w:rPr>
          <w:t xml:space="preserve">4. </w:t>
        </w:r>
        <w:r w:rsidR="001E37D1" w:rsidRPr="001E37D1">
          <w:rPr>
            <w:rFonts w:ascii="Times New Roman" w:hAnsi="Times New Roman"/>
            <w:noProof/>
            <w:szCs w:val="22"/>
            <w:lang w:eastAsia="en-US"/>
          </w:rPr>
          <w:tab/>
        </w:r>
        <w:r w:rsidR="001E37D1" w:rsidRPr="001E37D1">
          <w:rPr>
            <w:rStyle w:val="Hyperlink"/>
            <w:noProof/>
            <w:sz w:val="22"/>
            <w:szCs w:val="22"/>
          </w:rPr>
          <w:t>Adaptation to Climate Change: Overall Benefits and Potential Financing Mechanisms</w:t>
        </w:r>
        <w:r w:rsidR="001E37D1" w:rsidRPr="001E37D1">
          <w:rPr>
            <w:rFonts w:ascii="Times New Roman" w:hAnsi="Times New Roman"/>
            <w:noProof/>
            <w:webHidden/>
            <w:szCs w:val="22"/>
          </w:rPr>
          <w:tab/>
        </w:r>
        <w:r w:rsidR="001E37D1" w:rsidRPr="001E37D1">
          <w:rPr>
            <w:rFonts w:ascii="Times New Roman" w:hAnsi="Times New Roman"/>
            <w:noProof/>
            <w:webHidden/>
            <w:szCs w:val="22"/>
          </w:rPr>
          <w:fldChar w:fldCharType="begin"/>
        </w:r>
        <w:r w:rsidR="001E37D1" w:rsidRPr="001E37D1">
          <w:rPr>
            <w:rFonts w:ascii="Times New Roman" w:hAnsi="Times New Roman"/>
            <w:noProof/>
            <w:webHidden/>
            <w:szCs w:val="22"/>
          </w:rPr>
          <w:instrText xml:space="preserve"> PAGEREF _Toc522036464 \h </w:instrText>
        </w:r>
        <w:r w:rsidR="001E37D1" w:rsidRPr="001E37D1">
          <w:rPr>
            <w:rFonts w:ascii="Times New Roman" w:hAnsi="Times New Roman"/>
            <w:noProof/>
            <w:webHidden/>
            <w:szCs w:val="22"/>
          </w:rPr>
        </w:r>
        <w:r w:rsidR="001E37D1" w:rsidRPr="001E37D1">
          <w:rPr>
            <w:rFonts w:ascii="Times New Roman" w:hAnsi="Times New Roman"/>
            <w:noProof/>
            <w:webHidden/>
            <w:szCs w:val="22"/>
          </w:rPr>
          <w:fldChar w:fldCharType="separate"/>
        </w:r>
        <w:r w:rsidR="001E37D1" w:rsidRPr="001E37D1">
          <w:rPr>
            <w:rFonts w:ascii="Times New Roman" w:hAnsi="Times New Roman"/>
            <w:noProof/>
            <w:webHidden/>
            <w:szCs w:val="22"/>
          </w:rPr>
          <w:t>37</w:t>
        </w:r>
        <w:r w:rsidR="001E37D1" w:rsidRPr="001E37D1">
          <w:rPr>
            <w:rFonts w:ascii="Times New Roman" w:hAnsi="Times New Roman"/>
            <w:noProof/>
            <w:webHidden/>
            <w:szCs w:val="22"/>
          </w:rPr>
          <w:fldChar w:fldCharType="end"/>
        </w:r>
      </w:hyperlink>
    </w:p>
    <w:p w14:paraId="1BA89D56" w14:textId="503FEF37" w:rsidR="001E37D1" w:rsidRPr="001E37D1" w:rsidRDefault="00460389">
      <w:pPr>
        <w:pStyle w:val="TOC2"/>
        <w:tabs>
          <w:tab w:val="left" w:pos="880"/>
          <w:tab w:val="right" w:leader="dot" w:pos="9074"/>
        </w:tabs>
        <w:rPr>
          <w:rFonts w:ascii="Times New Roman" w:eastAsiaTheme="minorEastAsia" w:hAnsi="Times New Roman" w:cs="Times New Roman"/>
          <w:noProof/>
        </w:rPr>
      </w:pPr>
      <w:hyperlink w:anchor="_Toc522036465" w:history="1">
        <w:r w:rsidR="001E37D1" w:rsidRPr="001E37D1">
          <w:rPr>
            <w:rStyle w:val="Hyperlink"/>
            <w:rFonts w:cs="Times New Roman"/>
            <w:noProof/>
            <w:sz w:val="22"/>
          </w:rPr>
          <w:t xml:space="preserve">4.1. </w:t>
        </w:r>
        <w:r w:rsidR="001E37D1" w:rsidRPr="001E37D1">
          <w:rPr>
            <w:rFonts w:ascii="Times New Roman" w:eastAsiaTheme="minorEastAsia" w:hAnsi="Times New Roman" w:cs="Times New Roman"/>
            <w:noProof/>
          </w:rPr>
          <w:tab/>
        </w:r>
        <w:r w:rsidR="001E37D1" w:rsidRPr="001E37D1">
          <w:rPr>
            <w:rStyle w:val="Hyperlink"/>
            <w:rFonts w:cs="Times New Roman"/>
            <w:noProof/>
            <w:sz w:val="22"/>
          </w:rPr>
          <w:t>Policy 1: Adaptation financed by fiscal policy</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_Toc522036465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41</w:t>
        </w:r>
        <w:r w:rsidR="001E37D1" w:rsidRPr="001E37D1">
          <w:rPr>
            <w:rFonts w:ascii="Times New Roman" w:hAnsi="Times New Roman" w:cs="Times New Roman"/>
            <w:noProof/>
            <w:webHidden/>
          </w:rPr>
          <w:fldChar w:fldCharType="end"/>
        </w:r>
      </w:hyperlink>
    </w:p>
    <w:p w14:paraId="2EA89B26" w14:textId="19CDD8A1" w:rsidR="001E37D1" w:rsidRPr="001E37D1" w:rsidRDefault="00460389">
      <w:pPr>
        <w:pStyle w:val="TOC2"/>
        <w:tabs>
          <w:tab w:val="left" w:pos="880"/>
          <w:tab w:val="right" w:leader="dot" w:pos="9074"/>
        </w:tabs>
        <w:rPr>
          <w:rFonts w:ascii="Times New Roman" w:eastAsiaTheme="minorEastAsia" w:hAnsi="Times New Roman" w:cs="Times New Roman"/>
          <w:noProof/>
        </w:rPr>
      </w:pPr>
      <w:hyperlink w:anchor="_Toc522036466" w:history="1">
        <w:r w:rsidR="001E37D1" w:rsidRPr="001E37D1">
          <w:rPr>
            <w:rStyle w:val="Hyperlink"/>
            <w:rFonts w:cs="Times New Roman"/>
            <w:noProof/>
            <w:sz w:val="22"/>
          </w:rPr>
          <w:t>4.2.</w:t>
        </w:r>
        <w:r w:rsidR="001E37D1" w:rsidRPr="001E37D1">
          <w:rPr>
            <w:rFonts w:ascii="Times New Roman" w:eastAsiaTheme="minorEastAsia" w:hAnsi="Times New Roman" w:cs="Times New Roman"/>
            <w:noProof/>
          </w:rPr>
          <w:tab/>
        </w:r>
        <w:r w:rsidR="001E37D1" w:rsidRPr="001E37D1">
          <w:rPr>
            <w:rStyle w:val="Hyperlink"/>
            <w:rFonts w:cs="Times New Roman"/>
            <w:noProof/>
            <w:sz w:val="22"/>
          </w:rPr>
          <w:t>Policy 2: Adaptation financed by foreign funds earmarked to investments in agriculture and tourism</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_Toc522036466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44</w:t>
        </w:r>
        <w:r w:rsidR="001E37D1" w:rsidRPr="001E37D1">
          <w:rPr>
            <w:rFonts w:ascii="Times New Roman" w:hAnsi="Times New Roman" w:cs="Times New Roman"/>
            <w:noProof/>
            <w:webHidden/>
          </w:rPr>
          <w:fldChar w:fldCharType="end"/>
        </w:r>
      </w:hyperlink>
    </w:p>
    <w:p w14:paraId="1554CF68" w14:textId="439880FC" w:rsidR="001E37D1" w:rsidRPr="001E37D1" w:rsidRDefault="00460389">
      <w:pPr>
        <w:pStyle w:val="TOC2"/>
        <w:tabs>
          <w:tab w:val="left" w:pos="880"/>
          <w:tab w:val="right" w:leader="dot" w:pos="9074"/>
        </w:tabs>
        <w:rPr>
          <w:rFonts w:ascii="Times New Roman" w:eastAsiaTheme="minorEastAsia" w:hAnsi="Times New Roman" w:cs="Times New Roman"/>
          <w:noProof/>
        </w:rPr>
      </w:pPr>
      <w:hyperlink w:anchor="_Toc522036467" w:history="1">
        <w:r w:rsidR="001E37D1" w:rsidRPr="001E37D1">
          <w:rPr>
            <w:rStyle w:val="Hyperlink"/>
            <w:rFonts w:cs="Times New Roman"/>
            <w:noProof/>
            <w:sz w:val="22"/>
          </w:rPr>
          <w:t>4.3.</w:t>
        </w:r>
        <w:r w:rsidR="001E37D1" w:rsidRPr="001E37D1">
          <w:rPr>
            <w:rFonts w:ascii="Times New Roman" w:eastAsiaTheme="minorEastAsia" w:hAnsi="Times New Roman" w:cs="Times New Roman"/>
            <w:noProof/>
          </w:rPr>
          <w:tab/>
        </w:r>
        <w:r w:rsidR="001E37D1" w:rsidRPr="001E37D1">
          <w:rPr>
            <w:rStyle w:val="Hyperlink"/>
            <w:rFonts w:cs="Times New Roman"/>
            <w:noProof/>
            <w:sz w:val="22"/>
          </w:rPr>
          <w:t>Policy 3: Adaptation financed by foreign funds earmarked across all productive sectors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_Toc522036467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49</w:t>
        </w:r>
        <w:r w:rsidR="001E37D1" w:rsidRPr="001E37D1">
          <w:rPr>
            <w:rFonts w:ascii="Times New Roman" w:hAnsi="Times New Roman" w:cs="Times New Roman"/>
            <w:noProof/>
            <w:webHidden/>
          </w:rPr>
          <w:fldChar w:fldCharType="end"/>
        </w:r>
      </w:hyperlink>
    </w:p>
    <w:p w14:paraId="71A59102" w14:textId="5988019C" w:rsidR="001E37D1" w:rsidRPr="001E37D1" w:rsidRDefault="00460389">
      <w:pPr>
        <w:pStyle w:val="TOC1"/>
        <w:tabs>
          <w:tab w:val="left" w:pos="475"/>
          <w:tab w:val="right" w:leader="dot" w:pos="9074"/>
        </w:tabs>
        <w:rPr>
          <w:rFonts w:ascii="Times New Roman" w:hAnsi="Times New Roman"/>
          <w:noProof/>
          <w:szCs w:val="22"/>
          <w:lang w:eastAsia="en-US"/>
        </w:rPr>
      </w:pPr>
      <w:hyperlink w:anchor="_Toc522036468" w:history="1">
        <w:r w:rsidR="001E37D1" w:rsidRPr="001E37D1">
          <w:rPr>
            <w:rStyle w:val="Hyperlink"/>
            <w:noProof/>
            <w:sz w:val="22"/>
            <w:szCs w:val="22"/>
          </w:rPr>
          <w:t xml:space="preserve">5. </w:t>
        </w:r>
        <w:r w:rsidR="001E37D1" w:rsidRPr="001E37D1">
          <w:rPr>
            <w:rFonts w:ascii="Times New Roman" w:hAnsi="Times New Roman"/>
            <w:noProof/>
            <w:szCs w:val="22"/>
            <w:lang w:eastAsia="en-US"/>
          </w:rPr>
          <w:tab/>
        </w:r>
        <w:r w:rsidR="001E37D1" w:rsidRPr="001E37D1">
          <w:rPr>
            <w:rStyle w:val="Hyperlink"/>
            <w:noProof/>
            <w:sz w:val="22"/>
            <w:szCs w:val="22"/>
          </w:rPr>
          <w:t>Conclusion</w:t>
        </w:r>
        <w:r w:rsidR="001E37D1" w:rsidRPr="001E37D1">
          <w:rPr>
            <w:rFonts w:ascii="Times New Roman" w:hAnsi="Times New Roman"/>
            <w:noProof/>
            <w:webHidden/>
            <w:szCs w:val="22"/>
          </w:rPr>
          <w:tab/>
        </w:r>
        <w:r w:rsidR="001E37D1" w:rsidRPr="001E37D1">
          <w:rPr>
            <w:rFonts w:ascii="Times New Roman" w:hAnsi="Times New Roman"/>
            <w:noProof/>
            <w:webHidden/>
            <w:szCs w:val="22"/>
          </w:rPr>
          <w:fldChar w:fldCharType="begin"/>
        </w:r>
        <w:r w:rsidR="001E37D1" w:rsidRPr="001E37D1">
          <w:rPr>
            <w:rFonts w:ascii="Times New Roman" w:hAnsi="Times New Roman"/>
            <w:noProof/>
            <w:webHidden/>
            <w:szCs w:val="22"/>
          </w:rPr>
          <w:instrText xml:space="preserve"> PAGEREF _Toc522036468 \h </w:instrText>
        </w:r>
        <w:r w:rsidR="001E37D1" w:rsidRPr="001E37D1">
          <w:rPr>
            <w:rFonts w:ascii="Times New Roman" w:hAnsi="Times New Roman"/>
            <w:noProof/>
            <w:webHidden/>
            <w:szCs w:val="22"/>
          </w:rPr>
        </w:r>
        <w:r w:rsidR="001E37D1" w:rsidRPr="001E37D1">
          <w:rPr>
            <w:rFonts w:ascii="Times New Roman" w:hAnsi="Times New Roman"/>
            <w:noProof/>
            <w:webHidden/>
            <w:szCs w:val="22"/>
          </w:rPr>
          <w:fldChar w:fldCharType="separate"/>
        </w:r>
        <w:r w:rsidR="001E37D1" w:rsidRPr="001E37D1">
          <w:rPr>
            <w:rFonts w:ascii="Times New Roman" w:hAnsi="Times New Roman"/>
            <w:noProof/>
            <w:webHidden/>
            <w:szCs w:val="22"/>
          </w:rPr>
          <w:t>52</w:t>
        </w:r>
        <w:r w:rsidR="001E37D1" w:rsidRPr="001E37D1">
          <w:rPr>
            <w:rFonts w:ascii="Times New Roman" w:hAnsi="Times New Roman"/>
            <w:noProof/>
            <w:webHidden/>
            <w:szCs w:val="22"/>
          </w:rPr>
          <w:fldChar w:fldCharType="end"/>
        </w:r>
      </w:hyperlink>
    </w:p>
    <w:p w14:paraId="77B8FDD2" w14:textId="2156DE48" w:rsidR="001E37D1" w:rsidRPr="001E37D1" w:rsidRDefault="00460389">
      <w:pPr>
        <w:pStyle w:val="TOC1"/>
        <w:tabs>
          <w:tab w:val="right" w:leader="dot" w:pos="9074"/>
        </w:tabs>
        <w:rPr>
          <w:rFonts w:ascii="Times New Roman" w:hAnsi="Times New Roman"/>
          <w:noProof/>
          <w:szCs w:val="22"/>
          <w:lang w:eastAsia="en-US"/>
        </w:rPr>
      </w:pPr>
      <w:hyperlink w:anchor="_Toc522036469" w:history="1">
        <w:r w:rsidR="001E37D1" w:rsidRPr="001E37D1">
          <w:rPr>
            <w:rStyle w:val="Hyperlink"/>
            <w:noProof/>
            <w:sz w:val="22"/>
            <w:szCs w:val="22"/>
          </w:rPr>
          <w:t>References</w:t>
        </w:r>
        <w:r w:rsidR="001E37D1" w:rsidRPr="001E37D1">
          <w:rPr>
            <w:rFonts w:ascii="Times New Roman" w:hAnsi="Times New Roman"/>
            <w:noProof/>
            <w:webHidden/>
            <w:szCs w:val="22"/>
          </w:rPr>
          <w:tab/>
        </w:r>
        <w:r w:rsidR="001E37D1" w:rsidRPr="001E37D1">
          <w:rPr>
            <w:rFonts w:ascii="Times New Roman" w:hAnsi="Times New Roman"/>
            <w:noProof/>
            <w:webHidden/>
            <w:szCs w:val="22"/>
          </w:rPr>
          <w:fldChar w:fldCharType="begin"/>
        </w:r>
        <w:r w:rsidR="001E37D1" w:rsidRPr="001E37D1">
          <w:rPr>
            <w:rFonts w:ascii="Times New Roman" w:hAnsi="Times New Roman"/>
            <w:noProof/>
            <w:webHidden/>
            <w:szCs w:val="22"/>
          </w:rPr>
          <w:instrText xml:space="preserve"> PAGEREF _Toc522036469 \h </w:instrText>
        </w:r>
        <w:r w:rsidR="001E37D1" w:rsidRPr="001E37D1">
          <w:rPr>
            <w:rFonts w:ascii="Times New Roman" w:hAnsi="Times New Roman"/>
            <w:noProof/>
            <w:webHidden/>
            <w:szCs w:val="22"/>
          </w:rPr>
        </w:r>
        <w:r w:rsidR="001E37D1" w:rsidRPr="001E37D1">
          <w:rPr>
            <w:rFonts w:ascii="Times New Roman" w:hAnsi="Times New Roman"/>
            <w:noProof/>
            <w:webHidden/>
            <w:szCs w:val="22"/>
          </w:rPr>
          <w:fldChar w:fldCharType="separate"/>
        </w:r>
        <w:r w:rsidR="001E37D1" w:rsidRPr="001E37D1">
          <w:rPr>
            <w:rFonts w:ascii="Times New Roman" w:hAnsi="Times New Roman"/>
            <w:noProof/>
            <w:webHidden/>
            <w:szCs w:val="22"/>
          </w:rPr>
          <w:t>55</w:t>
        </w:r>
        <w:r w:rsidR="001E37D1" w:rsidRPr="001E37D1">
          <w:rPr>
            <w:rFonts w:ascii="Times New Roman" w:hAnsi="Times New Roman"/>
            <w:noProof/>
            <w:webHidden/>
            <w:szCs w:val="22"/>
          </w:rPr>
          <w:fldChar w:fldCharType="end"/>
        </w:r>
      </w:hyperlink>
    </w:p>
    <w:p w14:paraId="0EEE6A7C" w14:textId="40EED203" w:rsidR="001E37D1" w:rsidRPr="001E37D1" w:rsidRDefault="00460389">
      <w:pPr>
        <w:pStyle w:val="TOC1"/>
        <w:tabs>
          <w:tab w:val="right" w:leader="dot" w:pos="9074"/>
        </w:tabs>
        <w:rPr>
          <w:rFonts w:ascii="Times New Roman" w:hAnsi="Times New Roman"/>
          <w:noProof/>
          <w:szCs w:val="22"/>
          <w:lang w:eastAsia="en-US"/>
        </w:rPr>
      </w:pPr>
      <w:hyperlink w:anchor="_Toc522036470" w:history="1">
        <w:r w:rsidR="001E37D1" w:rsidRPr="001E37D1">
          <w:rPr>
            <w:rStyle w:val="Hyperlink"/>
            <w:noProof/>
            <w:sz w:val="22"/>
            <w:szCs w:val="22"/>
          </w:rPr>
          <w:t>Annex 1. Classification and Mapping Used for Analysis</w:t>
        </w:r>
        <w:r w:rsidR="001E37D1" w:rsidRPr="001E37D1">
          <w:rPr>
            <w:rFonts w:ascii="Times New Roman" w:hAnsi="Times New Roman"/>
            <w:noProof/>
            <w:webHidden/>
            <w:szCs w:val="22"/>
          </w:rPr>
          <w:tab/>
        </w:r>
        <w:r w:rsidR="001E37D1" w:rsidRPr="001E37D1">
          <w:rPr>
            <w:rFonts w:ascii="Times New Roman" w:hAnsi="Times New Roman"/>
            <w:noProof/>
            <w:webHidden/>
            <w:szCs w:val="22"/>
          </w:rPr>
          <w:fldChar w:fldCharType="begin"/>
        </w:r>
        <w:r w:rsidR="001E37D1" w:rsidRPr="001E37D1">
          <w:rPr>
            <w:rFonts w:ascii="Times New Roman" w:hAnsi="Times New Roman"/>
            <w:noProof/>
            <w:webHidden/>
            <w:szCs w:val="22"/>
          </w:rPr>
          <w:instrText xml:space="preserve"> PAGEREF _Toc522036470 \h </w:instrText>
        </w:r>
        <w:r w:rsidR="001E37D1" w:rsidRPr="001E37D1">
          <w:rPr>
            <w:rFonts w:ascii="Times New Roman" w:hAnsi="Times New Roman"/>
            <w:noProof/>
            <w:webHidden/>
            <w:szCs w:val="22"/>
          </w:rPr>
        </w:r>
        <w:r w:rsidR="001E37D1" w:rsidRPr="001E37D1">
          <w:rPr>
            <w:rFonts w:ascii="Times New Roman" w:hAnsi="Times New Roman"/>
            <w:noProof/>
            <w:webHidden/>
            <w:szCs w:val="22"/>
          </w:rPr>
          <w:fldChar w:fldCharType="separate"/>
        </w:r>
        <w:r w:rsidR="001E37D1" w:rsidRPr="001E37D1">
          <w:rPr>
            <w:rFonts w:ascii="Times New Roman" w:hAnsi="Times New Roman"/>
            <w:noProof/>
            <w:webHidden/>
            <w:szCs w:val="22"/>
          </w:rPr>
          <w:t>58</w:t>
        </w:r>
        <w:r w:rsidR="001E37D1" w:rsidRPr="001E37D1">
          <w:rPr>
            <w:rFonts w:ascii="Times New Roman" w:hAnsi="Times New Roman"/>
            <w:noProof/>
            <w:webHidden/>
            <w:szCs w:val="22"/>
          </w:rPr>
          <w:fldChar w:fldCharType="end"/>
        </w:r>
      </w:hyperlink>
    </w:p>
    <w:p w14:paraId="6B77E100" w14:textId="7E1F28D7" w:rsidR="001E37D1" w:rsidRPr="001E37D1" w:rsidRDefault="00460389">
      <w:pPr>
        <w:pStyle w:val="TOC1"/>
        <w:tabs>
          <w:tab w:val="right" w:leader="dot" w:pos="9074"/>
        </w:tabs>
        <w:rPr>
          <w:rFonts w:ascii="Times New Roman" w:hAnsi="Times New Roman"/>
          <w:noProof/>
          <w:szCs w:val="22"/>
          <w:lang w:eastAsia="en-US"/>
        </w:rPr>
      </w:pPr>
      <w:hyperlink w:anchor="_Toc522036471" w:history="1">
        <w:r w:rsidR="001E37D1" w:rsidRPr="001E37D1">
          <w:rPr>
            <w:rStyle w:val="Hyperlink"/>
            <w:noProof/>
            <w:sz w:val="22"/>
            <w:szCs w:val="22"/>
          </w:rPr>
          <w:t>Annex 2. Comparing Results with an Integrated Modelling Exercise: OECD Report (2015)</w:t>
        </w:r>
        <w:r w:rsidR="001E37D1" w:rsidRPr="001E37D1">
          <w:rPr>
            <w:rFonts w:ascii="Times New Roman" w:hAnsi="Times New Roman"/>
            <w:noProof/>
            <w:webHidden/>
            <w:szCs w:val="22"/>
          </w:rPr>
          <w:tab/>
        </w:r>
        <w:r w:rsidR="001E37D1" w:rsidRPr="001E37D1">
          <w:rPr>
            <w:rFonts w:ascii="Times New Roman" w:hAnsi="Times New Roman"/>
            <w:noProof/>
            <w:webHidden/>
            <w:szCs w:val="22"/>
          </w:rPr>
          <w:fldChar w:fldCharType="begin"/>
        </w:r>
        <w:r w:rsidR="001E37D1" w:rsidRPr="001E37D1">
          <w:rPr>
            <w:rFonts w:ascii="Times New Roman" w:hAnsi="Times New Roman"/>
            <w:noProof/>
            <w:webHidden/>
            <w:szCs w:val="22"/>
          </w:rPr>
          <w:instrText xml:space="preserve"> PAGEREF _Toc522036471 \h </w:instrText>
        </w:r>
        <w:r w:rsidR="001E37D1" w:rsidRPr="001E37D1">
          <w:rPr>
            <w:rFonts w:ascii="Times New Roman" w:hAnsi="Times New Roman"/>
            <w:noProof/>
            <w:webHidden/>
            <w:szCs w:val="22"/>
          </w:rPr>
        </w:r>
        <w:r w:rsidR="001E37D1" w:rsidRPr="001E37D1">
          <w:rPr>
            <w:rFonts w:ascii="Times New Roman" w:hAnsi="Times New Roman"/>
            <w:noProof/>
            <w:webHidden/>
            <w:szCs w:val="22"/>
          </w:rPr>
          <w:fldChar w:fldCharType="separate"/>
        </w:r>
        <w:r w:rsidR="001E37D1" w:rsidRPr="001E37D1">
          <w:rPr>
            <w:rFonts w:ascii="Times New Roman" w:hAnsi="Times New Roman"/>
            <w:noProof/>
            <w:webHidden/>
            <w:szCs w:val="22"/>
          </w:rPr>
          <w:t>61</w:t>
        </w:r>
        <w:r w:rsidR="001E37D1" w:rsidRPr="001E37D1">
          <w:rPr>
            <w:rFonts w:ascii="Times New Roman" w:hAnsi="Times New Roman"/>
            <w:noProof/>
            <w:webHidden/>
            <w:szCs w:val="22"/>
          </w:rPr>
          <w:fldChar w:fldCharType="end"/>
        </w:r>
      </w:hyperlink>
    </w:p>
    <w:p w14:paraId="7210A808" w14:textId="3049328B" w:rsidR="00AD4B69" w:rsidRPr="001C3EDC" w:rsidRDefault="00603E67" w:rsidP="006A4D41">
      <w:pPr>
        <w:spacing w:after="0" w:line="276" w:lineRule="auto"/>
        <w:jc w:val="left"/>
        <w:rPr>
          <w:rFonts w:cs="Times New Roman"/>
          <w:szCs w:val="24"/>
        </w:rPr>
      </w:pPr>
      <w:r w:rsidRPr="001E37D1">
        <w:rPr>
          <w:rFonts w:cs="Times New Roman"/>
          <w:sz w:val="22"/>
        </w:rPr>
        <w:fldChar w:fldCharType="end"/>
      </w:r>
    </w:p>
    <w:p w14:paraId="040B3CFC" w14:textId="3F22A2A8" w:rsidR="00AD4B69" w:rsidRPr="001C3EDC" w:rsidRDefault="002C036B" w:rsidP="000F762B">
      <w:pPr>
        <w:spacing w:line="276" w:lineRule="auto"/>
        <w:jc w:val="left"/>
        <w:rPr>
          <w:rFonts w:ascii="Calibri" w:eastAsiaTheme="majorEastAsia" w:hAnsi="Calibri" w:cstheme="majorBidi"/>
          <w:b/>
          <w:color w:val="365F91" w:themeColor="accent1" w:themeShade="BF"/>
          <w:sz w:val="32"/>
          <w:szCs w:val="32"/>
        </w:rPr>
      </w:pPr>
      <w:r w:rsidRPr="001C3EDC">
        <w:rPr>
          <w:rFonts w:ascii="Calibri" w:eastAsiaTheme="majorEastAsia" w:hAnsi="Calibri" w:cstheme="majorBidi"/>
          <w:b/>
          <w:color w:val="365F91" w:themeColor="accent1" w:themeShade="BF"/>
          <w:sz w:val="32"/>
          <w:szCs w:val="32"/>
        </w:rPr>
        <w:t>List of Figures</w:t>
      </w:r>
    </w:p>
    <w:p w14:paraId="541E3B2E" w14:textId="7DDA67BA" w:rsidR="001E37D1" w:rsidRPr="001E37D1" w:rsidRDefault="005D0B15" w:rsidP="001E37D1">
      <w:pPr>
        <w:pStyle w:val="TableofFigures"/>
        <w:jc w:val="both"/>
        <w:rPr>
          <w:rFonts w:ascii="Times New Roman" w:eastAsiaTheme="minorEastAsia" w:hAnsi="Times New Roman" w:cs="Times New Roman"/>
          <w:noProof/>
        </w:rPr>
      </w:pPr>
      <w:r w:rsidRPr="001E37D1">
        <w:rPr>
          <w:rFonts w:ascii="Times New Roman" w:eastAsiaTheme="majorEastAsia" w:hAnsi="Times New Roman" w:cs="Times New Roman"/>
          <w:b/>
          <w:color w:val="365F91" w:themeColor="accent1" w:themeShade="BF"/>
        </w:rPr>
        <w:fldChar w:fldCharType="begin"/>
      </w:r>
      <w:r w:rsidRPr="001E37D1">
        <w:rPr>
          <w:rFonts w:ascii="Times New Roman" w:eastAsiaTheme="majorEastAsia" w:hAnsi="Times New Roman" w:cs="Times New Roman"/>
          <w:b/>
          <w:color w:val="365F91" w:themeColor="accent1" w:themeShade="BF"/>
        </w:rPr>
        <w:instrText xml:space="preserve"> TOC \h \z \c "Figure" </w:instrText>
      </w:r>
      <w:r w:rsidRPr="001E37D1">
        <w:rPr>
          <w:rFonts w:ascii="Times New Roman" w:eastAsiaTheme="majorEastAsia" w:hAnsi="Times New Roman" w:cs="Times New Roman"/>
          <w:b/>
          <w:color w:val="365F91" w:themeColor="accent1" w:themeShade="BF"/>
        </w:rPr>
        <w:fldChar w:fldCharType="separate"/>
      </w:r>
      <w:hyperlink w:anchor="_Toc522036472" w:history="1">
        <w:r w:rsidR="001E37D1" w:rsidRPr="001E37D1">
          <w:rPr>
            <w:rStyle w:val="Hyperlink"/>
            <w:rFonts w:cs="Times New Roman"/>
            <w:noProof/>
            <w:sz w:val="22"/>
          </w:rPr>
          <w:t>Figure 1. Structure of the CGE analysis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_Toc522036472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5</w:t>
        </w:r>
        <w:r w:rsidR="001E37D1" w:rsidRPr="001E37D1">
          <w:rPr>
            <w:rFonts w:ascii="Times New Roman" w:hAnsi="Times New Roman" w:cs="Times New Roman"/>
            <w:noProof/>
            <w:webHidden/>
          </w:rPr>
          <w:fldChar w:fldCharType="end"/>
        </w:r>
      </w:hyperlink>
    </w:p>
    <w:p w14:paraId="26D12FE0" w14:textId="1E018D85" w:rsidR="001E37D1" w:rsidRPr="001E37D1" w:rsidRDefault="00460389" w:rsidP="001E37D1">
      <w:pPr>
        <w:pStyle w:val="TableofFigures"/>
        <w:jc w:val="both"/>
        <w:rPr>
          <w:rFonts w:ascii="Times New Roman" w:eastAsiaTheme="minorEastAsia" w:hAnsi="Times New Roman" w:cs="Times New Roman"/>
          <w:noProof/>
        </w:rPr>
      </w:pPr>
      <w:hyperlink w:anchor="_Toc522036473" w:history="1">
        <w:r w:rsidR="001E37D1" w:rsidRPr="001E37D1">
          <w:rPr>
            <w:rStyle w:val="Hyperlink"/>
            <w:rFonts w:cs="Times New Roman"/>
            <w:noProof/>
            <w:sz w:val="22"/>
          </w:rPr>
          <w:t>Figure 2. Schematic representation of the economic flows in the Bulgaria CGE model</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_Toc522036473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7</w:t>
        </w:r>
        <w:r w:rsidR="001E37D1" w:rsidRPr="001E37D1">
          <w:rPr>
            <w:rFonts w:ascii="Times New Roman" w:hAnsi="Times New Roman" w:cs="Times New Roman"/>
            <w:noProof/>
            <w:webHidden/>
          </w:rPr>
          <w:fldChar w:fldCharType="end"/>
        </w:r>
      </w:hyperlink>
    </w:p>
    <w:p w14:paraId="422667E3" w14:textId="4D008C75" w:rsidR="001E37D1" w:rsidRPr="001E37D1" w:rsidRDefault="00460389" w:rsidP="001E37D1">
      <w:pPr>
        <w:pStyle w:val="TableofFigures"/>
        <w:jc w:val="both"/>
        <w:rPr>
          <w:rFonts w:ascii="Times New Roman" w:eastAsiaTheme="minorEastAsia" w:hAnsi="Times New Roman" w:cs="Times New Roman"/>
          <w:noProof/>
        </w:rPr>
      </w:pPr>
      <w:hyperlink w:anchor="_Toc522036474" w:history="1">
        <w:r w:rsidR="001E37D1" w:rsidRPr="001E37D1">
          <w:rPr>
            <w:rStyle w:val="Hyperlink"/>
            <w:rFonts w:cs="Times New Roman"/>
            <w:noProof/>
            <w:sz w:val="22"/>
          </w:rPr>
          <w:t>Figure 3. Production structure in the CGE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_Toc522036474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8</w:t>
        </w:r>
        <w:r w:rsidR="001E37D1" w:rsidRPr="001E37D1">
          <w:rPr>
            <w:rFonts w:ascii="Times New Roman" w:hAnsi="Times New Roman" w:cs="Times New Roman"/>
            <w:noProof/>
            <w:webHidden/>
          </w:rPr>
          <w:fldChar w:fldCharType="end"/>
        </w:r>
      </w:hyperlink>
    </w:p>
    <w:p w14:paraId="566C3C31" w14:textId="3D2EADCF" w:rsidR="001E37D1" w:rsidRPr="001E37D1" w:rsidRDefault="00460389" w:rsidP="001E37D1">
      <w:pPr>
        <w:pStyle w:val="TableofFigures"/>
        <w:jc w:val="both"/>
        <w:rPr>
          <w:rFonts w:ascii="Times New Roman" w:eastAsiaTheme="minorEastAsia" w:hAnsi="Times New Roman" w:cs="Times New Roman"/>
          <w:noProof/>
        </w:rPr>
      </w:pPr>
      <w:hyperlink w:anchor="_Toc522036475" w:history="1">
        <w:r w:rsidR="001E37D1" w:rsidRPr="001E37D1">
          <w:rPr>
            <w:rStyle w:val="Hyperlink"/>
            <w:rFonts w:cs="Times New Roman"/>
            <w:noProof/>
            <w:sz w:val="22"/>
          </w:rPr>
          <w:t>Figure 4. Household demand for goods and services in the Bulgaria CGE model</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_Toc522036475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9</w:t>
        </w:r>
        <w:r w:rsidR="001E37D1" w:rsidRPr="001E37D1">
          <w:rPr>
            <w:rFonts w:ascii="Times New Roman" w:hAnsi="Times New Roman" w:cs="Times New Roman"/>
            <w:noProof/>
            <w:webHidden/>
          </w:rPr>
          <w:fldChar w:fldCharType="end"/>
        </w:r>
      </w:hyperlink>
    </w:p>
    <w:p w14:paraId="114DFDA5" w14:textId="0D79058C" w:rsidR="001E37D1" w:rsidRPr="001E37D1" w:rsidRDefault="00460389" w:rsidP="001E37D1">
      <w:pPr>
        <w:pStyle w:val="TableofFigures"/>
        <w:jc w:val="both"/>
        <w:rPr>
          <w:rFonts w:ascii="Times New Roman" w:eastAsiaTheme="minorEastAsia" w:hAnsi="Times New Roman" w:cs="Times New Roman"/>
          <w:noProof/>
        </w:rPr>
      </w:pPr>
      <w:hyperlink w:anchor="_Toc522036476" w:history="1">
        <w:r w:rsidR="001E37D1" w:rsidRPr="001E37D1">
          <w:rPr>
            <w:rStyle w:val="Hyperlink"/>
            <w:rFonts w:cs="Times New Roman"/>
            <w:noProof/>
            <w:sz w:val="22"/>
          </w:rPr>
          <w:t>Figure 5. Detailed representation - land and water modules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_Toc522036476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11</w:t>
        </w:r>
        <w:r w:rsidR="001E37D1" w:rsidRPr="001E37D1">
          <w:rPr>
            <w:rFonts w:ascii="Times New Roman" w:hAnsi="Times New Roman" w:cs="Times New Roman"/>
            <w:noProof/>
            <w:webHidden/>
          </w:rPr>
          <w:fldChar w:fldCharType="end"/>
        </w:r>
      </w:hyperlink>
    </w:p>
    <w:p w14:paraId="78084E3F" w14:textId="6A20E655" w:rsidR="001E37D1" w:rsidRPr="001E37D1" w:rsidRDefault="00460389" w:rsidP="001E37D1">
      <w:pPr>
        <w:pStyle w:val="TableofFigures"/>
        <w:jc w:val="both"/>
        <w:rPr>
          <w:rFonts w:ascii="Times New Roman" w:eastAsiaTheme="minorEastAsia" w:hAnsi="Times New Roman" w:cs="Times New Roman"/>
          <w:noProof/>
        </w:rPr>
      </w:pPr>
      <w:hyperlink w:anchor="_Toc522036477" w:history="1">
        <w:r w:rsidR="001E37D1" w:rsidRPr="001E37D1">
          <w:rPr>
            <w:rStyle w:val="Hyperlink"/>
            <w:rFonts w:cs="Times New Roman"/>
            <w:noProof/>
            <w:sz w:val="22"/>
          </w:rPr>
          <w:t>Figure 6. Land demand in the Bulgaria CGE model</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_Toc522036477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11</w:t>
        </w:r>
        <w:r w:rsidR="001E37D1" w:rsidRPr="001E37D1">
          <w:rPr>
            <w:rFonts w:ascii="Times New Roman" w:hAnsi="Times New Roman" w:cs="Times New Roman"/>
            <w:noProof/>
            <w:webHidden/>
          </w:rPr>
          <w:fldChar w:fldCharType="end"/>
        </w:r>
      </w:hyperlink>
    </w:p>
    <w:p w14:paraId="71AEC6A3" w14:textId="149839BA" w:rsidR="001E37D1" w:rsidRPr="001E37D1" w:rsidRDefault="00460389" w:rsidP="001E37D1">
      <w:pPr>
        <w:pStyle w:val="TableofFigures"/>
        <w:jc w:val="both"/>
        <w:rPr>
          <w:rFonts w:ascii="Times New Roman" w:eastAsiaTheme="minorEastAsia" w:hAnsi="Times New Roman" w:cs="Times New Roman"/>
          <w:noProof/>
        </w:rPr>
      </w:pPr>
      <w:hyperlink w:anchor="_Toc522036478" w:history="1">
        <w:r w:rsidR="001E37D1" w:rsidRPr="001E37D1">
          <w:rPr>
            <w:rStyle w:val="Hyperlink"/>
            <w:rFonts w:cs="Times New Roman"/>
            <w:noProof/>
            <w:sz w:val="22"/>
          </w:rPr>
          <w:t>Figure 7. Types of agriculture and livestock production</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_Toc522036478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12</w:t>
        </w:r>
        <w:r w:rsidR="001E37D1" w:rsidRPr="001E37D1">
          <w:rPr>
            <w:rFonts w:ascii="Times New Roman" w:hAnsi="Times New Roman" w:cs="Times New Roman"/>
            <w:noProof/>
            <w:webHidden/>
          </w:rPr>
          <w:fldChar w:fldCharType="end"/>
        </w:r>
      </w:hyperlink>
    </w:p>
    <w:p w14:paraId="59074FE1" w14:textId="59F98691" w:rsidR="001E37D1" w:rsidRPr="001E37D1" w:rsidRDefault="00460389" w:rsidP="001E37D1">
      <w:pPr>
        <w:pStyle w:val="TableofFigures"/>
        <w:jc w:val="both"/>
        <w:rPr>
          <w:rFonts w:ascii="Times New Roman" w:eastAsiaTheme="minorEastAsia" w:hAnsi="Times New Roman" w:cs="Times New Roman"/>
          <w:noProof/>
        </w:rPr>
      </w:pPr>
      <w:hyperlink w:anchor="_Toc522036479" w:history="1">
        <w:r w:rsidR="001E37D1" w:rsidRPr="001E37D1">
          <w:rPr>
            <w:rStyle w:val="Hyperlink"/>
            <w:rFonts w:cs="Times New Roman"/>
            <w:noProof/>
            <w:sz w:val="22"/>
          </w:rPr>
          <w:t>Figure 8. AEZs in Bulgaria</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_Toc522036479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12</w:t>
        </w:r>
        <w:r w:rsidR="001E37D1" w:rsidRPr="001E37D1">
          <w:rPr>
            <w:rFonts w:ascii="Times New Roman" w:hAnsi="Times New Roman" w:cs="Times New Roman"/>
            <w:noProof/>
            <w:webHidden/>
          </w:rPr>
          <w:fldChar w:fldCharType="end"/>
        </w:r>
      </w:hyperlink>
    </w:p>
    <w:p w14:paraId="08903D8A" w14:textId="06F440AF" w:rsidR="001E37D1" w:rsidRPr="001E37D1" w:rsidRDefault="00460389" w:rsidP="001E37D1">
      <w:pPr>
        <w:pStyle w:val="TableofFigures"/>
        <w:jc w:val="both"/>
        <w:rPr>
          <w:rFonts w:ascii="Times New Roman" w:eastAsiaTheme="minorEastAsia" w:hAnsi="Times New Roman" w:cs="Times New Roman"/>
          <w:noProof/>
        </w:rPr>
      </w:pPr>
      <w:hyperlink w:anchor="_Toc522036480" w:history="1">
        <w:r w:rsidR="001E37D1" w:rsidRPr="001E37D1">
          <w:rPr>
            <w:rStyle w:val="Hyperlink"/>
            <w:rFonts w:cs="Times New Roman"/>
            <w:noProof/>
            <w:sz w:val="22"/>
          </w:rPr>
          <w:t>Figure 9. Land supply in the Bulgaria CGE model</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_Toc522036480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13</w:t>
        </w:r>
        <w:r w:rsidR="001E37D1" w:rsidRPr="001E37D1">
          <w:rPr>
            <w:rFonts w:ascii="Times New Roman" w:hAnsi="Times New Roman" w:cs="Times New Roman"/>
            <w:noProof/>
            <w:webHidden/>
          </w:rPr>
          <w:fldChar w:fldCharType="end"/>
        </w:r>
      </w:hyperlink>
    </w:p>
    <w:p w14:paraId="20957F99" w14:textId="446EBAC1" w:rsidR="001E37D1" w:rsidRPr="001E37D1" w:rsidRDefault="00460389" w:rsidP="001E37D1">
      <w:pPr>
        <w:pStyle w:val="TableofFigures"/>
        <w:jc w:val="both"/>
        <w:rPr>
          <w:rFonts w:ascii="Times New Roman" w:eastAsiaTheme="minorEastAsia" w:hAnsi="Times New Roman" w:cs="Times New Roman"/>
          <w:noProof/>
        </w:rPr>
      </w:pPr>
      <w:hyperlink w:anchor="_Toc522036481" w:history="1">
        <w:r w:rsidR="001E37D1" w:rsidRPr="001E37D1">
          <w:rPr>
            <w:rStyle w:val="Hyperlink"/>
            <w:rFonts w:cs="Times New Roman"/>
            <w:noProof/>
            <w:sz w:val="22"/>
          </w:rPr>
          <w:t>Figure 10. Global AEZs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_Toc522036481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14</w:t>
        </w:r>
        <w:r w:rsidR="001E37D1" w:rsidRPr="001E37D1">
          <w:rPr>
            <w:rFonts w:ascii="Times New Roman" w:hAnsi="Times New Roman" w:cs="Times New Roman"/>
            <w:noProof/>
            <w:webHidden/>
          </w:rPr>
          <w:fldChar w:fldCharType="end"/>
        </w:r>
      </w:hyperlink>
    </w:p>
    <w:p w14:paraId="224CC75B" w14:textId="319E96B3" w:rsidR="001E37D1" w:rsidRPr="001E37D1" w:rsidRDefault="00460389" w:rsidP="001E37D1">
      <w:pPr>
        <w:pStyle w:val="TableofFigures"/>
        <w:jc w:val="both"/>
        <w:rPr>
          <w:rFonts w:ascii="Times New Roman" w:eastAsiaTheme="minorEastAsia" w:hAnsi="Times New Roman" w:cs="Times New Roman"/>
          <w:noProof/>
        </w:rPr>
      </w:pPr>
      <w:hyperlink w:anchor="_Toc522036482" w:history="1">
        <w:r w:rsidR="001E37D1" w:rsidRPr="001E37D1">
          <w:rPr>
            <w:rStyle w:val="Hyperlink"/>
            <w:rFonts w:cs="Times New Roman"/>
            <w:noProof/>
            <w:sz w:val="22"/>
          </w:rPr>
          <w:t>Figure 11. Bulgaria AEZs based on global AEZ classification</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_Toc522036482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15</w:t>
        </w:r>
        <w:r w:rsidR="001E37D1" w:rsidRPr="001E37D1">
          <w:rPr>
            <w:rFonts w:ascii="Times New Roman" w:hAnsi="Times New Roman" w:cs="Times New Roman"/>
            <w:noProof/>
            <w:webHidden/>
          </w:rPr>
          <w:fldChar w:fldCharType="end"/>
        </w:r>
      </w:hyperlink>
    </w:p>
    <w:p w14:paraId="7688BF6D" w14:textId="4034B762" w:rsidR="001E37D1" w:rsidRPr="001E37D1" w:rsidRDefault="00460389" w:rsidP="001E37D1">
      <w:pPr>
        <w:pStyle w:val="TableofFigures"/>
        <w:jc w:val="both"/>
        <w:rPr>
          <w:rFonts w:ascii="Times New Roman" w:eastAsiaTheme="minorEastAsia" w:hAnsi="Times New Roman" w:cs="Times New Roman"/>
          <w:noProof/>
        </w:rPr>
      </w:pPr>
      <w:hyperlink w:anchor="_Toc522036483" w:history="1">
        <w:r w:rsidR="001E37D1" w:rsidRPr="001E37D1">
          <w:rPr>
            <w:rStyle w:val="Hyperlink"/>
            <w:rFonts w:cs="Times New Roman"/>
            <w:noProof/>
            <w:sz w:val="22"/>
          </w:rPr>
          <w:t>Figure 12. Water use (million m</w:t>
        </w:r>
        <w:r w:rsidR="001E37D1" w:rsidRPr="001E37D1">
          <w:rPr>
            <w:rStyle w:val="Hyperlink"/>
            <w:rFonts w:cs="Times New Roman"/>
            <w:noProof/>
            <w:sz w:val="22"/>
            <w:vertAlign w:val="superscript"/>
          </w:rPr>
          <w:t>3</w:t>
        </w:r>
        <w:r w:rsidR="001E37D1" w:rsidRPr="001E37D1">
          <w:rPr>
            <w:rStyle w:val="Hyperlink"/>
            <w:rFonts w:cs="Times New Roman"/>
            <w:noProof/>
            <w:sz w:val="22"/>
          </w:rPr>
          <w:t>) by sector and RB, 2011</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_Toc522036483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16</w:t>
        </w:r>
        <w:r w:rsidR="001E37D1" w:rsidRPr="001E37D1">
          <w:rPr>
            <w:rFonts w:ascii="Times New Roman" w:hAnsi="Times New Roman" w:cs="Times New Roman"/>
            <w:noProof/>
            <w:webHidden/>
          </w:rPr>
          <w:fldChar w:fldCharType="end"/>
        </w:r>
      </w:hyperlink>
    </w:p>
    <w:p w14:paraId="7724C2D6" w14:textId="558960FA" w:rsidR="001E37D1" w:rsidRPr="001E37D1" w:rsidRDefault="00460389" w:rsidP="001E37D1">
      <w:pPr>
        <w:pStyle w:val="TableofFigures"/>
        <w:jc w:val="both"/>
        <w:rPr>
          <w:rFonts w:ascii="Times New Roman" w:eastAsiaTheme="minorEastAsia" w:hAnsi="Times New Roman" w:cs="Times New Roman"/>
          <w:noProof/>
        </w:rPr>
      </w:pPr>
      <w:hyperlink w:anchor="_Toc522036484" w:history="1">
        <w:r w:rsidR="001E37D1" w:rsidRPr="001E37D1">
          <w:rPr>
            <w:rStyle w:val="Hyperlink"/>
            <w:rFonts w:cs="Times New Roman"/>
            <w:noProof/>
            <w:sz w:val="22"/>
          </w:rPr>
          <w:t>Figure 13. Average water tariff by sector and RB, 2011 (US$)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_Toc522036484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16</w:t>
        </w:r>
        <w:r w:rsidR="001E37D1" w:rsidRPr="001E37D1">
          <w:rPr>
            <w:rFonts w:ascii="Times New Roman" w:hAnsi="Times New Roman" w:cs="Times New Roman"/>
            <w:noProof/>
            <w:webHidden/>
          </w:rPr>
          <w:fldChar w:fldCharType="end"/>
        </w:r>
      </w:hyperlink>
    </w:p>
    <w:p w14:paraId="585390E3" w14:textId="5B4F2BD1" w:rsidR="001E37D1" w:rsidRPr="001E37D1" w:rsidRDefault="00460389" w:rsidP="001E37D1">
      <w:pPr>
        <w:pStyle w:val="TableofFigures"/>
        <w:jc w:val="both"/>
        <w:rPr>
          <w:rFonts w:ascii="Times New Roman" w:eastAsiaTheme="minorEastAsia" w:hAnsi="Times New Roman" w:cs="Times New Roman"/>
          <w:noProof/>
        </w:rPr>
      </w:pPr>
      <w:hyperlink w:anchor="_Toc522036485" w:history="1">
        <w:r w:rsidR="001E37D1" w:rsidRPr="001E37D1">
          <w:rPr>
            <w:rStyle w:val="Hyperlink"/>
            <w:rFonts w:cs="Times New Roman"/>
            <w:noProof/>
            <w:sz w:val="22"/>
          </w:rPr>
          <w:t>Figure 14. Projected change in monthly temperature in Bulgaria in 2020–2039 (RCP 8.5)</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_Toc522036485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21</w:t>
        </w:r>
        <w:r w:rsidR="001E37D1" w:rsidRPr="001E37D1">
          <w:rPr>
            <w:rFonts w:ascii="Times New Roman" w:hAnsi="Times New Roman" w:cs="Times New Roman"/>
            <w:noProof/>
            <w:webHidden/>
          </w:rPr>
          <w:fldChar w:fldCharType="end"/>
        </w:r>
      </w:hyperlink>
    </w:p>
    <w:p w14:paraId="18EA4C21" w14:textId="47552BED" w:rsidR="001E37D1" w:rsidRPr="001E37D1" w:rsidRDefault="00460389" w:rsidP="001E37D1">
      <w:pPr>
        <w:pStyle w:val="TableofFigures"/>
        <w:jc w:val="both"/>
        <w:rPr>
          <w:rFonts w:ascii="Times New Roman" w:eastAsiaTheme="minorEastAsia" w:hAnsi="Times New Roman" w:cs="Times New Roman"/>
          <w:noProof/>
        </w:rPr>
      </w:pPr>
      <w:hyperlink w:anchor="_Toc522036486" w:history="1">
        <w:r w:rsidR="001E37D1" w:rsidRPr="001E37D1">
          <w:rPr>
            <w:rStyle w:val="Hyperlink"/>
            <w:rFonts w:cs="Times New Roman"/>
            <w:noProof/>
            <w:sz w:val="22"/>
          </w:rPr>
          <w:t>Figure 15. Projected change in monthly temperature in Bulgaria in 2040–2059 (RCP 8.5)</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_Toc522036486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21</w:t>
        </w:r>
        <w:r w:rsidR="001E37D1" w:rsidRPr="001E37D1">
          <w:rPr>
            <w:rFonts w:ascii="Times New Roman" w:hAnsi="Times New Roman" w:cs="Times New Roman"/>
            <w:noProof/>
            <w:webHidden/>
          </w:rPr>
          <w:fldChar w:fldCharType="end"/>
        </w:r>
      </w:hyperlink>
    </w:p>
    <w:p w14:paraId="6F774489" w14:textId="4BF95AA5" w:rsidR="001E37D1" w:rsidRPr="001E37D1" w:rsidRDefault="00460389" w:rsidP="001E37D1">
      <w:pPr>
        <w:pStyle w:val="TableofFigures"/>
        <w:jc w:val="both"/>
        <w:rPr>
          <w:rFonts w:ascii="Times New Roman" w:eastAsiaTheme="minorEastAsia" w:hAnsi="Times New Roman" w:cs="Times New Roman"/>
          <w:noProof/>
        </w:rPr>
      </w:pPr>
      <w:hyperlink w:anchor="_Toc522036487" w:history="1">
        <w:r w:rsidR="001E37D1" w:rsidRPr="001E37D1">
          <w:rPr>
            <w:rStyle w:val="Hyperlink"/>
            <w:rFonts w:cs="Times New Roman"/>
            <w:noProof/>
            <w:sz w:val="22"/>
          </w:rPr>
          <w:t>Figure 16. Population projections for Bulgaria (total population, constant fertility and migration rate)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_Toc522036487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25</w:t>
        </w:r>
        <w:r w:rsidR="001E37D1" w:rsidRPr="001E37D1">
          <w:rPr>
            <w:rFonts w:ascii="Times New Roman" w:hAnsi="Times New Roman" w:cs="Times New Roman"/>
            <w:noProof/>
            <w:webHidden/>
          </w:rPr>
          <w:fldChar w:fldCharType="end"/>
        </w:r>
      </w:hyperlink>
    </w:p>
    <w:p w14:paraId="4D8D1E99" w14:textId="72271181" w:rsidR="001E37D1" w:rsidRPr="001E37D1" w:rsidRDefault="00460389" w:rsidP="001E37D1">
      <w:pPr>
        <w:pStyle w:val="TableofFigures"/>
        <w:jc w:val="both"/>
        <w:rPr>
          <w:rFonts w:ascii="Times New Roman" w:eastAsiaTheme="minorEastAsia" w:hAnsi="Times New Roman" w:cs="Times New Roman"/>
          <w:noProof/>
        </w:rPr>
      </w:pPr>
      <w:hyperlink w:anchor="_Toc522036488" w:history="1">
        <w:r w:rsidR="001E37D1" w:rsidRPr="001E37D1">
          <w:rPr>
            <w:rStyle w:val="Hyperlink"/>
            <w:rFonts w:cs="Times New Roman"/>
            <w:noProof/>
            <w:sz w:val="22"/>
          </w:rPr>
          <w:t>Figure 17. GDP composition in 2011 (inner circle) and 2050 (outer circle),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_Toc522036488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25</w:t>
        </w:r>
        <w:r w:rsidR="001E37D1" w:rsidRPr="001E37D1">
          <w:rPr>
            <w:rFonts w:ascii="Times New Roman" w:hAnsi="Times New Roman" w:cs="Times New Roman"/>
            <w:noProof/>
            <w:webHidden/>
          </w:rPr>
          <w:fldChar w:fldCharType="end"/>
        </w:r>
      </w:hyperlink>
    </w:p>
    <w:p w14:paraId="39DBC3E6" w14:textId="1F36222F" w:rsidR="001E37D1" w:rsidRPr="001E37D1" w:rsidRDefault="00460389" w:rsidP="001E37D1">
      <w:pPr>
        <w:pStyle w:val="TableofFigures"/>
        <w:jc w:val="both"/>
        <w:rPr>
          <w:rFonts w:ascii="Times New Roman" w:eastAsiaTheme="minorEastAsia" w:hAnsi="Times New Roman" w:cs="Times New Roman"/>
          <w:noProof/>
        </w:rPr>
      </w:pPr>
      <w:hyperlink w:anchor="_Toc522036489" w:history="1">
        <w:r w:rsidR="001E37D1" w:rsidRPr="001E37D1">
          <w:rPr>
            <w:rStyle w:val="Hyperlink"/>
            <w:rFonts w:cs="Times New Roman"/>
            <w:noProof/>
            <w:sz w:val="22"/>
          </w:rPr>
          <w:t>Figure 18. Household revenues from agricultural activities (2020–2050) without climate change, compared to the year 2011</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_Toc522036489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26</w:t>
        </w:r>
        <w:r w:rsidR="001E37D1" w:rsidRPr="001E37D1">
          <w:rPr>
            <w:rFonts w:ascii="Times New Roman" w:hAnsi="Times New Roman" w:cs="Times New Roman"/>
            <w:noProof/>
            <w:webHidden/>
          </w:rPr>
          <w:fldChar w:fldCharType="end"/>
        </w:r>
      </w:hyperlink>
    </w:p>
    <w:p w14:paraId="3EF7331C" w14:textId="49882A64" w:rsidR="001E37D1" w:rsidRPr="001E37D1" w:rsidRDefault="00460389" w:rsidP="001E37D1">
      <w:pPr>
        <w:pStyle w:val="TableofFigures"/>
        <w:jc w:val="both"/>
        <w:rPr>
          <w:rFonts w:ascii="Times New Roman" w:eastAsiaTheme="minorEastAsia" w:hAnsi="Times New Roman" w:cs="Times New Roman"/>
          <w:noProof/>
        </w:rPr>
      </w:pPr>
      <w:hyperlink w:anchor="_Toc522036490" w:history="1">
        <w:r w:rsidR="001E37D1" w:rsidRPr="001E37D1">
          <w:rPr>
            <w:rStyle w:val="Hyperlink"/>
            <w:rFonts w:cs="Times New Roman"/>
            <w:noProof/>
            <w:sz w:val="22"/>
          </w:rPr>
          <w:t>Figure 19. Impact of climate change on real GDP growth by 2050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_Toc522036490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27</w:t>
        </w:r>
        <w:r w:rsidR="001E37D1" w:rsidRPr="001E37D1">
          <w:rPr>
            <w:rFonts w:ascii="Times New Roman" w:hAnsi="Times New Roman" w:cs="Times New Roman"/>
            <w:noProof/>
            <w:webHidden/>
          </w:rPr>
          <w:fldChar w:fldCharType="end"/>
        </w:r>
      </w:hyperlink>
    </w:p>
    <w:p w14:paraId="2C7089DF" w14:textId="18062274" w:rsidR="001E37D1" w:rsidRPr="001E37D1" w:rsidRDefault="00460389" w:rsidP="001E37D1">
      <w:pPr>
        <w:pStyle w:val="TableofFigures"/>
        <w:jc w:val="both"/>
        <w:rPr>
          <w:rFonts w:ascii="Times New Roman" w:eastAsiaTheme="minorEastAsia" w:hAnsi="Times New Roman" w:cs="Times New Roman"/>
          <w:noProof/>
        </w:rPr>
      </w:pPr>
      <w:hyperlink w:anchor="_Toc522036491" w:history="1">
        <w:r w:rsidR="001E37D1" w:rsidRPr="001E37D1">
          <w:rPr>
            <w:rStyle w:val="Hyperlink"/>
            <w:rFonts w:cs="Times New Roman"/>
            <w:noProof/>
            <w:sz w:val="22"/>
          </w:rPr>
          <w:t>Figure 20. Impact of climate change on domestic output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_Toc522036491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30</w:t>
        </w:r>
        <w:r w:rsidR="001E37D1" w:rsidRPr="001E37D1">
          <w:rPr>
            <w:rFonts w:ascii="Times New Roman" w:hAnsi="Times New Roman" w:cs="Times New Roman"/>
            <w:noProof/>
            <w:webHidden/>
          </w:rPr>
          <w:fldChar w:fldCharType="end"/>
        </w:r>
      </w:hyperlink>
    </w:p>
    <w:p w14:paraId="7465FB89" w14:textId="24934F33" w:rsidR="001E37D1" w:rsidRPr="001E37D1" w:rsidRDefault="00460389" w:rsidP="001E37D1">
      <w:pPr>
        <w:pStyle w:val="TableofFigures"/>
        <w:jc w:val="both"/>
        <w:rPr>
          <w:rFonts w:ascii="Times New Roman" w:eastAsiaTheme="minorEastAsia" w:hAnsi="Times New Roman" w:cs="Times New Roman"/>
          <w:noProof/>
        </w:rPr>
      </w:pPr>
      <w:hyperlink w:anchor="_Toc522036492" w:history="1">
        <w:r w:rsidR="001E37D1" w:rsidRPr="001E37D1">
          <w:rPr>
            <w:rStyle w:val="Hyperlink"/>
            <w:rFonts w:cs="Times New Roman"/>
            <w:noProof/>
            <w:sz w:val="22"/>
          </w:rPr>
          <w:t>Figure 21. Climate change impact on sectoral allocation of labor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_Toc522036492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31</w:t>
        </w:r>
        <w:r w:rsidR="001E37D1" w:rsidRPr="001E37D1">
          <w:rPr>
            <w:rFonts w:ascii="Times New Roman" w:hAnsi="Times New Roman" w:cs="Times New Roman"/>
            <w:noProof/>
            <w:webHidden/>
          </w:rPr>
          <w:fldChar w:fldCharType="end"/>
        </w:r>
      </w:hyperlink>
    </w:p>
    <w:p w14:paraId="076FBA92" w14:textId="78C5D2BB" w:rsidR="001E37D1" w:rsidRPr="001E37D1" w:rsidRDefault="00460389" w:rsidP="001E37D1">
      <w:pPr>
        <w:pStyle w:val="TableofFigures"/>
        <w:jc w:val="both"/>
        <w:rPr>
          <w:rFonts w:ascii="Times New Roman" w:eastAsiaTheme="minorEastAsia" w:hAnsi="Times New Roman" w:cs="Times New Roman"/>
          <w:noProof/>
        </w:rPr>
      </w:pPr>
      <w:hyperlink w:anchor="_Toc522036493" w:history="1">
        <w:r w:rsidR="001E37D1" w:rsidRPr="001E37D1">
          <w:rPr>
            <w:rStyle w:val="Hyperlink"/>
            <w:rFonts w:cs="Times New Roman"/>
            <w:noProof/>
            <w:sz w:val="22"/>
          </w:rPr>
          <w:t>Figure 22. Impacts of climate change on trade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_Toc522036493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31</w:t>
        </w:r>
        <w:r w:rsidR="001E37D1" w:rsidRPr="001E37D1">
          <w:rPr>
            <w:rFonts w:ascii="Times New Roman" w:hAnsi="Times New Roman" w:cs="Times New Roman"/>
            <w:noProof/>
            <w:webHidden/>
          </w:rPr>
          <w:fldChar w:fldCharType="end"/>
        </w:r>
      </w:hyperlink>
    </w:p>
    <w:p w14:paraId="645539FF" w14:textId="60C7E823" w:rsidR="001E37D1" w:rsidRPr="001E37D1" w:rsidRDefault="00460389" w:rsidP="001E37D1">
      <w:pPr>
        <w:pStyle w:val="TableofFigures"/>
        <w:jc w:val="both"/>
        <w:rPr>
          <w:rFonts w:ascii="Times New Roman" w:eastAsiaTheme="minorEastAsia" w:hAnsi="Times New Roman" w:cs="Times New Roman"/>
          <w:noProof/>
        </w:rPr>
      </w:pPr>
      <w:hyperlink w:anchor="_Toc522036494" w:history="1">
        <w:r w:rsidR="001E37D1" w:rsidRPr="001E37D1">
          <w:rPr>
            <w:rStyle w:val="Hyperlink"/>
            <w:rFonts w:cs="Times New Roman"/>
            <w:noProof/>
            <w:sz w:val="22"/>
          </w:rPr>
          <w:t>Figure 23. Impact of climate change on real domestic prices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_Toc522036494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32</w:t>
        </w:r>
        <w:r w:rsidR="001E37D1" w:rsidRPr="001E37D1">
          <w:rPr>
            <w:rFonts w:ascii="Times New Roman" w:hAnsi="Times New Roman" w:cs="Times New Roman"/>
            <w:noProof/>
            <w:webHidden/>
          </w:rPr>
          <w:fldChar w:fldCharType="end"/>
        </w:r>
      </w:hyperlink>
    </w:p>
    <w:p w14:paraId="349EC600" w14:textId="0ABEA64C" w:rsidR="001E37D1" w:rsidRPr="001E37D1" w:rsidRDefault="00460389" w:rsidP="001E37D1">
      <w:pPr>
        <w:pStyle w:val="TableofFigures"/>
        <w:jc w:val="both"/>
        <w:rPr>
          <w:rFonts w:ascii="Times New Roman" w:eastAsiaTheme="minorEastAsia" w:hAnsi="Times New Roman" w:cs="Times New Roman"/>
          <w:noProof/>
        </w:rPr>
      </w:pPr>
      <w:hyperlink w:anchor="_Toc522036495" w:history="1">
        <w:r w:rsidR="001E37D1" w:rsidRPr="001E37D1">
          <w:rPr>
            <w:rStyle w:val="Hyperlink"/>
            <w:rFonts w:cs="Times New Roman"/>
            <w:noProof/>
            <w:sz w:val="22"/>
          </w:rPr>
          <w:t>Figure 24. Impact of climate change on real returns to factors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_Toc522036495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32</w:t>
        </w:r>
        <w:r w:rsidR="001E37D1" w:rsidRPr="001E37D1">
          <w:rPr>
            <w:rFonts w:ascii="Times New Roman" w:hAnsi="Times New Roman" w:cs="Times New Roman"/>
            <w:noProof/>
            <w:webHidden/>
          </w:rPr>
          <w:fldChar w:fldCharType="end"/>
        </w:r>
      </w:hyperlink>
    </w:p>
    <w:p w14:paraId="4A1ECA16" w14:textId="38F17F0D" w:rsidR="001E37D1" w:rsidRPr="001E37D1" w:rsidRDefault="00460389" w:rsidP="001E37D1">
      <w:pPr>
        <w:pStyle w:val="TableofFigures"/>
        <w:jc w:val="both"/>
        <w:rPr>
          <w:rFonts w:ascii="Times New Roman" w:eastAsiaTheme="minorEastAsia" w:hAnsi="Times New Roman" w:cs="Times New Roman"/>
          <w:noProof/>
        </w:rPr>
      </w:pPr>
      <w:hyperlink w:anchor="_Toc522036496" w:history="1">
        <w:r w:rsidR="001E37D1" w:rsidRPr="001E37D1">
          <w:rPr>
            <w:rStyle w:val="Hyperlink"/>
            <w:rFonts w:cs="Times New Roman"/>
            <w:noProof/>
            <w:sz w:val="22"/>
          </w:rPr>
          <w:t>Figure 25. Climate change impact on agriculture output at the basin level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_Toc522036496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33</w:t>
        </w:r>
        <w:r w:rsidR="001E37D1" w:rsidRPr="001E37D1">
          <w:rPr>
            <w:rFonts w:ascii="Times New Roman" w:hAnsi="Times New Roman" w:cs="Times New Roman"/>
            <w:noProof/>
            <w:webHidden/>
          </w:rPr>
          <w:fldChar w:fldCharType="end"/>
        </w:r>
      </w:hyperlink>
    </w:p>
    <w:p w14:paraId="1A3B90E6" w14:textId="5E8A95B2" w:rsidR="001E37D1" w:rsidRPr="001E37D1" w:rsidRDefault="00460389" w:rsidP="001E37D1">
      <w:pPr>
        <w:pStyle w:val="TableofFigures"/>
        <w:jc w:val="both"/>
        <w:rPr>
          <w:rFonts w:ascii="Times New Roman" w:eastAsiaTheme="minorEastAsia" w:hAnsi="Times New Roman" w:cs="Times New Roman"/>
          <w:noProof/>
        </w:rPr>
      </w:pPr>
      <w:hyperlink w:anchor="_Toc522036497" w:history="1">
        <w:r w:rsidR="001E37D1" w:rsidRPr="001E37D1">
          <w:rPr>
            <w:rStyle w:val="Hyperlink"/>
            <w:rFonts w:cs="Times New Roman"/>
            <w:noProof/>
            <w:sz w:val="22"/>
          </w:rPr>
          <w:t>Figure 26. Welfare changes due to climate change in comparison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_Toc522036497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34</w:t>
        </w:r>
        <w:r w:rsidR="001E37D1" w:rsidRPr="001E37D1">
          <w:rPr>
            <w:rFonts w:ascii="Times New Roman" w:hAnsi="Times New Roman" w:cs="Times New Roman"/>
            <w:noProof/>
            <w:webHidden/>
          </w:rPr>
          <w:fldChar w:fldCharType="end"/>
        </w:r>
      </w:hyperlink>
    </w:p>
    <w:p w14:paraId="7A329866" w14:textId="18A733E7" w:rsidR="001E37D1" w:rsidRPr="001E37D1" w:rsidRDefault="00460389" w:rsidP="001E37D1">
      <w:pPr>
        <w:pStyle w:val="TableofFigures"/>
        <w:jc w:val="both"/>
        <w:rPr>
          <w:rFonts w:ascii="Times New Roman" w:eastAsiaTheme="minorEastAsia" w:hAnsi="Times New Roman" w:cs="Times New Roman"/>
          <w:noProof/>
        </w:rPr>
      </w:pPr>
      <w:hyperlink w:anchor="_Toc522036498" w:history="1">
        <w:r w:rsidR="001E37D1" w:rsidRPr="001E37D1">
          <w:rPr>
            <w:rStyle w:val="Hyperlink"/>
            <w:rFonts w:cs="Times New Roman"/>
            <w:noProof/>
            <w:sz w:val="22"/>
          </w:rPr>
          <w:t>Figure 27. Decomposing welfare change (as percentage of GDP,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_Toc522036498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35</w:t>
        </w:r>
        <w:r w:rsidR="001E37D1" w:rsidRPr="001E37D1">
          <w:rPr>
            <w:rFonts w:ascii="Times New Roman" w:hAnsi="Times New Roman" w:cs="Times New Roman"/>
            <w:noProof/>
            <w:webHidden/>
          </w:rPr>
          <w:fldChar w:fldCharType="end"/>
        </w:r>
      </w:hyperlink>
    </w:p>
    <w:p w14:paraId="020D80E3" w14:textId="0946E5B0" w:rsidR="001E37D1" w:rsidRPr="001E37D1" w:rsidRDefault="00460389" w:rsidP="001E37D1">
      <w:pPr>
        <w:pStyle w:val="TableofFigures"/>
        <w:jc w:val="both"/>
        <w:rPr>
          <w:rFonts w:ascii="Times New Roman" w:eastAsiaTheme="minorEastAsia" w:hAnsi="Times New Roman" w:cs="Times New Roman"/>
          <w:noProof/>
        </w:rPr>
      </w:pPr>
      <w:hyperlink w:anchor="_Toc522036499" w:history="1">
        <w:r w:rsidR="001E37D1" w:rsidRPr="001E37D1">
          <w:rPr>
            <w:rStyle w:val="Hyperlink"/>
            <w:rFonts w:cs="Times New Roman"/>
            <w:noProof/>
            <w:sz w:val="22"/>
          </w:rPr>
          <w:t>Figure 28. Structure of the Bulgarian economy by 2050 (percent share – Gross Value Added)</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_Toc522036499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36</w:t>
        </w:r>
        <w:r w:rsidR="001E37D1" w:rsidRPr="001E37D1">
          <w:rPr>
            <w:rFonts w:ascii="Times New Roman" w:hAnsi="Times New Roman" w:cs="Times New Roman"/>
            <w:noProof/>
            <w:webHidden/>
          </w:rPr>
          <w:fldChar w:fldCharType="end"/>
        </w:r>
      </w:hyperlink>
    </w:p>
    <w:p w14:paraId="5B163372" w14:textId="0CA10910" w:rsidR="001E37D1" w:rsidRPr="001E37D1" w:rsidRDefault="00460389" w:rsidP="001E37D1">
      <w:pPr>
        <w:pStyle w:val="TableofFigures"/>
        <w:jc w:val="both"/>
        <w:rPr>
          <w:rFonts w:ascii="Times New Roman" w:eastAsiaTheme="minorEastAsia" w:hAnsi="Times New Roman" w:cs="Times New Roman"/>
          <w:noProof/>
        </w:rPr>
      </w:pPr>
      <w:hyperlink w:anchor="_Toc522036500" w:history="1">
        <w:r w:rsidR="001E37D1" w:rsidRPr="001E37D1">
          <w:rPr>
            <w:rStyle w:val="Hyperlink"/>
            <w:rFonts w:cs="Times New Roman"/>
            <w:noProof/>
            <w:sz w:val="22"/>
          </w:rPr>
          <w:t>Figure 29. The adaptation cost curve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_Toc522036500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38</w:t>
        </w:r>
        <w:r w:rsidR="001E37D1" w:rsidRPr="001E37D1">
          <w:rPr>
            <w:rFonts w:ascii="Times New Roman" w:hAnsi="Times New Roman" w:cs="Times New Roman"/>
            <w:noProof/>
            <w:webHidden/>
          </w:rPr>
          <w:fldChar w:fldCharType="end"/>
        </w:r>
      </w:hyperlink>
    </w:p>
    <w:p w14:paraId="7DC071FB" w14:textId="0A92C596" w:rsidR="001E37D1" w:rsidRPr="001E37D1" w:rsidRDefault="00460389" w:rsidP="001E37D1">
      <w:pPr>
        <w:pStyle w:val="TableofFigures"/>
        <w:jc w:val="both"/>
        <w:rPr>
          <w:rFonts w:ascii="Times New Roman" w:eastAsiaTheme="minorEastAsia" w:hAnsi="Times New Roman" w:cs="Times New Roman"/>
          <w:noProof/>
        </w:rPr>
      </w:pPr>
      <w:hyperlink w:anchor="_Toc522036501" w:history="1">
        <w:r w:rsidR="001E37D1" w:rsidRPr="001E37D1">
          <w:rPr>
            <w:rStyle w:val="Hyperlink"/>
            <w:rFonts w:cs="Times New Roman"/>
            <w:noProof/>
            <w:sz w:val="22"/>
          </w:rPr>
          <w:t>Figure 30. Marginal adaptation cost curves across countries/regions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_Toc522036501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39</w:t>
        </w:r>
        <w:r w:rsidR="001E37D1" w:rsidRPr="001E37D1">
          <w:rPr>
            <w:rFonts w:ascii="Times New Roman" w:hAnsi="Times New Roman" w:cs="Times New Roman"/>
            <w:noProof/>
            <w:webHidden/>
          </w:rPr>
          <w:fldChar w:fldCharType="end"/>
        </w:r>
      </w:hyperlink>
    </w:p>
    <w:p w14:paraId="5AE1ABA9" w14:textId="66C73BBE" w:rsidR="001E37D1" w:rsidRPr="001E37D1" w:rsidRDefault="00460389" w:rsidP="001E37D1">
      <w:pPr>
        <w:pStyle w:val="TableofFigures"/>
        <w:jc w:val="both"/>
        <w:rPr>
          <w:rFonts w:ascii="Times New Roman" w:eastAsiaTheme="minorEastAsia" w:hAnsi="Times New Roman" w:cs="Times New Roman"/>
          <w:noProof/>
        </w:rPr>
      </w:pPr>
      <w:hyperlink w:anchor="_Toc522036502" w:history="1">
        <w:r w:rsidR="001E37D1" w:rsidRPr="001E37D1">
          <w:rPr>
            <w:rStyle w:val="Hyperlink"/>
            <w:rFonts w:cs="Times New Roman"/>
            <w:noProof/>
            <w:sz w:val="22"/>
          </w:rPr>
          <w:t>Figure 31. Adaptation and climate change impacts on real GDP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_Toc522036502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41</w:t>
        </w:r>
        <w:r w:rsidR="001E37D1" w:rsidRPr="001E37D1">
          <w:rPr>
            <w:rFonts w:ascii="Times New Roman" w:hAnsi="Times New Roman" w:cs="Times New Roman"/>
            <w:noProof/>
            <w:webHidden/>
          </w:rPr>
          <w:fldChar w:fldCharType="end"/>
        </w:r>
      </w:hyperlink>
    </w:p>
    <w:p w14:paraId="1E834771" w14:textId="30A4FD80" w:rsidR="001E37D1" w:rsidRPr="001E37D1" w:rsidRDefault="00460389" w:rsidP="001E37D1">
      <w:pPr>
        <w:pStyle w:val="TableofFigures"/>
        <w:jc w:val="both"/>
        <w:rPr>
          <w:rFonts w:ascii="Times New Roman" w:eastAsiaTheme="minorEastAsia" w:hAnsi="Times New Roman" w:cs="Times New Roman"/>
          <w:noProof/>
        </w:rPr>
      </w:pPr>
      <w:hyperlink w:anchor="_Toc522036503" w:history="1">
        <w:r w:rsidR="001E37D1" w:rsidRPr="001E37D1">
          <w:rPr>
            <w:rStyle w:val="Hyperlink"/>
            <w:rFonts w:cs="Times New Roman"/>
            <w:noProof/>
            <w:sz w:val="22"/>
          </w:rPr>
          <w:t>Figure 32. Welfare changes with and without adaptation, compared to the baseline without climate change (US$, millions)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_Toc522036503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42</w:t>
        </w:r>
        <w:r w:rsidR="001E37D1" w:rsidRPr="001E37D1">
          <w:rPr>
            <w:rFonts w:ascii="Times New Roman" w:hAnsi="Times New Roman" w:cs="Times New Roman"/>
            <w:noProof/>
            <w:webHidden/>
          </w:rPr>
          <w:fldChar w:fldCharType="end"/>
        </w:r>
      </w:hyperlink>
    </w:p>
    <w:p w14:paraId="2D5873BF" w14:textId="42C14707" w:rsidR="001E37D1" w:rsidRPr="001E37D1" w:rsidRDefault="00460389" w:rsidP="001E37D1">
      <w:pPr>
        <w:pStyle w:val="TableofFigures"/>
        <w:jc w:val="both"/>
        <w:rPr>
          <w:rFonts w:ascii="Times New Roman" w:eastAsiaTheme="minorEastAsia" w:hAnsi="Times New Roman" w:cs="Times New Roman"/>
          <w:noProof/>
        </w:rPr>
      </w:pPr>
      <w:hyperlink w:anchor="_Toc522036504" w:history="1">
        <w:r w:rsidR="001E37D1" w:rsidRPr="001E37D1">
          <w:rPr>
            <w:rStyle w:val="Hyperlink"/>
            <w:rFonts w:cs="Times New Roman"/>
            <w:noProof/>
            <w:sz w:val="22"/>
          </w:rPr>
          <w:t>Figure 33. Impact of adaptation and climate change on energy output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_Toc522036504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43</w:t>
        </w:r>
        <w:r w:rsidR="001E37D1" w:rsidRPr="001E37D1">
          <w:rPr>
            <w:rFonts w:ascii="Times New Roman" w:hAnsi="Times New Roman" w:cs="Times New Roman"/>
            <w:noProof/>
            <w:webHidden/>
          </w:rPr>
          <w:fldChar w:fldCharType="end"/>
        </w:r>
      </w:hyperlink>
    </w:p>
    <w:p w14:paraId="355D3AFB" w14:textId="6180926F" w:rsidR="001E37D1" w:rsidRPr="001E37D1" w:rsidRDefault="00460389" w:rsidP="001E37D1">
      <w:pPr>
        <w:pStyle w:val="TableofFigures"/>
        <w:jc w:val="both"/>
        <w:rPr>
          <w:rFonts w:ascii="Times New Roman" w:eastAsiaTheme="minorEastAsia" w:hAnsi="Times New Roman" w:cs="Times New Roman"/>
          <w:noProof/>
        </w:rPr>
      </w:pPr>
      <w:hyperlink w:anchor="_Toc522036505" w:history="1">
        <w:r w:rsidR="001E37D1" w:rsidRPr="001E37D1">
          <w:rPr>
            <w:rStyle w:val="Hyperlink"/>
            <w:rFonts w:cs="Times New Roman"/>
            <w:noProof/>
            <w:sz w:val="22"/>
          </w:rPr>
          <w:t>Figure 34. Impact of adaptation and climate change on agriculture output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_Toc522036505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43</w:t>
        </w:r>
        <w:r w:rsidR="001E37D1" w:rsidRPr="001E37D1">
          <w:rPr>
            <w:rFonts w:ascii="Times New Roman" w:hAnsi="Times New Roman" w:cs="Times New Roman"/>
            <w:noProof/>
            <w:webHidden/>
          </w:rPr>
          <w:fldChar w:fldCharType="end"/>
        </w:r>
      </w:hyperlink>
    </w:p>
    <w:p w14:paraId="54AC8BCB" w14:textId="7608EA58" w:rsidR="001E37D1" w:rsidRPr="001E37D1" w:rsidRDefault="00460389" w:rsidP="001E37D1">
      <w:pPr>
        <w:pStyle w:val="TableofFigures"/>
        <w:jc w:val="both"/>
        <w:rPr>
          <w:rFonts w:ascii="Times New Roman" w:eastAsiaTheme="minorEastAsia" w:hAnsi="Times New Roman" w:cs="Times New Roman"/>
          <w:noProof/>
        </w:rPr>
      </w:pPr>
      <w:hyperlink w:anchor="_Toc522036506" w:history="1">
        <w:r w:rsidR="001E37D1" w:rsidRPr="001E37D1">
          <w:rPr>
            <w:rStyle w:val="Hyperlink"/>
            <w:rFonts w:cs="Times New Roman"/>
            <w:noProof/>
            <w:sz w:val="22"/>
          </w:rPr>
          <w:t>Figure 35. Impact of adaptation on agricultural output, basin-level results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_Toc522036506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44</w:t>
        </w:r>
        <w:r w:rsidR="001E37D1" w:rsidRPr="001E37D1">
          <w:rPr>
            <w:rFonts w:ascii="Times New Roman" w:hAnsi="Times New Roman" w:cs="Times New Roman"/>
            <w:noProof/>
            <w:webHidden/>
          </w:rPr>
          <w:fldChar w:fldCharType="end"/>
        </w:r>
      </w:hyperlink>
    </w:p>
    <w:p w14:paraId="7A7BD810" w14:textId="244313BC" w:rsidR="001E37D1" w:rsidRPr="001E37D1" w:rsidRDefault="00460389" w:rsidP="001E37D1">
      <w:pPr>
        <w:pStyle w:val="TableofFigures"/>
        <w:jc w:val="both"/>
        <w:rPr>
          <w:rFonts w:ascii="Times New Roman" w:eastAsiaTheme="minorEastAsia" w:hAnsi="Times New Roman" w:cs="Times New Roman"/>
          <w:noProof/>
        </w:rPr>
      </w:pPr>
      <w:hyperlink w:anchor="_Toc522036507" w:history="1">
        <w:r w:rsidR="001E37D1" w:rsidRPr="001E37D1">
          <w:rPr>
            <w:rStyle w:val="Hyperlink"/>
            <w:rFonts w:cs="Times New Roman"/>
            <w:noProof/>
            <w:sz w:val="22"/>
          </w:rPr>
          <w:t>Figure 36. Impact of climate change and adaptation scenario on output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_Toc522036507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45</w:t>
        </w:r>
        <w:r w:rsidR="001E37D1" w:rsidRPr="001E37D1">
          <w:rPr>
            <w:rFonts w:ascii="Times New Roman" w:hAnsi="Times New Roman" w:cs="Times New Roman"/>
            <w:noProof/>
            <w:webHidden/>
          </w:rPr>
          <w:fldChar w:fldCharType="end"/>
        </w:r>
      </w:hyperlink>
    </w:p>
    <w:p w14:paraId="7C1CDE89" w14:textId="572689A1" w:rsidR="001E37D1" w:rsidRPr="001E37D1" w:rsidRDefault="00460389" w:rsidP="001E37D1">
      <w:pPr>
        <w:pStyle w:val="TableofFigures"/>
        <w:jc w:val="both"/>
        <w:rPr>
          <w:rFonts w:ascii="Times New Roman" w:eastAsiaTheme="minorEastAsia" w:hAnsi="Times New Roman" w:cs="Times New Roman"/>
          <w:noProof/>
        </w:rPr>
      </w:pPr>
      <w:hyperlink w:anchor="_Toc522036508" w:history="1">
        <w:r w:rsidR="001E37D1" w:rsidRPr="001E37D1">
          <w:rPr>
            <w:rStyle w:val="Hyperlink"/>
            <w:rFonts w:cs="Times New Roman"/>
            <w:noProof/>
            <w:sz w:val="22"/>
          </w:rPr>
          <w:t>Figure 37. Adaptation and climate change impacts on real GDP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_Toc522036508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46</w:t>
        </w:r>
        <w:r w:rsidR="001E37D1" w:rsidRPr="001E37D1">
          <w:rPr>
            <w:rFonts w:ascii="Times New Roman" w:hAnsi="Times New Roman" w:cs="Times New Roman"/>
            <w:noProof/>
            <w:webHidden/>
          </w:rPr>
          <w:fldChar w:fldCharType="end"/>
        </w:r>
      </w:hyperlink>
    </w:p>
    <w:p w14:paraId="7A92305E" w14:textId="7E955F9E" w:rsidR="001E37D1" w:rsidRPr="001E37D1" w:rsidRDefault="00460389" w:rsidP="001E37D1">
      <w:pPr>
        <w:pStyle w:val="TableofFigures"/>
        <w:jc w:val="both"/>
        <w:rPr>
          <w:rFonts w:ascii="Times New Roman" w:eastAsiaTheme="minorEastAsia" w:hAnsi="Times New Roman" w:cs="Times New Roman"/>
          <w:noProof/>
        </w:rPr>
      </w:pPr>
      <w:hyperlink w:anchor="_Toc522036509" w:history="1">
        <w:r w:rsidR="001E37D1" w:rsidRPr="001E37D1">
          <w:rPr>
            <w:rStyle w:val="Hyperlink"/>
            <w:rFonts w:cs="Times New Roman"/>
            <w:noProof/>
            <w:sz w:val="22"/>
          </w:rPr>
          <w:t>Figure 38. Welfare changes with and without adaptation (US$, millions,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_Toc522036509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46</w:t>
        </w:r>
        <w:r w:rsidR="001E37D1" w:rsidRPr="001E37D1">
          <w:rPr>
            <w:rFonts w:ascii="Times New Roman" w:hAnsi="Times New Roman" w:cs="Times New Roman"/>
            <w:noProof/>
            <w:webHidden/>
          </w:rPr>
          <w:fldChar w:fldCharType="end"/>
        </w:r>
      </w:hyperlink>
    </w:p>
    <w:p w14:paraId="55567710" w14:textId="33595472" w:rsidR="001E37D1" w:rsidRPr="001E37D1" w:rsidRDefault="00460389" w:rsidP="001E37D1">
      <w:pPr>
        <w:pStyle w:val="TableofFigures"/>
        <w:jc w:val="both"/>
        <w:rPr>
          <w:rFonts w:ascii="Times New Roman" w:eastAsiaTheme="minorEastAsia" w:hAnsi="Times New Roman" w:cs="Times New Roman"/>
          <w:noProof/>
        </w:rPr>
      </w:pPr>
      <w:hyperlink w:anchor="_Toc522036510" w:history="1">
        <w:r w:rsidR="001E37D1" w:rsidRPr="001E37D1">
          <w:rPr>
            <w:rStyle w:val="Hyperlink"/>
            <w:rFonts w:cs="Times New Roman"/>
            <w:noProof/>
            <w:sz w:val="22"/>
          </w:rPr>
          <w:t>Figure 39. Impact of adaptation and climate change on the energy sector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_Toc522036510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47</w:t>
        </w:r>
        <w:r w:rsidR="001E37D1" w:rsidRPr="001E37D1">
          <w:rPr>
            <w:rFonts w:ascii="Times New Roman" w:hAnsi="Times New Roman" w:cs="Times New Roman"/>
            <w:noProof/>
            <w:webHidden/>
          </w:rPr>
          <w:fldChar w:fldCharType="end"/>
        </w:r>
      </w:hyperlink>
    </w:p>
    <w:p w14:paraId="712296D2" w14:textId="594C7C7A" w:rsidR="001E37D1" w:rsidRPr="001E37D1" w:rsidRDefault="00460389" w:rsidP="001E37D1">
      <w:pPr>
        <w:pStyle w:val="TableofFigures"/>
        <w:jc w:val="both"/>
        <w:rPr>
          <w:rFonts w:ascii="Times New Roman" w:eastAsiaTheme="minorEastAsia" w:hAnsi="Times New Roman" w:cs="Times New Roman"/>
          <w:noProof/>
        </w:rPr>
      </w:pPr>
      <w:hyperlink w:anchor="_Toc522036511" w:history="1">
        <w:r w:rsidR="001E37D1" w:rsidRPr="001E37D1">
          <w:rPr>
            <w:rStyle w:val="Hyperlink"/>
            <w:rFonts w:cs="Times New Roman"/>
            <w:noProof/>
            <w:sz w:val="22"/>
          </w:rPr>
          <w:t>Figure 40. Impact of adaptation and climate change on the agriculture sector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_Toc522036511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47</w:t>
        </w:r>
        <w:r w:rsidR="001E37D1" w:rsidRPr="001E37D1">
          <w:rPr>
            <w:rFonts w:ascii="Times New Roman" w:hAnsi="Times New Roman" w:cs="Times New Roman"/>
            <w:noProof/>
            <w:webHidden/>
          </w:rPr>
          <w:fldChar w:fldCharType="end"/>
        </w:r>
      </w:hyperlink>
    </w:p>
    <w:p w14:paraId="5700F9B6" w14:textId="67D75905" w:rsidR="001E37D1" w:rsidRPr="001E37D1" w:rsidRDefault="00460389" w:rsidP="001E37D1">
      <w:pPr>
        <w:pStyle w:val="TableofFigures"/>
        <w:jc w:val="both"/>
        <w:rPr>
          <w:rFonts w:ascii="Times New Roman" w:eastAsiaTheme="minorEastAsia" w:hAnsi="Times New Roman" w:cs="Times New Roman"/>
          <w:noProof/>
        </w:rPr>
      </w:pPr>
      <w:hyperlink w:anchor="_Toc522036512" w:history="1">
        <w:r w:rsidR="001E37D1" w:rsidRPr="001E37D1">
          <w:rPr>
            <w:rStyle w:val="Hyperlink"/>
            <w:rFonts w:cs="Times New Roman"/>
            <w:noProof/>
            <w:sz w:val="22"/>
          </w:rPr>
          <w:t>Figure 41. Changes in trade balance (US$, millions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_Toc522036512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48</w:t>
        </w:r>
        <w:r w:rsidR="001E37D1" w:rsidRPr="001E37D1">
          <w:rPr>
            <w:rFonts w:ascii="Times New Roman" w:hAnsi="Times New Roman" w:cs="Times New Roman"/>
            <w:noProof/>
            <w:webHidden/>
          </w:rPr>
          <w:fldChar w:fldCharType="end"/>
        </w:r>
      </w:hyperlink>
    </w:p>
    <w:p w14:paraId="5B78AC08" w14:textId="1AEA7A0B" w:rsidR="001E37D1" w:rsidRPr="001E37D1" w:rsidRDefault="00460389" w:rsidP="001E37D1">
      <w:pPr>
        <w:pStyle w:val="TableofFigures"/>
        <w:jc w:val="both"/>
        <w:rPr>
          <w:rFonts w:ascii="Times New Roman" w:eastAsiaTheme="minorEastAsia" w:hAnsi="Times New Roman" w:cs="Times New Roman"/>
          <w:noProof/>
        </w:rPr>
      </w:pPr>
      <w:hyperlink w:anchor="_Toc522036513" w:history="1">
        <w:r w:rsidR="001E37D1" w:rsidRPr="001E37D1">
          <w:rPr>
            <w:rStyle w:val="Hyperlink"/>
            <w:rFonts w:cs="Times New Roman"/>
            <w:noProof/>
            <w:sz w:val="22"/>
          </w:rPr>
          <w:t>Figure 42. Impact of adaptation measure on imports (panel A) and exports (panel B) (percentage of change compared to the baseline without climate change)</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_Toc522036513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48</w:t>
        </w:r>
        <w:r w:rsidR="001E37D1" w:rsidRPr="001E37D1">
          <w:rPr>
            <w:rFonts w:ascii="Times New Roman" w:hAnsi="Times New Roman" w:cs="Times New Roman"/>
            <w:noProof/>
            <w:webHidden/>
          </w:rPr>
          <w:fldChar w:fldCharType="end"/>
        </w:r>
      </w:hyperlink>
    </w:p>
    <w:p w14:paraId="2EC6EAC3" w14:textId="1C1105F5" w:rsidR="002C036B" w:rsidRPr="001C3EDC" w:rsidRDefault="005D0B15" w:rsidP="001E37D1">
      <w:pPr>
        <w:spacing w:after="0" w:line="276" w:lineRule="auto"/>
        <w:rPr>
          <w:rFonts w:ascii="Calibri" w:eastAsiaTheme="majorEastAsia" w:hAnsi="Calibri" w:cstheme="majorBidi"/>
          <w:b/>
          <w:color w:val="365F91" w:themeColor="accent1" w:themeShade="BF"/>
          <w:szCs w:val="24"/>
        </w:rPr>
      </w:pPr>
      <w:r w:rsidRPr="001E37D1">
        <w:rPr>
          <w:rFonts w:eastAsiaTheme="majorEastAsia" w:cs="Times New Roman"/>
          <w:b/>
          <w:color w:val="365F91" w:themeColor="accent1" w:themeShade="BF"/>
          <w:sz w:val="22"/>
        </w:rPr>
        <w:fldChar w:fldCharType="end"/>
      </w:r>
    </w:p>
    <w:p w14:paraId="54CEFF62" w14:textId="74377980" w:rsidR="002C036B" w:rsidRPr="001C3EDC" w:rsidRDefault="002C036B" w:rsidP="000F762B">
      <w:pPr>
        <w:spacing w:line="276" w:lineRule="auto"/>
        <w:jc w:val="left"/>
        <w:rPr>
          <w:rFonts w:ascii="Calibri" w:eastAsiaTheme="majorEastAsia" w:hAnsi="Calibri" w:cstheme="majorBidi"/>
          <w:b/>
          <w:color w:val="365F91" w:themeColor="accent1" w:themeShade="BF"/>
          <w:sz w:val="32"/>
          <w:szCs w:val="32"/>
        </w:rPr>
      </w:pPr>
      <w:r w:rsidRPr="001C3EDC">
        <w:rPr>
          <w:rFonts w:ascii="Calibri" w:eastAsiaTheme="majorEastAsia" w:hAnsi="Calibri" w:cstheme="majorBidi"/>
          <w:b/>
          <w:color w:val="365F91" w:themeColor="accent1" w:themeShade="BF"/>
          <w:sz w:val="32"/>
          <w:szCs w:val="32"/>
        </w:rPr>
        <w:t>List of Tables</w:t>
      </w:r>
    </w:p>
    <w:p w14:paraId="32230955" w14:textId="25FFCC0F" w:rsidR="001E37D1" w:rsidRPr="001E37D1" w:rsidRDefault="007F7DC4">
      <w:pPr>
        <w:pStyle w:val="TableofFigures"/>
        <w:rPr>
          <w:rFonts w:ascii="Times New Roman" w:eastAsiaTheme="minorEastAsia" w:hAnsi="Times New Roman" w:cs="Times New Roman"/>
          <w:noProof/>
        </w:rPr>
      </w:pPr>
      <w:r w:rsidRPr="001E37D1">
        <w:rPr>
          <w:rFonts w:ascii="Times New Roman" w:hAnsi="Times New Roman" w:cs="Times New Roman"/>
        </w:rPr>
        <w:fldChar w:fldCharType="begin"/>
      </w:r>
      <w:r w:rsidRPr="001E37D1">
        <w:rPr>
          <w:rFonts w:ascii="Times New Roman" w:hAnsi="Times New Roman" w:cs="Times New Roman"/>
        </w:rPr>
        <w:instrText xml:space="preserve"> TOC \h \z \c "Table" </w:instrText>
      </w:r>
      <w:r w:rsidRPr="001E37D1">
        <w:rPr>
          <w:rFonts w:ascii="Times New Roman" w:hAnsi="Times New Roman" w:cs="Times New Roman"/>
        </w:rPr>
        <w:fldChar w:fldCharType="separate"/>
      </w:r>
      <w:hyperlink w:anchor="_Toc522036514" w:history="1">
        <w:r w:rsidR="001E37D1" w:rsidRPr="001E37D1">
          <w:rPr>
            <w:rStyle w:val="Hyperlink"/>
            <w:rFonts w:cs="Times New Roman"/>
            <w:noProof/>
            <w:sz w:val="22"/>
          </w:rPr>
          <w:t>Table 1. Climate-related vulnerabilities by sector and their representation in the CGE model</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_Toc522036514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3</w:t>
        </w:r>
        <w:r w:rsidR="001E37D1" w:rsidRPr="001E37D1">
          <w:rPr>
            <w:rFonts w:ascii="Times New Roman" w:hAnsi="Times New Roman" w:cs="Times New Roman"/>
            <w:noProof/>
            <w:webHidden/>
          </w:rPr>
          <w:fldChar w:fldCharType="end"/>
        </w:r>
      </w:hyperlink>
    </w:p>
    <w:p w14:paraId="0529D401" w14:textId="4083DAAB" w:rsidR="001E37D1" w:rsidRPr="001E37D1" w:rsidRDefault="00460389">
      <w:pPr>
        <w:pStyle w:val="TableofFigures"/>
        <w:rPr>
          <w:rFonts w:ascii="Times New Roman" w:eastAsiaTheme="minorEastAsia" w:hAnsi="Times New Roman" w:cs="Times New Roman"/>
          <w:noProof/>
        </w:rPr>
      </w:pPr>
      <w:hyperlink w:anchor="_Toc522036515" w:history="1">
        <w:r w:rsidR="001E37D1" w:rsidRPr="001E37D1">
          <w:rPr>
            <w:rStyle w:val="Hyperlink"/>
            <w:rFonts w:cs="Times New Roman"/>
            <w:noProof/>
            <w:sz w:val="22"/>
          </w:rPr>
          <w:t>Table 2. AEZ disaggregation used in this CGE analysis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_Toc522036515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12</w:t>
        </w:r>
        <w:r w:rsidR="001E37D1" w:rsidRPr="001E37D1">
          <w:rPr>
            <w:rFonts w:ascii="Times New Roman" w:hAnsi="Times New Roman" w:cs="Times New Roman"/>
            <w:noProof/>
            <w:webHidden/>
          </w:rPr>
          <w:fldChar w:fldCharType="end"/>
        </w:r>
      </w:hyperlink>
    </w:p>
    <w:p w14:paraId="30B6E0D6" w14:textId="22B1421B" w:rsidR="001E37D1" w:rsidRPr="001E37D1" w:rsidRDefault="00460389">
      <w:pPr>
        <w:pStyle w:val="TableofFigures"/>
        <w:rPr>
          <w:rFonts w:ascii="Times New Roman" w:eastAsiaTheme="minorEastAsia" w:hAnsi="Times New Roman" w:cs="Times New Roman"/>
          <w:noProof/>
        </w:rPr>
      </w:pPr>
      <w:hyperlink w:anchor="_Toc522036516" w:history="1">
        <w:r w:rsidR="001E37D1" w:rsidRPr="001E37D1">
          <w:rPr>
            <w:rStyle w:val="Hyperlink"/>
            <w:rFonts w:cs="Times New Roman"/>
            <w:noProof/>
            <w:sz w:val="22"/>
          </w:rPr>
          <w:t>Table 3. Bulgaria crop sector rents (US$, millions)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_Toc522036516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17</w:t>
        </w:r>
        <w:r w:rsidR="001E37D1" w:rsidRPr="001E37D1">
          <w:rPr>
            <w:rFonts w:ascii="Times New Roman" w:hAnsi="Times New Roman" w:cs="Times New Roman"/>
            <w:noProof/>
            <w:webHidden/>
          </w:rPr>
          <w:fldChar w:fldCharType="end"/>
        </w:r>
      </w:hyperlink>
    </w:p>
    <w:p w14:paraId="72DC4D9A" w14:textId="728A692F" w:rsidR="001E37D1" w:rsidRPr="001E37D1" w:rsidRDefault="00460389">
      <w:pPr>
        <w:pStyle w:val="TableofFigures"/>
        <w:rPr>
          <w:rFonts w:ascii="Times New Roman" w:eastAsiaTheme="minorEastAsia" w:hAnsi="Times New Roman" w:cs="Times New Roman"/>
          <w:noProof/>
        </w:rPr>
      </w:pPr>
      <w:hyperlink w:anchor="_Toc522036517" w:history="1">
        <w:r w:rsidR="001E37D1" w:rsidRPr="001E37D1">
          <w:rPr>
            <w:rStyle w:val="Hyperlink"/>
            <w:rFonts w:cs="Times New Roman"/>
            <w:noProof/>
            <w:sz w:val="22"/>
          </w:rPr>
          <w:t>Table 4. Productivity changes in economic variables for 2°C (optimistic) and 4°C (pessimistic) temperature change scenarios using the shocks developed by Roson and Sartori 2016</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_Toc522036517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22</w:t>
        </w:r>
        <w:r w:rsidR="001E37D1" w:rsidRPr="001E37D1">
          <w:rPr>
            <w:rFonts w:ascii="Times New Roman" w:hAnsi="Times New Roman" w:cs="Times New Roman"/>
            <w:noProof/>
            <w:webHidden/>
          </w:rPr>
          <w:fldChar w:fldCharType="end"/>
        </w:r>
      </w:hyperlink>
    </w:p>
    <w:p w14:paraId="089A0150" w14:textId="03CED537" w:rsidR="001E37D1" w:rsidRPr="001E37D1" w:rsidRDefault="00460389">
      <w:pPr>
        <w:pStyle w:val="TableofFigures"/>
        <w:rPr>
          <w:rFonts w:ascii="Times New Roman" w:eastAsiaTheme="minorEastAsia" w:hAnsi="Times New Roman" w:cs="Times New Roman"/>
          <w:noProof/>
        </w:rPr>
      </w:pPr>
      <w:hyperlink w:anchor="_Toc522036518" w:history="1">
        <w:r w:rsidR="001E37D1" w:rsidRPr="001E37D1">
          <w:rPr>
            <w:rStyle w:val="Hyperlink"/>
            <w:rFonts w:cs="Times New Roman"/>
            <w:noProof/>
            <w:sz w:val="22"/>
          </w:rPr>
          <w:t>Table 5. Statistics used in the development of the baseline scenario</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_Toc522036518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24</w:t>
        </w:r>
        <w:r w:rsidR="001E37D1" w:rsidRPr="001E37D1">
          <w:rPr>
            <w:rFonts w:ascii="Times New Roman" w:hAnsi="Times New Roman" w:cs="Times New Roman"/>
            <w:noProof/>
            <w:webHidden/>
          </w:rPr>
          <w:fldChar w:fldCharType="end"/>
        </w:r>
      </w:hyperlink>
    </w:p>
    <w:p w14:paraId="173110FD" w14:textId="3DAAB735" w:rsidR="001E37D1" w:rsidRPr="001E37D1" w:rsidRDefault="00460389">
      <w:pPr>
        <w:pStyle w:val="TableofFigures"/>
        <w:rPr>
          <w:rFonts w:ascii="Times New Roman" w:eastAsiaTheme="minorEastAsia" w:hAnsi="Times New Roman" w:cs="Times New Roman"/>
          <w:noProof/>
        </w:rPr>
      </w:pPr>
      <w:hyperlink w:anchor="_Toc522036519" w:history="1">
        <w:r w:rsidR="001E37D1" w:rsidRPr="001E37D1">
          <w:rPr>
            <w:rStyle w:val="Hyperlink"/>
            <w:rFonts w:cs="Times New Roman"/>
            <w:noProof/>
            <w:sz w:val="22"/>
          </w:rPr>
          <w:t>Table 6. Climate change and adaption measures used in the CGE model</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_Toc522036519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40</w:t>
        </w:r>
        <w:r w:rsidR="001E37D1" w:rsidRPr="001E37D1">
          <w:rPr>
            <w:rFonts w:ascii="Times New Roman" w:hAnsi="Times New Roman" w:cs="Times New Roman"/>
            <w:noProof/>
            <w:webHidden/>
          </w:rPr>
          <w:fldChar w:fldCharType="end"/>
        </w:r>
      </w:hyperlink>
    </w:p>
    <w:p w14:paraId="506572DB" w14:textId="0E30E2C6" w:rsidR="001E37D1" w:rsidRPr="001E37D1" w:rsidRDefault="00460389">
      <w:pPr>
        <w:pStyle w:val="TableofFigures"/>
        <w:rPr>
          <w:rFonts w:ascii="Times New Roman" w:eastAsiaTheme="minorEastAsia" w:hAnsi="Times New Roman" w:cs="Times New Roman"/>
          <w:noProof/>
        </w:rPr>
      </w:pPr>
      <w:hyperlink w:anchor="_Toc522036520" w:history="1">
        <w:r w:rsidR="001E37D1" w:rsidRPr="001E37D1">
          <w:rPr>
            <w:rStyle w:val="Hyperlink"/>
            <w:rFonts w:cs="Times New Roman"/>
            <w:noProof/>
            <w:sz w:val="22"/>
          </w:rPr>
          <w:t>Table 7. Macroeconomic impact of adaptation policies financed by foreign funds: Policies 2 and 3</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_Toc522036520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49</w:t>
        </w:r>
        <w:r w:rsidR="001E37D1" w:rsidRPr="001E37D1">
          <w:rPr>
            <w:rFonts w:ascii="Times New Roman" w:hAnsi="Times New Roman" w:cs="Times New Roman"/>
            <w:noProof/>
            <w:webHidden/>
          </w:rPr>
          <w:fldChar w:fldCharType="end"/>
        </w:r>
      </w:hyperlink>
    </w:p>
    <w:p w14:paraId="5EF41732" w14:textId="282FFF87" w:rsidR="001E37D1" w:rsidRPr="001E37D1" w:rsidRDefault="00460389">
      <w:pPr>
        <w:pStyle w:val="TableofFigures"/>
        <w:rPr>
          <w:rFonts w:ascii="Times New Roman" w:eastAsiaTheme="minorEastAsia" w:hAnsi="Times New Roman" w:cs="Times New Roman"/>
          <w:noProof/>
        </w:rPr>
      </w:pPr>
      <w:hyperlink w:anchor="_Toc522036521" w:history="1">
        <w:r w:rsidR="001E37D1" w:rsidRPr="001E37D1">
          <w:rPr>
            <w:rStyle w:val="Hyperlink"/>
            <w:rFonts w:cs="Times New Roman"/>
            <w:noProof/>
            <w:sz w:val="22"/>
          </w:rPr>
          <w:t>Table 8. Annual greenhouse gas emissions*, by 2050, across all scenarios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_Toc522036521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51</w:t>
        </w:r>
        <w:r w:rsidR="001E37D1" w:rsidRPr="001E37D1">
          <w:rPr>
            <w:rFonts w:ascii="Times New Roman" w:hAnsi="Times New Roman" w:cs="Times New Roman"/>
            <w:noProof/>
            <w:webHidden/>
          </w:rPr>
          <w:fldChar w:fldCharType="end"/>
        </w:r>
      </w:hyperlink>
    </w:p>
    <w:p w14:paraId="33AB86AC" w14:textId="77777777" w:rsidR="001E37D1" w:rsidRPr="001E37D1" w:rsidRDefault="007F7DC4" w:rsidP="002A41FA">
      <w:pPr>
        <w:pStyle w:val="TableofFigures"/>
        <w:spacing w:after="0"/>
        <w:rPr>
          <w:rFonts w:ascii="Times New Roman" w:hAnsi="Times New Roman" w:cs="Times New Roman"/>
          <w:noProof/>
        </w:rPr>
      </w:pPr>
      <w:r w:rsidRPr="001E37D1">
        <w:rPr>
          <w:rFonts w:ascii="Times New Roman" w:hAnsi="Times New Roman" w:cs="Times New Roman"/>
        </w:rPr>
        <w:fldChar w:fldCharType="end"/>
      </w:r>
      <w:r w:rsidR="00AD13CD" w:rsidRPr="001E37D1">
        <w:rPr>
          <w:rFonts w:ascii="Times New Roman" w:hAnsi="Times New Roman" w:cs="Times New Roman"/>
        </w:rPr>
        <w:fldChar w:fldCharType="begin"/>
      </w:r>
      <w:r w:rsidR="00AD13CD" w:rsidRPr="001E37D1">
        <w:rPr>
          <w:rFonts w:ascii="Times New Roman" w:hAnsi="Times New Roman" w:cs="Times New Roman"/>
        </w:rPr>
        <w:instrText xml:space="preserve"> TOC \h \z \c "Table 1." </w:instrText>
      </w:r>
      <w:r w:rsidR="00AD13CD" w:rsidRPr="001E37D1">
        <w:rPr>
          <w:rFonts w:ascii="Times New Roman" w:hAnsi="Times New Roman" w:cs="Times New Roman"/>
        </w:rPr>
        <w:fldChar w:fldCharType="separate"/>
      </w:r>
    </w:p>
    <w:p w14:paraId="565A31C6" w14:textId="3F2884B7" w:rsidR="001E37D1" w:rsidRPr="001E37D1" w:rsidRDefault="00460389">
      <w:pPr>
        <w:pStyle w:val="TableofFigures"/>
        <w:rPr>
          <w:rFonts w:ascii="Times New Roman" w:eastAsiaTheme="minorEastAsia" w:hAnsi="Times New Roman" w:cs="Times New Roman"/>
          <w:noProof/>
        </w:rPr>
      </w:pPr>
      <w:hyperlink w:anchor="_Toc522036522" w:history="1">
        <w:r w:rsidR="001E37D1" w:rsidRPr="001E37D1">
          <w:rPr>
            <w:rStyle w:val="Hyperlink"/>
            <w:rFonts w:cs="Times New Roman"/>
            <w:noProof/>
            <w:sz w:val="22"/>
          </w:rPr>
          <w:t>Table 1.1. GTAP 57 sector classification and mapping used for analysis (13 aggregate sectors)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_Toc522036522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58</w:t>
        </w:r>
        <w:r w:rsidR="001E37D1" w:rsidRPr="001E37D1">
          <w:rPr>
            <w:rFonts w:ascii="Times New Roman" w:hAnsi="Times New Roman" w:cs="Times New Roman"/>
            <w:noProof/>
            <w:webHidden/>
          </w:rPr>
          <w:fldChar w:fldCharType="end"/>
        </w:r>
      </w:hyperlink>
    </w:p>
    <w:p w14:paraId="5D346919" w14:textId="1E577047" w:rsidR="001E37D1" w:rsidRPr="001E37D1" w:rsidRDefault="00460389">
      <w:pPr>
        <w:pStyle w:val="TableofFigures"/>
        <w:rPr>
          <w:rFonts w:ascii="Times New Roman" w:eastAsiaTheme="minorEastAsia" w:hAnsi="Times New Roman" w:cs="Times New Roman"/>
          <w:noProof/>
        </w:rPr>
      </w:pPr>
      <w:hyperlink w:anchor="_Toc522036523" w:history="1">
        <w:r w:rsidR="001E37D1" w:rsidRPr="001E37D1">
          <w:rPr>
            <w:rStyle w:val="Hyperlink"/>
            <w:rFonts w:cs="Times New Roman"/>
            <w:noProof/>
            <w:sz w:val="22"/>
          </w:rPr>
          <w:t>Table 1.2. Parameter values for the central cases of climate change shocks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_Toc522036523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59</w:t>
        </w:r>
        <w:r w:rsidR="001E37D1" w:rsidRPr="001E37D1">
          <w:rPr>
            <w:rFonts w:ascii="Times New Roman" w:hAnsi="Times New Roman" w:cs="Times New Roman"/>
            <w:noProof/>
            <w:webHidden/>
          </w:rPr>
          <w:fldChar w:fldCharType="end"/>
        </w:r>
      </w:hyperlink>
    </w:p>
    <w:p w14:paraId="3EB0BAB3" w14:textId="31E631E3" w:rsidR="001E37D1" w:rsidRPr="001E37D1" w:rsidRDefault="00460389">
      <w:pPr>
        <w:pStyle w:val="TableofFigures"/>
        <w:rPr>
          <w:rFonts w:ascii="Times New Roman" w:eastAsiaTheme="minorEastAsia" w:hAnsi="Times New Roman" w:cs="Times New Roman"/>
          <w:noProof/>
        </w:rPr>
      </w:pPr>
      <w:hyperlink w:anchor="_Toc522036524" w:history="1">
        <w:r w:rsidR="001E37D1" w:rsidRPr="001E37D1">
          <w:rPr>
            <w:rStyle w:val="Hyperlink"/>
            <w:rFonts w:cs="Times New Roman"/>
            <w:noProof/>
            <w:sz w:val="22"/>
          </w:rPr>
          <w:t>Table 1.3. Shock values for the adaptation scenario</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_Toc522036524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60</w:t>
        </w:r>
        <w:r w:rsidR="001E37D1" w:rsidRPr="001E37D1">
          <w:rPr>
            <w:rFonts w:ascii="Times New Roman" w:hAnsi="Times New Roman" w:cs="Times New Roman"/>
            <w:noProof/>
            <w:webHidden/>
          </w:rPr>
          <w:fldChar w:fldCharType="end"/>
        </w:r>
      </w:hyperlink>
    </w:p>
    <w:p w14:paraId="1CF73DF8" w14:textId="22D404C7" w:rsidR="001E37D1" w:rsidRPr="001E37D1" w:rsidRDefault="00460389">
      <w:pPr>
        <w:pStyle w:val="TableofFigures"/>
        <w:rPr>
          <w:rFonts w:ascii="Times New Roman" w:eastAsiaTheme="minorEastAsia" w:hAnsi="Times New Roman" w:cs="Times New Roman"/>
          <w:noProof/>
        </w:rPr>
      </w:pPr>
      <w:hyperlink w:anchor="_Toc522036525" w:history="1">
        <w:r w:rsidR="001E37D1" w:rsidRPr="001E37D1">
          <w:rPr>
            <w:rStyle w:val="Hyperlink"/>
            <w:rFonts w:cs="Times New Roman"/>
            <w:noProof/>
            <w:sz w:val="22"/>
          </w:rPr>
          <w:t>Table 1.4. Sector description</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_Toc522036525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60</w:t>
        </w:r>
        <w:r w:rsidR="001E37D1" w:rsidRPr="001E37D1">
          <w:rPr>
            <w:rFonts w:ascii="Times New Roman" w:hAnsi="Times New Roman" w:cs="Times New Roman"/>
            <w:noProof/>
            <w:webHidden/>
          </w:rPr>
          <w:fldChar w:fldCharType="end"/>
        </w:r>
      </w:hyperlink>
    </w:p>
    <w:p w14:paraId="45E60539" w14:textId="5860A462" w:rsidR="002C036B" w:rsidRPr="001C3EDC" w:rsidRDefault="00AD13CD" w:rsidP="005D0B15">
      <w:pPr>
        <w:pStyle w:val="TableofFigures"/>
        <w:rPr>
          <w:rFonts w:cs="Times New Roman"/>
          <w:szCs w:val="24"/>
        </w:rPr>
      </w:pPr>
      <w:r w:rsidRPr="001E37D1">
        <w:rPr>
          <w:rFonts w:ascii="Times New Roman" w:hAnsi="Times New Roman" w:cs="Times New Roman"/>
        </w:rPr>
        <w:fldChar w:fldCharType="end"/>
      </w:r>
    </w:p>
    <w:p w14:paraId="2156432B" w14:textId="4C475780" w:rsidR="005E4694" w:rsidRPr="001C3EDC" w:rsidRDefault="005E4694" w:rsidP="005E4694">
      <w:pPr>
        <w:spacing w:line="276" w:lineRule="auto"/>
        <w:jc w:val="left"/>
        <w:rPr>
          <w:rFonts w:ascii="Calibri" w:eastAsiaTheme="majorEastAsia" w:hAnsi="Calibri" w:cstheme="majorBidi"/>
          <w:b/>
          <w:color w:val="365F91" w:themeColor="accent1" w:themeShade="BF"/>
          <w:sz w:val="32"/>
          <w:szCs w:val="32"/>
        </w:rPr>
      </w:pPr>
      <w:bookmarkStart w:id="1" w:name="_Hlk480278399"/>
      <w:bookmarkEnd w:id="1"/>
      <w:r w:rsidRPr="001C3EDC">
        <w:rPr>
          <w:rFonts w:ascii="Calibri" w:eastAsiaTheme="majorEastAsia" w:hAnsi="Calibri" w:cstheme="majorBidi"/>
          <w:b/>
          <w:color w:val="365F91" w:themeColor="accent1" w:themeShade="BF"/>
          <w:sz w:val="32"/>
          <w:szCs w:val="32"/>
        </w:rPr>
        <w:t>List of Boxes</w:t>
      </w:r>
    </w:p>
    <w:bookmarkStart w:id="2" w:name="_Toc505600274"/>
    <w:p w14:paraId="1D3276C1" w14:textId="5F72540F" w:rsidR="001E37D1" w:rsidRPr="001E37D1" w:rsidRDefault="002A41FA">
      <w:pPr>
        <w:pStyle w:val="TableofFigures"/>
        <w:rPr>
          <w:rFonts w:ascii="Times New Roman" w:eastAsiaTheme="minorEastAsia" w:hAnsi="Times New Roman" w:cs="Times New Roman"/>
          <w:noProof/>
        </w:rPr>
      </w:pPr>
      <w:r w:rsidRPr="001E37D1">
        <w:rPr>
          <w:rFonts w:ascii="Times New Roman" w:hAnsi="Times New Roman" w:cs="Times New Roman"/>
        </w:rPr>
        <w:fldChar w:fldCharType="begin"/>
      </w:r>
      <w:r w:rsidRPr="001E37D1">
        <w:rPr>
          <w:rFonts w:ascii="Times New Roman" w:hAnsi="Times New Roman" w:cs="Times New Roman"/>
        </w:rPr>
        <w:instrText xml:space="preserve"> TOC \h \z \c "Box" </w:instrText>
      </w:r>
      <w:r w:rsidRPr="001E37D1">
        <w:rPr>
          <w:rFonts w:ascii="Times New Roman" w:hAnsi="Times New Roman" w:cs="Times New Roman"/>
        </w:rPr>
        <w:fldChar w:fldCharType="separate"/>
      </w:r>
      <w:hyperlink w:anchor="_Toc522036526" w:history="1">
        <w:r w:rsidR="001E37D1" w:rsidRPr="001E37D1">
          <w:rPr>
            <w:rStyle w:val="Hyperlink"/>
            <w:rFonts w:cs="Times New Roman"/>
            <w:noProof/>
            <w:sz w:val="22"/>
          </w:rPr>
          <w:t>Box 1. Limitations of the CGE approach</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_Toc522036526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23</w:t>
        </w:r>
        <w:r w:rsidR="001E37D1" w:rsidRPr="001E37D1">
          <w:rPr>
            <w:rFonts w:ascii="Times New Roman" w:hAnsi="Times New Roman" w:cs="Times New Roman"/>
            <w:noProof/>
            <w:webHidden/>
          </w:rPr>
          <w:fldChar w:fldCharType="end"/>
        </w:r>
      </w:hyperlink>
    </w:p>
    <w:p w14:paraId="34027F17" w14:textId="10C4A000" w:rsidR="001E37D1" w:rsidRPr="001E37D1" w:rsidRDefault="00460389">
      <w:pPr>
        <w:pStyle w:val="TableofFigures"/>
        <w:rPr>
          <w:rFonts w:ascii="Times New Roman" w:eastAsiaTheme="minorEastAsia" w:hAnsi="Times New Roman" w:cs="Times New Roman"/>
          <w:noProof/>
        </w:rPr>
      </w:pPr>
      <w:hyperlink w:anchor="_Toc522036527" w:history="1">
        <w:r w:rsidR="001E37D1" w:rsidRPr="001E37D1">
          <w:rPr>
            <w:rStyle w:val="Hyperlink"/>
            <w:rFonts w:cs="Times New Roman"/>
            <w:noProof/>
            <w:sz w:val="22"/>
          </w:rPr>
          <w:t>Box 2. The macro-economic impacts of a 2°C temperature change over Europe: findings from previous studies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_Toc522036527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28</w:t>
        </w:r>
        <w:r w:rsidR="001E37D1" w:rsidRPr="001E37D1">
          <w:rPr>
            <w:rFonts w:ascii="Times New Roman" w:hAnsi="Times New Roman" w:cs="Times New Roman"/>
            <w:noProof/>
            <w:webHidden/>
          </w:rPr>
          <w:fldChar w:fldCharType="end"/>
        </w:r>
      </w:hyperlink>
    </w:p>
    <w:p w14:paraId="5ED258F0" w14:textId="43AA1086" w:rsidR="001E37D1" w:rsidRPr="001E37D1" w:rsidRDefault="00460389">
      <w:pPr>
        <w:pStyle w:val="TableofFigures"/>
        <w:rPr>
          <w:rFonts w:ascii="Times New Roman" w:eastAsiaTheme="minorEastAsia" w:hAnsi="Times New Roman" w:cs="Times New Roman"/>
          <w:noProof/>
        </w:rPr>
      </w:pPr>
      <w:hyperlink w:anchor="_Toc522036528" w:history="1">
        <w:r w:rsidR="001E37D1" w:rsidRPr="001E37D1">
          <w:rPr>
            <w:rStyle w:val="Hyperlink"/>
            <w:rFonts w:cs="Times New Roman"/>
            <w:noProof/>
            <w:sz w:val="22"/>
          </w:rPr>
          <w:t>Box 3. Greenhouse gas implications</w:t>
        </w:r>
        <w:r w:rsidR="001E37D1" w:rsidRPr="001E37D1">
          <w:rPr>
            <w:rFonts w:ascii="Times New Roman" w:hAnsi="Times New Roman" w:cs="Times New Roman"/>
            <w:noProof/>
            <w:webHidden/>
          </w:rPr>
          <w:tab/>
        </w:r>
        <w:r w:rsidR="001E37D1" w:rsidRPr="001E37D1">
          <w:rPr>
            <w:rFonts w:ascii="Times New Roman" w:hAnsi="Times New Roman" w:cs="Times New Roman"/>
            <w:noProof/>
            <w:webHidden/>
          </w:rPr>
          <w:fldChar w:fldCharType="begin"/>
        </w:r>
        <w:r w:rsidR="001E37D1" w:rsidRPr="001E37D1">
          <w:rPr>
            <w:rFonts w:ascii="Times New Roman" w:hAnsi="Times New Roman" w:cs="Times New Roman"/>
            <w:noProof/>
            <w:webHidden/>
          </w:rPr>
          <w:instrText xml:space="preserve"> PAGEREF _Toc522036528 \h </w:instrText>
        </w:r>
        <w:r w:rsidR="001E37D1" w:rsidRPr="001E37D1">
          <w:rPr>
            <w:rFonts w:ascii="Times New Roman" w:hAnsi="Times New Roman" w:cs="Times New Roman"/>
            <w:noProof/>
            <w:webHidden/>
          </w:rPr>
        </w:r>
        <w:r w:rsidR="001E37D1" w:rsidRPr="001E37D1">
          <w:rPr>
            <w:rFonts w:ascii="Times New Roman" w:hAnsi="Times New Roman" w:cs="Times New Roman"/>
            <w:noProof/>
            <w:webHidden/>
          </w:rPr>
          <w:fldChar w:fldCharType="separate"/>
        </w:r>
        <w:r w:rsidR="001E37D1" w:rsidRPr="001E37D1">
          <w:rPr>
            <w:rFonts w:ascii="Times New Roman" w:hAnsi="Times New Roman" w:cs="Times New Roman"/>
            <w:noProof/>
            <w:webHidden/>
          </w:rPr>
          <w:t>51</w:t>
        </w:r>
        <w:r w:rsidR="001E37D1" w:rsidRPr="001E37D1">
          <w:rPr>
            <w:rFonts w:ascii="Times New Roman" w:hAnsi="Times New Roman" w:cs="Times New Roman"/>
            <w:noProof/>
            <w:webHidden/>
          </w:rPr>
          <w:fldChar w:fldCharType="end"/>
        </w:r>
      </w:hyperlink>
    </w:p>
    <w:p w14:paraId="28C53405" w14:textId="6C0BD68B" w:rsidR="002A41FA" w:rsidRPr="002A41FA" w:rsidRDefault="002A41FA" w:rsidP="002A41FA">
      <w:pPr>
        <w:sectPr w:rsidR="002A41FA" w:rsidRPr="002A41FA" w:rsidSect="00702B7C">
          <w:pgSz w:w="11906" w:h="16838"/>
          <w:pgMar w:top="1411" w:right="1411" w:bottom="1411" w:left="1411" w:header="708" w:footer="708" w:gutter="0"/>
          <w:pgNumType w:fmt="lowerRoman" w:start="1"/>
          <w:cols w:space="708"/>
          <w:docGrid w:linePitch="360"/>
        </w:sectPr>
      </w:pPr>
      <w:r w:rsidRPr="001E37D1">
        <w:rPr>
          <w:rFonts w:cs="Times New Roman"/>
          <w:sz w:val="22"/>
        </w:rPr>
        <w:fldChar w:fldCharType="end"/>
      </w:r>
    </w:p>
    <w:p w14:paraId="585F6F77" w14:textId="280B5BE7" w:rsidR="005E4694" w:rsidRPr="001C3EDC" w:rsidRDefault="005E4694" w:rsidP="002B6EE2">
      <w:pPr>
        <w:pStyle w:val="Heading1"/>
      </w:pPr>
      <w:bookmarkStart w:id="3" w:name="_Toc505600273"/>
      <w:bookmarkStart w:id="4" w:name="_Toc522036451"/>
      <w:bookmarkStart w:id="5" w:name="_Toc510004084"/>
      <w:r w:rsidRPr="001C3EDC">
        <w:lastRenderedPageBreak/>
        <w:t>Abbreviations and Acronyms</w:t>
      </w:r>
      <w:bookmarkEnd w:id="3"/>
      <w:bookmarkEnd w:id="4"/>
    </w:p>
    <w:p w14:paraId="2E323CE4" w14:textId="0824BCD6" w:rsidR="00536E28" w:rsidRPr="001C3EDC" w:rsidRDefault="00536E28" w:rsidP="00536E28">
      <w:pPr>
        <w:spacing w:after="80" w:line="276" w:lineRule="auto"/>
      </w:pPr>
      <w:r w:rsidRPr="001C3EDC">
        <w:t>AD-DICE</w:t>
      </w:r>
      <w:r w:rsidRPr="001C3EDC">
        <w:tab/>
      </w:r>
      <w:r w:rsidRPr="001C3EDC">
        <w:tab/>
        <w:t>Adaptation in Dynamic Integrate Climate-Economy</w:t>
      </w:r>
    </w:p>
    <w:p w14:paraId="5856CB7F" w14:textId="42ACCB40" w:rsidR="00536E28" w:rsidRPr="001C3EDC" w:rsidRDefault="00536E28" w:rsidP="00536E28">
      <w:pPr>
        <w:spacing w:after="80" w:line="276" w:lineRule="auto"/>
      </w:pPr>
      <w:r w:rsidRPr="001C3EDC">
        <w:t>AEZ</w:t>
      </w:r>
      <w:r w:rsidRPr="001C3EDC">
        <w:tab/>
      </w:r>
      <w:r w:rsidRPr="001C3EDC">
        <w:tab/>
      </w:r>
      <w:r w:rsidRPr="001C3EDC">
        <w:tab/>
        <w:t>Agro-Ecological Zone</w:t>
      </w:r>
    </w:p>
    <w:p w14:paraId="14C9AAB8" w14:textId="0616B07E" w:rsidR="00536E28" w:rsidRPr="001C3EDC" w:rsidRDefault="00536E28" w:rsidP="00536E28">
      <w:pPr>
        <w:spacing w:after="80" w:line="276" w:lineRule="auto"/>
      </w:pPr>
      <w:r w:rsidRPr="001C3EDC">
        <w:t>BaU</w:t>
      </w:r>
      <w:r w:rsidRPr="001C3EDC">
        <w:tab/>
      </w:r>
      <w:r w:rsidRPr="001C3EDC">
        <w:tab/>
      </w:r>
      <w:r w:rsidRPr="001C3EDC">
        <w:tab/>
        <w:t>Business as Usual</w:t>
      </w:r>
    </w:p>
    <w:p w14:paraId="17A717AF" w14:textId="034C0EF7" w:rsidR="00536E28" w:rsidRPr="001C3EDC" w:rsidRDefault="00536E28" w:rsidP="00536E28">
      <w:pPr>
        <w:spacing w:after="80" w:line="276" w:lineRule="auto"/>
      </w:pPr>
      <w:r w:rsidRPr="001C3EDC">
        <w:t>CGE</w:t>
      </w:r>
      <w:r w:rsidRPr="001C3EDC">
        <w:tab/>
      </w:r>
      <w:r w:rsidRPr="001C3EDC">
        <w:tab/>
      </w:r>
      <w:r w:rsidRPr="001C3EDC">
        <w:tab/>
        <w:t>Computable General Equilibrium</w:t>
      </w:r>
    </w:p>
    <w:p w14:paraId="004448F4" w14:textId="77777777" w:rsidR="00536E28" w:rsidRPr="001C3EDC" w:rsidRDefault="00536E28" w:rsidP="00536E28">
      <w:pPr>
        <w:spacing w:after="80" w:line="276" w:lineRule="auto"/>
      </w:pPr>
      <w:r w:rsidRPr="001C3EDC">
        <w:t>ENV-Linkage</w:t>
      </w:r>
      <w:r w:rsidRPr="001C3EDC">
        <w:tab/>
        <w:t>Environment Directorate’s Linkage</w:t>
      </w:r>
    </w:p>
    <w:p w14:paraId="56AF6AD7" w14:textId="0E722C61" w:rsidR="00536E28" w:rsidRPr="001C3EDC" w:rsidRDefault="00536E28" w:rsidP="00536E28">
      <w:pPr>
        <w:spacing w:after="80" w:line="276" w:lineRule="auto"/>
      </w:pPr>
      <w:r w:rsidRPr="001C3EDC">
        <w:t>EU</w:t>
      </w:r>
      <w:r w:rsidRPr="001C3EDC">
        <w:tab/>
      </w:r>
      <w:r w:rsidRPr="001C3EDC">
        <w:tab/>
      </w:r>
      <w:r w:rsidRPr="001C3EDC">
        <w:tab/>
      </w:r>
      <w:r w:rsidRPr="001C3EDC">
        <w:tab/>
        <w:t>European Union</w:t>
      </w:r>
    </w:p>
    <w:p w14:paraId="22A2AEC6" w14:textId="477D527A" w:rsidR="00536E28" w:rsidRPr="001C3EDC" w:rsidRDefault="00536E28" w:rsidP="00536E28">
      <w:pPr>
        <w:spacing w:after="80" w:line="276" w:lineRule="auto"/>
      </w:pPr>
      <w:r w:rsidRPr="001C3EDC">
        <w:t>FAO</w:t>
      </w:r>
      <w:r w:rsidRPr="001C3EDC">
        <w:tab/>
      </w:r>
      <w:r w:rsidRPr="001C3EDC">
        <w:tab/>
      </w:r>
      <w:r w:rsidRPr="001C3EDC">
        <w:tab/>
        <w:t>Food and Agriculture Organization</w:t>
      </w:r>
    </w:p>
    <w:p w14:paraId="56179CAC" w14:textId="233CEC85" w:rsidR="00536E28" w:rsidRPr="001C3EDC" w:rsidRDefault="00536E28" w:rsidP="00536E28">
      <w:pPr>
        <w:spacing w:after="80" w:line="276" w:lineRule="auto"/>
      </w:pPr>
      <w:r w:rsidRPr="001C3EDC">
        <w:t>FX</w:t>
      </w:r>
      <w:r w:rsidRPr="001C3EDC">
        <w:tab/>
      </w:r>
      <w:r w:rsidRPr="001C3EDC">
        <w:tab/>
      </w:r>
      <w:r w:rsidRPr="001C3EDC">
        <w:tab/>
      </w:r>
      <w:r w:rsidRPr="001C3EDC">
        <w:tab/>
        <w:t>Foreign Exchange</w:t>
      </w:r>
    </w:p>
    <w:p w14:paraId="62E25BE8" w14:textId="5D34C500" w:rsidR="00536E28" w:rsidRPr="001C3EDC" w:rsidRDefault="00536E28" w:rsidP="00536E28">
      <w:pPr>
        <w:spacing w:after="80" w:line="276" w:lineRule="auto"/>
      </w:pPr>
      <w:r w:rsidRPr="001C3EDC">
        <w:t>GDP</w:t>
      </w:r>
      <w:r w:rsidRPr="001C3EDC">
        <w:tab/>
      </w:r>
      <w:r w:rsidRPr="001C3EDC">
        <w:tab/>
      </w:r>
      <w:r w:rsidRPr="001C3EDC">
        <w:tab/>
        <w:t>Gross Domestic Product</w:t>
      </w:r>
    </w:p>
    <w:p w14:paraId="20ECC2ED" w14:textId="51FC451F" w:rsidR="00536E28" w:rsidRPr="001C3EDC" w:rsidRDefault="00536E28" w:rsidP="00536E28">
      <w:pPr>
        <w:spacing w:after="80" w:line="276" w:lineRule="auto"/>
      </w:pPr>
      <w:r w:rsidRPr="001C3EDC">
        <w:t>GTAP</w:t>
      </w:r>
      <w:r w:rsidRPr="001C3EDC">
        <w:tab/>
      </w:r>
      <w:r w:rsidRPr="001C3EDC">
        <w:tab/>
      </w:r>
      <w:r w:rsidRPr="001C3EDC">
        <w:tab/>
        <w:t>Global Trade Analysis Project</w:t>
      </w:r>
    </w:p>
    <w:p w14:paraId="35FECA4D" w14:textId="0F79ABCB" w:rsidR="00536E28" w:rsidRPr="001C3EDC" w:rsidRDefault="00536E28" w:rsidP="00536E28">
      <w:pPr>
        <w:spacing w:after="80" w:line="276" w:lineRule="auto"/>
      </w:pPr>
      <w:r w:rsidRPr="001C3EDC">
        <w:t>ICOR</w:t>
      </w:r>
      <w:r w:rsidRPr="001C3EDC">
        <w:tab/>
      </w:r>
      <w:r w:rsidRPr="001C3EDC">
        <w:tab/>
      </w:r>
      <w:r w:rsidRPr="001C3EDC">
        <w:tab/>
        <w:t>Incremental Capital Output Ratio</w:t>
      </w:r>
    </w:p>
    <w:p w14:paraId="0AA3BB66" w14:textId="59974A95" w:rsidR="00536E28" w:rsidRPr="001C3EDC" w:rsidRDefault="00536E28" w:rsidP="00536E28">
      <w:pPr>
        <w:spacing w:after="80" w:line="276" w:lineRule="auto"/>
      </w:pPr>
      <w:r w:rsidRPr="001C3EDC">
        <w:t>IIASA</w:t>
      </w:r>
      <w:r w:rsidRPr="001C3EDC">
        <w:tab/>
      </w:r>
      <w:r w:rsidRPr="001C3EDC">
        <w:tab/>
      </w:r>
      <w:r w:rsidRPr="001C3EDC">
        <w:tab/>
        <w:t>International Institute for Applied Systems Analysis</w:t>
      </w:r>
    </w:p>
    <w:p w14:paraId="46590036" w14:textId="4CD5E917" w:rsidR="00536E28" w:rsidRPr="001C3EDC" w:rsidRDefault="00536E28" w:rsidP="00536E28">
      <w:pPr>
        <w:spacing w:after="80" w:line="276" w:lineRule="auto"/>
      </w:pPr>
      <w:r w:rsidRPr="001C3EDC">
        <w:t>IMF</w:t>
      </w:r>
      <w:r w:rsidRPr="001C3EDC">
        <w:tab/>
      </w:r>
      <w:r w:rsidRPr="001C3EDC">
        <w:tab/>
      </w:r>
      <w:r w:rsidRPr="001C3EDC">
        <w:tab/>
        <w:t>International Monetary Fund</w:t>
      </w:r>
    </w:p>
    <w:p w14:paraId="5F69EE62" w14:textId="57ACC313" w:rsidR="00536E28" w:rsidRPr="001C3EDC" w:rsidRDefault="00536E28" w:rsidP="00536E28">
      <w:pPr>
        <w:spacing w:after="80" w:line="276" w:lineRule="auto"/>
      </w:pPr>
      <w:r w:rsidRPr="001C3EDC">
        <w:t>IPCC</w:t>
      </w:r>
      <w:r w:rsidRPr="001C3EDC">
        <w:tab/>
      </w:r>
      <w:r w:rsidRPr="001C3EDC">
        <w:tab/>
      </w:r>
      <w:r w:rsidRPr="001C3EDC">
        <w:tab/>
        <w:t>Intergovernmental Panel on Climate Change</w:t>
      </w:r>
    </w:p>
    <w:p w14:paraId="7DEB0C7A" w14:textId="2C57D67B" w:rsidR="00536E28" w:rsidRPr="001C3EDC" w:rsidRDefault="00536E28" w:rsidP="00536E28">
      <w:pPr>
        <w:spacing w:after="80" w:line="276" w:lineRule="auto"/>
      </w:pPr>
      <w:r w:rsidRPr="001C3EDC">
        <w:t>LGP</w:t>
      </w:r>
      <w:r w:rsidRPr="001C3EDC">
        <w:tab/>
      </w:r>
      <w:r w:rsidRPr="001C3EDC">
        <w:tab/>
      </w:r>
      <w:r w:rsidRPr="001C3EDC">
        <w:tab/>
        <w:t>Length of Growing Period</w:t>
      </w:r>
    </w:p>
    <w:p w14:paraId="3D4A8D38" w14:textId="4EADDB78" w:rsidR="00536E28" w:rsidRPr="001C3EDC" w:rsidRDefault="00536E28" w:rsidP="00536E28">
      <w:pPr>
        <w:spacing w:after="80" w:line="276" w:lineRule="auto"/>
      </w:pPr>
      <w:r w:rsidRPr="001C3EDC">
        <w:t>MoEW</w:t>
      </w:r>
      <w:r w:rsidRPr="001C3EDC">
        <w:tab/>
      </w:r>
      <w:r w:rsidRPr="001C3EDC">
        <w:tab/>
      </w:r>
      <w:r w:rsidRPr="001C3EDC">
        <w:tab/>
        <w:t>Ministry of Environment and Water</w:t>
      </w:r>
    </w:p>
    <w:p w14:paraId="70188292" w14:textId="5B91D65F" w:rsidR="00536E28" w:rsidRPr="001C3EDC" w:rsidRDefault="00536E28" w:rsidP="00536E28">
      <w:pPr>
        <w:spacing w:after="80" w:line="276" w:lineRule="auto"/>
      </w:pPr>
      <w:r w:rsidRPr="001C3EDC">
        <w:t>OECD</w:t>
      </w:r>
      <w:r w:rsidRPr="001C3EDC">
        <w:tab/>
      </w:r>
      <w:r w:rsidRPr="001C3EDC">
        <w:tab/>
      </w:r>
      <w:r w:rsidRPr="001C3EDC">
        <w:tab/>
        <w:t>Organisation for Economic Cooperation and Development</w:t>
      </w:r>
    </w:p>
    <w:p w14:paraId="77560416" w14:textId="41E430D7" w:rsidR="00536E28" w:rsidRPr="001C3EDC" w:rsidRDefault="00536E28" w:rsidP="00536E28">
      <w:pPr>
        <w:spacing w:after="80" w:line="276" w:lineRule="auto"/>
      </w:pPr>
      <w:r w:rsidRPr="001C3EDC">
        <w:t>RB</w:t>
      </w:r>
      <w:r w:rsidRPr="001C3EDC">
        <w:tab/>
      </w:r>
      <w:r w:rsidRPr="001C3EDC">
        <w:tab/>
      </w:r>
      <w:r w:rsidRPr="001C3EDC">
        <w:tab/>
      </w:r>
      <w:r w:rsidRPr="001C3EDC">
        <w:tab/>
        <w:t>River Basin</w:t>
      </w:r>
    </w:p>
    <w:p w14:paraId="39E7B34F" w14:textId="43C86A75" w:rsidR="00536E28" w:rsidRPr="001C3EDC" w:rsidRDefault="00536E28" w:rsidP="00536E28">
      <w:pPr>
        <w:spacing w:after="80" w:line="276" w:lineRule="auto"/>
      </w:pPr>
      <w:r w:rsidRPr="001C3EDC">
        <w:t>RCP</w:t>
      </w:r>
      <w:r w:rsidRPr="001C3EDC">
        <w:tab/>
      </w:r>
      <w:r w:rsidRPr="001C3EDC">
        <w:tab/>
      </w:r>
      <w:r w:rsidRPr="001C3EDC">
        <w:tab/>
        <w:t>Representative Concentration Pathway</w:t>
      </w:r>
    </w:p>
    <w:p w14:paraId="08D6A629" w14:textId="7FA33E3A" w:rsidR="00536E28" w:rsidRPr="001C3EDC" w:rsidRDefault="00536E28" w:rsidP="00536E28">
      <w:pPr>
        <w:spacing w:after="80" w:line="276" w:lineRule="auto"/>
      </w:pPr>
      <w:r w:rsidRPr="001C3EDC">
        <w:t>SAM</w:t>
      </w:r>
      <w:r w:rsidRPr="001C3EDC">
        <w:tab/>
      </w:r>
      <w:r w:rsidRPr="001C3EDC">
        <w:tab/>
      </w:r>
      <w:r w:rsidRPr="001C3EDC">
        <w:tab/>
        <w:t>Social Accounting Matrix</w:t>
      </w:r>
    </w:p>
    <w:p w14:paraId="2DB118CF" w14:textId="34C188DF" w:rsidR="00536E28" w:rsidRPr="001C3EDC" w:rsidRDefault="00536E28" w:rsidP="00536E28">
      <w:pPr>
        <w:spacing w:after="80" w:line="276" w:lineRule="auto"/>
      </w:pPr>
      <w:r w:rsidRPr="001C3EDC">
        <w:t>SLR</w:t>
      </w:r>
      <w:r w:rsidRPr="001C3EDC">
        <w:tab/>
      </w:r>
      <w:r w:rsidRPr="001C3EDC">
        <w:tab/>
      </w:r>
      <w:r w:rsidRPr="001C3EDC">
        <w:tab/>
        <w:t>Sea Level Rise</w:t>
      </w:r>
    </w:p>
    <w:p w14:paraId="7E119397" w14:textId="3A823E41" w:rsidR="00536E28" w:rsidRPr="001C3EDC" w:rsidRDefault="00536E28" w:rsidP="00536E28">
      <w:pPr>
        <w:spacing w:after="80" w:line="276" w:lineRule="auto"/>
      </w:pPr>
      <w:r w:rsidRPr="001C3EDC">
        <w:t>ToT</w:t>
      </w:r>
      <w:r w:rsidRPr="001C3EDC">
        <w:tab/>
      </w:r>
      <w:r w:rsidRPr="001C3EDC">
        <w:tab/>
      </w:r>
      <w:r w:rsidRPr="001C3EDC">
        <w:tab/>
        <w:t>Terms of Trade</w:t>
      </w:r>
    </w:p>
    <w:p w14:paraId="56D179CB" w14:textId="6489A16F" w:rsidR="00536E28" w:rsidRPr="001C3EDC" w:rsidRDefault="00536E28" w:rsidP="00536E28">
      <w:pPr>
        <w:spacing w:after="80" w:line="276" w:lineRule="auto"/>
      </w:pPr>
      <w:r w:rsidRPr="001C3EDC">
        <w:t>WBGT</w:t>
      </w:r>
      <w:r w:rsidRPr="001C3EDC">
        <w:tab/>
      </w:r>
      <w:r w:rsidRPr="001C3EDC">
        <w:tab/>
      </w:r>
      <w:r w:rsidRPr="001C3EDC">
        <w:tab/>
        <w:t>Wet Bulb Global Temperature</w:t>
      </w:r>
    </w:p>
    <w:p w14:paraId="66CBD585" w14:textId="77777777" w:rsidR="00536E28" w:rsidRPr="001C3EDC" w:rsidRDefault="00536E28" w:rsidP="00536E28"/>
    <w:p w14:paraId="1A6230A7" w14:textId="6783B721" w:rsidR="00603E67" w:rsidRPr="001C3EDC" w:rsidRDefault="00603E67" w:rsidP="005E4694">
      <w:pPr>
        <w:spacing w:after="80" w:line="276" w:lineRule="auto"/>
        <w:jc w:val="left"/>
        <w:sectPr w:rsidR="00603E67" w:rsidRPr="001C3EDC" w:rsidSect="00603E67">
          <w:footerReference w:type="default" r:id="rId15"/>
          <w:pgSz w:w="11906" w:h="16838"/>
          <w:pgMar w:top="1411" w:right="1411" w:bottom="1411" w:left="1411" w:header="708" w:footer="708" w:gutter="0"/>
          <w:pgNumType w:fmt="lowerRoman"/>
          <w:cols w:space="708"/>
          <w:docGrid w:linePitch="360"/>
        </w:sectPr>
      </w:pPr>
    </w:p>
    <w:p w14:paraId="272F44AC" w14:textId="230CE588" w:rsidR="001E3127" w:rsidRPr="001C3EDC" w:rsidRDefault="005E4694" w:rsidP="002B6EE2">
      <w:pPr>
        <w:pStyle w:val="Heading1"/>
      </w:pPr>
      <w:bookmarkStart w:id="6" w:name="_Toc522036452"/>
      <w:r w:rsidRPr="001C3EDC">
        <w:lastRenderedPageBreak/>
        <w:t xml:space="preserve">1. </w:t>
      </w:r>
      <w:r w:rsidRPr="001C3EDC">
        <w:tab/>
      </w:r>
      <w:r w:rsidR="001E3127" w:rsidRPr="001C3EDC">
        <w:t>Introduction</w:t>
      </w:r>
      <w:bookmarkEnd w:id="2"/>
      <w:bookmarkEnd w:id="5"/>
      <w:bookmarkEnd w:id="6"/>
    </w:p>
    <w:p w14:paraId="4AD85DDE" w14:textId="2606E2E0" w:rsidR="000355E0" w:rsidRPr="001C3EDC" w:rsidRDefault="000355E0" w:rsidP="00634B9D">
      <w:pPr>
        <w:pStyle w:val="BodyText"/>
        <w:tabs>
          <w:tab w:val="left" w:pos="720"/>
        </w:tabs>
        <w:ind w:left="0" w:firstLine="0"/>
      </w:pPr>
      <w:bookmarkStart w:id="7" w:name="_Hlk514162215"/>
      <w:r w:rsidRPr="001C3EDC">
        <w:t>The objective of th</w:t>
      </w:r>
      <w:r w:rsidR="00817D5C" w:rsidRPr="001C3EDC">
        <w:t>e present analysis</w:t>
      </w:r>
      <w:r w:rsidRPr="001C3EDC">
        <w:t xml:space="preserve"> is to assess the cascading effects from climate change on the Bulgarian economy and inform decision makers on investment needs for climate change adaptation, based on an integrated analysis coupling socioeconomic and physical </w:t>
      </w:r>
      <w:r w:rsidR="006A496E" w:rsidRPr="001C3EDC">
        <w:t>climate models.</w:t>
      </w:r>
    </w:p>
    <w:p w14:paraId="161A7382" w14:textId="10B569D7" w:rsidR="007A4DCD" w:rsidRPr="001C3EDC" w:rsidRDefault="009957E1" w:rsidP="007A4DCD">
      <w:pPr>
        <w:pStyle w:val="BodyText"/>
        <w:tabs>
          <w:tab w:val="left" w:pos="720"/>
        </w:tabs>
        <w:ind w:left="0" w:firstLine="0"/>
      </w:pPr>
      <w:r w:rsidRPr="001C3EDC">
        <w:t>T</w:t>
      </w:r>
      <w:r w:rsidR="000355E0" w:rsidRPr="001C3EDC">
        <w:t>h</w:t>
      </w:r>
      <w:r w:rsidR="00817D5C" w:rsidRPr="001C3EDC">
        <w:t>is</w:t>
      </w:r>
      <w:r w:rsidR="000355E0" w:rsidRPr="001C3EDC">
        <w:t xml:space="preserve"> analysis evaluates the social and economic implications of climate change impacts and adaptation actions in Bulgaria and highlights the costs of inaction and the benefits of climate action within an economy-wide framework. </w:t>
      </w:r>
      <w:r w:rsidR="009F0817" w:rsidRPr="001C3EDC">
        <w:t xml:space="preserve"> </w:t>
      </w:r>
      <w:r w:rsidR="000355E0" w:rsidRPr="001C3EDC">
        <w:t>The analysis estimates overall economic activity</w:t>
      </w:r>
      <w:r w:rsidR="007A4CEE" w:rsidRPr="001C3EDC">
        <w:t xml:space="preserve"> </w:t>
      </w:r>
      <w:r w:rsidR="00873345" w:rsidRPr="001C3EDC">
        <w:t>(</w:t>
      </w:r>
      <w:r w:rsidR="000A24E3" w:rsidRPr="001C3EDC">
        <w:t>that is</w:t>
      </w:r>
      <w:r w:rsidRPr="001C3EDC">
        <w:t xml:space="preserve">, </w:t>
      </w:r>
      <w:r w:rsidR="001B7905" w:rsidRPr="001C3EDC">
        <w:t>g</w:t>
      </w:r>
      <w:r w:rsidRPr="001C3EDC">
        <w:t xml:space="preserve">ross </w:t>
      </w:r>
      <w:r w:rsidR="001B7905" w:rsidRPr="001C3EDC">
        <w:t>d</w:t>
      </w:r>
      <w:r w:rsidRPr="001C3EDC">
        <w:t xml:space="preserve">omestic </w:t>
      </w:r>
      <w:r w:rsidR="001B7905" w:rsidRPr="001C3EDC">
        <w:t>p</w:t>
      </w:r>
      <w:r w:rsidRPr="001C3EDC">
        <w:t xml:space="preserve">roduct </w:t>
      </w:r>
      <w:r w:rsidR="00FA228B" w:rsidRPr="001C3EDC">
        <w:t>[</w:t>
      </w:r>
      <w:r w:rsidRPr="001C3EDC">
        <w:t>GDP</w:t>
      </w:r>
      <w:r w:rsidR="00FA228B" w:rsidRPr="001C3EDC">
        <w:t>]</w:t>
      </w:r>
      <w:r w:rsidR="00873345" w:rsidRPr="001C3EDC">
        <w:t>)</w:t>
      </w:r>
      <w:r w:rsidR="007A4CEE" w:rsidRPr="001C3EDC">
        <w:t xml:space="preserve">, </w:t>
      </w:r>
      <w:r w:rsidR="00873345" w:rsidRPr="001C3EDC">
        <w:t xml:space="preserve">economic </w:t>
      </w:r>
      <w:r w:rsidR="007A4CEE" w:rsidRPr="001C3EDC">
        <w:t>welfare</w:t>
      </w:r>
      <w:r w:rsidR="000355E0" w:rsidRPr="001C3EDC">
        <w:t>, sectoral output</w:t>
      </w:r>
      <w:r w:rsidR="00FA228B" w:rsidRPr="001C3EDC">
        <w:t>,</w:t>
      </w:r>
      <w:r w:rsidR="000355E0" w:rsidRPr="001C3EDC">
        <w:t xml:space="preserve"> and employment level</w:t>
      </w:r>
      <w:r w:rsidR="007A4CEE" w:rsidRPr="001C3EDC">
        <w:t>s</w:t>
      </w:r>
      <w:r w:rsidR="000355E0" w:rsidRPr="001C3EDC">
        <w:t xml:space="preserve">, all with and without climate </w:t>
      </w:r>
      <w:r w:rsidR="007A4CEE" w:rsidRPr="001C3EDC">
        <w:t xml:space="preserve">adaptation </w:t>
      </w:r>
      <w:r w:rsidR="000355E0" w:rsidRPr="001C3EDC">
        <w:t xml:space="preserve">to provide elements in answer to the following questions: what </w:t>
      </w:r>
      <w:r w:rsidRPr="001C3EDC">
        <w:t xml:space="preserve">are the </w:t>
      </w:r>
      <w:r w:rsidR="000355E0" w:rsidRPr="001C3EDC">
        <w:t>most vulnerable sectors</w:t>
      </w:r>
      <w:r w:rsidRPr="001C3EDC">
        <w:t xml:space="preserve"> to climate change</w:t>
      </w:r>
      <w:r w:rsidR="00880438" w:rsidRPr="001C3EDC">
        <w:t>,</w:t>
      </w:r>
      <w:r w:rsidR="000355E0" w:rsidRPr="001C3EDC">
        <w:t xml:space="preserve"> how effective is adaptation to </w:t>
      </w:r>
      <w:r w:rsidRPr="001C3EDC">
        <w:t xml:space="preserve">its </w:t>
      </w:r>
      <w:r w:rsidR="000355E0" w:rsidRPr="001C3EDC">
        <w:t>most significant impacts</w:t>
      </w:r>
      <w:r w:rsidR="00880438" w:rsidRPr="001C3EDC">
        <w:t>,</w:t>
      </w:r>
      <w:r w:rsidR="000355E0" w:rsidRPr="001C3EDC">
        <w:t xml:space="preserve"> </w:t>
      </w:r>
      <w:r w:rsidR="004879E9" w:rsidRPr="001C3EDC">
        <w:t>and</w:t>
      </w:r>
      <w:r w:rsidR="000355E0" w:rsidRPr="001C3EDC">
        <w:t xml:space="preserve"> what are </w:t>
      </w:r>
      <w:r w:rsidR="004879E9" w:rsidRPr="001C3EDC">
        <w:t xml:space="preserve">the </w:t>
      </w:r>
      <w:r w:rsidR="000355E0" w:rsidRPr="001C3EDC">
        <w:t>broader socioeconomic benefits</w:t>
      </w:r>
      <w:r w:rsidRPr="001C3EDC">
        <w:t xml:space="preserve"> from climate change adaptation</w:t>
      </w:r>
      <w:r w:rsidR="00EF7943" w:rsidRPr="001C3EDC">
        <w:t>?</w:t>
      </w:r>
      <w:r w:rsidR="00CB62AC" w:rsidRPr="001C3EDC">
        <w:t xml:space="preserve"> </w:t>
      </w:r>
      <w:r w:rsidR="00AD7047" w:rsidRPr="001C3EDC">
        <w:t xml:space="preserve">This </w:t>
      </w:r>
      <w:r w:rsidR="00F12AB3" w:rsidRPr="001C3EDC">
        <w:t>study</w:t>
      </w:r>
      <w:r w:rsidR="00AD7047" w:rsidRPr="001C3EDC">
        <w:t xml:space="preserve"> is thus </w:t>
      </w:r>
      <w:r w:rsidR="00F12AB3" w:rsidRPr="001C3EDC">
        <w:t>complementary to other analytical work undertaken under the present Advisory Services aiming at strengthening policy-making and strategic planning on climate change adaptation</w:t>
      </w:r>
      <w:r w:rsidR="003E6ED2" w:rsidRPr="001C3EDC">
        <w:t xml:space="preserve">, including providing input </w:t>
      </w:r>
      <w:r w:rsidR="007A4DCD" w:rsidRPr="001C3EDC">
        <w:t>to</w:t>
      </w:r>
      <w:r w:rsidR="003E6ED2" w:rsidRPr="001C3EDC">
        <w:t xml:space="preserve"> the first National Adaptation Strategy and Action Plan for Bulgaria</w:t>
      </w:r>
      <w:r w:rsidR="00F12AB3" w:rsidRPr="001C3EDC">
        <w:t>. The scope of th</w:t>
      </w:r>
      <w:r w:rsidR="00DC33E1" w:rsidRPr="001C3EDC">
        <w:t>is</w:t>
      </w:r>
      <w:r w:rsidR="00F12AB3" w:rsidRPr="001C3EDC">
        <w:t xml:space="preserve"> macro-economic analysis is to inform high-level policy dialogue, on the rationale to adapt (comparing the costs of action with the costs of inaction)</w:t>
      </w:r>
      <w:r w:rsidR="00DC33E1" w:rsidRPr="001C3EDC">
        <w:t>,</w:t>
      </w:r>
      <w:r w:rsidR="00F12AB3" w:rsidRPr="001C3EDC">
        <w:t xml:space="preserve"> and on </w:t>
      </w:r>
      <w:r w:rsidR="003E6ED2" w:rsidRPr="001C3EDC">
        <w:t>overall funding needs and potential financing mechanisms.  It is complemented by additional work</w:t>
      </w:r>
      <w:r w:rsidR="007A4DCD" w:rsidRPr="001C3EDC">
        <w:t xml:space="preserve"> to inform actions at sectoral level that will also feed into the National Adaptation Strategy and Action Plan, including understanding of climate vulnerability and prioritization of adaptation measures, based on expert judgement and cost-benefit analysis.  </w:t>
      </w:r>
    </w:p>
    <w:bookmarkEnd w:id="7"/>
    <w:p w14:paraId="37659201" w14:textId="43FDF93F" w:rsidR="000355E0" w:rsidRPr="001C3EDC" w:rsidRDefault="000355E0" w:rsidP="00634B9D">
      <w:pPr>
        <w:pStyle w:val="BodyText"/>
        <w:tabs>
          <w:tab w:val="left" w:pos="720"/>
        </w:tabs>
        <w:ind w:left="0" w:firstLine="0"/>
      </w:pPr>
      <w:r w:rsidRPr="001C3EDC">
        <w:t xml:space="preserve">For this analysis, an economy-wide framework, </w:t>
      </w:r>
      <w:r w:rsidR="00B42587" w:rsidRPr="001C3EDC">
        <w:t xml:space="preserve">the </w:t>
      </w:r>
      <w:r w:rsidRPr="001C3EDC">
        <w:t xml:space="preserve">so-called Computable General Equilibrium (CGE) model, was developed for Bulgaria and complemented with </w:t>
      </w:r>
      <w:r w:rsidR="009957E1" w:rsidRPr="001C3EDC">
        <w:t xml:space="preserve">scenarios of </w:t>
      </w:r>
      <w:r w:rsidR="00E53131" w:rsidRPr="001C3EDC">
        <w:t>climate change impact</w:t>
      </w:r>
      <w:r w:rsidR="009957E1" w:rsidRPr="001C3EDC">
        <w:t>s</w:t>
      </w:r>
      <w:r w:rsidR="00E53131" w:rsidRPr="001C3EDC">
        <w:t xml:space="preserve"> on </w:t>
      </w:r>
      <w:r w:rsidRPr="001C3EDC">
        <w:t>land</w:t>
      </w:r>
      <w:r w:rsidR="006D6FF7" w:rsidRPr="001C3EDC">
        <w:t>, forest</w:t>
      </w:r>
      <w:r w:rsidR="009957E1" w:rsidRPr="001C3EDC">
        <w:t>,</w:t>
      </w:r>
      <w:r w:rsidRPr="001C3EDC">
        <w:t xml:space="preserve"> and water </w:t>
      </w:r>
      <w:r w:rsidR="00E53131" w:rsidRPr="001C3EDC">
        <w:t>resources</w:t>
      </w:r>
      <w:r w:rsidRPr="001C3EDC">
        <w:t xml:space="preserve">. </w:t>
      </w:r>
      <w:r w:rsidR="006F5538" w:rsidRPr="001C3EDC">
        <w:t xml:space="preserve"> </w:t>
      </w:r>
      <w:r w:rsidRPr="001C3EDC">
        <w:t>CGEs are a class of economic models that use actual economic data to estimate how an economy might react to changes in policy, technology, or other external factors linked to economic or noneconomic factors (for example</w:t>
      </w:r>
      <w:r w:rsidR="007072E5" w:rsidRPr="001C3EDC">
        <w:t>,</w:t>
      </w:r>
      <w:r w:rsidRPr="001C3EDC">
        <w:t xml:space="preserve"> fiscal policy reforms or climate</w:t>
      </w:r>
      <w:r w:rsidR="007072E5" w:rsidRPr="001C3EDC">
        <w:t xml:space="preserve"> </w:t>
      </w:r>
      <w:r w:rsidR="00C114BC" w:rsidRPr="001C3EDC">
        <w:t>change</w:t>
      </w:r>
      <w:r w:rsidR="007072E5" w:rsidRPr="001C3EDC">
        <w:t>-</w:t>
      </w:r>
      <w:r w:rsidR="009957E1" w:rsidRPr="001C3EDC">
        <w:t>induced shocks</w:t>
      </w:r>
      <w:r w:rsidR="00C114BC" w:rsidRPr="001C3EDC">
        <w:t>)</w:t>
      </w:r>
      <w:r w:rsidRPr="001C3EDC">
        <w:t xml:space="preserve">. </w:t>
      </w:r>
      <w:r w:rsidR="006F5538" w:rsidRPr="001C3EDC">
        <w:t xml:space="preserve"> </w:t>
      </w:r>
      <w:r w:rsidRPr="001C3EDC">
        <w:t xml:space="preserve">The Bulgaria CGE model </w:t>
      </w:r>
      <w:r w:rsidR="00C114BC" w:rsidRPr="001C3EDC">
        <w:t>was</w:t>
      </w:r>
      <w:r w:rsidRPr="001C3EDC">
        <w:t xml:space="preserve"> developed </w:t>
      </w:r>
      <w:r w:rsidR="00C114BC" w:rsidRPr="001C3EDC">
        <w:t>using the</w:t>
      </w:r>
      <w:r w:rsidRPr="001C3EDC">
        <w:t xml:space="preserve"> Global Trade Analysis Project (GTAP) modelling framework and database</w:t>
      </w:r>
      <w:r w:rsidR="00C05936" w:rsidRPr="001C3EDC">
        <w:t xml:space="preserve"> (Hertel 1997)</w:t>
      </w:r>
      <w:r w:rsidRPr="001C3EDC">
        <w:t xml:space="preserve">, which </w:t>
      </w:r>
      <w:r w:rsidR="00C05936" w:rsidRPr="001C3EDC">
        <w:t xml:space="preserve">currently </w:t>
      </w:r>
      <w:r w:rsidR="00E53131" w:rsidRPr="001C3EDC">
        <w:t>represents</w:t>
      </w:r>
      <w:r w:rsidRPr="001C3EDC">
        <w:t xml:space="preserve"> the global economy (140 countries) </w:t>
      </w:r>
      <w:r w:rsidR="000A7A18" w:rsidRPr="001C3EDC">
        <w:t>in 2011</w:t>
      </w:r>
      <w:r w:rsidRPr="001C3EDC">
        <w:t xml:space="preserve">. </w:t>
      </w:r>
      <w:r w:rsidR="006F5538" w:rsidRPr="001C3EDC">
        <w:t xml:space="preserve"> </w:t>
      </w:r>
      <w:r w:rsidRPr="001C3EDC">
        <w:t>Th</w:t>
      </w:r>
      <w:r w:rsidR="000A7A18" w:rsidRPr="001C3EDC">
        <w:t>e standard GTAP</w:t>
      </w:r>
      <w:r w:rsidRPr="001C3EDC">
        <w:t xml:space="preserve"> model and database have been widely used by the World Bank,</w:t>
      </w:r>
      <w:r w:rsidRPr="001C3EDC">
        <w:rPr>
          <w:rStyle w:val="FootnoteReference"/>
          <w:rFonts w:eastAsia="Calibri"/>
          <w:sz w:val="24"/>
        </w:rPr>
        <w:footnoteReference w:id="1"/>
      </w:r>
      <w:r w:rsidRPr="001C3EDC">
        <w:t xml:space="preserve"> the Organisation for Economic Cooperation and Development (OECD), </w:t>
      </w:r>
      <w:r w:rsidR="009957E1" w:rsidRPr="001C3EDC">
        <w:t xml:space="preserve">the </w:t>
      </w:r>
      <w:r w:rsidRPr="001C3EDC">
        <w:t>European Union</w:t>
      </w:r>
      <w:r w:rsidR="00B36653" w:rsidRPr="001C3EDC">
        <w:t xml:space="preserve"> (EU)</w:t>
      </w:r>
      <w:r w:rsidRPr="001C3EDC">
        <w:t xml:space="preserve">, </w:t>
      </w:r>
      <w:r w:rsidR="00B42587" w:rsidRPr="001C3EDC">
        <w:t xml:space="preserve">and </w:t>
      </w:r>
      <w:r w:rsidRPr="001C3EDC">
        <w:t>universities and research institutes globally, for policy analysis across a wide range of topics, including green growth, climate change, an</w:t>
      </w:r>
      <w:r w:rsidR="009252CE" w:rsidRPr="001C3EDC">
        <w:t>d environmental sustainability.</w:t>
      </w:r>
    </w:p>
    <w:p w14:paraId="7561F3CC" w14:textId="6AD5D04A" w:rsidR="000A7A18" w:rsidRPr="001C3EDC" w:rsidRDefault="000A7A18" w:rsidP="00FE1636">
      <w:pPr>
        <w:pStyle w:val="BodyText"/>
        <w:tabs>
          <w:tab w:val="left" w:pos="720"/>
        </w:tabs>
        <w:ind w:left="0" w:firstLine="0"/>
      </w:pPr>
      <w:r w:rsidRPr="001C3EDC">
        <w:t xml:space="preserve">In this analysis, the GTAP standard </w:t>
      </w:r>
      <w:r w:rsidR="009957E1" w:rsidRPr="001C3EDC">
        <w:t xml:space="preserve">model </w:t>
      </w:r>
      <w:r w:rsidRPr="001C3EDC">
        <w:t xml:space="preserve">and </w:t>
      </w:r>
      <w:r w:rsidR="009957E1" w:rsidRPr="001C3EDC">
        <w:t xml:space="preserve">database </w:t>
      </w:r>
      <w:r w:rsidRPr="001C3EDC">
        <w:t xml:space="preserve">were tailored to the Bulgarian context by </w:t>
      </w:r>
      <w:r w:rsidR="009957E1" w:rsidRPr="001C3EDC">
        <w:t xml:space="preserve">developing a </w:t>
      </w:r>
      <w:r w:rsidRPr="001C3EDC">
        <w:t xml:space="preserve">water and land use </w:t>
      </w:r>
      <w:r w:rsidR="009957E1" w:rsidRPr="001C3EDC">
        <w:t>module to</w:t>
      </w:r>
      <w:r w:rsidRPr="001C3EDC">
        <w:t xml:space="preserve"> allow estimating the </w:t>
      </w:r>
      <w:r w:rsidR="009957E1" w:rsidRPr="001C3EDC">
        <w:t xml:space="preserve">impact </w:t>
      </w:r>
      <w:r w:rsidR="00CF28F0" w:rsidRPr="001C3EDC">
        <w:t>of</w:t>
      </w:r>
      <w:r w:rsidR="009957E1" w:rsidRPr="001C3EDC">
        <w:t xml:space="preserve"> </w:t>
      </w:r>
      <w:r w:rsidRPr="001C3EDC">
        <w:t>climate change at a</w:t>
      </w:r>
      <w:r w:rsidR="001A62B9" w:rsidRPr="001C3EDC">
        <w:t xml:space="preserve"> more</w:t>
      </w:r>
      <w:r w:rsidRPr="001C3EDC">
        <w:t xml:space="preserve"> granular level</w:t>
      </w:r>
      <w:r w:rsidR="004C23B9" w:rsidRPr="001C3EDC">
        <w:t>, both from a sectoral point of view (</w:t>
      </w:r>
      <w:r w:rsidR="00CF28F0" w:rsidRPr="001C3EDC">
        <w:t>that is</w:t>
      </w:r>
      <w:r w:rsidR="004C23B9" w:rsidRPr="001C3EDC">
        <w:t>, with a finer description of agricultural activities and how vulnerable they are to climate change) and from a geographic point of view (</w:t>
      </w:r>
      <w:r w:rsidR="00CF28F0" w:rsidRPr="001C3EDC">
        <w:t>that is</w:t>
      </w:r>
      <w:r w:rsidR="004C23B9" w:rsidRPr="001C3EDC">
        <w:t xml:space="preserve">, with the consideration of Bulgaria’s four </w:t>
      </w:r>
      <w:r w:rsidR="001A62B9" w:rsidRPr="001C3EDC">
        <w:t xml:space="preserve">river </w:t>
      </w:r>
      <w:r w:rsidR="004C23B9" w:rsidRPr="001C3EDC">
        <w:t>basins)</w:t>
      </w:r>
      <w:r w:rsidRPr="001C3EDC">
        <w:t>.</w:t>
      </w:r>
      <w:r w:rsidR="006F5538" w:rsidRPr="001C3EDC">
        <w:t xml:space="preserve">  This</w:t>
      </w:r>
      <w:r w:rsidR="009F7143" w:rsidRPr="001C3EDC">
        <w:t xml:space="preserve"> is the first attempt to build an integrated assessment model on climate adaptation for </w:t>
      </w:r>
      <w:r w:rsidR="009F7143" w:rsidRPr="001C3EDC">
        <w:lastRenderedPageBreak/>
        <w:t>Bulgaria, by coupling a macro-economic model with environmental mod</w:t>
      </w:r>
      <w:r w:rsidR="00C01878" w:rsidRPr="001C3EDC">
        <w:t>ules</w:t>
      </w:r>
      <w:r w:rsidR="009F7143" w:rsidRPr="001C3EDC">
        <w:t xml:space="preserve">. </w:t>
      </w:r>
      <w:r w:rsidR="00C01878" w:rsidRPr="001C3EDC">
        <w:t xml:space="preserve">There </w:t>
      </w:r>
      <w:r w:rsidR="00DC33E1" w:rsidRPr="001C3EDC">
        <w:t>i</w:t>
      </w:r>
      <w:r w:rsidR="00C01878" w:rsidRPr="001C3EDC">
        <w:t>s a particular focus on agriculture as one of the most vulnerable sectors to climate change</w:t>
      </w:r>
      <w:r w:rsidR="00DC33E1" w:rsidRPr="001C3EDC">
        <w:t>. T</w:t>
      </w:r>
      <w:r w:rsidR="00C01878" w:rsidRPr="001C3EDC">
        <w:t>he CGE model can analyze well the link between natural assets such as land and water</w:t>
      </w:r>
      <w:r w:rsidR="00A768E2" w:rsidRPr="001C3EDC">
        <w:t>,</w:t>
      </w:r>
      <w:r w:rsidR="00C01878" w:rsidRPr="001C3EDC">
        <w:t xml:space="preserve"> that are vulnerable to climate change</w:t>
      </w:r>
      <w:r w:rsidR="00A768E2" w:rsidRPr="001C3EDC">
        <w:t>,</w:t>
      </w:r>
      <w:r w:rsidR="00C01878" w:rsidRPr="001C3EDC">
        <w:t xml:space="preserve"> and primary production factors for </w:t>
      </w:r>
      <w:bookmarkStart w:id="8" w:name="_Hlk513732216"/>
      <w:r w:rsidR="00C01878" w:rsidRPr="001C3EDC">
        <w:t xml:space="preserve">agriculture. Based on policy interest and available micro-economic and technical information at sectoral level, the model could be further enhanced to similarly improve the representation of climate vulnerability and adaptation potential in </w:t>
      </w:r>
      <w:r w:rsidR="00EA14FE" w:rsidRPr="001C3EDC">
        <w:t>other</w:t>
      </w:r>
      <w:r w:rsidR="00C01878" w:rsidRPr="001C3EDC">
        <w:t xml:space="preserve"> sectors or to analyze mitigation issues. Those are potential directions for further research.</w:t>
      </w:r>
    </w:p>
    <w:bookmarkEnd w:id="8"/>
    <w:p w14:paraId="4E9F07E1" w14:textId="6A98E413" w:rsidR="000355E0" w:rsidRPr="001C3EDC" w:rsidRDefault="000439ED" w:rsidP="00634B9D">
      <w:pPr>
        <w:pStyle w:val="BodyText"/>
        <w:tabs>
          <w:tab w:val="left" w:pos="720"/>
        </w:tabs>
        <w:ind w:left="0" w:firstLine="0"/>
      </w:pPr>
      <w:r w:rsidRPr="001C3EDC">
        <w:t xml:space="preserve">Following this Introduction, </w:t>
      </w:r>
      <w:r w:rsidRPr="001C3EDC">
        <w:rPr>
          <w:b/>
          <w:bCs/>
          <w:i/>
          <w:iCs/>
        </w:rPr>
        <w:t>Section 2</w:t>
      </w:r>
      <w:r w:rsidRPr="001C3EDC">
        <w:t xml:space="preserve"> lays out the analytical framework and various </w:t>
      </w:r>
      <w:r w:rsidR="00DD04B4" w:rsidRPr="001C3EDC">
        <w:t xml:space="preserve">steps in the development of the </w:t>
      </w:r>
      <w:r w:rsidRPr="001C3EDC">
        <w:t>Bulgaria CGE model</w:t>
      </w:r>
      <w:r w:rsidR="00DD04B4" w:rsidRPr="001C3EDC">
        <w:t xml:space="preserve">, </w:t>
      </w:r>
      <w:r w:rsidRPr="001C3EDC">
        <w:rPr>
          <w:b/>
          <w:bCs/>
          <w:i/>
          <w:iCs/>
        </w:rPr>
        <w:t>Section 3</w:t>
      </w:r>
      <w:r w:rsidRPr="001C3EDC">
        <w:t xml:space="preserve"> describes the </w:t>
      </w:r>
      <w:r w:rsidR="00DD04B4" w:rsidRPr="001C3EDC">
        <w:t>working hypo</w:t>
      </w:r>
      <w:r w:rsidR="001B5830" w:rsidRPr="001C3EDC">
        <w:t>theses</w:t>
      </w:r>
      <w:r w:rsidR="00DD04B4" w:rsidRPr="001C3EDC">
        <w:t xml:space="preserve"> on </w:t>
      </w:r>
      <w:r w:rsidR="00532B6D" w:rsidRPr="001C3EDC">
        <w:t xml:space="preserve">the </w:t>
      </w:r>
      <w:r w:rsidR="00DD04B4" w:rsidRPr="001C3EDC">
        <w:t>economic and climatic conditions to 2050</w:t>
      </w:r>
      <w:r w:rsidRPr="001C3EDC">
        <w:t xml:space="preserve"> for a reference scenario (baseline)</w:t>
      </w:r>
      <w:r w:rsidR="00B42587" w:rsidRPr="001C3EDC">
        <w:t>,</w:t>
      </w:r>
      <w:r w:rsidRPr="001C3EDC">
        <w:t xml:space="preserve"> and </w:t>
      </w:r>
      <w:r w:rsidRPr="001C3EDC">
        <w:rPr>
          <w:b/>
          <w:bCs/>
          <w:i/>
          <w:iCs/>
        </w:rPr>
        <w:t>Section 4</w:t>
      </w:r>
      <w:r w:rsidRPr="001C3EDC">
        <w:t xml:space="preserve"> develops two sets of adaptation policies</w:t>
      </w:r>
      <w:r w:rsidR="00DD04B4" w:rsidRPr="001C3EDC">
        <w:t xml:space="preserve"> and </w:t>
      </w:r>
      <w:r w:rsidRPr="001C3EDC">
        <w:t xml:space="preserve">estimates their </w:t>
      </w:r>
      <w:r w:rsidR="00DD04B4" w:rsidRPr="001C3EDC">
        <w:t>net socioeconomic benefits</w:t>
      </w:r>
      <w:r w:rsidR="00813DE9" w:rsidRPr="001C3EDC">
        <w:t xml:space="preserve"> on top of the economic growth benefits described in the reference scenario</w:t>
      </w:r>
      <w:r w:rsidR="00DD04B4" w:rsidRPr="001C3EDC">
        <w:t>.</w:t>
      </w:r>
    </w:p>
    <w:p w14:paraId="45FE2292" w14:textId="77777777" w:rsidR="000355E0" w:rsidRPr="001C3EDC" w:rsidRDefault="000355E0" w:rsidP="000355E0">
      <w:pPr>
        <w:spacing w:after="200" w:line="276" w:lineRule="auto"/>
        <w:jc w:val="left"/>
        <w:rPr>
          <w:rFonts w:cs="Times New Roman"/>
          <w:b/>
          <w:szCs w:val="24"/>
        </w:rPr>
      </w:pPr>
      <w:r w:rsidRPr="001C3EDC">
        <w:rPr>
          <w:rFonts w:cs="Times New Roman"/>
          <w:b/>
          <w:szCs w:val="24"/>
        </w:rPr>
        <w:br w:type="page"/>
      </w:r>
    </w:p>
    <w:p w14:paraId="41812117" w14:textId="71BF1357" w:rsidR="000355E0" w:rsidRPr="001C3EDC" w:rsidRDefault="005E4694" w:rsidP="002B6EE2">
      <w:pPr>
        <w:pStyle w:val="Heading1"/>
      </w:pPr>
      <w:bookmarkStart w:id="9" w:name="_Toc510004085"/>
      <w:bookmarkStart w:id="10" w:name="_Toc522036453"/>
      <w:r w:rsidRPr="001C3EDC">
        <w:lastRenderedPageBreak/>
        <w:t xml:space="preserve">2. </w:t>
      </w:r>
      <w:r w:rsidRPr="001C3EDC">
        <w:tab/>
      </w:r>
      <w:r w:rsidR="00E124AD" w:rsidRPr="001C3EDC">
        <w:t xml:space="preserve">Bulgaria CGE: An </w:t>
      </w:r>
      <w:r w:rsidR="00A768E2" w:rsidRPr="001C3EDC">
        <w:t>A</w:t>
      </w:r>
      <w:r w:rsidR="000355E0" w:rsidRPr="001C3EDC">
        <w:t>nalytical Overview</w:t>
      </w:r>
      <w:bookmarkEnd w:id="9"/>
      <w:bookmarkEnd w:id="10"/>
    </w:p>
    <w:p w14:paraId="11DF5855" w14:textId="354528D5" w:rsidR="000355E0" w:rsidRPr="001C3EDC" w:rsidRDefault="000355E0" w:rsidP="00CA5CD0">
      <w:pPr>
        <w:pStyle w:val="BodyText"/>
        <w:tabs>
          <w:tab w:val="left" w:pos="720"/>
        </w:tabs>
        <w:ind w:left="0" w:firstLine="0"/>
      </w:pPr>
      <w:r w:rsidRPr="001C3EDC">
        <w:t>A</w:t>
      </w:r>
      <w:r w:rsidR="004C23B9" w:rsidRPr="001C3EDC">
        <w:t>s</w:t>
      </w:r>
      <w:r w:rsidRPr="001C3EDC">
        <w:t xml:space="preserve"> economy-wide </w:t>
      </w:r>
      <w:r w:rsidR="004C23B9" w:rsidRPr="001C3EDC">
        <w:t xml:space="preserve">frameworks, </w:t>
      </w:r>
      <w:r w:rsidR="001B7905" w:rsidRPr="001C3EDC">
        <w:t>CGE</w:t>
      </w:r>
      <w:r w:rsidR="004C23B9" w:rsidRPr="001C3EDC">
        <w:t xml:space="preserve"> </w:t>
      </w:r>
      <w:r w:rsidR="00A0370D" w:rsidRPr="001C3EDC">
        <w:t>m</w:t>
      </w:r>
      <w:r w:rsidR="004C23B9" w:rsidRPr="001C3EDC">
        <w:t xml:space="preserve">odels </w:t>
      </w:r>
      <w:r w:rsidR="006D6FF7" w:rsidRPr="001C3EDC">
        <w:t>ha</w:t>
      </w:r>
      <w:r w:rsidR="004C23B9" w:rsidRPr="001C3EDC">
        <w:t>ve</w:t>
      </w:r>
      <w:r w:rsidR="006D6FF7" w:rsidRPr="001C3EDC">
        <w:t xml:space="preserve"> a</w:t>
      </w:r>
      <w:r w:rsidRPr="001C3EDC">
        <w:t xml:space="preserve"> flexible</w:t>
      </w:r>
      <w:r w:rsidR="005467E3" w:rsidRPr="001C3EDC">
        <w:t xml:space="preserve"> </w:t>
      </w:r>
      <w:r w:rsidR="006D6FF7" w:rsidRPr="001C3EDC">
        <w:t xml:space="preserve">mathematical </w:t>
      </w:r>
      <w:r w:rsidR="005467E3" w:rsidRPr="001C3EDC">
        <w:t>structure</w:t>
      </w:r>
      <w:r w:rsidR="006D6FF7" w:rsidRPr="001C3EDC">
        <w:t xml:space="preserve"> that can</w:t>
      </w:r>
      <w:r w:rsidRPr="001C3EDC">
        <w:t xml:space="preserve"> accommodate economic, </w:t>
      </w:r>
      <w:r w:rsidR="006D6FF7" w:rsidRPr="001C3EDC">
        <w:t>bio</w:t>
      </w:r>
      <w:r w:rsidR="00FE70D7" w:rsidRPr="001C3EDC">
        <w:t>physical</w:t>
      </w:r>
      <w:r w:rsidR="006D6FF7" w:rsidRPr="001C3EDC">
        <w:t xml:space="preserve"> (</w:t>
      </w:r>
      <w:r w:rsidR="00873345" w:rsidRPr="001C3EDC">
        <w:t xml:space="preserve">natural resources: </w:t>
      </w:r>
      <w:r w:rsidR="006D6FF7" w:rsidRPr="001C3EDC">
        <w:t>forest, land</w:t>
      </w:r>
      <w:r w:rsidR="00251539" w:rsidRPr="001C3EDC">
        <w:t>,</w:t>
      </w:r>
      <w:r w:rsidR="006D6FF7" w:rsidRPr="001C3EDC">
        <w:t xml:space="preserve"> and water)</w:t>
      </w:r>
      <w:r w:rsidR="00251539" w:rsidRPr="001C3EDC">
        <w:t>,</w:t>
      </w:r>
      <w:r w:rsidRPr="001C3EDC">
        <w:t xml:space="preserve"> and </w:t>
      </w:r>
      <w:r w:rsidR="004C23B9" w:rsidRPr="001C3EDC">
        <w:t>climate-</w:t>
      </w:r>
      <w:r w:rsidRPr="001C3EDC">
        <w:t>related components</w:t>
      </w:r>
      <w:r w:rsidR="004C23B9" w:rsidRPr="001C3EDC">
        <w:t>, making them</w:t>
      </w:r>
      <w:r w:rsidR="006F74EC" w:rsidRPr="001C3EDC">
        <w:t xml:space="preserve"> </w:t>
      </w:r>
      <w:r w:rsidR="001A62B9" w:rsidRPr="001C3EDC">
        <w:t>well-suited</w:t>
      </w:r>
      <w:r w:rsidRPr="001C3EDC">
        <w:t xml:space="preserve"> </w:t>
      </w:r>
      <w:r w:rsidR="009F1892" w:rsidRPr="001C3EDC">
        <w:t xml:space="preserve">tools </w:t>
      </w:r>
      <w:r w:rsidRPr="001C3EDC">
        <w:t xml:space="preserve">to analyze scenarios </w:t>
      </w:r>
      <w:r w:rsidR="009F1892" w:rsidRPr="001C3EDC">
        <w:t xml:space="preserve">of </w:t>
      </w:r>
      <w:r w:rsidRPr="001C3EDC">
        <w:t xml:space="preserve">the potential </w:t>
      </w:r>
      <w:r w:rsidR="009F1892" w:rsidRPr="001C3EDC">
        <w:t xml:space="preserve">impacts </w:t>
      </w:r>
      <w:r w:rsidR="00692F53" w:rsidRPr="001C3EDC">
        <w:t xml:space="preserve">of </w:t>
      </w:r>
      <w:r w:rsidR="006F74EC" w:rsidRPr="001C3EDC">
        <w:t>climate change</w:t>
      </w:r>
      <w:r w:rsidRPr="001C3EDC">
        <w:t xml:space="preserve"> on economic growth </w:t>
      </w:r>
      <w:r w:rsidR="00FE70D7" w:rsidRPr="001C3EDC">
        <w:t xml:space="preserve">and </w:t>
      </w:r>
      <w:r w:rsidR="009F1892" w:rsidRPr="001C3EDC">
        <w:t xml:space="preserve">the rationale/cost-effectiveness of </w:t>
      </w:r>
      <w:r w:rsidR="00FE70D7" w:rsidRPr="001C3EDC">
        <w:t>adaptation</w:t>
      </w:r>
      <w:r w:rsidRPr="001C3EDC">
        <w:t xml:space="preserve"> </w:t>
      </w:r>
      <w:r w:rsidR="00EE552E" w:rsidRPr="001C3EDC">
        <w:t>strategies</w:t>
      </w:r>
      <w:r w:rsidRPr="001C3EDC">
        <w:t>.</w:t>
      </w:r>
      <w:r w:rsidR="001A62B9" w:rsidRPr="001C3EDC">
        <w:t xml:space="preserve"> </w:t>
      </w:r>
      <w:r w:rsidR="00CB62AC" w:rsidRPr="001C3EDC">
        <w:t xml:space="preserve"> </w:t>
      </w:r>
      <w:r w:rsidR="001A62B9" w:rsidRPr="001C3EDC">
        <w:t>In addition to domestic market conditions and global market volatility, t</w:t>
      </w:r>
      <w:r w:rsidRPr="001C3EDC">
        <w:t xml:space="preserve">he Bulgaria CGE model </w:t>
      </w:r>
      <w:r w:rsidR="006F74EC" w:rsidRPr="001C3EDC">
        <w:t xml:space="preserve">developed for this analysis </w:t>
      </w:r>
      <w:r w:rsidR="001A62B9" w:rsidRPr="001C3EDC">
        <w:t xml:space="preserve">thus </w:t>
      </w:r>
      <w:r w:rsidR="009F1892" w:rsidRPr="001C3EDC">
        <w:t xml:space="preserve">considers </w:t>
      </w:r>
      <w:r w:rsidR="006F74EC" w:rsidRPr="001C3EDC">
        <w:t xml:space="preserve">the </w:t>
      </w:r>
      <w:r w:rsidRPr="001C3EDC">
        <w:t xml:space="preserve">impacts </w:t>
      </w:r>
      <w:r w:rsidR="00692F53" w:rsidRPr="001C3EDC">
        <w:t xml:space="preserve">of </w:t>
      </w:r>
      <w:r w:rsidR="009F1892" w:rsidRPr="001C3EDC">
        <w:t xml:space="preserve">climate change </w:t>
      </w:r>
      <w:r w:rsidRPr="001C3EDC">
        <w:t>on productivity (</w:t>
      </w:r>
      <w:r w:rsidR="00692F53" w:rsidRPr="001C3EDC">
        <w:t>that is</w:t>
      </w:r>
      <w:r w:rsidR="009F1892" w:rsidRPr="001C3EDC">
        <w:t>,</w:t>
      </w:r>
      <w:r w:rsidRPr="001C3EDC">
        <w:t xml:space="preserve"> change in crop yield), infrastructure (</w:t>
      </w:r>
      <w:r w:rsidR="00692F53" w:rsidRPr="001C3EDC">
        <w:t>that is</w:t>
      </w:r>
      <w:r w:rsidR="009F1892" w:rsidRPr="001C3EDC">
        <w:t>,</w:t>
      </w:r>
      <w:r w:rsidRPr="001C3EDC">
        <w:t xml:space="preserve"> damage to buildings and roads), natural capital (</w:t>
      </w:r>
      <w:r w:rsidR="00692F53" w:rsidRPr="001C3EDC">
        <w:t>that is</w:t>
      </w:r>
      <w:r w:rsidR="009F1892" w:rsidRPr="001C3EDC">
        <w:t>,</w:t>
      </w:r>
      <w:r w:rsidR="006F74EC" w:rsidRPr="001C3EDC">
        <w:t xml:space="preserve"> </w:t>
      </w:r>
      <w:r w:rsidRPr="001C3EDC">
        <w:t>change in water availability), or populations (</w:t>
      </w:r>
      <w:r w:rsidR="00692F53" w:rsidRPr="001C3EDC">
        <w:t>that is</w:t>
      </w:r>
      <w:r w:rsidR="009F1892" w:rsidRPr="001C3EDC">
        <w:t>,</w:t>
      </w:r>
      <w:r w:rsidR="006F74EC" w:rsidRPr="001C3EDC">
        <w:t xml:space="preserve"> </w:t>
      </w:r>
      <w:r w:rsidR="001A62B9" w:rsidRPr="001C3EDC">
        <w:t>increased mortality</w:t>
      </w:r>
      <w:r w:rsidR="006F74EC" w:rsidRPr="001C3EDC">
        <w:t xml:space="preserve"> </w:t>
      </w:r>
      <w:r w:rsidRPr="001C3EDC">
        <w:t>and low</w:t>
      </w:r>
      <w:r w:rsidR="001A62B9" w:rsidRPr="001C3EDC">
        <w:t>er</w:t>
      </w:r>
      <w:r w:rsidR="006F74EC" w:rsidRPr="001C3EDC">
        <w:t xml:space="preserve"> labor</w:t>
      </w:r>
      <w:r w:rsidRPr="001C3EDC">
        <w:t xml:space="preserve"> productivity)</w:t>
      </w:r>
      <w:r w:rsidR="00EC0F23" w:rsidRPr="001C3EDC">
        <w:t xml:space="preserve">. </w:t>
      </w:r>
    </w:p>
    <w:p w14:paraId="29FCFFF5" w14:textId="45E44B44" w:rsidR="00CA5CD0" w:rsidRPr="001C3EDC" w:rsidRDefault="00CA5CD0" w:rsidP="00B80C8B">
      <w:pPr>
        <w:pStyle w:val="Caption"/>
        <w:spacing w:before="200"/>
        <w:rPr>
          <w:rFonts w:ascii="Calibri" w:hAnsi="Calibri"/>
          <w:i/>
          <w:color w:val="44546A"/>
          <w:sz w:val="22"/>
          <w:szCs w:val="18"/>
        </w:rPr>
      </w:pPr>
      <w:bookmarkStart w:id="11" w:name="_Toc522036514"/>
      <w:r w:rsidRPr="001C3EDC">
        <w:rPr>
          <w:rFonts w:ascii="Calibri" w:hAnsi="Calibri"/>
          <w:i/>
          <w:color w:val="44546A"/>
          <w:sz w:val="22"/>
          <w:szCs w:val="18"/>
        </w:rPr>
        <w:t xml:space="preserve">Table </w:t>
      </w:r>
      <w:r w:rsidRPr="001C3EDC">
        <w:rPr>
          <w:rFonts w:ascii="Calibri" w:hAnsi="Calibri"/>
          <w:i/>
          <w:color w:val="44546A"/>
          <w:sz w:val="22"/>
          <w:szCs w:val="18"/>
        </w:rPr>
        <w:fldChar w:fldCharType="begin"/>
      </w:r>
      <w:r w:rsidRPr="001C3EDC">
        <w:rPr>
          <w:rFonts w:ascii="Calibri" w:hAnsi="Calibri"/>
          <w:i/>
          <w:color w:val="44546A"/>
          <w:sz w:val="22"/>
          <w:szCs w:val="18"/>
        </w:rPr>
        <w:instrText xml:space="preserve"> SEQ Table \* ARABIC </w:instrText>
      </w:r>
      <w:r w:rsidRPr="001C3EDC">
        <w:rPr>
          <w:rFonts w:ascii="Calibri" w:hAnsi="Calibri"/>
          <w:i/>
          <w:color w:val="44546A"/>
          <w:sz w:val="22"/>
          <w:szCs w:val="18"/>
        </w:rPr>
        <w:fldChar w:fldCharType="separate"/>
      </w:r>
      <w:r w:rsidR="00F84F84">
        <w:rPr>
          <w:rFonts w:ascii="Calibri" w:hAnsi="Calibri"/>
          <w:i/>
          <w:noProof/>
          <w:color w:val="44546A"/>
          <w:sz w:val="22"/>
          <w:szCs w:val="18"/>
        </w:rPr>
        <w:t>1</w:t>
      </w:r>
      <w:r w:rsidRPr="001C3EDC">
        <w:rPr>
          <w:rFonts w:ascii="Calibri" w:hAnsi="Calibri"/>
          <w:i/>
          <w:color w:val="44546A"/>
          <w:sz w:val="22"/>
          <w:szCs w:val="18"/>
        </w:rPr>
        <w:fldChar w:fldCharType="end"/>
      </w:r>
      <w:r w:rsidRPr="001C3EDC">
        <w:rPr>
          <w:rFonts w:ascii="Calibri" w:hAnsi="Calibri"/>
          <w:i/>
          <w:color w:val="44546A"/>
          <w:sz w:val="22"/>
          <w:szCs w:val="18"/>
        </w:rPr>
        <w:t>. Climate-related vulnerabilities by sector and their representation in the CGE model</w:t>
      </w:r>
      <w:bookmarkEnd w:id="11"/>
    </w:p>
    <w:tbl>
      <w:tblPr>
        <w:tblStyle w:val="TableGrid"/>
        <w:tblW w:w="902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980"/>
        <w:gridCol w:w="4070"/>
        <w:gridCol w:w="2970"/>
      </w:tblGrid>
      <w:tr w:rsidR="00CA5CD0" w:rsidRPr="00D27A27" w14:paraId="63E73C62" w14:textId="77777777" w:rsidTr="00D27A27">
        <w:trPr>
          <w:tblHeader/>
        </w:trPr>
        <w:tc>
          <w:tcPr>
            <w:tcW w:w="1980" w:type="dxa"/>
            <w:shd w:val="clear" w:color="auto" w:fill="365F91"/>
            <w:tcMar>
              <w:left w:w="72" w:type="dxa"/>
              <w:right w:w="72" w:type="dxa"/>
            </w:tcMar>
            <w:vAlign w:val="center"/>
          </w:tcPr>
          <w:p w14:paraId="69F432F1" w14:textId="77777777" w:rsidR="00CA5CD0" w:rsidRPr="00D27A27" w:rsidRDefault="00CA5CD0" w:rsidP="00D27A27">
            <w:pPr>
              <w:pStyle w:val="BodyText"/>
              <w:numPr>
                <w:ilvl w:val="0"/>
                <w:numId w:val="0"/>
              </w:numPr>
              <w:spacing w:before="60" w:after="60" w:line="240" w:lineRule="auto"/>
              <w:jc w:val="center"/>
              <w:rPr>
                <w:rFonts w:asciiTheme="minorHAnsi" w:hAnsiTheme="minorHAnsi" w:cstheme="minorHAnsi"/>
                <w:b/>
                <w:color w:val="FFFFFF" w:themeColor="background1"/>
                <w:sz w:val="22"/>
                <w:szCs w:val="22"/>
              </w:rPr>
            </w:pPr>
            <w:r w:rsidRPr="00D27A27">
              <w:rPr>
                <w:rFonts w:asciiTheme="minorHAnsi" w:hAnsiTheme="minorHAnsi" w:cstheme="minorHAnsi"/>
                <w:b/>
                <w:color w:val="FFFFFF" w:themeColor="background1"/>
                <w:sz w:val="22"/>
                <w:szCs w:val="22"/>
              </w:rPr>
              <w:t>Sector</w:t>
            </w:r>
          </w:p>
        </w:tc>
        <w:tc>
          <w:tcPr>
            <w:tcW w:w="4070" w:type="dxa"/>
            <w:shd w:val="clear" w:color="auto" w:fill="365F91"/>
            <w:tcMar>
              <w:left w:w="72" w:type="dxa"/>
              <w:right w:w="72" w:type="dxa"/>
            </w:tcMar>
            <w:vAlign w:val="center"/>
          </w:tcPr>
          <w:p w14:paraId="585338B1" w14:textId="77777777" w:rsidR="00CA5CD0" w:rsidRPr="00D27A27" w:rsidRDefault="00CA5CD0" w:rsidP="00D27A27">
            <w:pPr>
              <w:pStyle w:val="BodyText"/>
              <w:numPr>
                <w:ilvl w:val="0"/>
                <w:numId w:val="0"/>
              </w:numPr>
              <w:spacing w:before="60" w:after="60" w:line="240" w:lineRule="auto"/>
              <w:jc w:val="center"/>
              <w:rPr>
                <w:rFonts w:asciiTheme="minorHAnsi" w:hAnsiTheme="minorHAnsi" w:cstheme="minorHAnsi"/>
                <w:sz w:val="22"/>
                <w:szCs w:val="22"/>
              </w:rPr>
            </w:pPr>
            <w:r w:rsidRPr="00D27A27">
              <w:rPr>
                <w:rFonts w:asciiTheme="minorHAnsi" w:eastAsia="Times New Roman" w:hAnsiTheme="minorHAnsi" w:cstheme="minorHAnsi"/>
                <w:b/>
                <w:color w:val="FFFFFF" w:themeColor="background1"/>
                <w:sz w:val="22"/>
                <w:szCs w:val="22"/>
              </w:rPr>
              <w:t>Climate Change Vulnerability</w:t>
            </w:r>
          </w:p>
        </w:tc>
        <w:tc>
          <w:tcPr>
            <w:tcW w:w="2970" w:type="dxa"/>
            <w:shd w:val="clear" w:color="auto" w:fill="365F91"/>
            <w:tcMar>
              <w:left w:w="72" w:type="dxa"/>
              <w:right w:w="72" w:type="dxa"/>
            </w:tcMar>
            <w:vAlign w:val="center"/>
          </w:tcPr>
          <w:p w14:paraId="0BB2C2C8" w14:textId="77777777" w:rsidR="00CA5CD0" w:rsidRPr="00D27A27" w:rsidRDefault="00CA5CD0" w:rsidP="00D27A27">
            <w:pPr>
              <w:pStyle w:val="BodyText"/>
              <w:numPr>
                <w:ilvl w:val="0"/>
                <w:numId w:val="0"/>
              </w:numPr>
              <w:spacing w:before="60" w:after="60" w:line="240" w:lineRule="auto"/>
              <w:jc w:val="center"/>
              <w:rPr>
                <w:rFonts w:asciiTheme="minorHAnsi" w:hAnsiTheme="minorHAnsi" w:cstheme="minorHAnsi"/>
                <w:sz w:val="22"/>
                <w:szCs w:val="22"/>
              </w:rPr>
            </w:pPr>
            <w:r w:rsidRPr="00D27A27">
              <w:rPr>
                <w:rFonts w:asciiTheme="minorHAnsi" w:eastAsia="Times New Roman" w:hAnsiTheme="minorHAnsi" w:cstheme="minorHAnsi"/>
                <w:b/>
                <w:color w:val="FFFFFF" w:themeColor="background1"/>
                <w:sz w:val="22"/>
                <w:szCs w:val="22"/>
              </w:rPr>
              <w:t>Modelled / Not Modelled</w:t>
            </w:r>
          </w:p>
        </w:tc>
      </w:tr>
      <w:tr w:rsidR="00CA5CD0" w:rsidRPr="00D27A27" w14:paraId="663BFB1F" w14:textId="77777777" w:rsidTr="00D27A27">
        <w:tc>
          <w:tcPr>
            <w:tcW w:w="1980" w:type="dxa"/>
            <w:vMerge w:val="restart"/>
            <w:shd w:val="clear" w:color="auto" w:fill="B8CCE4"/>
            <w:tcMar>
              <w:left w:w="72" w:type="dxa"/>
              <w:right w:w="72" w:type="dxa"/>
            </w:tcMar>
            <w:vAlign w:val="center"/>
          </w:tcPr>
          <w:p w14:paraId="3904719D" w14:textId="77777777" w:rsidR="00CA5CD0" w:rsidRPr="00D27A27" w:rsidRDefault="00CA5CD0" w:rsidP="00D27A27">
            <w:pPr>
              <w:pStyle w:val="BodyText"/>
              <w:numPr>
                <w:ilvl w:val="0"/>
                <w:numId w:val="0"/>
              </w:numPr>
              <w:spacing w:before="20" w:after="20" w:line="240" w:lineRule="auto"/>
              <w:jc w:val="center"/>
              <w:rPr>
                <w:rFonts w:asciiTheme="minorHAnsi" w:eastAsia="Times New Roman" w:hAnsiTheme="minorHAnsi" w:cstheme="minorHAnsi"/>
                <w:b/>
                <w:color w:val="000000"/>
                <w:sz w:val="22"/>
                <w:szCs w:val="22"/>
              </w:rPr>
            </w:pPr>
            <w:r w:rsidRPr="00D27A27">
              <w:rPr>
                <w:rFonts w:asciiTheme="minorHAnsi" w:eastAsia="Times New Roman" w:hAnsiTheme="minorHAnsi" w:cstheme="minorHAnsi"/>
                <w:b/>
                <w:color w:val="000000"/>
                <w:sz w:val="22"/>
                <w:szCs w:val="22"/>
              </w:rPr>
              <w:t>Agriculture</w:t>
            </w:r>
          </w:p>
        </w:tc>
        <w:tc>
          <w:tcPr>
            <w:tcW w:w="4070" w:type="dxa"/>
            <w:tcMar>
              <w:left w:w="72" w:type="dxa"/>
              <w:right w:w="72" w:type="dxa"/>
            </w:tcMar>
            <w:vAlign w:val="center"/>
          </w:tcPr>
          <w:p w14:paraId="7A877118" w14:textId="77777777" w:rsidR="00CA5CD0" w:rsidRPr="00D27A27" w:rsidRDefault="00CA5CD0" w:rsidP="00D27A27">
            <w:pPr>
              <w:pStyle w:val="BodyText"/>
              <w:numPr>
                <w:ilvl w:val="0"/>
                <w:numId w:val="0"/>
              </w:numPr>
              <w:spacing w:before="20" w:after="20" w:line="240" w:lineRule="auto"/>
              <w:rPr>
                <w:rFonts w:asciiTheme="minorHAnsi" w:eastAsia="Times New Roman" w:hAnsiTheme="minorHAnsi" w:cstheme="minorHAnsi"/>
                <w:color w:val="000000"/>
                <w:sz w:val="22"/>
                <w:szCs w:val="22"/>
              </w:rPr>
            </w:pPr>
            <w:r w:rsidRPr="00D27A27">
              <w:rPr>
                <w:rFonts w:asciiTheme="minorHAnsi" w:eastAsia="Times New Roman" w:hAnsiTheme="minorHAnsi" w:cstheme="minorHAnsi"/>
                <w:color w:val="000000"/>
                <w:sz w:val="22"/>
                <w:szCs w:val="22"/>
              </w:rPr>
              <w:t>Changes in crop yields</w:t>
            </w:r>
          </w:p>
        </w:tc>
        <w:tc>
          <w:tcPr>
            <w:tcW w:w="2970" w:type="dxa"/>
            <w:tcMar>
              <w:left w:w="72" w:type="dxa"/>
              <w:right w:w="72" w:type="dxa"/>
            </w:tcMar>
            <w:vAlign w:val="center"/>
          </w:tcPr>
          <w:p w14:paraId="390A967D" w14:textId="77777777" w:rsidR="00CA5CD0" w:rsidRPr="00D27A27" w:rsidRDefault="00CA5CD0" w:rsidP="00D27A27">
            <w:pPr>
              <w:pStyle w:val="BodyText"/>
              <w:numPr>
                <w:ilvl w:val="0"/>
                <w:numId w:val="0"/>
              </w:numPr>
              <w:spacing w:before="20" w:after="20" w:line="240" w:lineRule="auto"/>
              <w:rPr>
                <w:rFonts w:asciiTheme="minorHAnsi" w:eastAsia="Times New Roman" w:hAnsiTheme="minorHAnsi" w:cstheme="minorHAnsi"/>
                <w:color w:val="000000"/>
                <w:sz w:val="22"/>
                <w:szCs w:val="22"/>
              </w:rPr>
            </w:pPr>
            <w:r w:rsidRPr="00D27A27">
              <w:rPr>
                <w:rFonts w:asciiTheme="minorHAnsi" w:eastAsia="Times New Roman" w:hAnsiTheme="minorHAnsi" w:cstheme="minorHAnsi"/>
                <w:color w:val="000000"/>
                <w:sz w:val="22"/>
                <w:szCs w:val="22"/>
              </w:rPr>
              <w:t>Modelled</w:t>
            </w:r>
          </w:p>
        </w:tc>
      </w:tr>
      <w:tr w:rsidR="00CA5CD0" w:rsidRPr="00D27A27" w14:paraId="74CFE121" w14:textId="77777777" w:rsidTr="00D27A27">
        <w:tc>
          <w:tcPr>
            <w:tcW w:w="1980" w:type="dxa"/>
            <w:vMerge/>
            <w:shd w:val="clear" w:color="auto" w:fill="B8CCE4"/>
            <w:tcMar>
              <w:left w:w="72" w:type="dxa"/>
              <w:right w:w="72" w:type="dxa"/>
            </w:tcMar>
            <w:vAlign w:val="center"/>
          </w:tcPr>
          <w:p w14:paraId="261DB991" w14:textId="77777777" w:rsidR="00CA5CD0" w:rsidRPr="00D27A27" w:rsidRDefault="00CA5CD0" w:rsidP="00D27A27">
            <w:pPr>
              <w:pStyle w:val="BodyText"/>
              <w:numPr>
                <w:ilvl w:val="0"/>
                <w:numId w:val="0"/>
              </w:numPr>
              <w:spacing w:before="20" w:after="20" w:line="240" w:lineRule="auto"/>
              <w:jc w:val="center"/>
              <w:rPr>
                <w:rFonts w:asciiTheme="minorHAnsi" w:hAnsiTheme="minorHAnsi" w:cstheme="minorHAnsi"/>
                <w:sz w:val="22"/>
                <w:szCs w:val="22"/>
              </w:rPr>
            </w:pPr>
          </w:p>
        </w:tc>
        <w:tc>
          <w:tcPr>
            <w:tcW w:w="4070" w:type="dxa"/>
            <w:tcMar>
              <w:left w:w="72" w:type="dxa"/>
              <w:right w:w="72" w:type="dxa"/>
            </w:tcMar>
            <w:vAlign w:val="center"/>
          </w:tcPr>
          <w:p w14:paraId="5D64B954"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Livestock mortality and morbidity from heat and cold exposure</w:t>
            </w:r>
          </w:p>
        </w:tc>
        <w:tc>
          <w:tcPr>
            <w:tcW w:w="2970" w:type="dxa"/>
            <w:tcMar>
              <w:left w:w="72" w:type="dxa"/>
              <w:right w:w="72" w:type="dxa"/>
            </w:tcMar>
            <w:vAlign w:val="center"/>
          </w:tcPr>
          <w:p w14:paraId="7C26BA8E" w14:textId="74237934"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 xml:space="preserve">Not modelled - </w:t>
            </w:r>
            <w:r w:rsidR="00925109">
              <w:rPr>
                <w:rFonts w:asciiTheme="minorHAnsi" w:eastAsia="Times New Roman" w:hAnsiTheme="minorHAnsi" w:cstheme="minorHAnsi"/>
                <w:color w:val="000000"/>
                <w:sz w:val="22"/>
                <w:szCs w:val="22"/>
              </w:rPr>
              <w:t>in</w:t>
            </w:r>
            <w:r w:rsidRPr="00D27A27">
              <w:rPr>
                <w:rFonts w:asciiTheme="minorHAnsi" w:eastAsia="Times New Roman" w:hAnsiTheme="minorHAnsi" w:cstheme="minorHAnsi"/>
                <w:color w:val="000000"/>
                <w:sz w:val="22"/>
                <w:szCs w:val="22"/>
              </w:rPr>
              <w:t>sufficient evidence/data</w:t>
            </w:r>
          </w:p>
        </w:tc>
      </w:tr>
      <w:tr w:rsidR="00CA5CD0" w:rsidRPr="00D27A27" w14:paraId="280A8EDE" w14:textId="77777777" w:rsidTr="00D27A27">
        <w:tc>
          <w:tcPr>
            <w:tcW w:w="1980" w:type="dxa"/>
            <w:vMerge/>
            <w:shd w:val="clear" w:color="auto" w:fill="B8CCE4"/>
            <w:tcMar>
              <w:left w:w="72" w:type="dxa"/>
              <w:right w:w="72" w:type="dxa"/>
            </w:tcMar>
            <w:vAlign w:val="center"/>
          </w:tcPr>
          <w:p w14:paraId="65FC9F74" w14:textId="77777777" w:rsidR="00CA5CD0" w:rsidRPr="00D27A27" w:rsidRDefault="00CA5CD0" w:rsidP="00D27A27">
            <w:pPr>
              <w:pStyle w:val="BodyText"/>
              <w:numPr>
                <w:ilvl w:val="0"/>
                <w:numId w:val="0"/>
              </w:numPr>
              <w:spacing w:before="20" w:after="20" w:line="240" w:lineRule="auto"/>
              <w:jc w:val="center"/>
              <w:rPr>
                <w:rFonts w:asciiTheme="minorHAnsi" w:hAnsiTheme="minorHAnsi" w:cstheme="minorHAnsi"/>
                <w:sz w:val="22"/>
                <w:szCs w:val="22"/>
              </w:rPr>
            </w:pPr>
          </w:p>
        </w:tc>
        <w:tc>
          <w:tcPr>
            <w:tcW w:w="4070" w:type="dxa"/>
            <w:tcMar>
              <w:left w:w="72" w:type="dxa"/>
              <w:right w:w="72" w:type="dxa"/>
            </w:tcMar>
            <w:vAlign w:val="center"/>
          </w:tcPr>
          <w:p w14:paraId="277E17B5"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Changes in pasture and rangeland productivity</w:t>
            </w:r>
          </w:p>
        </w:tc>
        <w:tc>
          <w:tcPr>
            <w:tcW w:w="2970" w:type="dxa"/>
            <w:tcMar>
              <w:left w:w="72" w:type="dxa"/>
              <w:right w:w="72" w:type="dxa"/>
            </w:tcMar>
            <w:vAlign w:val="center"/>
          </w:tcPr>
          <w:p w14:paraId="2B604A2E" w14:textId="1B181184"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 xml:space="preserve">Not modelled - </w:t>
            </w:r>
            <w:r w:rsidR="00395B63">
              <w:rPr>
                <w:rFonts w:asciiTheme="minorHAnsi" w:eastAsia="Times New Roman" w:hAnsiTheme="minorHAnsi" w:cstheme="minorHAnsi"/>
                <w:color w:val="000000"/>
                <w:sz w:val="22"/>
                <w:szCs w:val="22"/>
              </w:rPr>
              <w:t>in</w:t>
            </w:r>
            <w:r w:rsidRPr="00D27A27">
              <w:rPr>
                <w:rFonts w:asciiTheme="minorHAnsi" w:eastAsia="Times New Roman" w:hAnsiTheme="minorHAnsi" w:cstheme="minorHAnsi"/>
                <w:color w:val="000000"/>
                <w:sz w:val="22"/>
                <w:szCs w:val="22"/>
              </w:rPr>
              <w:t>sufficient evidence/data</w:t>
            </w:r>
          </w:p>
        </w:tc>
      </w:tr>
      <w:tr w:rsidR="00CA5CD0" w:rsidRPr="00D27A27" w14:paraId="0B7391BB" w14:textId="77777777" w:rsidTr="00D27A27">
        <w:tc>
          <w:tcPr>
            <w:tcW w:w="1980" w:type="dxa"/>
            <w:vMerge/>
            <w:shd w:val="clear" w:color="auto" w:fill="B8CCE4"/>
            <w:tcMar>
              <w:left w:w="72" w:type="dxa"/>
              <w:right w:w="72" w:type="dxa"/>
            </w:tcMar>
            <w:vAlign w:val="center"/>
          </w:tcPr>
          <w:p w14:paraId="3817B16B" w14:textId="77777777" w:rsidR="00CA5CD0" w:rsidRPr="00D27A27" w:rsidRDefault="00CA5CD0" w:rsidP="00D27A27">
            <w:pPr>
              <w:pStyle w:val="BodyText"/>
              <w:numPr>
                <w:ilvl w:val="0"/>
                <w:numId w:val="0"/>
              </w:numPr>
              <w:spacing w:before="20" w:after="20" w:line="240" w:lineRule="auto"/>
              <w:jc w:val="center"/>
              <w:rPr>
                <w:rFonts w:asciiTheme="minorHAnsi" w:hAnsiTheme="minorHAnsi" w:cstheme="minorHAnsi"/>
                <w:sz w:val="22"/>
                <w:szCs w:val="22"/>
              </w:rPr>
            </w:pPr>
          </w:p>
        </w:tc>
        <w:tc>
          <w:tcPr>
            <w:tcW w:w="4070" w:type="dxa"/>
            <w:tcMar>
              <w:left w:w="72" w:type="dxa"/>
              <w:right w:w="72" w:type="dxa"/>
            </w:tcMar>
            <w:vAlign w:val="center"/>
          </w:tcPr>
          <w:p w14:paraId="7FFE1661"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Changes in aquaculture productivity and fisheries catches</w:t>
            </w:r>
          </w:p>
        </w:tc>
        <w:tc>
          <w:tcPr>
            <w:tcW w:w="2970" w:type="dxa"/>
            <w:tcMar>
              <w:left w:w="72" w:type="dxa"/>
              <w:right w:w="72" w:type="dxa"/>
            </w:tcMar>
            <w:vAlign w:val="center"/>
          </w:tcPr>
          <w:p w14:paraId="51AD9680" w14:textId="4C7C0593"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 xml:space="preserve">Not modelled - </w:t>
            </w:r>
            <w:r w:rsidR="00395B63">
              <w:rPr>
                <w:rFonts w:asciiTheme="minorHAnsi" w:eastAsia="Times New Roman" w:hAnsiTheme="minorHAnsi" w:cstheme="minorHAnsi"/>
                <w:color w:val="000000"/>
                <w:sz w:val="22"/>
                <w:szCs w:val="22"/>
              </w:rPr>
              <w:t>in</w:t>
            </w:r>
            <w:r w:rsidRPr="00D27A27">
              <w:rPr>
                <w:rFonts w:asciiTheme="minorHAnsi" w:eastAsia="Times New Roman" w:hAnsiTheme="minorHAnsi" w:cstheme="minorHAnsi"/>
                <w:color w:val="000000"/>
                <w:sz w:val="22"/>
                <w:szCs w:val="22"/>
              </w:rPr>
              <w:t>sufficient evidence/data</w:t>
            </w:r>
          </w:p>
        </w:tc>
      </w:tr>
      <w:tr w:rsidR="00CA5CD0" w:rsidRPr="00D27A27" w14:paraId="0294BCB0" w14:textId="77777777" w:rsidTr="00D27A27">
        <w:tc>
          <w:tcPr>
            <w:tcW w:w="1980" w:type="dxa"/>
            <w:vMerge w:val="restart"/>
            <w:shd w:val="clear" w:color="auto" w:fill="B8CCE4"/>
            <w:tcMar>
              <w:left w:w="72" w:type="dxa"/>
              <w:right w:w="72" w:type="dxa"/>
            </w:tcMar>
            <w:vAlign w:val="center"/>
          </w:tcPr>
          <w:p w14:paraId="6BAA759E" w14:textId="77777777" w:rsidR="00CA5CD0" w:rsidRPr="00D27A27" w:rsidRDefault="00CA5CD0" w:rsidP="00D27A27">
            <w:pPr>
              <w:pStyle w:val="BodyText"/>
              <w:numPr>
                <w:ilvl w:val="0"/>
                <w:numId w:val="0"/>
              </w:numPr>
              <w:spacing w:before="20" w:after="20" w:line="240" w:lineRule="auto"/>
              <w:jc w:val="center"/>
              <w:rPr>
                <w:rFonts w:asciiTheme="minorHAnsi" w:hAnsiTheme="minorHAnsi" w:cstheme="minorHAnsi"/>
                <w:sz w:val="22"/>
                <w:szCs w:val="22"/>
              </w:rPr>
            </w:pPr>
            <w:r w:rsidRPr="00D27A27">
              <w:rPr>
                <w:rFonts w:asciiTheme="minorHAnsi" w:eastAsia="Times New Roman" w:hAnsiTheme="minorHAnsi" w:cstheme="minorHAnsi"/>
                <w:b/>
                <w:color w:val="000000"/>
                <w:sz w:val="22"/>
                <w:szCs w:val="22"/>
              </w:rPr>
              <w:t>Costal zones (natural assets and built environment)</w:t>
            </w:r>
          </w:p>
        </w:tc>
        <w:tc>
          <w:tcPr>
            <w:tcW w:w="4070" w:type="dxa"/>
            <w:tcMar>
              <w:left w:w="72" w:type="dxa"/>
              <w:right w:w="72" w:type="dxa"/>
            </w:tcMar>
            <w:vAlign w:val="center"/>
          </w:tcPr>
          <w:p w14:paraId="056F2191"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Loss of land and capital from sea level rise (SLR)</w:t>
            </w:r>
          </w:p>
        </w:tc>
        <w:tc>
          <w:tcPr>
            <w:tcW w:w="2970" w:type="dxa"/>
            <w:tcMar>
              <w:left w:w="72" w:type="dxa"/>
              <w:right w:w="72" w:type="dxa"/>
            </w:tcMar>
            <w:vAlign w:val="center"/>
          </w:tcPr>
          <w:p w14:paraId="13677233"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Modelled</w:t>
            </w:r>
          </w:p>
        </w:tc>
      </w:tr>
      <w:tr w:rsidR="00CA5CD0" w:rsidRPr="00D27A27" w14:paraId="1B4BD59D" w14:textId="77777777" w:rsidTr="00D27A27">
        <w:tc>
          <w:tcPr>
            <w:tcW w:w="1980" w:type="dxa"/>
            <w:vMerge/>
            <w:shd w:val="clear" w:color="auto" w:fill="B8CCE4"/>
            <w:tcMar>
              <w:left w:w="72" w:type="dxa"/>
              <w:right w:w="72" w:type="dxa"/>
            </w:tcMar>
            <w:vAlign w:val="center"/>
          </w:tcPr>
          <w:p w14:paraId="1F175B38" w14:textId="77777777" w:rsidR="00CA5CD0" w:rsidRPr="00D27A27" w:rsidRDefault="00CA5CD0" w:rsidP="00D27A27">
            <w:pPr>
              <w:pStyle w:val="BodyText"/>
              <w:numPr>
                <w:ilvl w:val="0"/>
                <w:numId w:val="0"/>
              </w:numPr>
              <w:spacing w:before="20" w:after="20" w:line="240" w:lineRule="auto"/>
              <w:jc w:val="center"/>
              <w:rPr>
                <w:rFonts w:asciiTheme="minorHAnsi" w:hAnsiTheme="minorHAnsi" w:cstheme="minorHAnsi"/>
                <w:sz w:val="22"/>
                <w:szCs w:val="22"/>
              </w:rPr>
            </w:pPr>
          </w:p>
        </w:tc>
        <w:tc>
          <w:tcPr>
            <w:tcW w:w="4070" w:type="dxa"/>
            <w:tcMar>
              <w:left w:w="72" w:type="dxa"/>
              <w:right w:w="72" w:type="dxa"/>
            </w:tcMar>
            <w:vAlign w:val="center"/>
          </w:tcPr>
          <w:p w14:paraId="5E133E6C"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Marine biodiversity</w:t>
            </w:r>
          </w:p>
        </w:tc>
        <w:tc>
          <w:tcPr>
            <w:tcW w:w="2970" w:type="dxa"/>
            <w:tcMar>
              <w:left w:w="72" w:type="dxa"/>
              <w:right w:w="72" w:type="dxa"/>
            </w:tcMar>
            <w:vAlign w:val="center"/>
          </w:tcPr>
          <w:p w14:paraId="234EA63A"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Not modelled - not in the model specification</w:t>
            </w:r>
          </w:p>
        </w:tc>
      </w:tr>
      <w:tr w:rsidR="00CA5CD0" w:rsidRPr="00D27A27" w14:paraId="33811FB0" w14:textId="77777777" w:rsidTr="00D27A27">
        <w:tc>
          <w:tcPr>
            <w:tcW w:w="1980" w:type="dxa"/>
            <w:shd w:val="clear" w:color="auto" w:fill="B8CCE4"/>
            <w:tcMar>
              <w:left w:w="72" w:type="dxa"/>
              <w:right w:w="72" w:type="dxa"/>
            </w:tcMar>
            <w:vAlign w:val="center"/>
          </w:tcPr>
          <w:p w14:paraId="474EBA02" w14:textId="77777777" w:rsidR="00CA5CD0" w:rsidRPr="00D27A27" w:rsidRDefault="00CA5CD0" w:rsidP="00D27A27">
            <w:pPr>
              <w:pStyle w:val="BodyText"/>
              <w:numPr>
                <w:ilvl w:val="0"/>
                <w:numId w:val="0"/>
              </w:numPr>
              <w:spacing w:before="20" w:after="20" w:line="240" w:lineRule="auto"/>
              <w:jc w:val="center"/>
              <w:rPr>
                <w:rFonts w:asciiTheme="minorHAnsi" w:hAnsiTheme="minorHAnsi" w:cstheme="minorHAnsi"/>
                <w:sz w:val="22"/>
                <w:szCs w:val="22"/>
              </w:rPr>
            </w:pPr>
            <w:r w:rsidRPr="00D27A27">
              <w:rPr>
                <w:rFonts w:asciiTheme="minorHAnsi" w:eastAsia="Times New Roman" w:hAnsiTheme="minorHAnsi" w:cstheme="minorHAnsi"/>
                <w:b/>
                <w:color w:val="000000"/>
                <w:sz w:val="22"/>
                <w:szCs w:val="22"/>
              </w:rPr>
              <w:t>Weather hazards</w:t>
            </w:r>
          </w:p>
        </w:tc>
        <w:tc>
          <w:tcPr>
            <w:tcW w:w="4070" w:type="dxa"/>
            <w:tcMar>
              <w:left w:w="72" w:type="dxa"/>
              <w:right w:w="72" w:type="dxa"/>
            </w:tcMar>
            <w:vAlign w:val="center"/>
          </w:tcPr>
          <w:p w14:paraId="3242ADA1"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Mortality, land and capital damages from floods</w:t>
            </w:r>
          </w:p>
        </w:tc>
        <w:tc>
          <w:tcPr>
            <w:tcW w:w="2970" w:type="dxa"/>
            <w:tcMar>
              <w:left w:w="72" w:type="dxa"/>
              <w:right w:w="72" w:type="dxa"/>
            </w:tcMar>
            <w:vAlign w:val="center"/>
          </w:tcPr>
          <w:p w14:paraId="430BB73B" w14:textId="5FD3D681"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 xml:space="preserve">Not modelled - </w:t>
            </w:r>
            <w:r w:rsidR="00395B63">
              <w:rPr>
                <w:rFonts w:asciiTheme="minorHAnsi" w:eastAsia="Times New Roman" w:hAnsiTheme="minorHAnsi" w:cstheme="minorHAnsi"/>
                <w:color w:val="000000"/>
                <w:sz w:val="22"/>
                <w:szCs w:val="22"/>
              </w:rPr>
              <w:t>in</w:t>
            </w:r>
            <w:r w:rsidRPr="00D27A27">
              <w:rPr>
                <w:rFonts w:asciiTheme="minorHAnsi" w:eastAsia="Times New Roman" w:hAnsiTheme="minorHAnsi" w:cstheme="minorHAnsi"/>
                <w:color w:val="000000"/>
                <w:sz w:val="22"/>
                <w:szCs w:val="22"/>
              </w:rPr>
              <w:t>sufficient information on future flood risk</w:t>
            </w:r>
          </w:p>
        </w:tc>
      </w:tr>
      <w:tr w:rsidR="00CA5CD0" w:rsidRPr="00D27A27" w14:paraId="07CF27BB" w14:textId="77777777" w:rsidTr="00D27A27">
        <w:tc>
          <w:tcPr>
            <w:tcW w:w="1980" w:type="dxa"/>
            <w:vMerge w:val="restart"/>
            <w:shd w:val="clear" w:color="auto" w:fill="B8CCE4"/>
            <w:tcMar>
              <w:left w:w="72" w:type="dxa"/>
              <w:right w:w="72" w:type="dxa"/>
            </w:tcMar>
            <w:vAlign w:val="center"/>
          </w:tcPr>
          <w:p w14:paraId="7BA960D3" w14:textId="77777777" w:rsidR="00CA5CD0" w:rsidRPr="00D27A27" w:rsidRDefault="00CA5CD0" w:rsidP="00D27A27">
            <w:pPr>
              <w:spacing w:before="20" w:after="20" w:line="240" w:lineRule="auto"/>
              <w:jc w:val="center"/>
              <w:rPr>
                <w:rFonts w:asciiTheme="minorHAnsi" w:hAnsiTheme="minorHAnsi" w:cstheme="minorHAnsi"/>
                <w:sz w:val="22"/>
              </w:rPr>
            </w:pPr>
            <w:r w:rsidRPr="00D27A27">
              <w:rPr>
                <w:rFonts w:asciiTheme="minorHAnsi" w:eastAsia="Times New Roman" w:hAnsiTheme="minorHAnsi" w:cstheme="minorHAnsi"/>
                <w:b/>
                <w:color w:val="000000"/>
                <w:sz w:val="22"/>
              </w:rPr>
              <w:t>Human health</w:t>
            </w:r>
          </w:p>
        </w:tc>
        <w:tc>
          <w:tcPr>
            <w:tcW w:w="4070" w:type="dxa"/>
            <w:tcMar>
              <w:left w:w="72" w:type="dxa"/>
              <w:right w:w="72" w:type="dxa"/>
            </w:tcMar>
            <w:vAlign w:val="center"/>
          </w:tcPr>
          <w:p w14:paraId="2BF48034"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Mortality from heat exposure</w:t>
            </w:r>
          </w:p>
        </w:tc>
        <w:tc>
          <w:tcPr>
            <w:tcW w:w="2970" w:type="dxa"/>
            <w:tcMar>
              <w:left w:w="72" w:type="dxa"/>
              <w:right w:w="72" w:type="dxa"/>
            </w:tcMar>
            <w:vAlign w:val="center"/>
          </w:tcPr>
          <w:p w14:paraId="5DE726FA"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Modelled</w:t>
            </w:r>
          </w:p>
        </w:tc>
      </w:tr>
      <w:tr w:rsidR="00CA5CD0" w:rsidRPr="00D27A27" w14:paraId="79682151" w14:textId="77777777" w:rsidTr="00D27A27">
        <w:tc>
          <w:tcPr>
            <w:tcW w:w="1980" w:type="dxa"/>
            <w:vMerge/>
            <w:shd w:val="clear" w:color="auto" w:fill="B8CCE4"/>
            <w:tcMar>
              <w:left w:w="72" w:type="dxa"/>
              <w:right w:w="72" w:type="dxa"/>
            </w:tcMar>
            <w:vAlign w:val="center"/>
          </w:tcPr>
          <w:p w14:paraId="3133DB6B" w14:textId="77777777" w:rsidR="00CA5CD0" w:rsidRPr="00D27A27" w:rsidRDefault="00CA5CD0" w:rsidP="00D27A27">
            <w:pPr>
              <w:pStyle w:val="BodyText"/>
              <w:numPr>
                <w:ilvl w:val="0"/>
                <w:numId w:val="0"/>
              </w:numPr>
              <w:spacing w:before="20" w:after="20" w:line="240" w:lineRule="auto"/>
              <w:jc w:val="center"/>
              <w:rPr>
                <w:rFonts w:asciiTheme="minorHAnsi" w:hAnsiTheme="minorHAnsi" w:cstheme="minorHAnsi"/>
                <w:sz w:val="22"/>
                <w:szCs w:val="22"/>
              </w:rPr>
            </w:pPr>
          </w:p>
        </w:tc>
        <w:tc>
          <w:tcPr>
            <w:tcW w:w="4070" w:type="dxa"/>
            <w:tcMar>
              <w:left w:w="72" w:type="dxa"/>
              <w:right w:w="72" w:type="dxa"/>
            </w:tcMar>
            <w:vAlign w:val="center"/>
          </w:tcPr>
          <w:p w14:paraId="2D757156"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Morbidity from heat and cold exposure</w:t>
            </w:r>
          </w:p>
        </w:tc>
        <w:tc>
          <w:tcPr>
            <w:tcW w:w="2970" w:type="dxa"/>
            <w:tcMar>
              <w:left w:w="72" w:type="dxa"/>
              <w:right w:w="72" w:type="dxa"/>
            </w:tcMar>
            <w:vAlign w:val="center"/>
          </w:tcPr>
          <w:p w14:paraId="0D89C570" w14:textId="17DE12BA"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 xml:space="preserve">Not modelled - </w:t>
            </w:r>
            <w:r w:rsidR="00395B63">
              <w:rPr>
                <w:rFonts w:asciiTheme="minorHAnsi" w:eastAsia="Times New Roman" w:hAnsiTheme="minorHAnsi" w:cstheme="minorHAnsi"/>
                <w:color w:val="000000"/>
                <w:sz w:val="22"/>
                <w:szCs w:val="22"/>
              </w:rPr>
              <w:t>in</w:t>
            </w:r>
            <w:r w:rsidRPr="00D27A27">
              <w:rPr>
                <w:rFonts w:asciiTheme="minorHAnsi" w:eastAsia="Times New Roman" w:hAnsiTheme="minorHAnsi" w:cstheme="minorHAnsi"/>
                <w:color w:val="000000"/>
                <w:sz w:val="22"/>
                <w:szCs w:val="22"/>
              </w:rPr>
              <w:t>sufficient evidence/data</w:t>
            </w:r>
          </w:p>
        </w:tc>
      </w:tr>
      <w:tr w:rsidR="00CA5CD0" w:rsidRPr="00D27A27" w14:paraId="2B1BAC4A" w14:textId="77777777" w:rsidTr="00D27A27">
        <w:tc>
          <w:tcPr>
            <w:tcW w:w="1980" w:type="dxa"/>
            <w:vMerge/>
            <w:shd w:val="clear" w:color="auto" w:fill="B8CCE4"/>
            <w:tcMar>
              <w:left w:w="72" w:type="dxa"/>
              <w:right w:w="72" w:type="dxa"/>
            </w:tcMar>
            <w:vAlign w:val="center"/>
          </w:tcPr>
          <w:p w14:paraId="2AD31325" w14:textId="77777777" w:rsidR="00CA5CD0" w:rsidRPr="00D27A27" w:rsidRDefault="00CA5CD0" w:rsidP="00D27A27">
            <w:pPr>
              <w:pStyle w:val="BodyText"/>
              <w:numPr>
                <w:ilvl w:val="0"/>
                <w:numId w:val="0"/>
              </w:numPr>
              <w:spacing w:before="20" w:after="20" w:line="240" w:lineRule="auto"/>
              <w:jc w:val="center"/>
              <w:rPr>
                <w:rFonts w:asciiTheme="minorHAnsi" w:hAnsiTheme="minorHAnsi" w:cstheme="minorHAnsi"/>
                <w:sz w:val="22"/>
                <w:szCs w:val="22"/>
              </w:rPr>
            </w:pPr>
          </w:p>
        </w:tc>
        <w:tc>
          <w:tcPr>
            <w:tcW w:w="4070" w:type="dxa"/>
            <w:tcMar>
              <w:left w:w="72" w:type="dxa"/>
              <w:right w:w="72" w:type="dxa"/>
            </w:tcMar>
            <w:vAlign w:val="center"/>
          </w:tcPr>
          <w:p w14:paraId="7E922983"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Mortality and morbidity from infectious diseases and cardiovascular and respiratory disease</w:t>
            </w:r>
          </w:p>
        </w:tc>
        <w:tc>
          <w:tcPr>
            <w:tcW w:w="2970" w:type="dxa"/>
            <w:tcMar>
              <w:left w:w="72" w:type="dxa"/>
              <w:right w:w="72" w:type="dxa"/>
            </w:tcMar>
            <w:vAlign w:val="center"/>
          </w:tcPr>
          <w:p w14:paraId="484F73D6" w14:textId="033A5F5D"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 xml:space="preserve">Not modelled - </w:t>
            </w:r>
            <w:r w:rsidR="00395B63">
              <w:rPr>
                <w:rFonts w:asciiTheme="minorHAnsi" w:eastAsia="Times New Roman" w:hAnsiTheme="minorHAnsi" w:cstheme="minorHAnsi"/>
                <w:color w:val="000000"/>
                <w:sz w:val="22"/>
                <w:szCs w:val="22"/>
              </w:rPr>
              <w:t>in</w:t>
            </w:r>
            <w:r w:rsidRPr="00D27A27">
              <w:rPr>
                <w:rFonts w:asciiTheme="minorHAnsi" w:eastAsia="Times New Roman" w:hAnsiTheme="minorHAnsi" w:cstheme="minorHAnsi"/>
                <w:color w:val="000000"/>
                <w:sz w:val="22"/>
                <w:szCs w:val="22"/>
              </w:rPr>
              <w:t>sufficient evidence/data</w:t>
            </w:r>
          </w:p>
        </w:tc>
      </w:tr>
      <w:tr w:rsidR="00CA5CD0" w:rsidRPr="00D27A27" w14:paraId="5F246258" w14:textId="77777777" w:rsidTr="00D27A27">
        <w:tc>
          <w:tcPr>
            <w:tcW w:w="1980" w:type="dxa"/>
            <w:shd w:val="clear" w:color="auto" w:fill="B8CCE4"/>
            <w:tcMar>
              <w:left w:w="72" w:type="dxa"/>
              <w:right w:w="72" w:type="dxa"/>
            </w:tcMar>
            <w:vAlign w:val="center"/>
          </w:tcPr>
          <w:p w14:paraId="5FAD5AAA" w14:textId="77777777" w:rsidR="00CA5CD0" w:rsidRPr="00D27A27" w:rsidRDefault="00CA5CD0" w:rsidP="00D27A27">
            <w:pPr>
              <w:pStyle w:val="BodyText"/>
              <w:numPr>
                <w:ilvl w:val="0"/>
                <w:numId w:val="0"/>
              </w:numPr>
              <w:spacing w:before="20" w:after="20" w:line="240" w:lineRule="auto"/>
              <w:jc w:val="center"/>
              <w:rPr>
                <w:rFonts w:asciiTheme="minorHAnsi" w:hAnsiTheme="minorHAnsi" w:cstheme="minorHAnsi"/>
                <w:sz w:val="22"/>
                <w:szCs w:val="22"/>
              </w:rPr>
            </w:pPr>
            <w:r w:rsidRPr="00D27A27">
              <w:rPr>
                <w:rFonts w:asciiTheme="minorHAnsi" w:eastAsia="Times New Roman" w:hAnsiTheme="minorHAnsi" w:cstheme="minorHAnsi"/>
                <w:b/>
                <w:color w:val="000000"/>
                <w:sz w:val="22"/>
                <w:szCs w:val="22"/>
              </w:rPr>
              <w:t>Energy demand</w:t>
            </w:r>
          </w:p>
        </w:tc>
        <w:tc>
          <w:tcPr>
            <w:tcW w:w="4070" w:type="dxa"/>
            <w:tcMar>
              <w:left w:w="72" w:type="dxa"/>
              <w:right w:w="72" w:type="dxa"/>
            </w:tcMar>
            <w:vAlign w:val="center"/>
          </w:tcPr>
          <w:p w14:paraId="187C060D"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Changes in energy demand for cooling and heating</w:t>
            </w:r>
          </w:p>
        </w:tc>
        <w:tc>
          <w:tcPr>
            <w:tcW w:w="2970" w:type="dxa"/>
            <w:tcMar>
              <w:left w:w="72" w:type="dxa"/>
              <w:right w:w="72" w:type="dxa"/>
            </w:tcMar>
            <w:vAlign w:val="center"/>
          </w:tcPr>
          <w:p w14:paraId="6900CF7A"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Modelled</w:t>
            </w:r>
          </w:p>
        </w:tc>
      </w:tr>
      <w:tr w:rsidR="00CA5CD0" w:rsidRPr="00D27A27" w14:paraId="0B75651F" w14:textId="77777777" w:rsidTr="00D27A27">
        <w:tc>
          <w:tcPr>
            <w:tcW w:w="1980" w:type="dxa"/>
            <w:shd w:val="clear" w:color="auto" w:fill="B8CCE4"/>
            <w:tcMar>
              <w:left w:w="72" w:type="dxa"/>
              <w:right w:w="72" w:type="dxa"/>
            </w:tcMar>
            <w:vAlign w:val="center"/>
          </w:tcPr>
          <w:p w14:paraId="11DDC0CF" w14:textId="77777777" w:rsidR="00CA5CD0" w:rsidRPr="00D27A27" w:rsidRDefault="00CA5CD0" w:rsidP="00D27A27">
            <w:pPr>
              <w:pStyle w:val="BodyText"/>
              <w:numPr>
                <w:ilvl w:val="0"/>
                <w:numId w:val="0"/>
              </w:numPr>
              <w:spacing w:before="20" w:after="20" w:line="240" w:lineRule="auto"/>
              <w:jc w:val="center"/>
              <w:rPr>
                <w:rFonts w:asciiTheme="minorHAnsi" w:hAnsiTheme="minorHAnsi" w:cstheme="minorHAnsi"/>
                <w:sz w:val="22"/>
                <w:szCs w:val="22"/>
              </w:rPr>
            </w:pPr>
            <w:r w:rsidRPr="00D27A27">
              <w:rPr>
                <w:rFonts w:asciiTheme="minorHAnsi" w:eastAsia="Times New Roman" w:hAnsiTheme="minorHAnsi" w:cstheme="minorHAnsi"/>
                <w:b/>
                <w:color w:val="000000"/>
                <w:sz w:val="22"/>
                <w:szCs w:val="22"/>
              </w:rPr>
              <w:t>Tourism</w:t>
            </w:r>
          </w:p>
        </w:tc>
        <w:tc>
          <w:tcPr>
            <w:tcW w:w="4070" w:type="dxa"/>
            <w:tcMar>
              <w:left w:w="72" w:type="dxa"/>
              <w:right w:w="72" w:type="dxa"/>
            </w:tcMar>
            <w:vAlign w:val="center"/>
          </w:tcPr>
          <w:p w14:paraId="033A7BD3"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Changes in visitor flows and tourism services</w:t>
            </w:r>
          </w:p>
        </w:tc>
        <w:tc>
          <w:tcPr>
            <w:tcW w:w="2970" w:type="dxa"/>
            <w:tcMar>
              <w:left w:w="72" w:type="dxa"/>
              <w:right w:w="72" w:type="dxa"/>
            </w:tcMar>
            <w:vAlign w:val="center"/>
          </w:tcPr>
          <w:p w14:paraId="75AD1116"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Modelled</w:t>
            </w:r>
          </w:p>
        </w:tc>
      </w:tr>
      <w:tr w:rsidR="00CA5CD0" w:rsidRPr="00D27A27" w14:paraId="326215E1" w14:textId="77777777" w:rsidTr="00D27A27">
        <w:trPr>
          <w:trHeight w:val="83"/>
        </w:trPr>
        <w:tc>
          <w:tcPr>
            <w:tcW w:w="1980" w:type="dxa"/>
            <w:shd w:val="clear" w:color="auto" w:fill="B8CCE4"/>
            <w:tcMar>
              <w:left w:w="72" w:type="dxa"/>
              <w:right w:w="72" w:type="dxa"/>
            </w:tcMar>
            <w:vAlign w:val="center"/>
          </w:tcPr>
          <w:p w14:paraId="31B4FE80" w14:textId="77777777" w:rsidR="00CA5CD0" w:rsidRPr="00D27A27" w:rsidRDefault="00CA5CD0" w:rsidP="00D27A27">
            <w:pPr>
              <w:pStyle w:val="BodyText"/>
              <w:numPr>
                <w:ilvl w:val="0"/>
                <w:numId w:val="0"/>
              </w:numPr>
              <w:spacing w:before="20" w:after="20" w:line="240" w:lineRule="auto"/>
              <w:jc w:val="center"/>
              <w:rPr>
                <w:rFonts w:asciiTheme="minorHAnsi" w:hAnsiTheme="minorHAnsi" w:cstheme="minorHAnsi"/>
                <w:sz w:val="22"/>
                <w:szCs w:val="22"/>
              </w:rPr>
            </w:pPr>
            <w:r w:rsidRPr="00D27A27">
              <w:rPr>
                <w:rFonts w:asciiTheme="minorHAnsi" w:eastAsia="Times New Roman" w:hAnsiTheme="minorHAnsi" w:cstheme="minorHAnsi"/>
                <w:b/>
                <w:color w:val="000000"/>
                <w:sz w:val="22"/>
                <w:szCs w:val="22"/>
              </w:rPr>
              <w:t>Ecosystem services and biodiversity</w:t>
            </w:r>
          </w:p>
        </w:tc>
        <w:tc>
          <w:tcPr>
            <w:tcW w:w="4070" w:type="dxa"/>
            <w:tcMar>
              <w:left w:w="72" w:type="dxa"/>
              <w:right w:w="72" w:type="dxa"/>
            </w:tcMar>
            <w:vAlign w:val="center"/>
          </w:tcPr>
          <w:p w14:paraId="07943CBC"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Loss of ecosystems and biodiversity</w:t>
            </w:r>
          </w:p>
        </w:tc>
        <w:tc>
          <w:tcPr>
            <w:tcW w:w="2970" w:type="dxa"/>
            <w:tcMar>
              <w:left w:w="72" w:type="dxa"/>
              <w:right w:w="72" w:type="dxa"/>
            </w:tcMar>
            <w:vAlign w:val="center"/>
          </w:tcPr>
          <w:p w14:paraId="5CEAAFAB" w14:textId="4C02639E"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 xml:space="preserve">Not modelled - </w:t>
            </w:r>
            <w:r w:rsidR="00395B63">
              <w:rPr>
                <w:rFonts w:asciiTheme="minorHAnsi" w:eastAsia="Times New Roman" w:hAnsiTheme="minorHAnsi" w:cstheme="minorHAnsi"/>
                <w:color w:val="000000"/>
                <w:sz w:val="22"/>
                <w:szCs w:val="22"/>
              </w:rPr>
              <w:t>in</w:t>
            </w:r>
            <w:r w:rsidRPr="00D27A27">
              <w:rPr>
                <w:rFonts w:asciiTheme="minorHAnsi" w:eastAsia="Times New Roman" w:hAnsiTheme="minorHAnsi" w:cstheme="minorHAnsi"/>
                <w:color w:val="000000"/>
                <w:sz w:val="22"/>
                <w:szCs w:val="22"/>
              </w:rPr>
              <w:t>sufficient evidence/data</w:t>
            </w:r>
          </w:p>
        </w:tc>
      </w:tr>
      <w:tr w:rsidR="00CA5CD0" w:rsidRPr="00D27A27" w14:paraId="741BFA71" w14:textId="77777777" w:rsidTr="00D27A27">
        <w:tc>
          <w:tcPr>
            <w:tcW w:w="1980" w:type="dxa"/>
            <w:shd w:val="clear" w:color="auto" w:fill="B8CCE4"/>
            <w:tcMar>
              <w:left w:w="72" w:type="dxa"/>
              <w:right w:w="72" w:type="dxa"/>
            </w:tcMar>
            <w:vAlign w:val="center"/>
          </w:tcPr>
          <w:p w14:paraId="77EE1BA5" w14:textId="77777777" w:rsidR="00CA5CD0" w:rsidRPr="00D27A27" w:rsidRDefault="00CA5CD0" w:rsidP="00D27A27">
            <w:pPr>
              <w:pStyle w:val="BodyText"/>
              <w:numPr>
                <w:ilvl w:val="0"/>
                <w:numId w:val="0"/>
              </w:numPr>
              <w:spacing w:before="20" w:after="20" w:line="240" w:lineRule="auto"/>
              <w:jc w:val="center"/>
              <w:rPr>
                <w:rFonts w:asciiTheme="minorHAnsi" w:hAnsiTheme="minorHAnsi" w:cstheme="minorHAnsi"/>
                <w:sz w:val="22"/>
                <w:szCs w:val="22"/>
              </w:rPr>
            </w:pPr>
            <w:r w:rsidRPr="00D27A27">
              <w:rPr>
                <w:rFonts w:asciiTheme="minorHAnsi" w:eastAsia="Times New Roman" w:hAnsiTheme="minorHAnsi" w:cstheme="minorHAnsi"/>
                <w:b/>
                <w:color w:val="000000"/>
                <w:sz w:val="22"/>
                <w:szCs w:val="22"/>
              </w:rPr>
              <w:t>Forests</w:t>
            </w:r>
          </w:p>
        </w:tc>
        <w:tc>
          <w:tcPr>
            <w:tcW w:w="4070" w:type="dxa"/>
            <w:tcMar>
              <w:left w:w="72" w:type="dxa"/>
              <w:right w:w="72" w:type="dxa"/>
            </w:tcMar>
            <w:vAlign w:val="center"/>
          </w:tcPr>
          <w:p w14:paraId="04A79104"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Changes in forest plantation yields</w:t>
            </w:r>
          </w:p>
        </w:tc>
        <w:tc>
          <w:tcPr>
            <w:tcW w:w="2970" w:type="dxa"/>
            <w:tcMar>
              <w:left w:w="72" w:type="dxa"/>
              <w:right w:w="72" w:type="dxa"/>
            </w:tcMar>
            <w:vAlign w:val="center"/>
          </w:tcPr>
          <w:p w14:paraId="2B72F489" w14:textId="2CE9FD72"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 xml:space="preserve">Not modelled - </w:t>
            </w:r>
            <w:r w:rsidR="00395B63">
              <w:rPr>
                <w:rFonts w:asciiTheme="minorHAnsi" w:eastAsia="Times New Roman" w:hAnsiTheme="minorHAnsi" w:cstheme="minorHAnsi"/>
                <w:color w:val="000000"/>
                <w:sz w:val="22"/>
                <w:szCs w:val="22"/>
              </w:rPr>
              <w:t>in</w:t>
            </w:r>
            <w:r w:rsidRPr="00D27A27">
              <w:rPr>
                <w:rFonts w:asciiTheme="minorHAnsi" w:eastAsia="Times New Roman" w:hAnsiTheme="minorHAnsi" w:cstheme="minorHAnsi"/>
                <w:color w:val="000000"/>
                <w:sz w:val="22"/>
                <w:szCs w:val="22"/>
              </w:rPr>
              <w:t>sufficient evidence/data</w:t>
            </w:r>
          </w:p>
        </w:tc>
      </w:tr>
      <w:tr w:rsidR="00CA5CD0" w:rsidRPr="00D27A27" w14:paraId="65A296D6" w14:textId="77777777" w:rsidTr="00D27A27">
        <w:tc>
          <w:tcPr>
            <w:tcW w:w="1980" w:type="dxa"/>
            <w:vMerge w:val="restart"/>
            <w:shd w:val="clear" w:color="auto" w:fill="B8CCE4"/>
            <w:tcMar>
              <w:left w:w="72" w:type="dxa"/>
              <w:right w:w="72" w:type="dxa"/>
            </w:tcMar>
            <w:vAlign w:val="center"/>
          </w:tcPr>
          <w:p w14:paraId="7063B69C" w14:textId="77777777" w:rsidR="00CA5CD0" w:rsidRPr="00D27A27" w:rsidRDefault="00CA5CD0" w:rsidP="00D27A27">
            <w:pPr>
              <w:pStyle w:val="BodyText"/>
              <w:numPr>
                <w:ilvl w:val="0"/>
                <w:numId w:val="0"/>
              </w:numPr>
              <w:spacing w:before="20" w:after="20" w:line="240" w:lineRule="auto"/>
              <w:jc w:val="center"/>
              <w:rPr>
                <w:rFonts w:asciiTheme="minorHAnsi" w:hAnsiTheme="minorHAnsi" w:cstheme="minorHAnsi"/>
                <w:sz w:val="22"/>
                <w:szCs w:val="22"/>
              </w:rPr>
            </w:pPr>
            <w:r w:rsidRPr="00D27A27">
              <w:rPr>
                <w:rFonts w:asciiTheme="minorHAnsi" w:eastAsia="Times New Roman" w:hAnsiTheme="minorHAnsi" w:cstheme="minorHAnsi"/>
                <w:b/>
                <w:color w:val="000000"/>
                <w:sz w:val="22"/>
                <w:szCs w:val="22"/>
              </w:rPr>
              <w:t>Water resources</w:t>
            </w:r>
          </w:p>
        </w:tc>
        <w:tc>
          <w:tcPr>
            <w:tcW w:w="4070" w:type="dxa"/>
            <w:tcMar>
              <w:left w:w="72" w:type="dxa"/>
              <w:right w:w="72" w:type="dxa"/>
            </w:tcMar>
            <w:vAlign w:val="center"/>
          </w:tcPr>
          <w:p w14:paraId="3C617EBA" w14:textId="4A55EFFC"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Changes in water availability for hydropower generation and cooling of thermal power</w:t>
            </w:r>
            <w:r w:rsidR="00A768E2" w:rsidRPr="00D27A27">
              <w:rPr>
                <w:rFonts w:asciiTheme="minorHAnsi" w:eastAsia="Times New Roman" w:hAnsiTheme="minorHAnsi" w:cstheme="minorHAnsi"/>
                <w:color w:val="000000"/>
                <w:sz w:val="22"/>
                <w:szCs w:val="22"/>
              </w:rPr>
              <w:t xml:space="preserve"> </w:t>
            </w:r>
            <w:r w:rsidRPr="00D27A27">
              <w:rPr>
                <w:rFonts w:asciiTheme="minorHAnsi" w:eastAsia="Times New Roman" w:hAnsiTheme="minorHAnsi" w:cstheme="minorHAnsi"/>
                <w:color w:val="000000"/>
                <w:sz w:val="22"/>
                <w:szCs w:val="22"/>
              </w:rPr>
              <w:t>plants</w:t>
            </w:r>
          </w:p>
        </w:tc>
        <w:tc>
          <w:tcPr>
            <w:tcW w:w="2970" w:type="dxa"/>
            <w:tcMar>
              <w:left w:w="72" w:type="dxa"/>
              <w:right w:w="72" w:type="dxa"/>
            </w:tcMar>
            <w:vAlign w:val="center"/>
          </w:tcPr>
          <w:p w14:paraId="03476962"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Modelled - no prediction of acute scarcity is reported until 2050</w:t>
            </w:r>
          </w:p>
        </w:tc>
      </w:tr>
      <w:tr w:rsidR="00CA5CD0" w:rsidRPr="00D27A27" w14:paraId="437C2B27" w14:textId="77777777" w:rsidTr="00D27A27">
        <w:tc>
          <w:tcPr>
            <w:tcW w:w="1980" w:type="dxa"/>
            <w:vMerge/>
            <w:shd w:val="clear" w:color="auto" w:fill="B8CCE4"/>
            <w:tcMar>
              <w:left w:w="72" w:type="dxa"/>
              <w:right w:w="72" w:type="dxa"/>
            </w:tcMar>
          </w:tcPr>
          <w:p w14:paraId="29817F77" w14:textId="77777777" w:rsidR="00CA5CD0" w:rsidRPr="00D27A27" w:rsidRDefault="00CA5CD0" w:rsidP="00D27A27">
            <w:pPr>
              <w:pStyle w:val="BodyText"/>
              <w:numPr>
                <w:ilvl w:val="0"/>
                <w:numId w:val="0"/>
              </w:numPr>
              <w:spacing w:before="20" w:after="20" w:line="240" w:lineRule="auto"/>
              <w:jc w:val="left"/>
              <w:rPr>
                <w:rFonts w:asciiTheme="minorHAnsi" w:hAnsiTheme="minorHAnsi" w:cstheme="minorHAnsi"/>
                <w:sz w:val="22"/>
                <w:szCs w:val="22"/>
              </w:rPr>
            </w:pPr>
          </w:p>
        </w:tc>
        <w:tc>
          <w:tcPr>
            <w:tcW w:w="4070" w:type="dxa"/>
            <w:tcMar>
              <w:left w:w="72" w:type="dxa"/>
              <w:right w:w="72" w:type="dxa"/>
            </w:tcMar>
            <w:vAlign w:val="center"/>
          </w:tcPr>
          <w:p w14:paraId="6803BC0A"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t xml:space="preserve">Changes in availability of drinking water to </w:t>
            </w:r>
            <w:r w:rsidRPr="00D27A27">
              <w:rPr>
                <w:rFonts w:asciiTheme="minorHAnsi" w:eastAsia="Times New Roman" w:hAnsiTheme="minorHAnsi" w:cstheme="minorHAnsi"/>
                <w:color w:val="000000"/>
                <w:sz w:val="22"/>
                <w:szCs w:val="22"/>
              </w:rPr>
              <w:lastRenderedPageBreak/>
              <w:t>end users</w:t>
            </w:r>
          </w:p>
        </w:tc>
        <w:tc>
          <w:tcPr>
            <w:tcW w:w="2970" w:type="dxa"/>
            <w:tcMar>
              <w:left w:w="72" w:type="dxa"/>
              <w:right w:w="72" w:type="dxa"/>
            </w:tcMar>
            <w:vAlign w:val="center"/>
          </w:tcPr>
          <w:p w14:paraId="7251B43B" w14:textId="77777777" w:rsidR="00CA5CD0" w:rsidRPr="00D27A27" w:rsidRDefault="00CA5CD0" w:rsidP="00D27A27">
            <w:pPr>
              <w:pStyle w:val="BodyText"/>
              <w:numPr>
                <w:ilvl w:val="0"/>
                <w:numId w:val="0"/>
              </w:numPr>
              <w:spacing w:before="20" w:after="20" w:line="240" w:lineRule="auto"/>
              <w:rPr>
                <w:rFonts w:asciiTheme="minorHAnsi" w:hAnsiTheme="minorHAnsi" w:cstheme="minorHAnsi"/>
                <w:sz w:val="22"/>
                <w:szCs w:val="22"/>
              </w:rPr>
            </w:pPr>
            <w:r w:rsidRPr="00D27A27">
              <w:rPr>
                <w:rFonts w:asciiTheme="minorHAnsi" w:eastAsia="Times New Roman" w:hAnsiTheme="minorHAnsi" w:cstheme="minorHAnsi"/>
                <w:color w:val="000000"/>
                <w:sz w:val="22"/>
                <w:szCs w:val="22"/>
              </w:rPr>
              <w:lastRenderedPageBreak/>
              <w:t xml:space="preserve">Modelled - no prediction of </w:t>
            </w:r>
            <w:r w:rsidRPr="00D27A27">
              <w:rPr>
                <w:rFonts w:asciiTheme="minorHAnsi" w:eastAsia="Times New Roman" w:hAnsiTheme="minorHAnsi" w:cstheme="minorHAnsi"/>
                <w:color w:val="000000"/>
                <w:sz w:val="22"/>
                <w:szCs w:val="22"/>
              </w:rPr>
              <w:lastRenderedPageBreak/>
              <w:t>acute scarcity is reported until 2050</w:t>
            </w:r>
          </w:p>
        </w:tc>
      </w:tr>
    </w:tbl>
    <w:p w14:paraId="63C4174D" w14:textId="3F997367" w:rsidR="00CA5CD0" w:rsidRPr="001C3EDC" w:rsidRDefault="00CA5CD0" w:rsidP="00910019">
      <w:pPr>
        <w:pStyle w:val="BodyText"/>
        <w:numPr>
          <w:ilvl w:val="0"/>
          <w:numId w:val="17"/>
        </w:numPr>
        <w:tabs>
          <w:tab w:val="left" w:pos="720"/>
        </w:tabs>
        <w:spacing w:before="240"/>
        <w:ind w:left="0" w:firstLine="0"/>
      </w:pPr>
      <w:r w:rsidRPr="001C3EDC">
        <w:lastRenderedPageBreak/>
        <w:t xml:space="preserve">Climate-related vulnerabilities that are likely to affect Bulgaria’s economic sectors and their representation in the CGE model are displayed in </w:t>
      </w:r>
      <w:r w:rsidRPr="001C3EDC">
        <w:rPr>
          <w:b/>
          <w:i/>
        </w:rPr>
        <w:t>Table 1</w:t>
      </w:r>
      <w:r w:rsidRPr="001C3EDC">
        <w:t xml:space="preserve">. The table covers the sectors considered in these advisory services on a National Climate Change Adaptation Strategy and Action Plan. Not all the channels through which climate change will affect natural resources, human settlements, and economic activities can be captured in the model for lack of sufficient data. This is for instance the case for nonmarket impacts (that is, how climate change will affect ecosystems and their services). Despite this partial coverage, the model represents climate change impacts in the sectors considered the most vulnerable to climate change as per the 2014 </w:t>
      </w:r>
      <w:r w:rsidR="00F82774" w:rsidRPr="00051D56">
        <w:t>Risk and Vulnerability Analysis and Assessment of the Bulgarian Economic Sectors to Climate Change</w:t>
      </w:r>
      <w:r w:rsidR="00882CB1" w:rsidRPr="001C3EDC">
        <w:t xml:space="preserve"> (MoEW 2014)</w:t>
      </w:r>
      <w:r w:rsidRPr="001C3EDC">
        <w:t>: Water (modelled off-line), Agriculture (modelled through damage functions), and Tourism (modelled through damage functions).</w:t>
      </w:r>
    </w:p>
    <w:p w14:paraId="706C52FD" w14:textId="5DE4684B" w:rsidR="00EE552E" w:rsidRPr="001C3EDC" w:rsidRDefault="00EE552E" w:rsidP="00CA5CD0">
      <w:pPr>
        <w:pStyle w:val="BodyText"/>
        <w:tabs>
          <w:tab w:val="left" w:pos="720"/>
        </w:tabs>
        <w:spacing w:before="120"/>
        <w:ind w:left="0" w:firstLine="0"/>
        <w:rPr>
          <w:rStyle w:val="normaltextrun1"/>
          <w:rFonts w:eastAsiaTheme="minorHAnsi" w:cstheme="minorBidi"/>
          <w:szCs w:val="22"/>
          <w:lang w:eastAsia="en-US"/>
        </w:rPr>
      </w:pPr>
      <w:r w:rsidRPr="001C3EDC">
        <w:rPr>
          <w:rStyle w:val="normaltextrun1"/>
        </w:rPr>
        <w:t xml:space="preserve">The structure of CGE models </w:t>
      </w:r>
      <w:r w:rsidR="00F35A10" w:rsidRPr="001C3EDC">
        <w:rPr>
          <w:rStyle w:val="normaltextrun1"/>
        </w:rPr>
        <w:t>enables</w:t>
      </w:r>
      <w:r w:rsidRPr="001C3EDC">
        <w:rPr>
          <w:rStyle w:val="normaltextrun1"/>
        </w:rPr>
        <w:t xml:space="preserve"> estimat</w:t>
      </w:r>
      <w:r w:rsidR="00F35A10" w:rsidRPr="001C3EDC">
        <w:rPr>
          <w:rStyle w:val="normaltextrun1"/>
        </w:rPr>
        <w:t>ing</w:t>
      </w:r>
      <w:r w:rsidRPr="001C3EDC">
        <w:rPr>
          <w:rStyle w:val="normaltextrun1"/>
        </w:rPr>
        <w:t xml:space="preserve"> </w:t>
      </w:r>
      <w:r w:rsidR="00331860" w:rsidRPr="001C3EDC">
        <w:rPr>
          <w:rStyle w:val="normaltextrun1"/>
        </w:rPr>
        <w:t xml:space="preserve">the </w:t>
      </w:r>
      <w:r w:rsidR="00061C76" w:rsidRPr="001C3EDC">
        <w:rPr>
          <w:rStyle w:val="normaltextrun1"/>
        </w:rPr>
        <w:t>‘</w:t>
      </w:r>
      <w:r w:rsidRPr="001C3EDC">
        <w:rPr>
          <w:rStyle w:val="normaltextrun1"/>
        </w:rPr>
        <w:t>direct</w:t>
      </w:r>
      <w:r w:rsidR="00061C76" w:rsidRPr="001C3EDC">
        <w:rPr>
          <w:rStyle w:val="normaltextrun1"/>
        </w:rPr>
        <w:t>’</w:t>
      </w:r>
      <w:r w:rsidRPr="001C3EDC">
        <w:rPr>
          <w:rStyle w:val="normaltextrun1"/>
        </w:rPr>
        <w:t xml:space="preserve"> and </w:t>
      </w:r>
      <w:r w:rsidR="00820068" w:rsidRPr="001C3EDC">
        <w:rPr>
          <w:rStyle w:val="normaltextrun1"/>
        </w:rPr>
        <w:t>‘</w:t>
      </w:r>
      <w:r w:rsidRPr="001C3EDC">
        <w:rPr>
          <w:rStyle w:val="normaltextrun1"/>
        </w:rPr>
        <w:t>indirect</w:t>
      </w:r>
      <w:r w:rsidR="00061C76" w:rsidRPr="001C3EDC">
        <w:rPr>
          <w:rStyle w:val="normaltextrun1"/>
        </w:rPr>
        <w:t>’</w:t>
      </w:r>
      <w:r w:rsidRPr="001C3EDC">
        <w:rPr>
          <w:rStyle w:val="normaltextrun1"/>
        </w:rPr>
        <w:t xml:space="preserve"> </w:t>
      </w:r>
      <w:r w:rsidR="00F35A10" w:rsidRPr="001C3EDC">
        <w:rPr>
          <w:rStyle w:val="normaltextrun1"/>
        </w:rPr>
        <w:t>impacts</w:t>
      </w:r>
      <w:r w:rsidRPr="001C3EDC">
        <w:rPr>
          <w:rStyle w:val="normaltextrun1"/>
        </w:rPr>
        <w:t xml:space="preserve"> of climate change on sectors. The </w:t>
      </w:r>
      <w:r w:rsidR="00317040" w:rsidRPr="001C3EDC">
        <w:rPr>
          <w:rStyle w:val="normaltextrun1"/>
        </w:rPr>
        <w:t>‘</w:t>
      </w:r>
      <w:r w:rsidRPr="001C3EDC">
        <w:rPr>
          <w:rStyle w:val="normaltextrun1"/>
        </w:rPr>
        <w:t>direct</w:t>
      </w:r>
      <w:r w:rsidR="00317040" w:rsidRPr="001C3EDC">
        <w:rPr>
          <w:rStyle w:val="normaltextrun1"/>
        </w:rPr>
        <w:t>’</w:t>
      </w:r>
      <w:r w:rsidRPr="001C3EDC">
        <w:rPr>
          <w:rStyle w:val="normaltextrun1"/>
        </w:rPr>
        <w:t xml:space="preserve"> effect refer</w:t>
      </w:r>
      <w:r w:rsidR="00F35A10" w:rsidRPr="001C3EDC">
        <w:rPr>
          <w:rStyle w:val="normaltextrun1"/>
        </w:rPr>
        <w:t>s</w:t>
      </w:r>
      <w:r w:rsidRPr="001C3EDC">
        <w:rPr>
          <w:rStyle w:val="normaltextrun1"/>
        </w:rPr>
        <w:t xml:space="preserve"> to a </w:t>
      </w:r>
      <w:r w:rsidR="00F35A10" w:rsidRPr="001C3EDC">
        <w:rPr>
          <w:rStyle w:val="normaltextrun1"/>
        </w:rPr>
        <w:t>change</w:t>
      </w:r>
      <w:r w:rsidRPr="001C3EDC">
        <w:rPr>
          <w:rStyle w:val="normaltextrun1"/>
        </w:rPr>
        <w:t xml:space="preserve"> in</w:t>
      </w:r>
      <w:r w:rsidR="00F35A10" w:rsidRPr="001C3EDC">
        <w:rPr>
          <w:rStyle w:val="normaltextrun1"/>
        </w:rPr>
        <w:t xml:space="preserve"> the availability or price of</w:t>
      </w:r>
      <w:r w:rsidRPr="001C3EDC">
        <w:rPr>
          <w:rStyle w:val="normaltextrun1"/>
        </w:rPr>
        <w:t xml:space="preserve"> the factors of production </w:t>
      </w:r>
      <w:r w:rsidR="001A62B9" w:rsidRPr="001C3EDC">
        <w:rPr>
          <w:rStyle w:val="normaltextrun1"/>
        </w:rPr>
        <w:t xml:space="preserve">or in total factor </w:t>
      </w:r>
      <w:r w:rsidR="001A62B9" w:rsidRPr="001C3EDC">
        <w:t>productivity</w:t>
      </w:r>
      <w:r w:rsidR="001A62B9" w:rsidRPr="001C3EDC">
        <w:rPr>
          <w:rStyle w:val="normaltextrun1"/>
        </w:rPr>
        <w:t xml:space="preserve"> in a given sector </w:t>
      </w:r>
      <w:r w:rsidRPr="001C3EDC">
        <w:rPr>
          <w:rStyle w:val="normaltextrun1"/>
        </w:rPr>
        <w:t xml:space="preserve">due to climate change </w:t>
      </w:r>
      <w:r w:rsidR="00F35A10" w:rsidRPr="001C3EDC">
        <w:rPr>
          <w:rStyle w:val="normaltextrun1"/>
        </w:rPr>
        <w:t>(</w:t>
      </w:r>
      <w:r w:rsidR="00317040" w:rsidRPr="001C3EDC">
        <w:rPr>
          <w:rStyle w:val="normaltextrun1"/>
        </w:rPr>
        <w:t>for example</w:t>
      </w:r>
      <w:r w:rsidR="00F35A10" w:rsidRPr="001C3EDC">
        <w:rPr>
          <w:rStyle w:val="normaltextrun1"/>
        </w:rPr>
        <w:t xml:space="preserve">, how climate change </w:t>
      </w:r>
      <w:r w:rsidR="00D66265" w:rsidRPr="001C3EDC">
        <w:rPr>
          <w:rStyle w:val="normaltextrun1"/>
        </w:rPr>
        <w:t xml:space="preserve">affects </w:t>
      </w:r>
      <w:r w:rsidR="00F35A10" w:rsidRPr="001C3EDC">
        <w:rPr>
          <w:rStyle w:val="normaltextrun1"/>
        </w:rPr>
        <w:t>crop yields)</w:t>
      </w:r>
      <w:r w:rsidRPr="001C3EDC">
        <w:rPr>
          <w:rStyle w:val="normaltextrun1"/>
        </w:rPr>
        <w:t xml:space="preserve">. The </w:t>
      </w:r>
      <w:r w:rsidR="00205DF6" w:rsidRPr="001C3EDC">
        <w:rPr>
          <w:rStyle w:val="normaltextrun1"/>
        </w:rPr>
        <w:t>‘</w:t>
      </w:r>
      <w:r w:rsidRPr="001C3EDC">
        <w:rPr>
          <w:rStyle w:val="normaltextrun1"/>
        </w:rPr>
        <w:t>indirect</w:t>
      </w:r>
      <w:r w:rsidR="00205DF6" w:rsidRPr="001C3EDC">
        <w:rPr>
          <w:rStyle w:val="normaltextrun1"/>
        </w:rPr>
        <w:t>’</w:t>
      </w:r>
      <w:r w:rsidRPr="001C3EDC">
        <w:rPr>
          <w:rStyle w:val="normaltextrun1"/>
        </w:rPr>
        <w:t xml:space="preserve"> effect refer</w:t>
      </w:r>
      <w:r w:rsidR="00F35A10" w:rsidRPr="001C3EDC">
        <w:rPr>
          <w:rStyle w:val="normaltextrun1"/>
        </w:rPr>
        <w:t>s</w:t>
      </w:r>
      <w:r w:rsidRPr="001C3EDC">
        <w:rPr>
          <w:rStyle w:val="normaltextrun1"/>
        </w:rPr>
        <w:t xml:space="preserve"> to a </w:t>
      </w:r>
      <w:r w:rsidR="00F35A10" w:rsidRPr="001C3EDC">
        <w:rPr>
          <w:rStyle w:val="normaltextrun1"/>
        </w:rPr>
        <w:t>change in</w:t>
      </w:r>
      <w:r w:rsidR="00331860" w:rsidRPr="001C3EDC">
        <w:rPr>
          <w:rStyle w:val="normaltextrun1"/>
        </w:rPr>
        <w:t xml:space="preserve"> </w:t>
      </w:r>
      <w:r w:rsidR="001A62B9" w:rsidRPr="001C3EDC">
        <w:rPr>
          <w:rStyle w:val="normaltextrun1"/>
        </w:rPr>
        <w:t xml:space="preserve">a given </w:t>
      </w:r>
      <w:r w:rsidR="00331860" w:rsidRPr="001C3EDC">
        <w:rPr>
          <w:rStyle w:val="normaltextrun1"/>
        </w:rPr>
        <w:t xml:space="preserve">sector’s </w:t>
      </w:r>
      <w:r w:rsidRPr="001C3EDC">
        <w:rPr>
          <w:rStyle w:val="normaltextrun1"/>
        </w:rPr>
        <w:t xml:space="preserve">productive activity due </w:t>
      </w:r>
      <w:r w:rsidR="00D75759" w:rsidRPr="001C3EDC">
        <w:rPr>
          <w:rStyle w:val="normaltextrun1"/>
        </w:rPr>
        <w:t xml:space="preserve">to </w:t>
      </w:r>
      <w:r w:rsidR="00331860" w:rsidRPr="001C3EDC">
        <w:rPr>
          <w:rStyle w:val="normaltextrun1"/>
        </w:rPr>
        <w:t xml:space="preserve">a </w:t>
      </w:r>
      <w:r w:rsidR="00F35A10" w:rsidRPr="001C3EDC">
        <w:rPr>
          <w:rStyle w:val="normaltextrun1"/>
        </w:rPr>
        <w:t xml:space="preserve">variation in </w:t>
      </w:r>
      <w:r w:rsidRPr="001C3EDC">
        <w:rPr>
          <w:rStyle w:val="normaltextrun1"/>
        </w:rPr>
        <w:t xml:space="preserve">the </w:t>
      </w:r>
      <w:r w:rsidR="00331860" w:rsidRPr="001C3EDC">
        <w:rPr>
          <w:rStyle w:val="normaltextrun1"/>
        </w:rPr>
        <w:t xml:space="preserve">demand for its </w:t>
      </w:r>
      <w:r w:rsidRPr="001C3EDC">
        <w:rPr>
          <w:rStyle w:val="normaltextrun1"/>
        </w:rPr>
        <w:t>outputs</w:t>
      </w:r>
      <w:r w:rsidR="00331860" w:rsidRPr="001C3EDC">
        <w:rPr>
          <w:rStyle w:val="normaltextrun1"/>
        </w:rPr>
        <w:t xml:space="preserve"> because of the</w:t>
      </w:r>
      <w:r w:rsidR="001A62B9" w:rsidRPr="001C3EDC">
        <w:rPr>
          <w:rStyle w:val="normaltextrun1"/>
        </w:rPr>
        <w:t xml:space="preserve"> impacts of</w:t>
      </w:r>
      <w:r w:rsidR="00331860" w:rsidRPr="001C3EDC">
        <w:rPr>
          <w:rStyle w:val="normaltextrun1"/>
        </w:rPr>
        <w:t xml:space="preserve"> climate</w:t>
      </w:r>
      <w:r w:rsidR="001A62B9" w:rsidRPr="001C3EDC">
        <w:rPr>
          <w:rStyle w:val="normaltextrun1"/>
        </w:rPr>
        <w:t xml:space="preserve"> o</w:t>
      </w:r>
      <w:r w:rsidR="00331860" w:rsidRPr="001C3EDC">
        <w:rPr>
          <w:rStyle w:val="normaltextrun1"/>
        </w:rPr>
        <w:t>n the demanding sectors</w:t>
      </w:r>
      <w:r w:rsidR="00F35A10" w:rsidRPr="001C3EDC">
        <w:rPr>
          <w:rStyle w:val="normaltextrun1"/>
        </w:rPr>
        <w:t xml:space="preserve"> (</w:t>
      </w:r>
      <w:r w:rsidR="00F15071" w:rsidRPr="001C3EDC">
        <w:rPr>
          <w:rStyle w:val="normaltextrun1"/>
        </w:rPr>
        <w:t>for example</w:t>
      </w:r>
      <w:r w:rsidR="00F35A10" w:rsidRPr="001C3EDC">
        <w:rPr>
          <w:rStyle w:val="normaltextrun1"/>
        </w:rPr>
        <w:t>, how energy demand might be lower because of reduced economic activities in other sectors directly h</w:t>
      </w:r>
      <w:r w:rsidR="00CF6FB9" w:rsidRPr="001C3EDC">
        <w:rPr>
          <w:rStyle w:val="normaltextrun1"/>
        </w:rPr>
        <w:t>i</w:t>
      </w:r>
      <w:r w:rsidR="00F35A10" w:rsidRPr="001C3EDC">
        <w:rPr>
          <w:rStyle w:val="normaltextrun1"/>
        </w:rPr>
        <w:t>t by climate change).</w:t>
      </w:r>
      <w:r w:rsidR="00CB62AC" w:rsidRPr="001C3EDC">
        <w:rPr>
          <w:rStyle w:val="normaltextrun1"/>
        </w:rPr>
        <w:t xml:space="preserve"> </w:t>
      </w:r>
      <w:r w:rsidR="00331860" w:rsidRPr="001C3EDC">
        <w:rPr>
          <w:rStyle w:val="normaltextrun1"/>
        </w:rPr>
        <w:t xml:space="preserve">CGE models are developed on the basis of </w:t>
      </w:r>
      <w:r w:rsidR="00F15071" w:rsidRPr="001C3EDC">
        <w:rPr>
          <w:rStyle w:val="normaltextrun1"/>
        </w:rPr>
        <w:t>i</w:t>
      </w:r>
      <w:r w:rsidR="00331860" w:rsidRPr="001C3EDC">
        <w:rPr>
          <w:rStyle w:val="normaltextrun1"/>
        </w:rPr>
        <w:t>nput-</w:t>
      </w:r>
      <w:r w:rsidR="00F15071" w:rsidRPr="001C3EDC">
        <w:rPr>
          <w:rStyle w:val="normaltextrun1"/>
        </w:rPr>
        <w:t>o</w:t>
      </w:r>
      <w:r w:rsidR="00331860" w:rsidRPr="001C3EDC">
        <w:rPr>
          <w:rStyle w:val="normaltextrun1"/>
        </w:rPr>
        <w:t xml:space="preserve">utput matrices that keep track of </w:t>
      </w:r>
      <w:r w:rsidR="00C648AA" w:rsidRPr="001C3EDC">
        <w:rPr>
          <w:rStyle w:val="normaltextrun1"/>
        </w:rPr>
        <w:t xml:space="preserve">the abovementioned </w:t>
      </w:r>
      <w:r w:rsidR="00331860" w:rsidRPr="001C3EDC">
        <w:rPr>
          <w:rStyle w:val="normaltextrun1"/>
        </w:rPr>
        <w:t>inter</w:t>
      </w:r>
      <w:r w:rsidR="00A768E2" w:rsidRPr="001C3EDC">
        <w:rPr>
          <w:rStyle w:val="normaltextrun1"/>
        </w:rPr>
        <w:t>-</w:t>
      </w:r>
      <w:r w:rsidR="00F35A10" w:rsidRPr="001C3EDC">
        <w:rPr>
          <w:rStyle w:val="normaltextrun1"/>
        </w:rPr>
        <w:t>sectoral</w:t>
      </w:r>
      <w:r w:rsidR="00331860" w:rsidRPr="001C3EDC">
        <w:rPr>
          <w:rStyle w:val="normaltextrun1"/>
        </w:rPr>
        <w:t xml:space="preserve"> links, </w:t>
      </w:r>
      <w:r w:rsidR="00F35A10" w:rsidRPr="001C3EDC">
        <w:rPr>
          <w:rStyle w:val="normaltextrun1"/>
        </w:rPr>
        <w:t xml:space="preserve">which makes them </w:t>
      </w:r>
      <w:r w:rsidR="001A62B9" w:rsidRPr="001C3EDC">
        <w:rPr>
          <w:rStyle w:val="normaltextrun1"/>
        </w:rPr>
        <w:t>well-suited</w:t>
      </w:r>
      <w:r w:rsidR="00331860" w:rsidRPr="001C3EDC">
        <w:rPr>
          <w:rStyle w:val="normaltextrun1"/>
        </w:rPr>
        <w:t xml:space="preserve"> models for a comprehensive assessment of the climate change impact</w:t>
      </w:r>
      <w:r w:rsidR="00F35A10" w:rsidRPr="001C3EDC">
        <w:rPr>
          <w:rStyle w:val="normaltextrun1"/>
        </w:rPr>
        <w:t>s</w:t>
      </w:r>
      <w:r w:rsidR="00331860" w:rsidRPr="001C3EDC">
        <w:rPr>
          <w:rStyle w:val="normaltextrun1"/>
        </w:rPr>
        <w:t>.</w:t>
      </w:r>
    </w:p>
    <w:p w14:paraId="086B2CE1" w14:textId="4BAD358C" w:rsidR="00F26A63" w:rsidRPr="001C3EDC" w:rsidRDefault="00F26A63" w:rsidP="00CA5CD0">
      <w:pPr>
        <w:pStyle w:val="BodyText"/>
        <w:tabs>
          <w:tab w:val="left" w:pos="720"/>
        </w:tabs>
        <w:ind w:left="0" w:firstLine="0"/>
        <w:rPr>
          <w:rStyle w:val="normaltextrun1"/>
        </w:rPr>
      </w:pPr>
      <w:r w:rsidRPr="001C3EDC">
        <w:rPr>
          <w:rStyle w:val="normaltextrun1"/>
        </w:rPr>
        <w:t xml:space="preserve">In this analysis, the CGE model is first used to develop the economic baseline (which does not account </w:t>
      </w:r>
      <w:r w:rsidRPr="001C3EDC">
        <w:t>for</w:t>
      </w:r>
      <w:r w:rsidRPr="001C3EDC">
        <w:rPr>
          <w:rStyle w:val="normaltextrun1"/>
        </w:rPr>
        <w:t xml:space="preserve"> climate change and its impacts). Second</w:t>
      </w:r>
      <w:r w:rsidR="00ED0CC2" w:rsidRPr="001C3EDC">
        <w:rPr>
          <w:rStyle w:val="normaltextrun1"/>
        </w:rPr>
        <w:t>,</w:t>
      </w:r>
      <w:r w:rsidRPr="001C3EDC">
        <w:rPr>
          <w:rStyle w:val="normaltextrun1"/>
        </w:rPr>
        <w:t xml:space="preserve"> the baseline scenario is expanded to include climate change impacts as productivity loss in land and water use related to slow</w:t>
      </w:r>
      <w:r w:rsidR="003E4044" w:rsidRPr="001C3EDC">
        <w:rPr>
          <w:rStyle w:val="normaltextrun1"/>
        </w:rPr>
        <w:t xml:space="preserve"> </w:t>
      </w:r>
      <w:r w:rsidRPr="001C3EDC">
        <w:rPr>
          <w:rStyle w:val="normaltextrun1"/>
        </w:rPr>
        <w:t>onset and to rapid</w:t>
      </w:r>
      <w:r w:rsidR="003E4044" w:rsidRPr="001C3EDC">
        <w:rPr>
          <w:rStyle w:val="normaltextrun1"/>
        </w:rPr>
        <w:t xml:space="preserve"> </w:t>
      </w:r>
      <w:r w:rsidRPr="001C3EDC">
        <w:rPr>
          <w:rStyle w:val="normaltextrun1"/>
        </w:rPr>
        <w:t xml:space="preserve">onset extreme events (floods and extreme temperatures). Rather than simulating the impact of individual disaster events, the information on slow onset and rapid onset events </w:t>
      </w:r>
      <w:r w:rsidR="001A62B9" w:rsidRPr="001C3EDC">
        <w:rPr>
          <w:rStyle w:val="normaltextrun1"/>
        </w:rPr>
        <w:t xml:space="preserve">was </w:t>
      </w:r>
      <w:r w:rsidRPr="001C3EDC">
        <w:rPr>
          <w:rStyle w:val="normaltextrun1"/>
        </w:rPr>
        <w:t xml:space="preserve">introduced into the analysis through damage functions from the literature. Finally, adaptation scenarios are developed to analyze cost and effectiveness of actions to reduce the vulnerability of the economy and increase its resilience </w:t>
      </w:r>
      <w:r w:rsidR="001A62B9" w:rsidRPr="001C3EDC">
        <w:rPr>
          <w:rStyle w:val="normaltextrun1"/>
        </w:rPr>
        <w:t xml:space="preserve">to climate change </w:t>
      </w:r>
      <w:r w:rsidRPr="001C3EDC">
        <w:rPr>
          <w:rStyle w:val="normaltextrun1"/>
        </w:rPr>
        <w:t xml:space="preserve">(see </w:t>
      </w:r>
      <w:r w:rsidRPr="001C3EDC">
        <w:rPr>
          <w:rStyle w:val="normaltextrun1"/>
          <w:b/>
          <w:bCs/>
          <w:i/>
          <w:iCs/>
        </w:rPr>
        <w:t>Figure 1</w:t>
      </w:r>
      <w:r w:rsidRPr="001C3EDC">
        <w:rPr>
          <w:rStyle w:val="normaltextrun1"/>
        </w:rPr>
        <w:t>).</w:t>
      </w:r>
    </w:p>
    <w:p w14:paraId="12A566C4" w14:textId="1C1F91E9" w:rsidR="00F26A63" w:rsidRPr="001C3EDC" w:rsidRDefault="00F26A63" w:rsidP="00CA5CD0">
      <w:pPr>
        <w:pStyle w:val="BodyText"/>
        <w:tabs>
          <w:tab w:val="left" w:pos="720"/>
        </w:tabs>
        <w:ind w:left="0" w:firstLine="0"/>
        <w:rPr>
          <w:rStyle w:val="normaltextrun1"/>
        </w:rPr>
      </w:pPr>
      <w:r w:rsidRPr="001C3EDC">
        <w:t>The</w:t>
      </w:r>
      <w:r w:rsidRPr="001C3EDC">
        <w:rPr>
          <w:rStyle w:val="normaltextrun1"/>
        </w:rPr>
        <w:t xml:space="preserve"> simulation results </w:t>
      </w:r>
      <w:r w:rsidR="001A62B9" w:rsidRPr="001C3EDC">
        <w:rPr>
          <w:rStyle w:val="normaltextrun1"/>
        </w:rPr>
        <w:t>include</w:t>
      </w:r>
      <w:r w:rsidRPr="001C3EDC">
        <w:rPr>
          <w:rStyle w:val="normaltextrun1"/>
        </w:rPr>
        <w:t xml:space="preserve"> (changes in the) Bulgarian GDP growth, fiscal and external balances, sectoral value added</w:t>
      </w:r>
      <w:r w:rsidR="003E4044" w:rsidRPr="001C3EDC">
        <w:rPr>
          <w:rStyle w:val="normaltextrun1"/>
        </w:rPr>
        <w:t>,</w:t>
      </w:r>
      <w:r w:rsidRPr="001C3EDC">
        <w:rPr>
          <w:rStyle w:val="normaltextrun1"/>
        </w:rPr>
        <w:t xml:space="preserve"> and employment, therefore providing information on the economic and environmental sustainability of the projected growth trends. The simulations estimate the ripple effect on the overall economy from specific projected climate change impacts, such as drop in crop yields, </w:t>
      </w:r>
      <w:r w:rsidR="001A62B9" w:rsidRPr="001C3EDC">
        <w:rPr>
          <w:rStyle w:val="normaltextrun1"/>
        </w:rPr>
        <w:t>heat extremes</w:t>
      </w:r>
      <w:r w:rsidRPr="001C3EDC">
        <w:rPr>
          <w:rStyle w:val="normaltextrun1"/>
        </w:rPr>
        <w:t xml:space="preserve">, </w:t>
      </w:r>
      <w:r w:rsidR="001A62B9" w:rsidRPr="001C3EDC">
        <w:rPr>
          <w:rStyle w:val="normaltextrun1"/>
        </w:rPr>
        <w:t xml:space="preserve">and </w:t>
      </w:r>
      <w:r w:rsidRPr="001C3EDC">
        <w:rPr>
          <w:rStyle w:val="normaltextrun1"/>
        </w:rPr>
        <w:t xml:space="preserve">more frequent floods as projected within the damage functions for Bulgaria, </w:t>
      </w:r>
      <w:r w:rsidR="00E1419E" w:rsidRPr="001C3EDC">
        <w:rPr>
          <w:rStyle w:val="normaltextrun1"/>
        </w:rPr>
        <w:t>and</w:t>
      </w:r>
      <w:r w:rsidRPr="001C3EDC">
        <w:rPr>
          <w:rStyle w:val="normaltextrun1"/>
        </w:rPr>
        <w:t xml:space="preserve"> the net socioeconomic benefits (</w:t>
      </w:r>
      <w:r w:rsidR="00456C55" w:rsidRPr="001C3EDC">
        <w:rPr>
          <w:rStyle w:val="normaltextrun1"/>
        </w:rPr>
        <w:t>for example,</w:t>
      </w:r>
      <w:r w:rsidRPr="001C3EDC">
        <w:rPr>
          <w:rStyle w:val="normaltextrun1"/>
        </w:rPr>
        <w:t xml:space="preserve"> growth, trade, </w:t>
      </w:r>
      <w:r w:rsidR="00456C55" w:rsidRPr="001C3EDC">
        <w:rPr>
          <w:rStyle w:val="normaltextrun1"/>
        </w:rPr>
        <w:t xml:space="preserve">and </w:t>
      </w:r>
      <w:r w:rsidRPr="001C3EDC">
        <w:rPr>
          <w:rStyle w:val="normaltextrun1"/>
        </w:rPr>
        <w:t xml:space="preserve">poverty) of adaptation measures to these risks. The analysis also looks at the incidence of climate change on poverty at the aggregate level, based on the </w:t>
      </w:r>
      <w:r w:rsidRPr="001C3EDC">
        <w:rPr>
          <w:rStyle w:val="normaltextrun1"/>
        </w:rPr>
        <w:lastRenderedPageBreak/>
        <w:t xml:space="preserve">projected impact on prices for consumer goods (inflation), firms’ demand for labor, and wages (see </w:t>
      </w:r>
      <w:r w:rsidRPr="001C3EDC">
        <w:rPr>
          <w:rStyle w:val="normaltextrun1"/>
          <w:b/>
          <w:bCs/>
          <w:i/>
          <w:iCs/>
        </w:rPr>
        <w:t>Section 3</w:t>
      </w:r>
      <w:r w:rsidRPr="001C3EDC">
        <w:rPr>
          <w:rStyle w:val="normaltextrun1"/>
        </w:rPr>
        <w:t>).</w:t>
      </w:r>
    </w:p>
    <w:p w14:paraId="43C47BA2" w14:textId="31632DCD" w:rsidR="00CA5CD0" w:rsidRPr="001C3EDC" w:rsidRDefault="00052DF3" w:rsidP="00CA5CD0">
      <w:pPr>
        <w:pStyle w:val="BodyText"/>
        <w:tabs>
          <w:tab w:val="left" w:pos="720"/>
        </w:tabs>
        <w:ind w:left="0" w:firstLine="0"/>
      </w:pPr>
      <w:r w:rsidRPr="001C3EDC">
        <w:t xml:space="preserve">Damage </w:t>
      </w:r>
      <w:r w:rsidR="00DC52CD" w:rsidRPr="001C3EDC">
        <w:t xml:space="preserve">functions </w:t>
      </w:r>
      <w:r w:rsidR="009C039D" w:rsidRPr="001C3EDC">
        <w:t>are</w:t>
      </w:r>
      <w:r w:rsidRPr="001C3EDC">
        <w:t xml:space="preserve"> </w:t>
      </w:r>
      <w:r w:rsidR="00DC52CD" w:rsidRPr="001C3EDC">
        <w:t xml:space="preserve">introduced in the CGE model to </w:t>
      </w:r>
      <w:r w:rsidR="002213F2" w:rsidRPr="001C3EDC">
        <w:t>represent</w:t>
      </w:r>
      <w:r w:rsidRPr="001C3EDC">
        <w:t xml:space="preserve"> </w:t>
      </w:r>
      <w:r w:rsidR="002213F2" w:rsidRPr="001C3EDC">
        <w:t xml:space="preserve">how the </w:t>
      </w:r>
      <w:r w:rsidRPr="001C3EDC">
        <w:t>physical impacts</w:t>
      </w:r>
      <w:r w:rsidR="009C039D" w:rsidRPr="001C3EDC">
        <w:t xml:space="preserve"> of climate change</w:t>
      </w:r>
      <w:r w:rsidRPr="001C3EDC">
        <w:t xml:space="preserve"> </w:t>
      </w:r>
      <w:r w:rsidR="002213F2" w:rsidRPr="001C3EDC">
        <w:t>influence the economic activity. D</w:t>
      </w:r>
      <w:r w:rsidRPr="001C3EDC">
        <w:t>amage functions are one or more relationships between climate variables (typically</w:t>
      </w:r>
      <w:r w:rsidR="002213F2" w:rsidRPr="001C3EDC">
        <w:t>,</w:t>
      </w:r>
      <w:r w:rsidRPr="001C3EDC">
        <w:t xml:space="preserve"> average temperature, but sometimes also humidity or heating </w:t>
      </w:r>
      <w:r w:rsidR="00AC5A64" w:rsidRPr="001C3EDC">
        <w:t xml:space="preserve">degree </w:t>
      </w:r>
      <w:r w:rsidRPr="001C3EDC">
        <w:t xml:space="preserve">days) and economic variables (potential income, productivity, resource endowments, </w:t>
      </w:r>
      <w:r w:rsidR="00456C55" w:rsidRPr="001C3EDC">
        <w:t>and so on</w:t>
      </w:r>
      <w:r w:rsidRPr="001C3EDC">
        <w:t>)</w:t>
      </w:r>
      <w:r w:rsidR="002213F2" w:rsidRPr="001C3EDC">
        <w:t xml:space="preserve">. These functions are calibrated for Bulgaria against the findings </w:t>
      </w:r>
      <w:r w:rsidR="002213F2" w:rsidRPr="001C3EDC">
        <w:rPr>
          <w:rStyle w:val="normaltextrun1"/>
        </w:rPr>
        <w:t xml:space="preserve">from the most recent literature (see </w:t>
      </w:r>
      <w:r w:rsidR="005A056E" w:rsidRPr="001C3EDC">
        <w:rPr>
          <w:b/>
          <w:bCs/>
          <w:i/>
          <w:iCs/>
        </w:rPr>
        <w:t>Section 2.5</w:t>
      </w:r>
      <w:r w:rsidR="002213F2" w:rsidRPr="001C3EDC">
        <w:t>)</w:t>
      </w:r>
      <w:r w:rsidR="005A056E" w:rsidRPr="001C3EDC">
        <w:t>.</w:t>
      </w:r>
    </w:p>
    <w:p w14:paraId="7109C384" w14:textId="28BA9016" w:rsidR="000355E0" w:rsidRPr="001C3EDC" w:rsidRDefault="000355E0" w:rsidP="00B80C8B">
      <w:pPr>
        <w:pStyle w:val="Caption"/>
        <w:spacing w:before="200"/>
        <w:rPr>
          <w:rFonts w:ascii="Calibri" w:hAnsi="Calibri"/>
          <w:i/>
          <w:color w:val="44546A"/>
          <w:sz w:val="22"/>
          <w:szCs w:val="18"/>
        </w:rPr>
      </w:pPr>
      <w:bookmarkStart w:id="12" w:name="_Toc522036472"/>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1</w:t>
      </w:r>
      <w:r w:rsidR="001B7905" w:rsidRPr="001C3EDC">
        <w:rPr>
          <w:rFonts w:ascii="Calibri" w:hAnsi="Calibri"/>
          <w:i/>
          <w:color w:val="44546A"/>
          <w:sz w:val="22"/>
          <w:szCs w:val="18"/>
        </w:rPr>
        <w:fldChar w:fldCharType="end"/>
      </w:r>
      <w:r w:rsidRPr="001C3EDC">
        <w:rPr>
          <w:rFonts w:ascii="Calibri" w:hAnsi="Calibri"/>
          <w:i/>
          <w:color w:val="44546A"/>
          <w:sz w:val="22"/>
          <w:szCs w:val="18"/>
        </w:rPr>
        <w:t>. Structure of the CGE analysis</w:t>
      </w:r>
      <w:bookmarkEnd w:id="12"/>
    </w:p>
    <w:p w14:paraId="55DA3210" w14:textId="027F500A" w:rsidR="00E75071" w:rsidRPr="001C3EDC" w:rsidRDefault="00536E28" w:rsidP="00536E28">
      <w:pPr>
        <w:spacing w:after="200" w:line="276" w:lineRule="auto"/>
        <w:jc w:val="center"/>
      </w:pPr>
      <w:r w:rsidRPr="001C3EDC">
        <w:rPr>
          <w:noProof/>
        </w:rPr>
        <w:drawing>
          <wp:inline distT="0" distB="0" distL="0" distR="0" wp14:anchorId="6EEF02EF" wp14:editId="4C4D61BD">
            <wp:extent cx="5689600" cy="2602778"/>
            <wp:effectExtent l="0" t="0" r="6350" b="762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2746" t="365"/>
                    <a:stretch/>
                  </pic:blipFill>
                  <pic:spPr bwMode="auto">
                    <a:xfrm>
                      <a:off x="0" y="0"/>
                      <a:ext cx="5716384" cy="2615031"/>
                    </a:xfrm>
                    <a:prstGeom prst="rect">
                      <a:avLst/>
                    </a:prstGeom>
                    <a:noFill/>
                    <a:ln>
                      <a:noFill/>
                    </a:ln>
                    <a:extLst>
                      <a:ext uri="{53640926-AAD7-44D8-BBD7-CCE9431645EC}">
                        <a14:shadowObscured xmlns:a14="http://schemas.microsoft.com/office/drawing/2010/main"/>
                      </a:ext>
                    </a:extLst>
                  </pic:spPr>
                </pic:pic>
              </a:graphicData>
            </a:graphic>
          </wp:inline>
        </w:drawing>
      </w:r>
    </w:p>
    <w:p w14:paraId="1571C556" w14:textId="3EBC7B4C" w:rsidR="005E3F1F" w:rsidRPr="001C3EDC" w:rsidRDefault="000355E0" w:rsidP="00CA5CD0">
      <w:pPr>
        <w:pStyle w:val="BodyText"/>
        <w:tabs>
          <w:tab w:val="left" w:pos="720"/>
        </w:tabs>
        <w:spacing w:before="120"/>
        <w:ind w:left="0" w:firstLine="0"/>
      </w:pPr>
      <w:r w:rsidRPr="001C3EDC">
        <w:t xml:space="preserve">The model </w:t>
      </w:r>
      <w:r w:rsidR="004A3BC5" w:rsidRPr="001C3EDC">
        <w:t>was</w:t>
      </w:r>
      <w:r w:rsidRPr="001C3EDC">
        <w:t xml:space="preserve"> first developed in a static version to represent </w:t>
      </w:r>
      <w:r w:rsidR="00E84FAD" w:rsidRPr="001C3EDC">
        <w:t>the economic</w:t>
      </w:r>
      <w:r w:rsidRPr="001C3EDC">
        <w:t xml:space="preserve"> conditions in Bulgaria in 2011. It was then updated to reflect the current </w:t>
      </w:r>
      <w:r w:rsidR="000B270D" w:rsidRPr="001C3EDC">
        <w:t xml:space="preserve">economic </w:t>
      </w:r>
      <w:r w:rsidRPr="001C3EDC">
        <w:t xml:space="preserve">conditions in Bulgaria in 2015 and used as a basis </w:t>
      </w:r>
      <w:r w:rsidR="004A3BC5" w:rsidRPr="001C3EDC">
        <w:t xml:space="preserve">for </w:t>
      </w:r>
      <w:r w:rsidRPr="001C3EDC">
        <w:t xml:space="preserve">the dynamic model. In the static version of the model, investment is </w:t>
      </w:r>
      <w:r w:rsidR="000B270D" w:rsidRPr="001C3EDC">
        <w:t xml:space="preserve">fixed (based on actual, observed investment) and its level is found in </w:t>
      </w:r>
      <w:r w:rsidRPr="001C3EDC">
        <w:t>the model database</w:t>
      </w:r>
      <w:r w:rsidR="009252CE" w:rsidRPr="001C3EDC">
        <w:t xml:space="preserve">. </w:t>
      </w:r>
      <w:r w:rsidR="000B270D" w:rsidRPr="001C3EDC">
        <w:t xml:space="preserve">As a result, </w:t>
      </w:r>
      <w:r w:rsidRPr="001C3EDC">
        <w:t>there is no capital accumulation</w:t>
      </w:r>
      <w:r w:rsidR="00F74ADB" w:rsidRPr="001C3EDC">
        <w:t xml:space="preserve"> in the pure static model</w:t>
      </w:r>
      <w:r w:rsidR="00835EC7" w:rsidRPr="001C3EDC">
        <w:t>:</w:t>
      </w:r>
      <w:r w:rsidRPr="001C3EDC">
        <w:t xml:space="preserve"> all goods/services produced in each year are consumed the same year</w:t>
      </w:r>
      <w:r w:rsidR="005E3F1F" w:rsidRPr="001C3EDC">
        <w:t xml:space="preserve"> (including to acquire investment goods)</w:t>
      </w:r>
      <w:r w:rsidR="000B270D" w:rsidRPr="001C3EDC">
        <w:t xml:space="preserve"> and </w:t>
      </w:r>
      <w:r w:rsidR="00996A66" w:rsidRPr="001C3EDC">
        <w:t>there are no</w:t>
      </w:r>
      <w:r w:rsidR="004A3BC5" w:rsidRPr="001C3EDC">
        <w:t xml:space="preserve"> financial</w:t>
      </w:r>
      <w:r w:rsidR="00996A66" w:rsidRPr="001C3EDC">
        <w:t xml:space="preserve"> </w:t>
      </w:r>
      <w:r w:rsidR="004A3BC5" w:rsidRPr="001C3EDC">
        <w:t xml:space="preserve">resources saved </w:t>
      </w:r>
      <w:r w:rsidR="00996A66" w:rsidRPr="001C3EDC">
        <w:t>for the next time period</w:t>
      </w:r>
      <w:r w:rsidRPr="001C3EDC">
        <w:t>.</w:t>
      </w:r>
      <w:r w:rsidR="000B270D" w:rsidRPr="001C3EDC">
        <w:t xml:space="preserve"> </w:t>
      </w:r>
      <w:r w:rsidR="00F74ADB" w:rsidRPr="001C3EDC">
        <w:t xml:space="preserve">However, capital accumulation </w:t>
      </w:r>
      <w:r w:rsidR="00AC5A64" w:rsidRPr="001C3EDC">
        <w:t>tak</w:t>
      </w:r>
      <w:r w:rsidR="00604C9E" w:rsidRPr="001C3EDC">
        <w:t>es</w:t>
      </w:r>
      <w:r w:rsidR="00AC5A64" w:rsidRPr="001C3EDC">
        <w:t xml:space="preserve"> place </w:t>
      </w:r>
      <w:r w:rsidR="00F74ADB" w:rsidRPr="001C3EDC">
        <w:t xml:space="preserve">in </w:t>
      </w:r>
      <w:r w:rsidR="00AC5A64" w:rsidRPr="001C3EDC">
        <w:t>the</w:t>
      </w:r>
      <w:r w:rsidR="00F74ADB" w:rsidRPr="001C3EDC">
        <w:t xml:space="preserve"> recursive dynamic approach. </w:t>
      </w:r>
      <w:r w:rsidR="00BF3BD9" w:rsidRPr="001C3EDC">
        <w:t>In 2011</w:t>
      </w:r>
      <w:r w:rsidR="00E874FC" w:rsidRPr="001C3EDC">
        <w:t>–</w:t>
      </w:r>
      <w:r w:rsidR="00BF3BD9" w:rsidRPr="001C3EDC">
        <w:t>2015, the capital accumulation follow</w:t>
      </w:r>
      <w:r w:rsidR="00604C9E" w:rsidRPr="001C3EDC">
        <w:t>ed</w:t>
      </w:r>
      <w:r w:rsidR="00BF3BD9" w:rsidRPr="001C3EDC">
        <w:t xml:space="preserve"> the </w:t>
      </w:r>
      <w:r w:rsidR="00AC5A64" w:rsidRPr="001C3EDC">
        <w:t>observed trends, based on official</w:t>
      </w:r>
      <w:r w:rsidR="00BF3BD9" w:rsidRPr="001C3EDC">
        <w:t xml:space="preserve"> statistics. </w:t>
      </w:r>
      <w:r w:rsidR="00996A66" w:rsidRPr="001C3EDC">
        <w:t xml:space="preserve">For the development of the economic baseline to </w:t>
      </w:r>
      <w:r w:rsidR="008E346E" w:rsidRPr="001C3EDC">
        <w:t>2050, the</w:t>
      </w:r>
      <w:r w:rsidR="00996A66" w:rsidRPr="001C3EDC">
        <w:t xml:space="preserve"> </w:t>
      </w:r>
      <w:r w:rsidRPr="001C3EDC">
        <w:t xml:space="preserve">static model </w:t>
      </w:r>
      <w:r w:rsidR="00996A66" w:rsidRPr="001C3EDC">
        <w:t xml:space="preserve">was </w:t>
      </w:r>
      <w:r w:rsidR="004A3BC5" w:rsidRPr="001C3EDC">
        <w:t>r</w:t>
      </w:r>
      <w:r w:rsidR="002C59F3" w:rsidRPr="001C3EDC">
        <w:t>u</w:t>
      </w:r>
      <w:r w:rsidR="004A3BC5" w:rsidRPr="001C3EDC">
        <w:t xml:space="preserve">n </w:t>
      </w:r>
      <w:r w:rsidR="00F74ADB" w:rsidRPr="001C3EDC">
        <w:t xml:space="preserve">35 </w:t>
      </w:r>
      <w:r w:rsidR="00597BC8" w:rsidRPr="001C3EDC">
        <w:t xml:space="preserve">consecutive </w:t>
      </w:r>
      <w:r w:rsidR="004A3BC5" w:rsidRPr="001C3EDC">
        <w:t xml:space="preserve">times to reach a cumulative capital accumulation </w:t>
      </w:r>
      <w:r w:rsidR="001A62B9" w:rsidRPr="001C3EDC">
        <w:t xml:space="preserve">over </w:t>
      </w:r>
      <w:r w:rsidR="00F74ADB" w:rsidRPr="001C3EDC">
        <w:t>2015</w:t>
      </w:r>
      <w:r w:rsidR="00604C9E" w:rsidRPr="001C3EDC">
        <w:t>–</w:t>
      </w:r>
      <w:r w:rsidR="004A3BC5" w:rsidRPr="001C3EDC">
        <w:t xml:space="preserve">2050 in line with </w:t>
      </w:r>
      <w:r w:rsidR="00996A66" w:rsidRPr="001C3EDC">
        <w:t xml:space="preserve">the </w:t>
      </w:r>
      <w:r w:rsidR="00AC5A64" w:rsidRPr="001C3EDC">
        <w:t xml:space="preserve">macroeconomic </w:t>
      </w:r>
      <w:r w:rsidR="00BF3BD9" w:rsidRPr="001C3EDC">
        <w:t>forecast</w:t>
      </w:r>
      <w:r w:rsidR="00AC5A64" w:rsidRPr="001C3EDC">
        <w:t xml:space="preserve">s </w:t>
      </w:r>
      <w:r w:rsidR="00BF3BD9" w:rsidRPr="001C3EDC">
        <w:t xml:space="preserve">by the </w:t>
      </w:r>
      <w:r w:rsidR="001B7905" w:rsidRPr="001C3EDC">
        <w:t>International Monetary Fund (</w:t>
      </w:r>
      <w:r w:rsidR="00BF3BD9" w:rsidRPr="001C3EDC">
        <w:t>IMF</w:t>
      </w:r>
      <w:r w:rsidR="001B7905" w:rsidRPr="001C3EDC">
        <w:t>)</w:t>
      </w:r>
      <w:r w:rsidR="00BF3BD9" w:rsidRPr="001C3EDC">
        <w:t xml:space="preserve"> or </w:t>
      </w:r>
      <w:r w:rsidR="00966EA9" w:rsidRPr="001C3EDC">
        <w:t>OECD (2015)</w:t>
      </w:r>
      <w:r w:rsidRPr="001C3EDC">
        <w:t>.</w:t>
      </w:r>
    </w:p>
    <w:p w14:paraId="1066D3E8" w14:textId="71E7361A" w:rsidR="001C2600" w:rsidRPr="001C3EDC" w:rsidRDefault="001C2600" w:rsidP="00CA5CD0">
      <w:pPr>
        <w:pStyle w:val="BodyText"/>
        <w:tabs>
          <w:tab w:val="left" w:pos="720"/>
        </w:tabs>
        <w:ind w:left="0" w:firstLine="0"/>
      </w:pPr>
      <w:r w:rsidRPr="001C3EDC">
        <w:t>Damages from climate change have been model</w:t>
      </w:r>
      <w:r w:rsidR="000A15C9" w:rsidRPr="001C3EDC">
        <w:t>l</w:t>
      </w:r>
      <w:r w:rsidRPr="001C3EDC">
        <w:t xml:space="preserve">ed </w:t>
      </w:r>
      <w:r w:rsidR="00604C9E" w:rsidRPr="001C3EDC">
        <w:t>through</w:t>
      </w:r>
      <w:r w:rsidR="00AC5A64" w:rsidRPr="001C3EDC">
        <w:t xml:space="preserve"> damage functions, </w:t>
      </w:r>
      <w:r w:rsidRPr="001C3EDC">
        <w:t xml:space="preserve">as reductions in productivity in specific sectors, </w:t>
      </w:r>
      <w:r w:rsidR="00AF75B3" w:rsidRPr="001C3EDC">
        <w:t xml:space="preserve">occurring in the year 2050, </w:t>
      </w:r>
      <w:r w:rsidRPr="001C3EDC">
        <w:t>based on OECD (2015).</w:t>
      </w:r>
      <w:r w:rsidR="00CB62AC" w:rsidRPr="001C3EDC">
        <w:t xml:space="preserve"> </w:t>
      </w:r>
      <w:r w:rsidR="009C1397" w:rsidRPr="001C3EDC">
        <w:t xml:space="preserve">This is a standard </w:t>
      </w:r>
      <w:r w:rsidR="00AC5A64" w:rsidRPr="001C3EDC">
        <w:t>approach, which</w:t>
      </w:r>
      <w:r w:rsidR="009C1397" w:rsidRPr="001C3EDC">
        <w:t xml:space="preserve"> capture</w:t>
      </w:r>
      <w:r w:rsidR="00AC5A64" w:rsidRPr="001C3EDC">
        <w:t>s</w:t>
      </w:r>
      <w:r w:rsidR="009C1397" w:rsidRPr="001C3EDC">
        <w:t xml:space="preserve"> tangible reductions to productive capacity, arising from climate change effects such as reduction in yield, </w:t>
      </w:r>
      <w:r w:rsidR="001A62B9" w:rsidRPr="001C3EDC">
        <w:t>less healthy</w:t>
      </w:r>
      <w:r w:rsidR="009C1397" w:rsidRPr="001C3EDC">
        <w:t xml:space="preserve">/reduced workforce, </w:t>
      </w:r>
      <w:r w:rsidR="00995618" w:rsidRPr="001C3EDC">
        <w:t xml:space="preserve">and </w:t>
      </w:r>
      <w:r w:rsidR="009C1397" w:rsidRPr="001C3EDC">
        <w:t>damages to land/</w:t>
      </w:r>
      <w:r w:rsidR="009252CE" w:rsidRPr="001C3EDC">
        <w:t>capital/natural resources.</w:t>
      </w:r>
    </w:p>
    <w:p w14:paraId="0EE9847C" w14:textId="6380BE9B" w:rsidR="00996A66" w:rsidRPr="001C3EDC" w:rsidRDefault="005E3F1F" w:rsidP="00CA5CD0">
      <w:pPr>
        <w:pStyle w:val="BodyText"/>
        <w:tabs>
          <w:tab w:val="left" w:pos="720"/>
        </w:tabs>
        <w:ind w:left="0" w:firstLine="0"/>
      </w:pPr>
      <w:r w:rsidRPr="001C3EDC">
        <w:t xml:space="preserve">Policy and investment interventions for climate change adaptation are analyzed as exogenous shocks to the model’s economic baseline to 2050. These interventions result in </w:t>
      </w:r>
      <w:r w:rsidRPr="001C3EDC">
        <w:lastRenderedPageBreak/>
        <w:t>changes in the allocative efficiency of the available resources (</w:t>
      </w:r>
      <w:r w:rsidR="00905AD9" w:rsidRPr="001C3EDC">
        <w:t>l</w:t>
      </w:r>
      <w:r w:rsidRPr="001C3EDC">
        <w:t xml:space="preserve">abor, </w:t>
      </w:r>
      <w:r w:rsidR="00905AD9" w:rsidRPr="001C3EDC">
        <w:t>c</w:t>
      </w:r>
      <w:r w:rsidRPr="001C3EDC">
        <w:t xml:space="preserve">apital, </w:t>
      </w:r>
      <w:r w:rsidR="00905AD9" w:rsidRPr="001C3EDC">
        <w:t>and n</w:t>
      </w:r>
      <w:r w:rsidRPr="001C3EDC">
        <w:t xml:space="preserve">atural </w:t>
      </w:r>
      <w:r w:rsidR="00905AD9" w:rsidRPr="001C3EDC">
        <w:t>r</w:t>
      </w:r>
      <w:r w:rsidRPr="001C3EDC">
        <w:t>esources) that lead to welfare gains or losses</w:t>
      </w:r>
      <w:r w:rsidR="00B05786" w:rsidRPr="001C3EDC">
        <w:t>,</w:t>
      </w:r>
      <w:r w:rsidRPr="001C3EDC">
        <w:t xml:space="preserve"> which are also estimated by the model.</w:t>
      </w:r>
    </w:p>
    <w:p w14:paraId="0C75AD22" w14:textId="51D19978" w:rsidR="00714B99" w:rsidRPr="001C3EDC" w:rsidRDefault="001D310E" w:rsidP="00CA5CD0">
      <w:pPr>
        <w:pStyle w:val="BodyText"/>
        <w:tabs>
          <w:tab w:val="left" w:pos="720"/>
        </w:tabs>
        <w:ind w:left="0" w:firstLine="0"/>
      </w:pPr>
      <w:r w:rsidRPr="001C3EDC">
        <w:t>It is equally important to highlight that, given the static structure of the model, t</w:t>
      </w:r>
      <w:r w:rsidR="000355E0" w:rsidRPr="001C3EDC">
        <w:t xml:space="preserve">he cost of adaptation to climate change </w:t>
      </w:r>
      <w:r w:rsidR="001A62B9" w:rsidRPr="001C3EDC">
        <w:t xml:space="preserve">is </w:t>
      </w:r>
      <w:r w:rsidRPr="001C3EDC">
        <w:t>also</w:t>
      </w:r>
      <w:r w:rsidR="000355E0" w:rsidRPr="001C3EDC">
        <w:t xml:space="preserve"> estimated within a static framework</w:t>
      </w:r>
      <w:r w:rsidR="005E3F1F" w:rsidRPr="001C3EDC">
        <w:t>,</w:t>
      </w:r>
      <w:r w:rsidR="000355E0" w:rsidRPr="001C3EDC">
        <w:t xml:space="preserve"> where consumers and firms </w:t>
      </w:r>
      <w:r w:rsidR="005E3F1F" w:rsidRPr="001C3EDC">
        <w:t xml:space="preserve">(and </w:t>
      </w:r>
      <w:r w:rsidR="00C450CD" w:rsidRPr="001C3EDC">
        <w:t xml:space="preserve">the </w:t>
      </w:r>
      <w:r w:rsidR="004E44F3" w:rsidRPr="001C3EDC">
        <w:t>g</w:t>
      </w:r>
      <w:r w:rsidR="00C450CD" w:rsidRPr="001C3EDC">
        <w:t>overnment</w:t>
      </w:r>
      <w:r w:rsidR="005E3F1F" w:rsidRPr="001C3EDC">
        <w:t xml:space="preserve">) </w:t>
      </w:r>
      <w:r w:rsidR="000355E0" w:rsidRPr="001C3EDC">
        <w:t xml:space="preserve">do not have full information about </w:t>
      </w:r>
      <w:r w:rsidR="005E3F1F" w:rsidRPr="001C3EDC">
        <w:t xml:space="preserve">future </w:t>
      </w:r>
      <w:r w:rsidR="000355E0" w:rsidRPr="001C3EDC">
        <w:t>climate change impact</w:t>
      </w:r>
      <w:r w:rsidR="005E3F1F" w:rsidRPr="001C3EDC">
        <w:t>s</w:t>
      </w:r>
      <w:r w:rsidR="000355E0" w:rsidRPr="001C3EDC">
        <w:t xml:space="preserve">, </w:t>
      </w:r>
      <w:r w:rsidR="005E3F1F" w:rsidRPr="001C3EDC">
        <w:t>without any</w:t>
      </w:r>
      <w:r w:rsidR="000355E0" w:rsidRPr="001C3EDC">
        <w:t xml:space="preserve"> possibility to adapt endogenously</w:t>
      </w:r>
      <w:r w:rsidRPr="001C3EDC">
        <w:t xml:space="preserve"> to maintain their economic welfare</w:t>
      </w:r>
      <w:r w:rsidR="004B5957" w:rsidRPr="001C3EDC">
        <w:t xml:space="preserve"> in the years to come</w:t>
      </w:r>
      <w:r w:rsidR="009252CE" w:rsidRPr="001C3EDC">
        <w:t>.</w:t>
      </w:r>
      <w:r w:rsidR="005E3F1F" w:rsidRPr="001C3EDC">
        <w:t xml:space="preserve"> </w:t>
      </w:r>
      <w:r w:rsidR="000355E0" w:rsidRPr="001C3EDC">
        <w:t xml:space="preserve">The adaptation </w:t>
      </w:r>
      <w:r w:rsidR="000579D0" w:rsidRPr="001C3EDC">
        <w:t>interventions</w:t>
      </w:r>
      <w:r w:rsidR="000355E0" w:rsidRPr="001C3EDC">
        <w:t xml:space="preserve"> are therefore modelled as exogenous interventions </w:t>
      </w:r>
      <w:r w:rsidR="001C3E4A" w:rsidRPr="001C3EDC">
        <w:t xml:space="preserve">(shocks to the baseline parameters of the model structure in </w:t>
      </w:r>
      <w:r w:rsidR="00A157BF" w:rsidRPr="001C3EDC">
        <w:t>2050</w:t>
      </w:r>
      <w:r w:rsidR="001C3E4A" w:rsidRPr="001C3EDC">
        <w:t>)</w:t>
      </w:r>
      <w:r w:rsidR="005E3F1F" w:rsidRPr="001C3EDC">
        <w:t>,</w:t>
      </w:r>
      <w:r w:rsidR="001C3E4A" w:rsidRPr="001C3EDC">
        <w:t xml:space="preserve"> </w:t>
      </w:r>
      <w:r w:rsidR="000355E0" w:rsidRPr="001C3EDC">
        <w:t xml:space="preserve">such as fiscal revenue collection to </w:t>
      </w:r>
      <w:r w:rsidR="00C450CD" w:rsidRPr="001C3EDC">
        <w:t xml:space="preserve">finance </w:t>
      </w:r>
      <w:r w:rsidR="00714B99" w:rsidRPr="001C3EDC">
        <w:t>public</w:t>
      </w:r>
      <w:r w:rsidR="000579D0" w:rsidRPr="001C3EDC">
        <w:t xml:space="preserve"> and private</w:t>
      </w:r>
      <w:r w:rsidR="00714B99" w:rsidRPr="001C3EDC">
        <w:t xml:space="preserve"> </w:t>
      </w:r>
      <w:r w:rsidR="000355E0" w:rsidRPr="001C3EDC">
        <w:t>investments for adaptation.</w:t>
      </w:r>
      <w:r w:rsidR="00CB62AC" w:rsidRPr="001C3EDC">
        <w:t xml:space="preserve"> </w:t>
      </w:r>
      <w:r w:rsidR="001C3E4A" w:rsidRPr="001C3EDC">
        <w:t>In the absence of endogenous adaptation options for consumers and producers</w:t>
      </w:r>
      <w:r w:rsidR="00714B99" w:rsidRPr="001C3EDC">
        <w:t xml:space="preserve"> in this static model framework</w:t>
      </w:r>
      <w:r w:rsidR="001C3E4A" w:rsidRPr="001C3EDC">
        <w:t xml:space="preserve">, </w:t>
      </w:r>
      <w:r w:rsidR="000355E0" w:rsidRPr="001C3EDC">
        <w:t>the financial needs for adaptation</w:t>
      </w:r>
      <w:r w:rsidR="00714B99" w:rsidRPr="001C3EDC">
        <w:t xml:space="preserve"> could have</w:t>
      </w:r>
      <w:r w:rsidR="005E3F1F" w:rsidRPr="001C3EDC">
        <w:t xml:space="preserve"> thus</w:t>
      </w:r>
      <w:r w:rsidR="00714B99" w:rsidRPr="001C3EDC">
        <w:t xml:space="preserve"> been overestimated.</w:t>
      </w:r>
      <w:r w:rsidR="009252CE" w:rsidRPr="001C3EDC">
        <w:t xml:space="preserve"> </w:t>
      </w:r>
      <w:r w:rsidR="00714B99" w:rsidRPr="001C3EDC">
        <w:t>Therefore</w:t>
      </w:r>
      <w:r w:rsidR="000355E0" w:rsidRPr="001C3EDC">
        <w:t xml:space="preserve">, </w:t>
      </w:r>
      <w:r w:rsidR="00714B99" w:rsidRPr="001C3EDC">
        <w:t xml:space="preserve">in the development of the </w:t>
      </w:r>
      <w:r w:rsidR="000355E0" w:rsidRPr="001C3EDC">
        <w:t>dynamic baseline</w:t>
      </w:r>
      <w:r w:rsidR="00714B99" w:rsidRPr="001C3EDC">
        <w:t xml:space="preserve">, the model was forced to </w:t>
      </w:r>
      <w:r w:rsidR="005E3F1F" w:rsidRPr="001C3EDC">
        <w:t xml:space="preserve">replicate </w:t>
      </w:r>
      <w:r w:rsidR="000355E0" w:rsidRPr="001C3EDC">
        <w:t xml:space="preserve">a growth trend for Bulgaria from </w:t>
      </w:r>
      <w:r w:rsidR="00714B99" w:rsidRPr="001C3EDC">
        <w:t xml:space="preserve">a dynamic modelling analysis </w:t>
      </w:r>
      <w:r w:rsidR="005E3F1F" w:rsidRPr="001C3EDC">
        <w:t xml:space="preserve">by </w:t>
      </w:r>
      <w:r w:rsidR="00714B99" w:rsidRPr="001C3EDC">
        <w:t xml:space="preserve">the </w:t>
      </w:r>
      <w:r w:rsidR="000355E0" w:rsidRPr="001C3EDC">
        <w:t xml:space="preserve">OECD </w:t>
      </w:r>
      <w:r w:rsidR="00714B99" w:rsidRPr="001C3EDC">
        <w:t>(</w:t>
      </w:r>
      <w:r w:rsidR="000355E0" w:rsidRPr="001C3EDC">
        <w:t>2015)</w:t>
      </w:r>
      <w:r w:rsidR="00714B99" w:rsidRPr="001C3EDC">
        <w:t>.</w:t>
      </w:r>
      <w:r w:rsidR="005E3F1F" w:rsidRPr="001C3EDC">
        <w:t xml:space="preserve"> </w:t>
      </w:r>
      <w:r w:rsidR="00714B99" w:rsidRPr="001C3EDC">
        <w:t>In this manner,</w:t>
      </w:r>
      <w:r w:rsidR="000355E0" w:rsidRPr="001C3EDC">
        <w:t xml:space="preserve"> </w:t>
      </w:r>
      <w:r w:rsidR="00714B99" w:rsidRPr="001C3EDC">
        <w:t xml:space="preserve">behavioral changes for </w:t>
      </w:r>
      <w:r w:rsidR="000355E0" w:rsidRPr="001C3EDC">
        <w:t xml:space="preserve">consumers and firms </w:t>
      </w:r>
      <w:r w:rsidR="00714B99" w:rsidRPr="001C3EDC">
        <w:t>by changing</w:t>
      </w:r>
      <w:r w:rsidR="000355E0" w:rsidRPr="001C3EDC">
        <w:t xml:space="preserve"> their </w:t>
      </w:r>
      <w:r w:rsidR="00714B99" w:rsidRPr="001C3EDC">
        <w:t xml:space="preserve">consumption and production activities in </w:t>
      </w:r>
      <w:r w:rsidR="000355E0" w:rsidRPr="001C3EDC">
        <w:t>anticipat</w:t>
      </w:r>
      <w:r w:rsidR="00714B99" w:rsidRPr="001C3EDC">
        <w:t xml:space="preserve">ion of the </w:t>
      </w:r>
      <w:r w:rsidR="000355E0" w:rsidRPr="001C3EDC">
        <w:t xml:space="preserve">climate change </w:t>
      </w:r>
      <w:r w:rsidR="00E84FAD" w:rsidRPr="001C3EDC">
        <w:t>impacts</w:t>
      </w:r>
      <w:r w:rsidR="00714B99" w:rsidRPr="001C3EDC">
        <w:t xml:space="preserve"> w</w:t>
      </w:r>
      <w:r w:rsidR="000579D0" w:rsidRPr="001C3EDC">
        <w:t xml:space="preserve">ere imposed </w:t>
      </w:r>
      <w:r w:rsidR="00714B99" w:rsidRPr="001C3EDC">
        <w:t>to the Bulgaria CGE model</w:t>
      </w:r>
      <w:r w:rsidR="00E84FAD" w:rsidRPr="001C3EDC">
        <w:t>.</w:t>
      </w:r>
      <w:r w:rsidR="00C450CD" w:rsidRPr="001C3EDC">
        <w:t xml:space="preserve"> The Bulgarian consumer is therefore not myopic in its consumption behavior. </w:t>
      </w:r>
    </w:p>
    <w:p w14:paraId="27605A3D" w14:textId="09EDD452" w:rsidR="00827A74" w:rsidRPr="001C3EDC" w:rsidRDefault="005E4694" w:rsidP="00D27A27">
      <w:pPr>
        <w:pStyle w:val="Heading2"/>
        <w:spacing w:after="60"/>
      </w:pPr>
      <w:bookmarkStart w:id="13" w:name="_Toc505600276"/>
      <w:bookmarkStart w:id="14" w:name="_Toc510004086"/>
      <w:bookmarkStart w:id="15" w:name="_Toc522036454"/>
      <w:r w:rsidRPr="001C3EDC">
        <w:rPr>
          <w:bCs/>
        </w:rPr>
        <w:t xml:space="preserve">2.1. </w:t>
      </w:r>
      <w:r w:rsidRPr="001C3EDC">
        <w:rPr>
          <w:bCs/>
        </w:rPr>
        <w:tab/>
      </w:r>
      <w:r w:rsidR="00595ED4" w:rsidRPr="001C3EDC">
        <w:t xml:space="preserve">Description of the </w:t>
      </w:r>
      <w:r w:rsidR="00504119" w:rsidRPr="001C3EDC">
        <w:t xml:space="preserve">economic </w:t>
      </w:r>
      <w:r w:rsidR="00827A74" w:rsidRPr="001C3EDC">
        <w:t>model structure</w:t>
      </w:r>
      <w:bookmarkEnd w:id="13"/>
      <w:bookmarkEnd w:id="14"/>
      <w:bookmarkEnd w:id="15"/>
    </w:p>
    <w:p w14:paraId="602DAEC7" w14:textId="5BB3670F" w:rsidR="00BD3F14" w:rsidRPr="001C3EDC" w:rsidRDefault="0001140C" w:rsidP="00CA5CD0">
      <w:pPr>
        <w:pStyle w:val="BodyText"/>
        <w:tabs>
          <w:tab w:val="left" w:pos="720"/>
        </w:tabs>
        <w:ind w:left="0" w:firstLine="0"/>
      </w:pPr>
      <w:r w:rsidRPr="001C3EDC">
        <w:t>T</w:t>
      </w:r>
      <w:r w:rsidR="00DF311D" w:rsidRPr="001C3EDC">
        <w:t xml:space="preserve">o capture the complex links between physical and socioeconomic variables, the standard GTAP model for Bulgaria was expanded into an integrated analytical platform by adding land, forest, and water resources and their uses at </w:t>
      </w:r>
      <w:r w:rsidR="00097F57" w:rsidRPr="001C3EDC">
        <w:t>sub regional</w:t>
      </w:r>
      <w:r w:rsidR="00DF311D" w:rsidRPr="001C3EDC">
        <w:t xml:space="preserve"> level (</w:t>
      </w:r>
      <w:r w:rsidR="00941F90" w:rsidRPr="001C3EDC">
        <w:t>that is</w:t>
      </w:r>
      <w:r w:rsidR="00DF311D" w:rsidRPr="001C3EDC">
        <w:t xml:space="preserve">, Agro-Ecological Zones </w:t>
      </w:r>
      <w:r w:rsidR="00941F90" w:rsidRPr="001C3EDC">
        <w:t>[</w:t>
      </w:r>
      <w:r w:rsidR="00DF311D" w:rsidRPr="001C3EDC">
        <w:t>AEZs</w:t>
      </w:r>
      <w:r w:rsidR="00941F90" w:rsidRPr="001C3EDC">
        <w:t>]</w:t>
      </w:r>
      <w:r w:rsidR="00DF311D" w:rsidRPr="001C3EDC">
        <w:t xml:space="preserve"> and River Basins </w:t>
      </w:r>
      <w:r w:rsidR="00941F90" w:rsidRPr="001C3EDC">
        <w:t>[</w:t>
      </w:r>
      <w:r w:rsidR="00DF311D" w:rsidRPr="001C3EDC">
        <w:t>RBs</w:t>
      </w:r>
      <w:r w:rsidR="00941F90" w:rsidRPr="001C3EDC">
        <w:t>]</w:t>
      </w:r>
      <w:r w:rsidR="00DF311D" w:rsidRPr="001C3EDC">
        <w:t xml:space="preserve">). </w:t>
      </w:r>
      <w:r w:rsidR="00BD3F14" w:rsidRPr="001C3EDC">
        <w:t>Such a</w:t>
      </w:r>
      <w:r w:rsidR="00817CBB" w:rsidRPr="001C3EDC">
        <w:t xml:space="preserve"> </w:t>
      </w:r>
      <w:r w:rsidR="00BD3F14" w:rsidRPr="001C3EDC">
        <w:t>spatial</w:t>
      </w:r>
      <w:r w:rsidR="00E84FAD" w:rsidRPr="001C3EDC">
        <w:t xml:space="preserve"> analysis for Bulgaria</w:t>
      </w:r>
      <w:r w:rsidR="00BD3F14" w:rsidRPr="001C3EDC">
        <w:t>’s</w:t>
      </w:r>
      <w:r w:rsidR="00E84FAD" w:rsidRPr="001C3EDC">
        <w:t xml:space="preserve"> </w:t>
      </w:r>
      <w:r w:rsidR="00BD3F14" w:rsidRPr="001C3EDC">
        <w:t xml:space="preserve">economy </w:t>
      </w:r>
      <w:r w:rsidR="00E84FAD" w:rsidRPr="001C3EDC">
        <w:t>at the R</w:t>
      </w:r>
      <w:r w:rsidR="00941F90" w:rsidRPr="001C3EDC">
        <w:t>B</w:t>
      </w:r>
      <w:r w:rsidR="00E84FAD" w:rsidRPr="001C3EDC">
        <w:t xml:space="preserve"> and </w:t>
      </w:r>
      <w:r w:rsidR="001B7905" w:rsidRPr="001C3EDC">
        <w:t>AEZ</w:t>
      </w:r>
      <w:r w:rsidR="00817CBB" w:rsidRPr="001C3EDC">
        <w:t xml:space="preserve"> level</w:t>
      </w:r>
      <w:r w:rsidR="00BD3F14" w:rsidRPr="001C3EDC">
        <w:t>s</w:t>
      </w:r>
      <w:r w:rsidR="00817CBB" w:rsidRPr="001C3EDC">
        <w:t xml:space="preserve"> was developed for the first time</w:t>
      </w:r>
      <w:r w:rsidR="00E84FAD" w:rsidRPr="001C3EDC">
        <w:t>.</w:t>
      </w:r>
      <w:r w:rsidR="00CB62AC" w:rsidRPr="001C3EDC">
        <w:t xml:space="preserve"> </w:t>
      </w:r>
      <w:r w:rsidR="00DB4911" w:rsidRPr="001C3EDC">
        <w:t>This advances</w:t>
      </w:r>
      <w:r w:rsidR="007B4770" w:rsidRPr="001C3EDC">
        <w:t xml:space="preserve"> </w:t>
      </w:r>
      <w:r w:rsidR="00817CBB" w:rsidRPr="001C3EDC">
        <w:t xml:space="preserve">the </w:t>
      </w:r>
      <w:r w:rsidR="007B4770" w:rsidRPr="001C3EDC">
        <w:t xml:space="preserve">modelling </w:t>
      </w:r>
      <w:r w:rsidR="00817CBB" w:rsidRPr="001C3EDC">
        <w:t>literature</w:t>
      </w:r>
      <w:r w:rsidR="007B4770" w:rsidRPr="001C3EDC">
        <w:t xml:space="preserve"> on Bulgaria</w:t>
      </w:r>
      <w:r w:rsidR="003A316D" w:rsidRPr="001C3EDC">
        <w:t>,</w:t>
      </w:r>
      <w:r w:rsidR="00817CBB" w:rsidRPr="001C3EDC">
        <w:t xml:space="preserve"> </w:t>
      </w:r>
      <w:r w:rsidR="00EE1BCA" w:rsidRPr="001C3EDC">
        <w:t>and it required</w:t>
      </w:r>
      <w:r w:rsidR="00817CBB" w:rsidRPr="001C3EDC">
        <w:t xml:space="preserve"> </w:t>
      </w:r>
      <w:r w:rsidR="00BD3F14" w:rsidRPr="001C3EDC">
        <w:t>multiple steps as described below</w:t>
      </w:r>
      <w:r w:rsidR="00817CBB" w:rsidRPr="001C3EDC">
        <w:t xml:space="preserve">. </w:t>
      </w:r>
    </w:p>
    <w:p w14:paraId="73C101F0" w14:textId="79EABD1A" w:rsidR="00E84FAD" w:rsidRPr="001C3EDC" w:rsidRDefault="00E84FAD" w:rsidP="00CA5CD0">
      <w:pPr>
        <w:pStyle w:val="BodyText"/>
        <w:tabs>
          <w:tab w:val="left" w:pos="720"/>
        </w:tabs>
        <w:ind w:left="0" w:firstLine="0"/>
      </w:pPr>
      <w:r w:rsidRPr="001C3EDC">
        <w:t xml:space="preserve">The underlying </w:t>
      </w:r>
      <w:r w:rsidR="00817CBB" w:rsidRPr="001C3EDC">
        <w:t xml:space="preserve">mathematical </w:t>
      </w:r>
      <w:r w:rsidRPr="001C3EDC">
        <w:t xml:space="preserve">structure is the GTAP-AEZ model that </w:t>
      </w:r>
      <w:r w:rsidR="00317E5D" w:rsidRPr="001C3EDC">
        <w:t>was developed</w:t>
      </w:r>
      <w:r w:rsidRPr="001C3EDC">
        <w:t xml:space="preserve"> </w:t>
      </w:r>
      <w:r w:rsidR="00DF311D" w:rsidRPr="001C3EDC">
        <w:t xml:space="preserve">by </w:t>
      </w:r>
      <w:r w:rsidRPr="001C3EDC">
        <w:t>Lee et al. (2005).</w:t>
      </w:r>
      <w:r w:rsidR="00CB62AC" w:rsidRPr="001C3EDC">
        <w:t xml:space="preserve"> </w:t>
      </w:r>
      <w:r w:rsidR="0044654D" w:rsidRPr="001C3EDC">
        <w:t xml:space="preserve">For this analysis, </w:t>
      </w:r>
      <w:r w:rsidR="00DF311D" w:rsidRPr="001C3EDC">
        <w:t xml:space="preserve">the structure of the model by </w:t>
      </w:r>
      <w:r w:rsidR="0044654D" w:rsidRPr="001C3EDC">
        <w:t>Lee et al</w:t>
      </w:r>
      <w:r w:rsidR="0037516B" w:rsidRPr="001C3EDC">
        <w:t>.</w:t>
      </w:r>
      <w:r w:rsidR="0044654D" w:rsidRPr="001C3EDC">
        <w:t xml:space="preserve"> (2005) </w:t>
      </w:r>
      <w:r w:rsidR="00817CBB" w:rsidRPr="001C3EDC">
        <w:t xml:space="preserve">was populated with latest statistics on </w:t>
      </w:r>
      <w:r w:rsidR="00DF311D" w:rsidRPr="001C3EDC">
        <w:t xml:space="preserve">the </w:t>
      </w:r>
      <w:r w:rsidR="00817CBB" w:rsidRPr="001C3EDC">
        <w:t xml:space="preserve">Bulgarian </w:t>
      </w:r>
      <w:r w:rsidRPr="001C3EDC">
        <w:t xml:space="preserve">economy </w:t>
      </w:r>
      <w:r w:rsidR="00817CBB" w:rsidRPr="001C3EDC">
        <w:t xml:space="preserve">and a Social Accounting Matrix (SAM) </w:t>
      </w:r>
      <w:r w:rsidR="0044654D" w:rsidRPr="001C3EDC">
        <w:t xml:space="preserve">that </w:t>
      </w:r>
      <w:r w:rsidR="00817CBB" w:rsidRPr="001C3EDC">
        <w:t>was</w:t>
      </w:r>
      <w:r w:rsidR="0044654D" w:rsidRPr="001C3EDC">
        <w:t xml:space="preserve"> </w:t>
      </w:r>
      <w:r w:rsidR="00317E5D" w:rsidRPr="001C3EDC">
        <w:t>generated for</w:t>
      </w:r>
      <w:r w:rsidR="00817CBB" w:rsidRPr="001C3EDC">
        <w:t xml:space="preserve"> Bulgaria</w:t>
      </w:r>
      <w:r w:rsidR="00846040" w:rsidRPr="001C3EDC">
        <w:t xml:space="preserve"> by the project team</w:t>
      </w:r>
      <w:r w:rsidR="00817CBB" w:rsidRPr="001C3EDC">
        <w:t xml:space="preserve">. </w:t>
      </w:r>
      <w:r w:rsidR="00C450CD" w:rsidRPr="001C3EDC">
        <w:t>D</w:t>
      </w:r>
      <w:r w:rsidRPr="001C3EDC">
        <w:t xml:space="preserve">ata </w:t>
      </w:r>
      <w:r w:rsidR="00817CBB" w:rsidRPr="001C3EDC">
        <w:t xml:space="preserve">from the </w:t>
      </w:r>
      <w:r w:rsidRPr="001C3EDC">
        <w:t>Bulgarian National Statistics</w:t>
      </w:r>
      <w:r w:rsidR="00817CBB" w:rsidRPr="001C3EDC">
        <w:t xml:space="preserve"> Institute</w:t>
      </w:r>
      <w:r w:rsidRPr="001C3EDC">
        <w:t xml:space="preserve">, EUROSTAT, Food and Agriculture Organization (FAO), the World Bank, United </w:t>
      </w:r>
      <w:r w:rsidR="008D08AA" w:rsidRPr="001C3EDC">
        <w:t xml:space="preserve">Nations, </w:t>
      </w:r>
      <w:r w:rsidR="003A316D" w:rsidRPr="001C3EDC">
        <w:t xml:space="preserve">and </w:t>
      </w:r>
      <w:r w:rsidR="008D08AA" w:rsidRPr="001C3EDC">
        <w:t>IMF</w:t>
      </w:r>
      <w:r w:rsidR="006B4AB5" w:rsidRPr="001C3EDC">
        <w:t xml:space="preserve"> </w:t>
      </w:r>
      <w:r w:rsidR="00D03F70" w:rsidRPr="001C3EDC">
        <w:t xml:space="preserve">were </w:t>
      </w:r>
      <w:r w:rsidR="006B4AB5" w:rsidRPr="001C3EDC">
        <w:t>used to complement and fine</w:t>
      </w:r>
      <w:r w:rsidR="00D03F70" w:rsidRPr="001C3EDC">
        <w:t>-</w:t>
      </w:r>
      <w:r w:rsidR="006B4AB5" w:rsidRPr="001C3EDC">
        <w:t>tune the GTAP data</w:t>
      </w:r>
      <w:r w:rsidRPr="001C3EDC">
        <w:t>.</w:t>
      </w:r>
      <w:r w:rsidR="00CB62AC" w:rsidRPr="001C3EDC">
        <w:t xml:space="preserve"> </w:t>
      </w:r>
      <w:r w:rsidR="00AF75B3" w:rsidRPr="001C3EDC">
        <w:t xml:space="preserve">In other words, GTAP is the main data source, but </w:t>
      </w:r>
      <w:r w:rsidR="00D03F70" w:rsidRPr="001C3EDC">
        <w:t>because</w:t>
      </w:r>
      <w:r w:rsidR="00AF75B3" w:rsidRPr="001C3EDC">
        <w:t xml:space="preserve"> this is a </w:t>
      </w:r>
      <w:r w:rsidR="00DB4911" w:rsidRPr="001C3EDC">
        <w:t>general-purpose</w:t>
      </w:r>
      <w:r w:rsidR="00AF75B3" w:rsidRPr="001C3EDC">
        <w:t xml:space="preserve"> dataset </w:t>
      </w:r>
      <w:r w:rsidR="00F05AA7" w:rsidRPr="001C3EDC">
        <w:t>with a base year of 2011 it requires both updating</w:t>
      </w:r>
      <w:r w:rsidR="00C450CD" w:rsidRPr="001C3EDC">
        <w:t xml:space="preserve"> of,</w:t>
      </w:r>
      <w:r w:rsidR="00F05AA7" w:rsidRPr="001C3EDC">
        <w:t xml:space="preserve"> and enhancement</w:t>
      </w:r>
      <w:r w:rsidR="00C450CD" w:rsidRPr="001C3EDC">
        <w:t xml:space="preserve"> to, </w:t>
      </w:r>
      <w:r w:rsidR="00F05AA7" w:rsidRPr="001C3EDC">
        <w:t xml:space="preserve">data quality in sectors </w:t>
      </w:r>
      <w:r w:rsidR="00D03F70" w:rsidRPr="001C3EDC">
        <w:t xml:space="preserve">such as </w:t>
      </w:r>
      <w:r w:rsidR="00F05AA7" w:rsidRPr="001C3EDC">
        <w:t>agriculture.</w:t>
      </w:r>
    </w:p>
    <w:p w14:paraId="5BF69EC4" w14:textId="7AD2C101" w:rsidR="00E84FAD" w:rsidRPr="001C3EDC" w:rsidRDefault="00E84FAD" w:rsidP="00CA5CD0">
      <w:pPr>
        <w:pStyle w:val="BodyText"/>
        <w:tabs>
          <w:tab w:val="left" w:pos="720"/>
        </w:tabs>
        <w:ind w:left="0" w:firstLine="0"/>
      </w:pPr>
      <w:r w:rsidRPr="001C3EDC">
        <w:t xml:space="preserve">The Bulgarian economy is represented by 57 sectors </w:t>
      </w:r>
      <w:r w:rsidR="00C948FB" w:rsidRPr="001C3EDC">
        <w:t>at the national level among which</w:t>
      </w:r>
      <w:r w:rsidRPr="001C3EDC">
        <w:t xml:space="preserve"> agriculture, one of the </w:t>
      </w:r>
      <w:r w:rsidR="003A316D" w:rsidRPr="001C3EDC">
        <w:t xml:space="preserve">sectors </w:t>
      </w:r>
      <w:r w:rsidRPr="001C3EDC">
        <w:t xml:space="preserve">most vulnerable to climate change, is </w:t>
      </w:r>
      <w:r w:rsidR="000C33F9" w:rsidRPr="001C3EDC">
        <w:t xml:space="preserve">modelled </w:t>
      </w:r>
      <w:r w:rsidRPr="001C3EDC">
        <w:t xml:space="preserve">in more detail </w:t>
      </w:r>
      <w:r w:rsidR="00FD6825" w:rsidRPr="001C3EDC">
        <w:t xml:space="preserve">at the AEZ level: </w:t>
      </w:r>
      <w:r w:rsidRPr="001C3EDC">
        <w:t xml:space="preserve">eight crops </w:t>
      </w:r>
      <w:r w:rsidR="00FD6825" w:rsidRPr="001C3EDC">
        <w:t xml:space="preserve">for each one of the </w:t>
      </w:r>
      <w:r w:rsidRPr="001C3EDC">
        <w:t>seven AEZs per Bulgarian classification</w:t>
      </w:r>
      <w:r w:rsidR="00FD6825" w:rsidRPr="001C3EDC">
        <w:t xml:space="preserve"> (combined with the information on a </w:t>
      </w:r>
      <w:r w:rsidRPr="001C3EDC">
        <w:t xml:space="preserve">five AEZ </w:t>
      </w:r>
      <w:r w:rsidR="00FD6825" w:rsidRPr="001C3EDC">
        <w:t>scale from</w:t>
      </w:r>
      <w:r w:rsidRPr="001C3EDC">
        <w:t xml:space="preserve"> </w:t>
      </w:r>
      <w:r w:rsidR="00FD6825" w:rsidRPr="001C3EDC">
        <w:t xml:space="preserve">the </w:t>
      </w:r>
      <w:r w:rsidRPr="001C3EDC">
        <w:t>GTAP-FAO-IIASA</w:t>
      </w:r>
      <w:r w:rsidR="001B7905" w:rsidRPr="001C3EDC">
        <w:rPr>
          <w:rStyle w:val="FootnoteReference"/>
          <w:sz w:val="24"/>
        </w:rPr>
        <w:footnoteReference w:id="2"/>
      </w:r>
      <w:r w:rsidRPr="001C3EDC">
        <w:t xml:space="preserve"> </w:t>
      </w:r>
      <w:r w:rsidR="00227A02" w:rsidRPr="001C3EDC">
        <w:t>database</w:t>
      </w:r>
      <w:r w:rsidRPr="001C3EDC">
        <w:t>).</w:t>
      </w:r>
      <w:r w:rsidR="00CB62AC" w:rsidRPr="001C3EDC">
        <w:t xml:space="preserve"> </w:t>
      </w:r>
      <w:r w:rsidR="0044654D" w:rsidRPr="001C3EDC">
        <w:t>However, f</w:t>
      </w:r>
      <w:r w:rsidRPr="001C3EDC">
        <w:t>or the ease of presentation, the model results are</w:t>
      </w:r>
      <w:r w:rsidR="00C44F5D" w:rsidRPr="001C3EDC">
        <w:t xml:space="preserve"> provided </w:t>
      </w:r>
      <w:r w:rsidRPr="001C3EDC">
        <w:t>in the report in an aggregate manner</w:t>
      </w:r>
      <w:r w:rsidR="00FD6825" w:rsidRPr="001C3EDC">
        <w:t xml:space="preserve"> for the national economy</w:t>
      </w:r>
      <w:r w:rsidR="00C44F5D" w:rsidRPr="001C3EDC">
        <w:t>:</w:t>
      </w:r>
      <w:r w:rsidR="00FD6825" w:rsidRPr="001C3EDC">
        <w:t xml:space="preserve"> 5 AEZs and 4 R</w:t>
      </w:r>
      <w:r w:rsidR="004117F7" w:rsidRPr="001C3EDC">
        <w:t>B</w:t>
      </w:r>
      <w:r w:rsidR="00FD6825" w:rsidRPr="001C3EDC">
        <w:t>s</w:t>
      </w:r>
      <w:r w:rsidR="00C44F5D" w:rsidRPr="001C3EDC">
        <w:t xml:space="preserve"> and the </w:t>
      </w:r>
      <w:r w:rsidRPr="001C3EDC">
        <w:t xml:space="preserve">57 sectors </w:t>
      </w:r>
      <w:r w:rsidR="00FD6825" w:rsidRPr="001C3EDC">
        <w:t>we</w:t>
      </w:r>
      <w:r w:rsidRPr="001C3EDC">
        <w:t xml:space="preserve">re grouped into </w:t>
      </w:r>
      <w:r w:rsidR="00C450CD" w:rsidRPr="001C3EDC">
        <w:t xml:space="preserve">13 </w:t>
      </w:r>
      <w:r w:rsidRPr="001C3EDC">
        <w:t>clusters.</w:t>
      </w:r>
    </w:p>
    <w:p w14:paraId="6EBF139A" w14:textId="4AB3EBD4" w:rsidR="00452C74" w:rsidRPr="001C3EDC" w:rsidRDefault="001E3127" w:rsidP="00CA5CD0">
      <w:pPr>
        <w:pStyle w:val="BodyText"/>
        <w:tabs>
          <w:tab w:val="left" w:pos="720"/>
        </w:tabs>
        <w:ind w:left="0" w:firstLine="0"/>
      </w:pPr>
      <w:r w:rsidRPr="001C3EDC">
        <w:lastRenderedPageBreak/>
        <w:t>The CGE</w:t>
      </w:r>
      <w:r w:rsidR="002B18E0" w:rsidRPr="001C3EDC">
        <w:t xml:space="preserve"> model</w:t>
      </w:r>
      <w:r w:rsidRPr="001C3EDC">
        <w:t xml:space="preserve"> represent</w:t>
      </w:r>
      <w:r w:rsidR="00C44F5D" w:rsidRPr="001C3EDC">
        <w:t>s</w:t>
      </w:r>
      <w:r w:rsidRPr="001C3EDC">
        <w:t xml:space="preserve"> households, government, producers, major trade partners and their interactions. The model describe</w:t>
      </w:r>
      <w:r w:rsidR="00C44F5D" w:rsidRPr="001C3EDC">
        <w:t>s</w:t>
      </w:r>
      <w:r w:rsidRPr="001C3EDC">
        <w:t xml:space="preserve"> the flow of goods from production activities to households and the flow of production factors from households to activities, as well as the payments in exchange of these goods and the use of factors as shown in</w:t>
      </w:r>
      <w:r w:rsidR="002B6E9E" w:rsidRPr="001C3EDC">
        <w:rPr>
          <w:bCs/>
          <w:iCs/>
        </w:rPr>
        <w:t xml:space="preserve"> </w:t>
      </w:r>
      <w:r w:rsidR="002B6E9E" w:rsidRPr="001C3EDC">
        <w:rPr>
          <w:b/>
          <w:i/>
        </w:rPr>
        <w:t>Figure 2</w:t>
      </w:r>
      <w:r w:rsidR="009252CE" w:rsidRPr="001C3EDC">
        <w:t>.</w:t>
      </w:r>
      <w:r w:rsidR="00452C74" w:rsidRPr="001C3EDC">
        <w:br w:type="page"/>
      </w:r>
    </w:p>
    <w:p w14:paraId="3E93D278" w14:textId="3E4B7CAD" w:rsidR="001E3127" w:rsidRPr="001C3EDC" w:rsidRDefault="001E3127" w:rsidP="00B80C8B">
      <w:pPr>
        <w:pStyle w:val="Caption"/>
        <w:spacing w:before="200"/>
        <w:rPr>
          <w:rFonts w:ascii="Calibri" w:hAnsi="Calibri"/>
          <w:i/>
          <w:color w:val="44546A"/>
          <w:sz w:val="22"/>
          <w:szCs w:val="18"/>
        </w:rPr>
      </w:pPr>
      <w:bookmarkStart w:id="16" w:name="_Ref486863569"/>
      <w:bookmarkStart w:id="17" w:name="_Ref486863564"/>
      <w:bookmarkStart w:id="18" w:name="_Toc486875530"/>
      <w:bookmarkStart w:id="19" w:name="_Toc505612576"/>
      <w:bookmarkStart w:id="20" w:name="_Toc522036473"/>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2</w:t>
      </w:r>
      <w:r w:rsidR="001B7905" w:rsidRPr="001C3EDC">
        <w:rPr>
          <w:rFonts w:ascii="Calibri" w:hAnsi="Calibri"/>
          <w:i/>
          <w:color w:val="44546A"/>
          <w:sz w:val="22"/>
          <w:szCs w:val="18"/>
        </w:rPr>
        <w:fldChar w:fldCharType="end"/>
      </w:r>
      <w:bookmarkEnd w:id="16"/>
      <w:r w:rsidR="000713B4" w:rsidRPr="001C3EDC">
        <w:rPr>
          <w:rFonts w:ascii="Calibri" w:hAnsi="Calibri"/>
          <w:i/>
          <w:color w:val="44546A"/>
          <w:sz w:val="22"/>
          <w:szCs w:val="18"/>
        </w:rPr>
        <w:t>.</w:t>
      </w:r>
      <w:r w:rsidRPr="001C3EDC">
        <w:rPr>
          <w:rFonts w:ascii="Calibri" w:hAnsi="Calibri"/>
          <w:i/>
          <w:color w:val="44546A"/>
          <w:sz w:val="22"/>
          <w:szCs w:val="18"/>
        </w:rPr>
        <w:t xml:space="preserve"> Schematic representation of the </w:t>
      </w:r>
      <w:r w:rsidR="007D3A8D" w:rsidRPr="001C3EDC">
        <w:rPr>
          <w:rFonts w:ascii="Calibri" w:hAnsi="Calibri"/>
          <w:i/>
          <w:color w:val="44546A"/>
          <w:sz w:val="22"/>
          <w:szCs w:val="18"/>
        </w:rPr>
        <w:t xml:space="preserve">economic </w:t>
      </w:r>
      <w:r w:rsidRPr="001C3EDC">
        <w:rPr>
          <w:rFonts w:ascii="Calibri" w:hAnsi="Calibri"/>
          <w:i/>
          <w:color w:val="44546A"/>
          <w:sz w:val="22"/>
          <w:szCs w:val="18"/>
        </w:rPr>
        <w:t>flows in the Bulgaria CGE model</w:t>
      </w:r>
      <w:bookmarkEnd w:id="17"/>
      <w:bookmarkEnd w:id="18"/>
      <w:bookmarkEnd w:id="19"/>
      <w:bookmarkEnd w:id="20"/>
    </w:p>
    <w:p w14:paraId="47FE0E0D" w14:textId="77777777" w:rsidR="001E3127" w:rsidRPr="001C3EDC" w:rsidRDefault="001E3127" w:rsidP="0079707C">
      <w:pPr>
        <w:jc w:val="center"/>
        <w:rPr>
          <w:rFonts w:cs="Times New Roman"/>
          <w:szCs w:val="24"/>
        </w:rPr>
      </w:pPr>
      <w:r w:rsidRPr="001C3EDC">
        <w:rPr>
          <w:rFonts w:cs="Times New Roman"/>
          <w:noProof/>
          <w:szCs w:val="24"/>
        </w:rPr>
        <w:drawing>
          <wp:inline distT="0" distB="0" distL="0" distR="0" wp14:anchorId="70BBD3AD" wp14:editId="7445D8F7">
            <wp:extent cx="5770237" cy="2933205"/>
            <wp:effectExtent l="19050" t="19050" r="21590" b="19685"/>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a:stretch>
                      <a:fillRect/>
                    </a:stretch>
                  </pic:blipFill>
                  <pic:spPr>
                    <a:xfrm>
                      <a:off x="0" y="0"/>
                      <a:ext cx="5796272" cy="2946439"/>
                    </a:xfrm>
                    <a:prstGeom prst="rect">
                      <a:avLst/>
                    </a:prstGeom>
                    <a:ln w="6350">
                      <a:solidFill>
                        <a:srgbClr val="5B9BD5"/>
                      </a:solidFill>
                    </a:ln>
                  </pic:spPr>
                </pic:pic>
              </a:graphicData>
            </a:graphic>
          </wp:inline>
        </w:drawing>
      </w:r>
    </w:p>
    <w:p w14:paraId="51D51E90" w14:textId="77777777" w:rsidR="00452C74" w:rsidRPr="001C3EDC" w:rsidRDefault="00452C74" w:rsidP="00D27A27">
      <w:pPr>
        <w:pStyle w:val="BodyText"/>
        <w:tabs>
          <w:tab w:val="left" w:pos="720"/>
        </w:tabs>
        <w:spacing w:before="200"/>
        <w:ind w:left="0" w:firstLine="0"/>
      </w:pPr>
      <w:r w:rsidRPr="001C3EDC">
        <w:t xml:space="preserve">Each sector has a different production function and maximizes profits subject to a production function that combines primary factors (including labor, capital, land, and natural resources such as water, minerals, fish, and forests) and intermediate inputs to produce a good. Firms pay wages/rental rates to the households in return for the use of land, labor, capital, and natural resources. Firms sell intermediate inputs to other firms and final goods to the private households and the government. Firms also export commodities and import intermediate inputs from trade partners. These goods are assumed to be differentiated by country of origin and the model can thus track bilateral trade flows between Bulgaria and its trade partners among the 120+ countries/country aggregates. </w:t>
      </w:r>
    </w:p>
    <w:p w14:paraId="78025AE4" w14:textId="77777777" w:rsidR="00452C74" w:rsidRPr="001C3EDC" w:rsidRDefault="00452C74" w:rsidP="00452C74">
      <w:pPr>
        <w:pStyle w:val="BodyText"/>
        <w:tabs>
          <w:tab w:val="left" w:pos="720"/>
        </w:tabs>
        <w:ind w:left="0" w:firstLine="0"/>
      </w:pPr>
      <w:r w:rsidRPr="001C3EDC">
        <w:t>Households receive income by providing factors of production (land, capital, and labor) to the producers. Their consumption basket represents a variety of goods and services that are either locally produced or imported. They pay taxes to the government in return for public services such as defense, health, and education. The CGE model comprises a representative household, whose disposable income is split between consumption and savings.</w:t>
      </w:r>
    </w:p>
    <w:p w14:paraId="0D65E234" w14:textId="46A8D9DB" w:rsidR="00452C74" w:rsidRPr="001C3EDC" w:rsidRDefault="00452C74" w:rsidP="00452C74">
      <w:pPr>
        <w:pStyle w:val="BodyText"/>
        <w:tabs>
          <w:tab w:val="left" w:pos="720"/>
        </w:tabs>
        <w:ind w:left="0" w:firstLine="0"/>
      </w:pPr>
      <w:r w:rsidRPr="001C3EDC">
        <w:t>Production and consumption activities generate taxes for the government budget. Tax revenues increase or decrease as a share of these economic activities. Public accounts comprise government and household savings. These funds are allocated following a public utility function.</w:t>
      </w:r>
      <w:bookmarkStart w:id="21" w:name="_Hlk513726843"/>
      <w:r w:rsidRPr="001C3EDC">
        <w:t xml:space="preserve"> The analysis of potential adaptation financing mechanisms in </w:t>
      </w:r>
      <w:r w:rsidRPr="001C3EDC">
        <w:rPr>
          <w:b/>
          <w:bCs/>
          <w:i/>
          <w:iCs/>
        </w:rPr>
        <w:t>Section 4</w:t>
      </w:r>
      <w:r w:rsidRPr="001C3EDC">
        <w:t xml:space="preserve"> considers</w:t>
      </w:r>
      <w:r w:rsidR="003270F8" w:rsidRPr="001C3EDC">
        <w:t>,</w:t>
      </w:r>
      <w:r w:rsidRPr="001C3EDC">
        <w:t xml:space="preserve"> among other alternative</w:t>
      </w:r>
      <w:r w:rsidR="003270F8" w:rsidRPr="001C3EDC">
        <w:t>s,</w:t>
      </w:r>
      <w:r w:rsidRPr="001C3EDC">
        <w:t xml:space="preserve"> a hypothetical </w:t>
      </w:r>
      <w:bookmarkEnd w:id="21"/>
      <w:r w:rsidRPr="001C3EDC">
        <w:t>2 percent tax on final consumption on all commodities, to mobilize additional resources for adaptation. The economy-wide links would therefore lead to expansion or contraction in the sectors producing the goods affected by the aforementioned changes in the tax regime.</w:t>
      </w:r>
    </w:p>
    <w:p w14:paraId="71C903CB" w14:textId="18A3A4A8" w:rsidR="00452C74" w:rsidRPr="001C3EDC" w:rsidRDefault="00452C74" w:rsidP="00452C74">
      <w:pPr>
        <w:pStyle w:val="BodyText"/>
        <w:tabs>
          <w:tab w:val="left" w:pos="720"/>
        </w:tabs>
        <w:spacing w:before="120"/>
        <w:ind w:left="0" w:firstLine="0"/>
      </w:pPr>
      <w:r w:rsidRPr="001C3EDC">
        <w:t xml:space="preserve">Climate change impacts on productivity (for example, change in crop yield), infrastructure (for example, damage to buildings and roads), natural capital (for example, change in water availability), or populations (for example, increased health risks and lower </w:t>
      </w:r>
      <w:r w:rsidRPr="001C3EDC">
        <w:lastRenderedPageBreak/>
        <w:t xml:space="preserve">productivity) are integrated into the model by way of so-called damage functions, described in </w:t>
      </w:r>
      <w:r w:rsidRPr="001C3EDC">
        <w:rPr>
          <w:b/>
          <w:bCs/>
          <w:i/>
          <w:iCs/>
        </w:rPr>
        <w:t>Section 2.5</w:t>
      </w:r>
      <w:r w:rsidRPr="001C3EDC">
        <w:t>.</w:t>
      </w:r>
    </w:p>
    <w:p w14:paraId="598393B0" w14:textId="49EE4921" w:rsidR="001E3127" w:rsidRPr="001C3EDC" w:rsidRDefault="00585C1C" w:rsidP="00CA5CD0">
      <w:pPr>
        <w:pStyle w:val="BodyText"/>
        <w:tabs>
          <w:tab w:val="left" w:pos="720"/>
        </w:tabs>
        <w:spacing w:before="120"/>
        <w:ind w:left="0" w:firstLine="0"/>
      </w:pPr>
      <w:r w:rsidRPr="001C3EDC">
        <w:t>T</w:t>
      </w:r>
      <w:r w:rsidR="001E3127" w:rsidRPr="001C3EDC">
        <w:t xml:space="preserve">he production and consumption modules </w:t>
      </w:r>
      <w:r w:rsidR="00617454" w:rsidRPr="001C3EDC">
        <w:t xml:space="preserve">of </w:t>
      </w:r>
      <w:r w:rsidR="001E3127" w:rsidRPr="001C3EDC">
        <w:t>the CGE model</w:t>
      </w:r>
      <w:r w:rsidR="00682F50" w:rsidRPr="001C3EDC">
        <w:t>, as well as the modeling of the agriculture sector,</w:t>
      </w:r>
      <w:r w:rsidR="001E3127" w:rsidRPr="001C3EDC">
        <w:t xml:space="preserve"> are described in more detail</w:t>
      </w:r>
      <w:r w:rsidRPr="001C3EDC">
        <w:t xml:space="preserve"> in the next sections</w:t>
      </w:r>
      <w:r w:rsidR="001E3127" w:rsidRPr="001C3EDC">
        <w:t>.</w:t>
      </w:r>
    </w:p>
    <w:p w14:paraId="65876F03" w14:textId="25575BE6" w:rsidR="001E3127" w:rsidRPr="001C3EDC" w:rsidRDefault="00523CB6" w:rsidP="00D27A27">
      <w:pPr>
        <w:pStyle w:val="Heading2"/>
        <w:spacing w:after="60"/>
      </w:pPr>
      <w:bookmarkStart w:id="22" w:name="_Toc486875413"/>
      <w:bookmarkStart w:id="23" w:name="_Toc505600277"/>
      <w:bookmarkStart w:id="24" w:name="_Toc510004087"/>
      <w:bookmarkStart w:id="25" w:name="_Toc522036455"/>
      <w:r w:rsidRPr="001C3EDC">
        <w:t>2.</w:t>
      </w:r>
      <w:r w:rsidR="00516A69" w:rsidRPr="001C3EDC">
        <w:t>2</w:t>
      </w:r>
      <w:r w:rsidR="00603E67" w:rsidRPr="001C3EDC">
        <w:t xml:space="preserve">. </w:t>
      </w:r>
      <w:r w:rsidR="00603E67" w:rsidRPr="001C3EDC">
        <w:tab/>
      </w:r>
      <w:r w:rsidR="001E3127" w:rsidRPr="001C3EDC">
        <w:t>Production functions and derived demands for inputs</w:t>
      </w:r>
      <w:bookmarkEnd w:id="22"/>
      <w:bookmarkEnd w:id="23"/>
      <w:bookmarkEnd w:id="24"/>
      <w:bookmarkEnd w:id="25"/>
    </w:p>
    <w:p w14:paraId="7FEF5DA9" w14:textId="77777777" w:rsidR="002B6E9E" w:rsidRPr="001C3EDC" w:rsidRDefault="00682F50" w:rsidP="00CA5CD0">
      <w:pPr>
        <w:pStyle w:val="BodyText"/>
        <w:tabs>
          <w:tab w:val="left" w:pos="720"/>
        </w:tabs>
        <w:ind w:left="0" w:firstLine="0"/>
      </w:pPr>
      <w:r w:rsidRPr="001C3EDC">
        <w:t>The endowment in f</w:t>
      </w:r>
      <w:r w:rsidR="001E3127" w:rsidRPr="001C3EDC">
        <w:t xml:space="preserve">actors of production (land, capital, </w:t>
      </w:r>
      <w:r w:rsidR="00C04C55" w:rsidRPr="001C3EDC">
        <w:t xml:space="preserve">and </w:t>
      </w:r>
      <w:r w:rsidR="001E3127" w:rsidRPr="001C3EDC">
        <w:t xml:space="preserve">labor) </w:t>
      </w:r>
      <w:r w:rsidRPr="001C3EDC">
        <w:t>is</w:t>
      </w:r>
      <w:r w:rsidR="001E3127" w:rsidRPr="001C3EDC">
        <w:t xml:space="preserve"> fixed at the national level </w:t>
      </w:r>
      <w:r w:rsidR="00621CF7" w:rsidRPr="001C3EDC">
        <w:t xml:space="preserve">for </w:t>
      </w:r>
      <w:r w:rsidR="001E3127" w:rsidRPr="001C3EDC">
        <w:t>each year and demand for these factors is endogenous</w:t>
      </w:r>
      <w:r w:rsidR="006E6683" w:rsidRPr="001C3EDC">
        <w:t>ly</w:t>
      </w:r>
      <w:r w:rsidR="001E3127" w:rsidRPr="001C3EDC">
        <w:t xml:space="preserve"> d</w:t>
      </w:r>
      <w:r w:rsidR="00502FC9" w:rsidRPr="001C3EDC">
        <w:t xml:space="preserve">etermined by market mechanisms. </w:t>
      </w:r>
      <w:r w:rsidR="001E3127" w:rsidRPr="001C3EDC">
        <w:t xml:space="preserve">Policy changes such as </w:t>
      </w:r>
      <w:r w:rsidR="00CF6FAF" w:rsidRPr="001C3EDC">
        <w:t xml:space="preserve">fiscal policies to fund adaptation measures </w:t>
      </w:r>
      <w:r w:rsidR="001E3127" w:rsidRPr="001C3EDC">
        <w:t xml:space="preserve">result in changes in the allocative efficiency of these resources that lead to welfare gains or losses </w:t>
      </w:r>
      <w:r w:rsidR="005C2694" w:rsidRPr="001C3EDC">
        <w:t xml:space="preserve">for the overall economy </w:t>
      </w:r>
      <w:r w:rsidR="001E3127" w:rsidRPr="001C3EDC">
        <w:t xml:space="preserve">(which can be estimated using the model). </w:t>
      </w:r>
    </w:p>
    <w:p w14:paraId="7284EBF0" w14:textId="04D59C64" w:rsidR="001E3127" w:rsidRPr="001C3EDC" w:rsidRDefault="001E3127" w:rsidP="00B80C8B">
      <w:pPr>
        <w:pStyle w:val="Caption"/>
        <w:spacing w:before="200"/>
      </w:pPr>
      <w:bookmarkStart w:id="26" w:name="_Ref486863906"/>
      <w:bookmarkStart w:id="27" w:name="_Toc486875532"/>
      <w:bookmarkStart w:id="28" w:name="_Toc505612578"/>
      <w:bookmarkStart w:id="29" w:name="_Toc522036474"/>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3</w:t>
      </w:r>
      <w:r w:rsidR="001B7905" w:rsidRPr="001C3EDC">
        <w:rPr>
          <w:rFonts w:ascii="Calibri" w:hAnsi="Calibri"/>
          <w:i/>
          <w:color w:val="44546A"/>
          <w:sz w:val="22"/>
          <w:szCs w:val="18"/>
        </w:rPr>
        <w:fldChar w:fldCharType="end"/>
      </w:r>
      <w:bookmarkEnd w:id="26"/>
      <w:r w:rsidR="00275652" w:rsidRPr="001C3EDC">
        <w:rPr>
          <w:rFonts w:ascii="Calibri" w:hAnsi="Calibri"/>
          <w:i/>
          <w:color w:val="44546A"/>
          <w:sz w:val="22"/>
          <w:szCs w:val="18"/>
        </w:rPr>
        <w:t>.</w:t>
      </w:r>
      <w:r w:rsidRPr="001C3EDC">
        <w:rPr>
          <w:rFonts w:ascii="Calibri" w:hAnsi="Calibri"/>
          <w:i/>
          <w:color w:val="44546A"/>
          <w:sz w:val="22"/>
          <w:szCs w:val="18"/>
        </w:rPr>
        <w:t xml:space="preserve"> Production structure in the CGE</w:t>
      </w:r>
      <w:bookmarkEnd w:id="27"/>
      <w:bookmarkEnd w:id="28"/>
      <w:bookmarkEnd w:id="29"/>
    </w:p>
    <w:p w14:paraId="4653EC0A" w14:textId="329D0591" w:rsidR="00131DC9" w:rsidRPr="001C3EDC" w:rsidRDefault="00B245DB" w:rsidP="00D27A27">
      <w:pPr>
        <w:pStyle w:val="Caption"/>
        <w:tabs>
          <w:tab w:val="center" w:pos="4680"/>
          <w:tab w:val="left" w:pos="7771"/>
        </w:tabs>
        <w:rPr>
          <w:b w:val="0"/>
          <w:szCs w:val="24"/>
        </w:rPr>
      </w:pPr>
      <w:bookmarkStart w:id="30" w:name="_Toc256165075"/>
      <w:r w:rsidRPr="001C3EDC">
        <w:rPr>
          <w:b w:val="0"/>
          <w:noProof/>
          <w:szCs w:val="24"/>
          <w:lang w:eastAsia="en-US"/>
        </w:rPr>
        <w:drawing>
          <wp:inline distT="0" distB="0" distL="0" distR="0" wp14:anchorId="2A8CCE03" wp14:editId="6355BC48">
            <wp:extent cx="4220845" cy="3939617"/>
            <wp:effectExtent l="19050" t="19050" r="27305" b="2286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608" t="2171" r="1029" b="1154"/>
                    <a:stretch/>
                  </pic:blipFill>
                  <pic:spPr bwMode="auto">
                    <a:xfrm>
                      <a:off x="0" y="0"/>
                      <a:ext cx="4247861" cy="3964833"/>
                    </a:xfrm>
                    <a:prstGeom prst="rect">
                      <a:avLst/>
                    </a:prstGeom>
                    <a:noFill/>
                    <a:ln>
                      <a:solidFill>
                        <a:srgbClr val="5B9BD5"/>
                      </a:solidFill>
                    </a:ln>
                    <a:extLst>
                      <a:ext uri="{53640926-AAD7-44D8-BBD7-CCE9431645EC}">
                        <a14:shadowObscured xmlns:a14="http://schemas.microsoft.com/office/drawing/2010/main"/>
                      </a:ext>
                    </a:extLst>
                  </pic:spPr>
                </pic:pic>
              </a:graphicData>
            </a:graphic>
          </wp:inline>
        </w:drawing>
      </w:r>
    </w:p>
    <w:p w14:paraId="63FA9D09" w14:textId="77777777" w:rsidR="00131DC9" w:rsidRPr="001C3EDC" w:rsidRDefault="00131DC9" w:rsidP="00D27A27">
      <w:pPr>
        <w:pStyle w:val="BodyText"/>
        <w:tabs>
          <w:tab w:val="left" w:pos="720"/>
        </w:tabs>
        <w:spacing w:before="200"/>
        <w:ind w:left="0" w:firstLine="0"/>
      </w:pPr>
      <w:r w:rsidRPr="001C3EDC">
        <w:rPr>
          <w:b/>
          <w:bCs/>
          <w:i/>
          <w:iCs/>
        </w:rPr>
        <w:t>Figure 3</w:t>
      </w:r>
      <w:r w:rsidRPr="001C3EDC">
        <w:t xml:space="preserve"> displays the nested production function for Bulgaria. At the top level, the firms’ production is based on two components: the value added (capital and labor) and energy bundle, and non-energy intermediate goods. These two components are partially substitutable. The second nest is about firms’ demand in terms of factors of production and various types of energy. For each intermediate input, the model assumes an Armington elasticity (allowing for a partial substitution between domestically produced and imported commodities).</w:t>
      </w:r>
    </w:p>
    <w:p w14:paraId="168AC621" w14:textId="4E5E03D2" w:rsidR="00D27A27" w:rsidRDefault="00D27A27">
      <w:pPr>
        <w:spacing w:after="200" w:line="276" w:lineRule="auto"/>
        <w:jc w:val="left"/>
        <w:rPr>
          <w:rFonts w:ascii="Calibri" w:eastAsia="Times New Roman" w:hAnsi="Calibri" w:cs="Times New Roman"/>
          <w:b/>
          <w:color w:val="365F91"/>
          <w:sz w:val="28"/>
          <w:szCs w:val="26"/>
        </w:rPr>
      </w:pPr>
      <w:bookmarkStart w:id="31" w:name="_Toc486875414"/>
      <w:bookmarkStart w:id="32" w:name="_Toc505600278"/>
      <w:bookmarkStart w:id="33" w:name="_Toc510004088"/>
      <w:bookmarkEnd w:id="30"/>
    </w:p>
    <w:p w14:paraId="4A787E1C" w14:textId="5BBDAC60" w:rsidR="001E3127" w:rsidRPr="001C3EDC" w:rsidRDefault="00523CB6" w:rsidP="00D27A27">
      <w:pPr>
        <w:pStyle w:val="Heading2"/>
        <w:spacing w:after="60"/>
      </w:pPr>
      <w:bookmarkStart w:id="34" w:name="_Toc522036456"/>
      <w:r w:rsidRPr="001C3EDC">
        <w:lastRenderedPageBreak/>
        <w:t>2.</w:t>
      </w:r>
      <w:r w:rsidR="00516A69" w:rsidRPr="001C3EDC">
        <w:t>3</w:t>
      </w:r>
      <w:r w:rsidR="00603E67" w:rsidRPr="001C3EDC">
        <w:t xml:space="preserve">. </w:t>
      </w:r>
      <w:r w:rsidR="00603E67" w:rsidRPr="001C3EDC">
        <w:tab/>
      </w:r>
      <w:r w:rsidR="001E3127" w:rsidRPr="001C3EDC">
        <w:t>Household demand for final goods and services</w:t>
      </w:r>
      <w:bookmarkEnd w:id="31"/>
      <w:bookmarkEnd w:id="32"/>
      <w:bookmarkEnd w:id="33"/>
      <w:bookmarkEnd w:id="34"/>
    </w:p>
    <w:p w14:paraId="0B8ACECB" w14:textId="60CA8A37" w:rsidR="001E3127" w:rsidRPr="001C3EDC" w:rsidRDefault="001E3127" w:rsidP="00CA5CD0">
      <w:pPr>
        <w:pStyle w:val="BodyText"/>
        <w:tabs>
          <w:tab w:val="left" w:pos="720"/>
        </w:tabs>
        <w:ind w:left="0" w:firstLine="0"/>
      </w:pPr>
      <w:r w:rsidRPr="001C3EDC">
        <w:t>The structure of household demand in the Bulgaria CGE model is presented in</w:t>
      </w:r>
      <w:r w:rsidR="002B6E9E" w:rsidRPr="001C3EDC">
        <w:rPr>
          <w:bCs/>
          <w:iCs/>
        </w:rPr>
        <w:t xml:space="preserve"> </w:t>
      </w:r>
      <w:r w:rsidR="002B6E9E" w:rsidRPr="001C3EDC">
        <w:rPr>
          <w:b/>
          <w:i/>
        </w:rPr>
        <w:t xml:space="preserve">Figure </w:t>
      </w:r>
      <w:r w:rsidR="00AE0E63" w:rsidRPr="001C3EDC">
        <w:rPr>
          <w:b/>
          <w:i/>
        </w:rPr>
        <w:t>4</w:t>
      </w:r>
      <w:r w:rsidRPr="001C3EDC">
        <w:t>. In this demand structure</w:t>
      </w:r>
      <w:r w:rsidR="00682F50" w:rsidRPr="001C3EDC">
        <w:t>,</w:t>
      </w:r>
      <w:r w:rsidRPr="001C3EDC">
        <w:t xml:space="preserve"> the </w:t>
      </w:r>
      <w:r w:rsidR="00BA6F61" w:rsidRPr="001C3EDC">
        <w:t xml:space="preserve">representative </w:t>
      </w:r>
      <w:r w:rsidRPr="001C3EDC">
        <w:t>household uses a mix of substitutable energy products. Hence, in response to changes in the relative prices of energy products</w:t>
      </w:r>
      <w:r w:rsidR="00BA6F61" w:rsidRPr="001C3EDC">
        <w:t>, the demand from the representative household</w:t>
      </w:r>
      <w:r w:rsidR="00D8596C" w:rsidRPr="001C3EDC">
        <w:t xml:space="preserve"> can switch </w:t>
      </w:r>
      <w:r w:rsidRPr="001C3EDC">
        <w:t xml:space="preserve">from expensive energy sources to cheaper </w:t>
      </w:r>
      <w:r w:rsidR="00BA6F61" w:rsidRPr="001C3EDC">
        <w:t>alternatives</w:t>
      </w:r>
      <w:r w:rsidRPr="001C3EDC">
        <w:t>.</w:t>
      </w:r>
      <w:r w:rsidR="00CB62AC" w:rsidRPr="001C3EDC">
        <w:t xml:space="preserve"> </w:t>
      </w:r>
      <w:r w:rsidR="005D4BAE" w:rsidRPr="001C3EDC">
        <w:t xml:space="preserve">Among </w:t>
      </w:r>
      <w:r w:rsidR="005C5618" w:rsidRPr="001C3EDC">
        <w:t>e</w:t>
      </w:r>
      <w:r w:rsidR="005D4BAE" w:rsidRPr="001C3EDC">
        <w:t xml:space="preserve">nergy commodities, electricity demand </w:t>
      </w:r>
      <w:r w:rsidR="00BA6F61" w:rsidRPr="001C3EDC">
        <w:t>(the largest component o</w:t>
      </w:r>
      <w:r w:rsidR="002077EF" w:rsidRPr="001C3EDC">
        <w:t>f</w:t>
      </w:r>
      <w:r w:rsidR="00BA6F61" w:rsidRPr="001C3EDC">
        <w:t xml:space="preserve"> the final energy demand) </w:t>
      </w:r>
      <w:r w:rsidR="005D4BAE" w:rsidRPr="001C3EDC">
        <w:t xml:space="preserve">is the most important indicator to track due to </w:t>
      </w:r>
      <w:r w:rsidR="002077EF" w:rsidRPr="001C3EDC">
        <w:t xml:space="preserve">expected seasonal shifts in residential and commercial use </w:t>
      </w:r>
      <w:r w:rsidR="0006676D" w:rsidRPr="001C3EDC">
        <w:t>under changing</w:t>
      </w:r>
      <w:r w:rsidR="002077EF" w:rsidRPr="001C3EDC">
        <w:t xml:space="preserve"> climate</w:t>
      </w:r>
      <w:r w:rsidR="00E559F0" w:rsidRPr="001C3EDC">
        <w:t>. Due to overall warming up of the temperature in Bulgaria</w:t>
      </w:r>
      <w:r w:rsidR="00F8414C" w:rsidRPr="001C3EDC">
        <w:t>,</w:t>
      </w:r>
      <w:r w:rsidR="00E559F0" w:rsidRPr="001C3EDC">
        <w:t xml:space="preserve"> </w:t>
      </w:r>
      <w:r w:rsidR="0006676D" w:rsidRPr="001C3EDC">
        <w:t>increased</w:t>
      </w:r>
      <w:r w:rsidR="002077EF" w:rsidRPr="001C3EDC">
        <w:t xml:space="preserve"> use of</w:t>
      </w:r>
      <w:r w:rsidR="00BA6F61" w:rsidRPr="001C3EDC">
        <w:t xml:space="preserve"> air conditioning </w:t>
      </w:r>
      <w:r w:rsidR="0042346C" w:rsidRPr="001C3EDC">
        <w:t>and a decrease</w:t>
      </w:r>
      <w:r w:rsidR="004F4E51" w:rsidRPr="001C3EDC">
        <w:t>d</w:t>
      </w:r>
      <w:r w:rsidR="0042346C" w:rsidRPr="001C3EDC">
        <w:t xml:space="preserve"> </w:t>
      </w:r>
      <w:r w:rsidR="00E559F0" w:rsidRPr="001C3EDC">
        <w:t>need for</w:t>
      </w:r>
      <w:r w:rsidR="0042346C" w:rsidRPr="001C3EDC">
        <w:t xml:space="preserve"> </w:t>
      </w:r>
      <w:r w:rsidR="0006676D" w:rsidRPr="001C3EDC">
        <w:t>heating is</w:t>
      </w:r>
      <w:r w:rsidR="00E559F0" w:rsidRPr="001C3EDC">
        <w:t xml:space="preserve"> expected.</w:t>
      </w:r>
      <w:r w:rsidR="00CB62AC" w:rsidRPr="001C3EDC">
        <w:t xml:space="preserve"> </w:t>
      </w:r>
      <w:r w:rsidR="00E559F0" w:rsidRPr="001C3EDC">
        <w:t xml:space="preserve">These two effects combined with the </w:t>
      </w:r>
      <w:r w:rsidR="0006676D" w:rsidRPr="001C3EDC">
        <w:t>overall energy</w:t>
      </w:r>
      <w:r w:rsidR="007D129A" w:rsidRPr="001C3EDC">
        <w:t xml:space="preserve"> efficiency improvement in </w:t>
      </w:r>
      <w:r w:rsidR="00AF3812" w:rsidRPr="001C3EDC">
        <w:t>industrial</w:t>
      </w:r>
      <w:r w:rsidR="007D129A" w:rsidRPr="001C3EDC">
        <w:t xml:space="preserve"> use</w:t>
      </w:r>
      <w:r w:rsidR="00E559F0" w:rsidRPr="001C3EDC">
        <w:t xml:space="preserve"> are expected to lead a decrease in the overall energy </w:t>
      </w:r>
      <w:r w:rsidR="0006676D" w:rsidRPr="001C3EDC">
        <w:t>demand.</w:t>
      </w:r>
      <w:r w:rsidR="007D129A" w:rsidRPr="001C3EDC">
        <w:t xml:space="preserve"> The partial equilibrium models </w:t>
      </w:r>
      <w:r w:rsidR="00E559F0" w:rsidRPr="001C3EDC">
        <w:t xml:space="preserve">would </w:t>
      </w:r>
      <w:r w:rsidR="007D129A" w:rsidRPr="001C3EDC">
        <w:t xml:space="preserve">overestimate these effects that occur simultaneously in the economy. The overall impact </w:t>
      </w:r>
      <w:r w:rsidR="0006676D" w:rsidRPr="001C3EDC">
        <w:t>can be</w:t>
      </w:r>
      <w:r w:rsidR="00E559F0" w:rsidRPr="001C3EDC">
        <w:t xml:space="preserve"> more</w:t>
      </w:r>
      <w:r w:rsidR="007D129A" w:rsidRPr="001C3EDC">
        <w:t xml:space="preserve"> accurately estimated in an economy-wide model </w:t>
      </w:r>
      <w:r w:rsidR="00D8596C" w:rsidRPr="001C3EDC">
        <w:t xml:space="preserve">such as the Bulgaria CGE model </w:t>
      </w:r>
      <w:r w:rsidR="003F4461" w:rsidRPr="001C3EDC">
        <w:t>because</w:t>
      </w:r>
      <w:r w:rsidR="00E559F0" w:rsidRPr="001C3EDC">
        <w:t xml:space="preserve"> the </w:t>
      </w:r>
      <w:r w:rsidR="0006676D" w:rsidRPr="001C3EDC">
        <w:t>model allows</w:t>
      </w:r>
      <w:r w:rsidR="007D129A" w:rsidRPr="001C3EDC">
        <w:t xml:space="preserve"> </w:t>
      </w:r>
      <w:r w:rsidR="00E559F0" w:rsidRPr="001C3EDC">
        <w:t xml:space="preserve">for </w:t>
      </w:r>
      <w:r w:rsidR="007D129A" w:rsidRPr="001C3EDC">
        <w:t xml:space="preserve">substitution </w:t>
      </w:r>
      <w:r w:rsidR="0006676D" w:rsidRPr="001C3EDC">
        <w:t>of electricity</w:t>
      </w:r>
      <w:r w:rsidR="007D129A" w:rsidRPr="001C3EDC">
        <w:t xml:space="preserve"> between its alternative uses </w:t>
      </w:r>
      <w:r w:rsidR="00D8596C" w:rsidRPr="001C3EDC">
        <w:t xml:space="preserve">as well as </w:t>
      </w:r>
      <w:r w:rsidR="0006676D" w:rsidRPr="001C3EDC">
        <w:t>among multiple</w:t>
      </w:r>
      <w:r w:rsidR="007D129A" w:rsidRPr="001C3EDC">
        <w:t xml:space="preserve"> </w:t>
      </w:r>
      <w:r w:rsidR="00AF3812" w:rsidRPr="001C3EDC">
        <w:t xml:space="preserve">industrial </w:t>
      </w:r>
      <w:r w:rsidR="007D129A" w:rsidRPr="001C3EDC">
        <w:t xml:space="preserve">sectors and </w:t>
      </w:r>
      <w:r w:rsidR="00AF3812" w:rsidRPr="001C3EDC">
        <w:t xml:space="preserve">other </w:t>
      </w:r>
      <w:r w:rsidR="007D129A" w:rsidRPr="001C3EDC">
        <w:t>economic agents (</w:t>
      </w:r>
      <w:r w:rsidR="003F4461" w:rsidRPr="001C3EDC">
        <w:t>that is</w:t>
      </w:r>
      <w:r w:rsidR="002077EF" w:rsidRPr="001C3EDC">
        <w:t xml:space="preserve">, </w:t>
      </w:r>
      <w:r w:rsidR="007D129A" w:rsidRPr="001C3EDC">
        <w:t>households</w:t>
      </w:r>
      <w:r w:rsidR="0022008C" w:rsidRPr="001C3EDC">
        <w:t xml:space="preserve"> and</w:t>
      </w:r>
      <w:r w:rsidR="007D129A" w:rsidRPr="001C3EDC">
        <w:t xml:space="preserve"> </w:t>
      </w:r>
      <w:r w:rsidR="00C450CD" w:rsidRPr="001C3EDC">
        <w:t>the G</w:t>
      </w:r>
      <w:r w:rsidR="007D129A" w:rsidRPr="001C3EDC">
        <w:t>overnment).</w:t>
      </w:r>
    </w:p>
    <w:p w14:paraId="5404CB48" w14:textId="229FCF1F" w:rsidR="001E3127" w:rsidRPr="001C3EDC" w:rsidRDefault="001E3127" w:rsidP="004F7F4A">
      <w:pPr>
        <w:pStyle w:val="Caption"/>
        <w:spacing w:before="200"/>
        <w:rPr>
          <w:rFonts w:ascii="Calibri" w:hAnsi="Calibri"/>
          <w:i/>
          <w:color w:val="44546A"/>
          <w:sz w:val="22"/>
          <w:szCs w:val="18"/>
        </w:rPr>
      </w:pPr>
      <w:bookmarkStart w:id="35" w:name="_Ref486863997"/>
      <w:bookmarkStart w:id="36" w:name="_Toc486875533"/>
      <w:bookmarkStart w:id="37" w:name="_Toc505612579"/>
      <w:bookmarkStart w:id="38" w:name="_Toc522036475"/>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4</w:t>
      </w:r>
      <w:r w:rsidR="001B7905" w:rsidRPr="001C3EDC">
        <w:rPr>
          <w:rFonts w:ascii="Calibri" w:hAnsi="Calibri"/>
          <w:i/>
          <w:color w:val="44546A"/>
          <w:sz w:val="22"/>
          <w:szCs w:val="18"/>
        </w:rPr>
        <w:fldChar w:fldCharType="end"/>
      </w:r>
      <w:bookmarkEnd w:id="35"/>
      <w:r w:rsidR="00275652" w:rsidRPr="001C3EDC">
        <w:rPr>
          <w:rFonts w:ascii="Calibri" w:hAnsi="Calibri"/>
          <w:i/>
          <w:color w:val="44546A"/>
          <w:sz w:val="22"/>
          <w:szCs w:val="18"/>
        </w:rPr>
        <w:t>.</w:t>
      </w:r>
      <w:r w:rsidRPr="001C3EDC">
        <w:rPr>
          <w:rFonts w:ascii="Calibri" w:hAnsi="Calibri"/>
          <w:i/>
          <w:color w:val="44546A"/>
          <w:sz w:val="22"/>
          <w:szCs w:val="18"/>
        </w:rPr>
        <w:t xml:space="preserve"> Household demand for goods and services in the Bulgaria CGE model</w:t>
      </w:r>
      <w:bookmarkEnd w:id="36"/>
      <w:bookmarkEnd w:id="37"/>
      <w:bookmarkEnd w:id="38"/>
    </w:p>
    <w:p w14:paraId="56F758CE" w14:textId="77777777" w:rsidR="001E3127" w:rsidRPr="001C3EDC" w:rsidRDefault="001E3127" w:rsidP="0079707C">
      <w:pPr>
        <w:jc w:val="center"/>
        <w:rPr>
          <w:rFonts w:cs="Times New Roman"/>
          <w:szCs w:val="24"/>
        </w:rPr>
      </w:pPr>
      <w:r w:rsidRPr="001C3EDC">
        <w:rPr>
          <w:rFonts w:cs="Times New Roman"/>
          <w:noProof/>
          <w:szCs w:val="24"/>
        </w:rPr>
        <w:drawing>
          <wp:inline distT="0" distB="0" distL="0" distR="0" wp14:anchorId="14350806" wp14:editId="772B8528">
            <wp:extent cx="4507336" cy="2503805"/>
            <wp:effectExtent l="19050" t="19050" r="26670"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43" t="869" r="9940" b="7861"/>
                    <a:stretch/>
                  </pic:blipFill>
                  <pic:spPr bwMode="auto">
                    <a:xfrm>
                      <a:off x="0" y="0"/>
                      <a:ext cx="4512762" cy="2506819"/>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49F9DF86" w14:textId="63A9661F" w:rsidR="001E3127" w:rsidRPr="001C3EDC" w:rsidRDefault="00523CB6" w:rsidP="00D27A27">
      <w:pPr>
        <w:pStyle w:val="Heading2"/>
        <w:spacing w:before="360" w:after="60"/>
      </w:pPr>
      <w:bookmarkStart w:id="39" w:name="_Toc510004089"/>
      <w:bookmarkStart w:id="40" w:name="_Toc522036457"/>
      <w:r w:rsidRPr="001C3EDC">
        <w:t>2.</w:t>
      </w:r>
      <w:r w:rsidR="00516A69" w:rsidRPr="001C3EDC">
        <w:t>4</w:t>
      </w:r>
      <w:bookmarkStart w:id="41" w:name="_Toc486875415"/>
      <w:bookmarkStart w:id="42" w:name="_Toc505600279"/>
      <w:r w:rsidR="00603E67" w:rsidRPr="001C3EDC">
        <w:t xml:space="preserve">. </w:t>
      </w:r>
      <w:r w:rsidR="00603E67" w:rsidRPr="001C3EDC">
        <w:tab/>
      </w:r>
      <w:r w:rsidR="001E3127" w:rsidRPr="001C3EDC">
        <w:t>Modeling of the agriculture sector</w:t>
      </w:r>
      <w:bookmarkEnd w:id="39"/>
      <w:bookmarkEnd w:id="40"/>
      <w:bookmarkEnd w:id="41"/>
      <w:bookmarkEnd w:id="42"/>
    </w:p>
    <w:p w14:paraId="3692BA9D" w14:textId="1DCFD9A5" w:rsidR="00683DD4" w:rsidRPr="001C3EDC" w:rsidRDefault="00D651FF" w:rsidP="00CA5CD0">
      <w:pPr>
        <w:pStyle w:val="BodyText"/>
        <w:tabs>
          <w:tab w:val="left" w:pos="720"/>
        </w:tabs>
        <w:ind w:left="0" w:firstLine="0"/>
      </w:pPr>
      <w:bookmarkStart w:id="43" w:name="_Hlk513732340"/>
      <w:r w:rsidRPr="001C3EDC">
        <w:t>Agriculture is among the sectors most vulnerable to climate change in Bulgaria and t</w:t>
      </w:r>
      <w:r w:rsidR="00683DD4" w:rsidRPr="001C3EDC">
        <w:t xml:space="preserve">his study </w:t>
      </w:r>
      <w:r w:rsidR="00611D83" w:rsidRPr="001C3EDC">
        <w:t xml:space="preserve">contributes to </w:t>
      </w:r>
      <w:r w:rsidR="00683DD4" w:rsidRPr="001C3EDC">
        <w:t>the existing literature by developing a</w:t>
      </w:r>
      <w:r w:rsidR="00611D83" w:rsidRPr="001C3EDC">
        <w:t xml:space="preserve"> </w:t>
      </w:r>
      <w:r w:rsidR="006F188C" w:rsidRPr="001C3EDC">
        <w:t>spatially</w:t>
      </w:r>
      <w:r w:rsidR="009F064C" w:rsidRPr="001C3EDC">
        <w:t xml:space="preserve"> </w:t>
      </w:r>
      <w:r w:rsidR="00B171B9" w:rsidRPr="001C3EDC">
        <w:t>disaggregated</w:t>
      </w:r>
      <w:r w:rsidR="00683DD4" w:rsidRPr="001C3EDC">
        <w:t xml:space="preserve"> analytical framework </w:t>
      </w:r>
      <w:r w:rsidR="00B171B9" w:rsidRPr="001C3EDC">
        <w:t xml:space="preserve">that </w:t>
      </w:r>
      <w:r w:rsidR="00683DD4" w:rsidRPr="001C3EDC">
        <w:t>allow</w:t>
      </w:r>
      <w:r w:rsidR="00B171B9" w:rsidRPr="001C3EDC">
        <w:t>s</w:t>
      </w:r>
      <w:r w:rsidR="00683DD4" w:rsidRPr="001C3EDC">
        <w:t xml:space="preserve"> examin</w:t>
      </w:r>
      <w:r w:rsidR="00B171B9" w:rsidRPr="001C3EDC">
        <w:t>ing</w:t>
      </w:r>
      <w:r w:rsidR="00683DD4" w:rsidRPr="001C3EDC">
        <w:t xml:space="preserve"> the interactions between climate change, crop yield, and </w:t>
      </w:r>
      <w:r w:rsidR="006F188C" w:rsidRPr="001C3EDC">
        <w:t>agricultural activities</w:t>
      </w:r>
      <w:r w:rsidR="00683DD4" w:rsidRPr="001C3EDC">
        <w:t xml:space="preserve"> for Bulgaria. Many </w:t>
      </w:r>
      <w:r w:rsidR="002077EF" w:rsidRPr="001C3EDC">
        <w:t xml:space="preserve">publications </w:t>
      </w:r>
      <w:r w:rsidR="00683DD4" w:rsidRPr="001C3EDC">
        <w:t>have studied the impacts of climate change on crop yields and food security (for example, Lobell et al. 2008</w:t>
      </w:r>
      <w:r w:rsidR="009F064C" w:rsidRPr="001C3EDC">
        <w:t>;</w:t>
      </w:r>
      <w:r w:rsidR="00683DD4" w:rsidRPr="001C3EDC">
        <w:t xml:space="preserve"> Nelson et al. 2010). These studies demonstrate how changes in climate variables affect food security across the world. However, they do not provide a clear picture on the interactions between climatic change, crop yield, and water </w:t>
      </w:r>
      <w:r w:rsidR="00B171B9" w:rsidRPr="001C3EDC">
        <w:t>availability</w:t>
      </w:r>
      <w:r w:rsidR="00683DD4" w:rsidRPr="001C3EDC">
        <w:t xml:space="preserve">. More recent papers (for example, </w:t>
      </w:r>
      <w:r w:rsidR="009F064C" w:rsidRPr="001C3EDC">
        <w:t xml:space="preserve">Marshal et al. 2014; </w:t>
      </w:r>
      <w:r w:rsidR="00683DD4" w:rsidRPr="001C3EDC">
        <w:t xml:space="preserve">Willis et al. 2014) considered these </w:t>
      </w:r>
      <w:bookmarkEnd w:id="43"/>
      <w:r w:rsidR="00683DD4" w:rsidRPr="001C3EDC">
        <w:t>interactions and show</w:t>
      </w:r>
      <w:r w:rsidR="00B171B9" w:rsidRPr="001C3EDC">
        <w:t>ed</w:t>
      </w:r>
      <w:r w:rsidR="00683DD4" w:rsidRPr="001C3EDC">
        <w:t xml:space="preserve"> that while climate change can induce incentives for irrigation, water scarcity may limit the extent that irrigati</w:t>
      </w:r>
      <w:r w:rsidR="00AD0CA2" w:rsidRPr="001C3EDC">
        <w:t xml:space="preserve">on </w:t>
      </w:r>
      <w:r w:rsidR="00AD0CA2" w:rsidRPr="001C3EDC">
        <w:lastRenderedPageBreak/>
        <w:t>adoption can be implemented.</w:t>
      </w:r>
      <w:r w:rsidR="006F188C" w:rsidRPr="001C3EDC">
        <w:t xml:space="preserve"> </w:t>
      </w:r>
      <w:r w:rsidR="00683DD4" w:rsidRPr="001C3EDC">
        <w:t>While these papers and earlier work in this area provide valuable economic and biophysical analyses of the impacts of climate change for crop production and food security, they ignore the interplay between climate change and international trade.</w:t>
      </w:r>
      <w:r w:rsidR="006F188C" w:rsidRPr="001C3EDC">
        <w:t xml:space="preserve"> </w:t>
      </w:r>
      <w:r w:rsidR="00683DD4" w:rsidRPr="001C3EDC">
        <w:t xml:space="preserve">Some papers have examined the interaction between trade and climate change. For example, Reilly et al. (2002) have shown that trade can improve food security in regions where crop production will be negatively affected by climate change factors. This study and its successors (for example, Baldos and Hertel 2015) usually ignore water scarcity induced by climate </w:t>
      </w:r>
      <w:r w:rsidR="00AD0CA2" w:rsidRPr="001C3EDC">
        <w:t>change and or economic factors.</w:t>
      </w:r>
      <w:r w:rsidR="006F188C" w:rsidRPr="001C3EDC">
        <w:t xml:space="preserve"> </w:t>
      </w:r>
      <w:r w:rsidR="00683DD4" w:rsidRPr="001C3EDC">
        <w:t xml:space="preserve">Liu et al. (2013) have shown that trade can mitigate the consequences of future irrigation shortfalls in regions where water scarcity threatens food security as well. However, this study ignores the impacts of climate change on crop yield in the presence of water scarcity. </w:t>
      </w:r>
      <w:r w:rsidR="00B171B9" w:rsidRPr="001C3EDC">
        <w:t xml:space="preserve">The Bulgaria CGE analysis incorporates all the </w:t>
      </w:r>
      <w:r w:rsidR="006F188C" w:rsidRPr="001C3EDC">
        <w:t>above</w:t>
      </w:r>
      <w:r w:rsidR="00C9437E" w:rsidRPr="001C3EDC">
        <w:t>-</w:t>
      </w:r>
      <w:r w:rsidR="006F188C" w:rsidRPr="001C3EDC">
        <w:t>mentioned</w:t>
      </w:r>
      <w:r w:rsidR="00B171B9" w:rsidRPr="001C3EDC">
        <w:t xml:space="preserve"> elements and provide</w:t>
      </w:r>
      <w:r w:rsidR="008E24E5" w:rsidRPr="001C3EDC">
        <w:t>s</w:t>
      </w:r>
      <w:r w:rsidR="00B171B9" w:rsidRPr="001C3EDC">
        <w:t xml:space="preserve"> ex</w:t>
      </w:r>
      <w:r w:rsidR="00124B2E" w:rsidRPr="001C3EDC">
        <w:t xml:space="preserve"> </w:t>
      </w:r>
      <w:r w:rsidR="00B171B9" w:rsidRPr="001C3EDC">
        <w:t>ante analysis of adaptation actions.</w:t>
      </w:r>
    </w:p>
    <w:p w14:paraId="0E06864A" w14:textId="31F39438" w:rsidR="00683DD4" w:rsidRPr="001C3EDC" w:rsidRDefault="00F51A42" w:rsidP="00CA5CD0">
      <w:pPr>
        <w:pStyle w:val="BodyText"/>
        <w:tabs>
          <w:tab w:val="left" w:pos="720"/>
        </w:tabs>
        <w:ind w:left="0" w:firstLine="0"/>
      </w:pPr>
      <w:r w:rsidRPr="001C3EDC">
        <w:t xml:space="preserve">As the most sensitive sector to climate change, </w:t>
      </w:r>
      <w:r w:rsidR="000C341E" w:rsidRPr="001C3EDC">
        <w:t xml:space="preserve">the </w:t>
      </w:r>
      <w:r w:rsidRPr="001C3EDC">
        <w:t xml:space="preserve">highest </w:t>
      </w:r>
      <w:r w:rsidR="00683DD4" w:rsidRPr="001C3EDC">
        <w:t>granularity</w:t>
      </w:r>
      <w:r w:rsidRPr="001C3EDC">
        <w:t xml:space="preserve"> was adopted</w:t>
      </w:r>
      <w:r w:rsidR="00683DD4" w:rsidRPr="001C3EDC">
        <w:t xml:space="preserve"> in the </w:t>
      </w:r>
      <w:r w:rsidRPr="001C3EDC">
        <w:t xml:space="preserve">analysis of the </w:t>
      </w:r>
      <w:r w:rsidR="00683DD4" w:rsidRPr="001C3EDC">
        <w:t>agriculture</w:t>
      </w:r>
      <w:r w:rsidRPr="001C3EDC">
        <w:t xml:space="preserve">. This level of </w:t>
      </w:r>
      <w:r w:rsidR="00E92A81" w:rsidRPr="001C3EDC">
        <w:t xml:space="preserve">spatial </w:t>
      </w:r>
      <w:r w:rsidRPr="001C3EDC">
        <w:t xml:space="preserve">details </w:t>
      </w:r>
      <w:r w:rsidR="00683DD4" w:rsidRPr="001C3EDC">
        <w:t>allows t</w:t>
      </w:r>
      <w:r w:rsidR="00B70058" w:rsidRPr="001C3EDC">
        <w:t>he</w:t>
      </w:r>
      <w:r w:rsidR="00683DD4" w:rsidRPr="001C3EDC">
        <w:t xml:space="preserve"> capture</w:t>
      </w:r>
      <w:r w:rsidR="00B70058" w:rsidRPr="001C3EDC">
        <w:t xml:space="preserve"> of</w:t>
      </w:r>
      <w:r w:rsidR="00683DD4" w:rsidRPr="001C3EDC">
        <w:t xml:space="preserve"> climate change impact on land productivity </w:t>
      </w:r>
      <w:r w:rsidRPr="001C3EDC">
        <w:t xml:space="preserve">for various </w:t>
      </w:r>
      <w:r w:rsidR="00CD7D9D" w:rsidRPr="001C3EDC">
        <w:t>RBs</w:t>
      </w:r>
      <w:r w:rsidR="00994FEF" w:rsidRPr="001C3EDC">
        <w:t>,</w:t>
      </w:r>
      <w:r w:rsidRPr="001C3EDC">
        <w:t xml:space="preserve"> </w:t>
      </w:r>
      <w:r w:rsidR="00E92A81" w:rsidRPr="001C3EDC">
        <w:t>which</w:t>
      </w:r>
      <w:r w:rsidR="00683DD4" w:rsidRPr="001C3EDC">
        <w:t xml:space="preserve"> is </w:t>
      </w:r>
      <w:r w:rsidR="00CD7D9D" w:rsidRPr="001C3EDC">
        <w:t xml:space="preserve">the </w:t>
      </w:r>
      <w:r w:rsidR="00E92A81" w:rsidRPr="001C3EDC">
        <w:t>main</w:t>
      </w:r>
      <w:r w:rsidR="00683DD4" w:rsidRPr="001C3EDC">
        <w:t xml:space="preserve"> originality of the Bulgaria CGE model.</w:t>
      </w:r>
      <w:r w:rsidR="006F188C" w:rsidRPr="001C3EDC">
        <w:t xml:space="preserve"> </w:t>
      </w:r>
      <w:r w:rsidRPr="001C3EDC">
        <w:t>T</w:t>
      </w:r>
      <w:r w:rsidR="00683DD4" w:rsidRPr="001C3EDC">
        <w:t>he analysis is also developed at a</w:t>
      </w:r>
      <w:r w:rsidR="00E42C2A" w:rsidRPr="001C3EDC">
        <w:t>n</w:t>
      </w:r>
      <w:r w:rsidR="00683DD4" w:rsidRPr="001C3EDC">
        <w:t xml:space="preserve"> RB level </w:t>
      </w:r>
      <w:r w:rsidRPr="001C3EDC">
        <w:t>to</w:t>
      </w:r>
      <w:r w:rsidR="00683DD4" w:rsidRPr="001C3EDC">
        <w:t xml:space="preserve"> allow capturing climate impact on water resources. This hybrid method combined with a multi-sectoral economic model where land and water are the most important resources used in </w:t>
      </w:r>
      <w:r w:rsidR="00E92A81" w:rsidRPr="001C3EDC">
        <w:t xml:space="preserve">agricultural </w:t>
      </w:r>
      <w:r w:rsidR="00683DD4" w:rsidRPr="001C3EDC">
        <w:t xml:space="preserve">production allows analyzing climate impact </w:t>
      </w:r>
      <w:r w:rsidRPr="001C3EDC">
        <w:t>in detail</w:t>
      </w:r>
      <w:r w:rsidR="00683DD4" w:rsidRPr="001C3EDC">
        <w:t xml:space="preserve"> as explained below.</w:t>
      </w:r>
    </w:p>
    <w:p w14:paraId="3725F32B" w14:textId="4459AB4F" w:rsidR="00CF6FAF" w:rsidRPr="001C3EDC" w:rsidRDefault="00CF6FAF" w:rsidP="00CA5CD0">
      <w:pPr>
        <w:pStyle w:val="BodyText"/>
        <w:tabs>
          <w:tab w:val="left" w:pos="720"/>
        </w:tabs>
        <w:ind w:left="0" w:firstLine="0"/>
      </w:pPr>
      <w:r w:rsidRPr="001C3EDC">
        <w:t xml:space="preserve">As mentioned earlier, the Bulgaria CGE model, as an advanced version of the standard GTAP model, traces demands for, and supplies of, a wide range of commodities </w:t>
      </w:r>
      <w:r w:rsidR="00C450CD" w:rsidRPr="001C3EDC">
        <w:t>starting with crops</w:t>
      </w:r>
      <w:r w:rsidRPr="001C3EDC">
        <w:t xml:space="preserve"> and electricity at the national and subnational (AEZ and R</w:t>
      </w:r>
      <w:r w:rsidR="006B18D7" w:rsidRPr="001C3EDC">
        <w:t>B</w:t>
      </w:r>
      <w:r w:rsidRPr="001C3EDC">
        <w:t>) levels.</w:t>
      </w:r>
    </w:p>
    <w:p w14:paraId="45EE936F" w14:textId="477C986E" w:rsidR="00CF6FAF" w:rsidRPr="001C3EDC" w:rsidRDefault="00CF6FAF" w:rsidP="00CA5CD0">
      <w:pPr>
        <w:pStyle w:val="BodyText"/>
        <w:tabs>
          <w:tab w:val="left" w:pos="720"/>
        </w:tabs>
        <w:ind w:left="0" w:firstLine="0"/>
      </w:pPr>
      <w:r w:rsidRPr="001C3EDC">
        <w:t>The model also considers resource constraints and models</w:t>
      </w:r>
      <w:r w:rsidR="00E42C2A" w:rsidRPr="001C3EDC">
        <w:t>’</w:t>
      </w:r>
      <w:r w:rsidRPr="001C3EDC">
        <w:t xml:space="preserve"> allocation of limited resources including labor, capital, natural resources such as water, forests, and land, among their alternative uses. It divides crop producers into rainfed and irrigated.</w:t>
      </w:r>
      <w:r w:rsidR="00CB62AC" w:rsidRPr="001C3EDC">
        <w:t xml:space="preserve"> </w:t>
      </w:r>
      <w:r w:rsidRPr="001C3EDC">
        <w:t xml:space="preserve">It traces water and land resources endowments and their demands at the spatial resolution of </w:t>
      </w:r>
      <w:r w:rsidR="006B18D7" w:rsidRPr="001C3EDC">
        <w:t>four RBs</w:t>
      </w:r>
      <w:r w:rsidRPr="001C3EDC">
        <w:t xml:space="preserve"> and </w:t>
      </w:r>
      <w:r w:rsidR="006B18D7" w:rsidRPr="001C3EDC">
        <w:t>five</w:t>
      </w:r>
      <w:r w:rsidRPr="001C3EDC">
        <w:t xml:space="preserve"> AEZs for Bulgaria.</w:t>
      </w:r>
      <w:r w:rsidR="00CB62AC" w:rsidRPr="001C3EDC">
        <w:t xml:space="preserve"> </w:t>
      </w:r>
      <w:r w:rsidRPr="001C3EDC">
        <w:t>In this model, water can move across its alternative uses within a</w:t>
      </w:r>
      <w:r w:rsidR="00E42C2A" w:rsidRPr="001C3EDC">
        <w:t>n</w:t>
      </w:r>
      <w:r w:rsidRPr="001C3EDC">
        <w:t xml:space="preserve"> </w:t>
      </w:r>
      <w:r w:rsidR="006B18D7" w:rsidRPr="001C3EDC">
        <w:t>RB</w:t>
      </w:r>
      <w:r w:rsidRPr="001C3EDC">
        <w:t xml:space="preserve"> with limited movement across </w:t>
      </w:r>
      <w:r w:rsidR="0006676D" w:rsidRPr="001C3EDC">
        <w:t>AEZs (</w:t>
      </w:r>
      <w:r w:rsidR="00EE0AC3" w:rsidRPr="001C3EDC">
        <w:t xml:space="preserve">see </w:t>
      </w:r>
      <w:r w:rsidRPr="001C3EDC">
        <w:rPr>
          <w:b/>
          <w:i/>
        </w:rPr>
        <w:t xml:space="preserve">Figure </w:t>
      </w:r>
      <w:r w:rsidR="00AE0E63" w:rsidRPr="001C3EDC">
        <w:rPr>
          <w:b/>
          <w:i/>
        </w:rPr>
        <w:t>5</w:t>
      </w:r>
      <w:r w:rsidR="0006676D" w:rsidRPr="001C3EDC">
        <w:t>).</w:t>
      </w:r>
    </w:p>
    <w:p w14:paraId="0A7DDC94" w14:textId="659F3ED4" w:rsidR="006B4AB5" w:rsidRPr="001C3EDC" w:rsidRDefault="00246C39" w:rsidP="00CA5CD0">
      <w:pPr>
        <w:pStyle w:val="BodyText"/>
        <w:tabs>
          <w:tab w:val="left" w:pos="720"/>
        </w:tabs>
        <w:ind w:left="0" w:firstLine="0"/>
      </w:pPr>
      <w:r w:rsidRPr="009A6B6A">
        <w:rPr>
          <w:b/>
          <w:i/>
        </w:rPr>
        <w:t>Figure 6</w:t>
      </w:r>
      <w:r w:rsidRPr="001C3EDC">
        <w:t xml:space="preserve"> </w:t>
      </w:r>
      <w:r w:rsidR="001E3127" w:rsidRPr="001C3EDC">
        <w:t>displays the land demand for farming.</w:t>
      </w:r>
      <w:r w:rsidR="00CB62AC" w:rsidRPr="001C3EDC">
        <w:t xml:space="preserve"> </w:t>
      </w:r>
      <w:r w:rsidR="001E3127" w:rsidRPr="001C3EDC">
        <w:t xml:space="preserve">Besides capital and intermediate inputs, farming activities require various types of land suitable </w:t>
      </w:r>
      <w:r w:rsidR="001B4451" w:rsidRPr="001C3EDC">
        <w:t xml:space="preserve">for </w:t>
      </w:r>
      <w:r w:rsidR="001E3127" w:rsidRPr="001C3EDC">
        <w:t xml:space="preserve">crop production. As shown </w:t>
      </w:r>
      <w:r w:rsidR="00360966" w:rsidRPr="001C3EDC">
        <w:t>i</w:t>
      </w:r>
      <w:r w:rsidR="001E3127" w:rsidRPr="001C3EDC">
        <w:t>n</w:t>
      </w:r>
      <w:r w:rsidRPr="001C3EDC">
        <w:t xml:space="preserve"> </w:t>
      </w:r>
      <w:r w:rsidRPr="001C3EDC">
        <w:rPr>
          <w:b/>
          <w:i/>
        </w:rPr>
        <w:t xml:space="preserve">Figure </w:t>
      </w:r>
      <w:r w:rsidR="00360966" w:rsidRPr="001C3EDC">
        <w:rPr>
          <w:b/>
          <w:i/>
        </w:rPr>
        <w:t>7</w:t>
      </w:r>
      <w:r w:rsidRPr="001C3EDC">
        <w:rPr>
          <w:b/>
          <w:i/>
        </w:rPr>
        <w:t xml:space="preserve"> </w:t>
      </w:r>
      <w:r w:rsidR="001E3127" w:rsidRPr="001C3EDC">
        <w:t>main land</w:t>
      </w:r>
      <w:r w:rsidR="00A75627" w:rsidRPr="001C3EDC">
        <w:t xml:space="preserve"> </w:t>
      </w:r>
      <w:r w:rsidR="001E3127" w:rsidRPr="001C3EDC">
        <w:t>use types in Bulgaria are croplands, followed by forests</w:t>
      </w:r>
      <w:r w:rsidR="001B4451" w:rsidRPr="001C3EDC">
        <w:t>.</w:t>
      </w:r>
      <w:r w:rsidR="006A5580" w:rsidRPr="001C3EDC">
        <w:t xml:space="preserve"> </w:t>
      </w:r>
      <w:r w:rsidR="006A5580" w:rsidRPr="001C3EDC">
        <w:rPr>
          <w:b/>
          <w:bCs/>
          <w:i/>
          <w:iCs/>
        </w:rPr>
        <w:t>Figure 8</w:t>
      </w:r>
      <w:r w:rsidR="006A5580" w:rsidRPr="001C3EDC">
        <w:t xml:space="preserve"> shows the AEZs based on Bulgarian sources</w:t>
      </w:r>
      <w:r w:rsidR="001E3127" w:rsidRPr="001C3EDC">
        <w:t xml:space="preserve">. </w:t>
      </w:r>
      <w:r w:rsidR="006A5580" w:rsidRPr="001C3EDC">
        <w:t xml:space="preserve">The model was developed using the global classification of AEZs as in </w:t>
      </w:r>
      <w:r w:rsidR="00C450CD" w:rsidRPr="001C3EDC">
        <w:t xml:space="preserve">Lee </w:t>
      </w:r>
      <w:r w:rsidR="006A5580" w:rsidRPr="001C3EDC">
        <w:t>et al</w:t>
      </w:r>
      <w:r w:rsidR="00A75627" w:rsidRPr="001C3EDC">
        <w:t>.</w:t>
      </w:r>
      <w:r w:rsidR="006A5580" w:rsidRPr="001C3EDC">
        <w:t xml:space="preserve"> (2005). </w:t>
      </w:r>
      <w:r w:rsidR="00683DD4" w:rsidRPr="001C3EDC">
        <w:t xml:space="preserve">It is important to highlight that the definition of GTAP </w:t>
      </w:r>
      <w:r w:rsidR="00F51A42" w:rsidRPr="001C3EDC">
        <w:t xml:space="preserve">for AEZs </w:t>
      </w:r>
      <w:r w:rsidR="00683DD4" w:rsidRPr="001C3EDC">
        <w:t>differs from national sources for Bulgaria.</w:t>
      </w:r>
      <w:r w:rsidR="0006676D" w:rsidRPr="001C3EDC">
        <w:t xml:space="preserve"> </w:t>
      </w:r>
      <w:r w:rsidR="00683DD4" w:rsidRPr="001C3EDC">
        <w:t>This analysis was developed for five AEZs for Bulgaria</w:t>
      </w:r>
      <w:r w:rsidR="008F46D6" w:rsidRPr="001C3EDC">
        <w:t xml:space="preserve"> based on the </w:t>
      </w:r>
      <w:r w:rsidR="006F188C" w:rsidRPr="001C3EDC">
        <w:t>GT</w:t>
      </w:r>
      <w:r w:rsidR="00EC5EC2" w:rsidRPr="001C3EDC">
        <w:t>AP</w:t>
      </w:r>
      <w:r w:rsidR="006F188C" w:rsidRPr="001C3EDC">
        <w:t xml:space="preserve"> </w:t>
      </w:r>
      <w:r w:rsidR="008F46D6" w:rsidRPr="001C3EDC">
        <w:t>database</w:t>
      </w:r>
      <w:r w:rsidR="00683DD4" w:rsidRPr="001C3EDC">
        <w:t xml:space="preserve"> while national maps cover seven AEZs. </w:t>
      </w:r>
      <w:r w:rsidR="001E3127" w:rsidRPr="001C3EDC">
        <w:t>Within the CGE model</w:t>
      </w:r>
      <w:r w:rsidR="00F51A42" w:rsidRPr="001C3EDC">
        <w:t xml:space="preserve">, </w:t>
      </w:r>
      <w:r w:rsidR="001E3127" w:rsidRPr="001C3EDC">
        <w:t>each AEZ is rated based on its</w:t>
      </w:r>
      <w:r w:rsidR="0006676D" w:rsidRPr="001C3EDC">
        <w:t xml:space="preserve"> land productivity.</w:t>
      </w:r>
      <w:r w:rsidR="006F188C" w:rsidRPr="001C3EDC">
        <w:t xml:space="preserve"> </w:t>
      </w:r>
      <w:r w:rsidR="001E3127" w:rsidRPr="001C3EDC">
        <w:t>The higher the land productivity, the higher the crop yield, thus the profit margin from this farming activity.</w:t>
      </w:r>
    </w:p>
    <w:p w14:paraId="2B8121FD" w14:textId="5D2F94F3" w:rsidR="006B4AB5" w:rsidRPr="001C3EDC" w:rsidRDefault="006B4AB5" w:rsidP="00DB3A3E">
      <w:pPr>
        <w:pStyle w:val="Caption"/>
        <w:spacing w:before="200"/>
        <w:rPr>
          <w:rFonts w:ascii="Calibri" w:hAnsi="Calibri"/>
          <w:i/>
          <w:color w:val="44546A"/>
          <w:sz w:val="22"/>
          <w:szCs w:val="18"/>
        </w:rPr>
      </w:pPr>
      <w:bookmarkStart w:id="44" w:name="_Toc522036476"/>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5</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Detailed </w:t>
      </w:r>
      <w:r w:rsidR="00A75627" w:rsidRPr="001C3EDC">
        <w:rPr>
          <w:rFonts w:ascii="Calibri" w:hAnsi="Calibri"/>
          <w:i/>
          <w:color w:val="44546A"/>
          <w:sz w:val="22"/>
          <w:szCs w:val="18"/>
        </w:rPr>
        <w:t>r</w:t>
      </w:r>
      <w:r w:rsidRPr="001C3EDC">
        <w:rPr>
          <w:rFonts w:ascii="Calibri" w:hAnsi="Calibri"/>
          <w:i/>
          <w:color w:val="44546A"/>
          <w:sz w:val="22"/>
          <w:szCs w:val="18"/>
        </w:rPr>
        <w:t>epresentation -</w:t>
      </w:r>
      <w:r w:rsidR="00A75627" w:rsidRPr="001C3EDC">
        <w:rPr>
          <w:rFonts w:ascii="Calibri" w:hAnsi="Calibri"/>
          <w:i/>
          <w:color w:val="44546A"/>
          <w:sz w:val="22"/>
          <w:szCs w:val="18"/>
        </w:rPr>
        <w:t xml:space="preserve"> l</w:t>
      </w:r>
      <w:r w:rsidRPr="001C3EDC">
        <w:rPr>
          <w:rFonts w:ascii="Calibri" w:hAnsi="Calibri"/>
          <w:i/>
          <w:color w:val="44546A"/>
          <w:sz w:val="22"/>
          <w:szCs w:val="18"/>
        </w:rPr>
        <w:t>and and water modules</w:t>
      </w:r>
      <w:bookmarkEnd w:id="44"/>
    </w:p>
    <w:p w14:paraId="44A7F0C7" w14:textId="6DC4D3CF" w:rsidR="00724F7C" w:rsidRPr="001C3EDC" w:rsidRDefault="00724F7C" w:rsidP="00CF0328">
      <w:pPr>
        <w:pStyle w:val="BodyText"/>
        <w:numPr>
          <w:ilvl w:val="0"/>
          <w:numId w:val="0"/>
        </w:numPr>
        <w:spacing w:after="0" w:line="240" w:lineRule="auto"/>
        <w:jc w:val="center"/>
      </w:pPr>
      <w:r w:rsidRPr="001C3EDC">
        <w:rPr>
          <w:noProof/>
          <w:lang w:eastAsia="en-US"/>
        </w:rPr>
        <w:drawing>
          <wp:inline distT="0" distB="0" distL="0" distR="0" wp14:anchorId="01E1175B" wp14:editId="477F46C7">
            <wp:extent cx="5205899" cy="3879757"/>
            <wp:effectExtent l="19050" t="19050" r="13970" b="2603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1020" r="-1046"/>
                    <a:stretch/>
                  </pic:blipFill>
                  <pic:spPr bwMode="auto">
                    <a:xfrm>
                      <a:off x="0" y="0"/>
                      <a:ext cx="5262268" cy="3921767"/>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1200EE13" w14:textId="6B952DD2" w:rsidR="001E3127" w:rsidRPr="001C3EDC" w:rsidRDefault="001E3127" w:rsidP="00B4117D">
      <w:pPr>
        <w:pStyle w:val="BodyText"/>
        <w:tabs>
          <w:tab w:val="left" w:pos="720"/>
        </w:tabs>
        <w:spacing w:before="200"/>
        <w:ind w:left="0" w:firstLine="0"/>
      </w:pPr>
      <w:r w:rsidRPr="001C3EDC">
        <w:t xml:space="preserve">Based on the literature, climate change is likely to affect either land or crop productivity </w:t>
      </w:r>
      <w:r w:rsidR="006B4AB5" w:rsidRPr="001C3EDC">
        <w:t>negati</w:t>
      </w:r>
      <w:r w:rsidRPr="001C3EDC">
        <w:t xml:space="preserve">vely. </w:t>
      </w:r>
      <w:r w:rsidR="008F46D6" w:rsidRPr="001C3EDC">
        <w:t xml:space="preserve">A </w:t>
      </w:r>
      <w:r w:rsidR="0006676D" w:rsidRPr="001C3EDC">
        <w:t>negative push</w:t>
      </w:r>
      <w:r w:rsidRPr="001C3EDC">
        <w:t xml:space="preserve"> on crop supply is expected to lead to </w:t>
      </w:r>
      <w:r w:rsidR="0006676D" w:rsidRPr="001C3EDC">
        <w:t>higher crop</w:t>
      </w:r>
      <w:r w:rsidRPr="001C3EDC">
        <w:t xml:space="preserve"> prices. In the meantime, climate events such as floods may cause direct damage to the farmers. Both cases </w:t>
      </w:r>
      <w:r w:rsidR="00F51A42" w:rsidRPr="001C3EDC">
        <w:t xml:space="preserve">are </w:t>
      </w:r>
      <w:r w:rsidRPr="001C3EDC">
        <w:t xml:space="preserve">examined </w:t>
      </w:r>
      <w:r w:rsidR="00F51A42" w:rsidRPr="001C3EDC">
        <w:t>in t</w:t>
      </w:r>
      <w:r w:rsidRPr="001C3EDC">
        <w:t xml:space="preserve">he </w:t>
      </w:r>
      <w:r w:rsidR="008F46D6" w:rsidRPr="001C3EDC">
        <w:t>baseline</w:t>
      </w:r>
      <w:r w:rsidR="00E42C2A" w:rsidRPr="001C3EDC">
        <w:t>,</w:t>
      </w:r>
      <w:r w:rsidR="008F46D6" w:rsidRPr="001C3EDC">
        <w:t xml:space="preserve"> including </w:t>
      </w:r>
      <w:r w:rsidRPr="001C3EDC">
        <w:t>climate</w:t>
      </w:r>
      <w:r w:rsidR="008F46D6" w:rsidRPr="001C3EDC">
        <w:t xml:space="preserve"> impact</w:t>
      </w:r>
      <w:r w:rsidRPr="001C3EDC">
        <w:t xml:space="preserve"> simulations.</w:t>
      </w:r>
    </w:p>
    <w:p w14:paraId="4065CA6E" w14:textId="3416F0D7" w:rsidR="002C5F5A" w:rsidRPr="001C3EDC" w:rsidRDefault="00B67DAF" w:rsidP="004F7F4A">
      <w:pPr>
        <w:pStyle w:val="Caption"/>
        <w:spacing w:before="200"/>
        <w:rPr>
          <w:rFonts w:ascii="Calibri" w:hAnsi="Calibri"/>
          <w:i/>
          <w:color w:val="44546A"/>
          <w:sz w:val="22"/>
          <w:szCs w:val="18"/>
        </w:rPr>
      </w:pPr>
      <w:bookmarkStart w:id="45" w:name="_Toc486875534"/>
      <w:bookmarkStart w:id="46" w:name="_Toc505612580"/>
      <w:bookmarkStart w:id="47" w:name="_Toc522036477"/>
      <w:bookmarkStart w:id="48" w:name="_Ref486864454"/>
      <w:bookmarkStart w:id="49" w:name="_Toc486875536"/>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6</w:t>
      </w:r>
      <w:r w:rsidR="001B7905" w:rsidRPr="001C3EDC">
        <w:rPr>
          <w:rFonts w:ascii="Calibri" w:hAnsi="Calibri"/>
          <w:i/>
          <w:color w:val="44546A"/>
          <w:sz w:val="22"/>
          <w:szCs w:val="18"/>
        </w:rPr>
        <w:fldChar w:fldCharType="end"/>
      </w:r>
      <w:r w:rsidR="00450282" w:rsidRPr="001C3EDC">
        <w:rPr>
          <w:rFonts w:ascii="Calibri" w:hAnsi="Calibri"/>
          <w:i/>
          <w:color w:val="44546A"/>
          <w:sz w:val="22"/>
          <w:szCs w:val="18"/>
        </w:rPr>
        <w:t>.</w:t>
      </w:r>
      <w:r w:rsidR="002C5F5A" w:rsidRPr="001C3EDC">
        <w:rPr>
          <w:rFonts w:ascii="Calibri" w:hAnsi="Calibri"/>
          <w:i/>
          <w:color w:val="44546A"/>
          <w:sz w:val="22"/>
          <w:szCs w:val="18"/>
        </w:rPr>
        <w:t xml:space="preserve"> Land </w:t>
      </w:r>
      <w:r w:rsidR="00AB1F39" w:rsidRPr="001C3EDC">
        <w:rPr>
          <w:rFonts w:ascii="Calibri" w:hAnsi="Calibri"/>
          <w:i/>
          <w:color w:val="44546A"/>
          <w:sz w:val="22"/>
          <w:szCs w:val="18"/>
        </w:rPr>
        <w:t>d</w:t>
      </w:r>
      <w:r w:rsidR="002C5F5A" w:rsidRPr="001C3EDC">
        <w:rPr>
          <w:rFonts w:ascii="Calibri" w:hAnsi="Calibri"/>
          <w:i/>
          <w:color w:val="44546A"/>
          <w:sz w:val="22"/>
          <w:szCs w:val="18"/>
        </w:rPr>
        <w:t>emand in the Bulgaria CGE model</w:t>
      </w:r>
      <w:bookmarkEnd w:id="45"/>
      <w:bookmarkEnd w:id="46"/>
      <w:bookmarkEnd w:id="47"/>
    </w:p>
    <w:p w14:paraId="1ECFA709" w14:textId="6D491888" w:rsidR="002C5F5A" w:rsidRPr="001C3EDC" w:rsidRDefault="002C5F5A" w:rsidP="002C5F5A">
      <w:pPr>
        <w:spacing w:after="200" w:line="276" w:lineRule="auto"/>
        <w:jc w:val="center"/>
        <w:rPr>
          <w:rFonts w:asciiTheme="minorHAnsi" w:hAnsiTheme="minorHAnsi" w:cstheme="minorHAnsi"/>
          <w:b/>
          <w:bCs/>
          <w:i/>
          <w:iCs/>
          <w:color w:val="244061" w:themeColor="accent1" w:themeShade="80"/>
          <w:sz w:val="22"/>
        </w:rPr>
      </w:pPr>
      <w:r w:rsidRPr="001C3EDC">
        <w:rPr>
          <w:noProof/>
        </w:rPr>
        <w:drawing>
          <wp:inline distT="0" distB="0" distL="0" distR="0" wp14:anchorId="012626ED" wp14:editId="1C51F107">
            <wp:extent cx="4073799" cy="3087584"/>
            <wp:effectExtent l="19050" t="19050" r="22225"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7124" t="20871" r="1120" b="791"/>
                    <a:stretch/>
                  </pic:blipFill>
                  <pic:spPr bwMode="auto">
                    <a:xfrm>
                      <a:off x="0" y="0"/>
                      <a:ext cx="4178147" cy="3166670"/>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06170DB4" w14:textId="7EC2A70E" w:rsidR="002B6E9E" w:rsidRPr="001C3EDC" w:rsidRDefault="00B67DAF" w:rsidP="004F7F4A">
      <w:pPr>
        <w:pStyle w:val="Caption"/>
        <w:spacing w:before="200"/>
        <w:rPr>
          <w:rFonts w:ascii="Calibri" w:hAnsi="Calibri"/>
          <w:i/>
          <w:color w:val="44546A"/>
          <w:sz w:val="22"/>
          <w:szCs w:val="18"/>
        </w:rPr>
      </w:pPr>
      <w:bookmarkStart w:id="50" w:name="_Toc505612581"/>
      <w:bookmarkStart w:id="51" w:name="_Toc522036478"/>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7</w:t>
      </w:r>
      <w:r w:rsidR="001B7905" w:rsidRPr="001C3EDC">
        <w:rPr>
          <w:rFonts w:ascii="Calibri" w:hAnsi="Calibri"/>
          <w:i/>
          <w:color w:val="44546A"/>
          <w:sz w:val="22"/>
          <w:szCs w:val="18"/>
        </w:rPr>
        <w:fldChar w:fldCharType="end"/>
      </w:r>
      <w:r w:rsidR="00450282" w:rsidRPr="001C3EDC">
        <w:rPr>
          <w:rFonts w:ascii="Calibri" w:hAnsi="Calibri"/>
          <w:i/>
          <w:color w:val="44546A"/>
          <w:sz w:val="22"/>
          <w:szCs w:val="18"/>
        </w:rPr>
        <w:t>.</w:t>
      </w:r>
      <w:r w:rsidR="00360966" w:rsidRPr="001C3EDC">
        <w:rPr>
          <w:rFonts w:ascii="Calibri" w:hAnsi="Calibri"/>
          <w:i/>
          <w:color w:val="44546A"/>
          <w:sz w:val="22"/>
          <w:szCs w:val="18"/>
        </w:rPr>
        <w:t xml:space="preserve"> Types of agriculture and livestock production</w:t>
      </w:r>
      <w:bookmarkEnd w:id="50"/>
      <w:bookmarkEnd w:id="51"/>
    </w:p>
    <w:p w14:paraId="2FE7A4FA" w14:textId="65E20D0E" w:rsidR="00E305CD" w:rsidRPr="001C3EDC" w:rsidRDefault="00E305CD" w:rsidP="00BA2083">
      <w:pPr>
        <w:spacing w:after="0" w:line="240" w:lineRule="auto"/>
        <w:jc w:val="center"/>
      </w:pPr>
      <w:r w:rsidRPr="001C3EDC">
        <w:rPr>
          <w:noProof/>
        </w:rPr>
        <w:drawing>
          <wp:inline distT="0" distB="0" distL="0" distR="0" wp14:anchorId="01C9D25A" wp14:editId="0B56568D">
            <wp:extent cx="5232371" cy="2669197"/>
            <wp:effectExtent l="19050" t="19050" r="26035" b="171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r="297" b="424"/>
                    <a:stretch/>
                  </pic:blipFill>
                  <pic:spPr bwMode="auto">
                    <a:xfrm>
                      <a:off x="0" y="0"/>
                      <a:ext cx="5292643" cy="2699944"/>
                    </a:xfrm>
                    <a:prstGeom prst="rect">
                      <a:avLst/>
                    </a:prstGeom>
                    <a:noFill/>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1C8783" w14:textId="77777777" w:rsidR="00131DC9" w:rsidRPr="001C3EDC" w:rsidRDefault="00131DC9" w:rsidP="00BA2083">
      <w:pPr>
        <w:pStyle w:val="Source"/>
      </w:pPr>
      <w:r w:rsidRPr="001C3EDC">
        <w:t>Source: Kolev 2016.</w:t>
      </w:r>
    </w:p>
    <w:p w14:paraId="220A450C" w14:textId="05BCF1D6" w:rsidR="00360966" w:rsidRPr="001C3EDC" w:rsidRDefault="00B67DAF" w:rsidP="004F7F4A">
      <w:pPr>
        <w:pStyle w:val="Caption"/>
        <w:spacing w:before="200"/>
        <w:rPr>
          <w:rFonts w:ascii="Calibri" w:hAnsi="Calibri"/>
          <w:i/>
          <w:color w:val="44546A"/>
          <w:sz w:val="22"/>
          <w:szCs w:val="18"/>
        </w:rPr>
      </w:pPr>
      <w:bookmarkStart w:id="52" w:name="_Toc505612582"/>
      <w:bookmarkStart w:id="53" w:name="_Toc522036479"/>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8</w:t>
      </w:r>
      <w:r w:rsidR="001B7905" w:rsidRPr="001C3EDC">
        <w:rPr>
          <w:rFonts w:ascii="Calibri" w:hAnsi="Calibri"/>
          <w:i/>
          <w:color w:val="44546A"/>
          <w:sz w:val="22"/>
          <w:szCs w:val="18"/>
        </w:rPr>
        <w:fldChar w:fldCharType="end"/>
      </w:r>
      <w:r w:rsidR="00450282" w:rsidRPr="001C3EDC">
        <w:rPr>
          <w:rFonts w:ascii="Calibri" w:hAnsi="Calibri"/>
          <w:i/>
          <w:color w:val="44546A"/>
          <w:sz w:val="22"/>
          <w:szCs w:val="18"/>
        </w:rPr>
        <w:t>.</w:t>
      </w:r>
      <w:r w:rsidR="00360966" w:rsidRPr="001C3EDC">
        <w:rPr>
          <w:rFonts w:ascii="Calibri" w:hAnsi="Calibri"/>
          <w:i/>
          <w:color w:val="44546A"/>
          <w:sz w:val="22"/>
          <w:szCs w:val="18"/>
        </w:rPr>
        <w:t xml:space="preserve"> AEZs in Bulgaria</w:t>
      </w:r>
      <w:bookmarkEnd w:id="52"/>
      <w:bookmarkEnd w:id="53"/>
    </w:p>
    <w:p w14:paraId="563E204D" w14:textId="20ADB181" w:rsidR="00AF5143" w:rsidRPr="001C3EDC" w:rsidRDefault="00397BE7" w:rsidP="00BA2083">
      <w:pPr>
        <w:spacing w:line="240" w:lineRule="auto"/>
        <w:jc w:val="center"/>
      </w:pPr>
      <w:r w:rsidRPr="001C3EDC">
        <w:rPr>
          <w:noProof/>
        </w:rPr>
        <w:drawing>
          <wp:inline distT="0" distB="0" distL="0" distR="0" wp14:anchorId="3DD7C00A" wp14:editId="508A788B">
            <wp:extent cx="5224648" cy="2660072"/>
            <wp:effectExtent l="19050" t="19050" r="14605" b="260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r="166" b="1070"/>
                    <a:stretch/>
                  </pic:blipFill>
                  <pic:spPr bwMode="auto">
                    <a:xfrm>
                      <a:off x="0" y="0"/>
                      <a:ext cx="5324032" cy="2710672"/>
                    </a:xfrm>
                    <a:prstGeom prst="rect">
                      <a:avLst/>
                    </a:prstGeom>
                    <a:noFill/>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0F7F1C" w14:textId="124A4075" w:rsidR="00360966" w:rsidRPr="001C3EDC" w:rsidRDefault="00360966" w:rsidP="00BA2083">
      <w:pPr>
        <w:pStyle w:val="Source"/>
      </w:pPr>
      <w:r w:rsidRPr="001C3EDC">
        <w:t>Source: Kolev 2016.</w:t>
      </w:r>
    </w:p>
    <w:p w14:paraId="249F3370" w14:textId="25FC0358" w:rsidR="001E3127" w:rsidRPr="001C3EDC" w:rsidRDefault="001E3127" w:rsidP="004F7F4A">
      <w:pPr>
        <w:pStyle w:val="Caption"/>
        <w:spacing w:before="200"/>
        <w:rPr>
          <w:rFonts w:ascii="Calibri" w:hAnsi="Calibri"/>
          <w:i/>
          <w:color w:val="44546A"/>
          <w:sz w:val="22"/>
          <w:szCs w:val="18"/>
        </w:rPr>
      </w:pPr>
      <w:bookmarkStart w:id="54" w:name="_Ref486864528"/>
      <w:bookmarkStart w:id="55" w:name="_Toc486875546"/>
      <w:bookmarkStart w:id="56" w:name="_Toc505612606"/>
      <w:bookmarkStart w:id="57" w:name="_Toc522036515"/>
      <w:bookmarkEnd w:id="48"/>
      <w:bookmarkEnd w:id="49"/>
      <w:r w:rsidRPr="001C3EDC">
        <w:rPr>
          <w:rFonts w:ascii="Calibri" w:hAnsi="Calibri"/>
          <w:i/>
          <w:color w:val="44546A"/>
          <w:sz w:val="22"/>
          <w:szCs w:val="18"/>
        </w:rPr>
        <w:t xml:space="preserve">Table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Table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2</w:t>
      </w:r>
      <w:r w:rsidR="001B7905" w:rsidRPr="001C3EDC">
        <w:rPr>
          <w:rFonts w:ascii="Calibri" w:hAnsi="Calibri"/>
          <w:i/>
          <w:color w:val="44546A"/>
          <w:sz w:val="22"/>
          <w:szCs w:val="18"/>
        </w:rPr>
        <w:fldChar w:fldCharType="end"/>
      </w:r>
      <w:bookmarkEnd w:id="54"/>
      <w:r w:rsidR="00275652" w:rsidRPr="001C3EDC">
        <w:rPr>
          <w:rFonts w:ascii="Calibri" w:hAnsi="Calibri"/>
          <w:i/>
          <w:color w:val="44546A"/>
          <w:sz w:val="22"/>
          <w:szCs w:val="18"/>
        </w:rPr>
        <w:t>.</w:t>
      </w:r>
      <w:r w:rsidRPr="001C3EDC">
        <w:rPr>
          <w:rFonts w:ascii="Calibri" w:hAnsi="Calibri"/>
          <w:i/>
          <w:color w:val="44546A"/>
          <w:sz w:val="22"/>
          <w:szCs w:val="18"/>
        </w:rPr>
        <w:t xml:space="preserve"> AEZ disaggregation used in this CGE analysis</w:t>
      </w:r>
      <w:bookmarkEnd w:id="55"/>
      <w:bookmarkEnd w:id="56"/>
      <w:bookmarkEnd w:id="57"/>
    </w:p>
    <w:tbl>
      <w:tblPr>
        <w:tblStyle w:val="TableGrid4"/>
        <w:tblW w:w="7504"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710"/>
        <w:gridCol w:w="2250"/>
        <w:gridCol w:w="1890"/>
        <w:gridCol w:w="1654"/>
      </w:tblGrid>
      <w:tr w:rsidR="000B77CF" w:rsidRPr="00B4117D" w14:paraId="7F1F1343" w14:textId="77777777" w:rsidTr="003B3425">
        <w:trPr>
          <w:tblHeader/>
          <w:jc w:val="center"/>
        </w:trPr>
        <w:tc>
          <w:tcPr>
            <w:tcW w:w="1710" w:type="dxa"/>
            <w:shd w:val="clear" w:color="auto" w:fill="365F91"/>
            <w:vAlign w:val="center"/>
          </w:tcPr>
          <w:p w14:paraId="43DA1F1C" w14:textId="77777777" w:rsidR="000B77CF" w:rsidRPr="00B4117D" w:rsidRDefault="000B77CF" w:rsidP="00B4117D">
            <w:pPr>
              <w:spacing w:before="40" w:after="40" w:line="240" w:lineRule="auto"/>
              <w:jc w:val="center"/>
              <w:rPr>
                <w:rFonts w:asciiTheme="minorHAnsi" w:eastAsia="Calibri" w:hAnsiTheme="minorHAnsi" w:cstheme="minorHAnsi"/>
                <w:b/>
                <w:bCs/>
                <w:color w:val="FFFFFF" w:themeColor="background1"/>
                <w:sz w:val="22"/>
              </w:rPr>
            </w:pPr>
            <w:r w:rsidRPr="00B4117D">
              <w:rPr>
                <w:rFonts w:asciiTheme="minorHAnsi" w:eastAsia="Calibri" w:hAnsiTheme="minorHAnsi" w:cstheme="minorHAnsi"/>
                <w:b/>
                <w:bCs/>
                <w:color w:val="FFFFFF" w:themeColor="background1"/>
                <w:sz w:val="22"/>
              </w:rPr>
              <w:t>LGP in days</w:t>
            </w:r>
          </w:p>
        </w:tc>
        <w:tc>
          <w:tcPr>
            <w:tcW w:w="2250" w:type="dxa"/>
            <w:shd w:val="clear" w:color="auto" w:fill="365F91"/>
            <w:vAlign w:val="center"/>
          </w:tcPr>
          <w:p w14:paraId="21E83EFA" w14:textId="77777777" w:rsidR="000B77CF" w:rsidRPr="00B4117D" w:rsidRDefault="000B77CF" w:rsidP="00B4117D">
            <w:pPr>
              <w:spacing w:before="40" w:after="40" w:line="240" w:lineRule="auto"/>
              <w:jc w:val="center"/>
              <w:rPr>
                <w:rFonts w:asciiTheme="minorHAnsi" w:eastAsia="Calibri" w:hAnsiTheme="minorHAnsi" w:cstheme="minorHAnsi"/>
                <w:b/>
                <w:bCs/>
                <w:color w:val="FFFFFF" w:themeColor="background1"/>
                <w:sz w:val="22"/>
              </w:rPr>
            </w:pPr>
            <w:r w:rsidRPr="00B4117D">
              <w:rPr>
                <w:rFonts w:asciiTheme="minorHAnsi" w:eastAsia="Calibri" w:hAnsiTheme="minorHAnsi" w:cstheme="minorHAnsi"/>
                <w:b/>
                <w:bCs/>
                <w:color w:val="FFFFFF" w:themeColor="background1"/>
                <w:sz w:val="22"/>
              </w:rPr>
              <w:t>Moisture regime</w:t>
            </w:r>
          </w:p>
        </w:tc>
        <w:tc>
          <w:tcPr>
            <w:tcW w:w="1890" w:type="dxa"/>
            <w:shd w:val="clear" w:color="auto" w:fill="365F91"/>
            <w:vAlign w:val="center"/>
          </w:tcPr>
          <w:p w14:paraId="65C4D36F" w14:textId="77777777" w:rsidR="000B77CF" w:rsidRPr="00B4117D" w:rsidRDefault="000B77CF" w:rsidP="00B4117D">
            <w:pPr>
              <w:spacing w:before="40" w:after="40" w:line="240" w:lineRule="auto"/>
              <w:jc w:val="center"/>
              <w:rPr>
                <w:rFonts w:asciiTheme="minorHAnsi" w:eastAsia="Calibri" w:hAnsiTheme="minorHAnsi" w:cstheme="minorHAnsi"/>
                <w:b/>
                <w:bCs/>
                <w:color w:val="FFFFFF" w:themeColor="background1"/>
                <w:sz w:val="22"/>
              </w:rPr>
            </w:pPr>
            <w:r w:rsidRPr="00B4117D">
              <w:rPr>
                <w:rFonts w:asciiTheme="minorHAnsi" w:eastAsia="Calibri" w:hAnsiTheme="minorHAnsi" w:cstheme="minorHAnsi"/>
                <w:b/>
                <w:bCs/>
                <w:color w:val="FFFFFF" w:themeColor="background1"/>
                <w:sz w:val="22"/>
              </w:rPr>
              <w:t>Climate zone</w:t>
            </w:r>
          </w:p>
        </w:tc>
        <w:tc>
          <w:tcPr>
            <w:tcW w:w="1654" w:type="dxa"/>
            <w:shd w:val="clear" w:color="auto" w:fill="365F91"/>
            <w:vAlign w:val="center"/>
          </w:tcPr>
          <w:p w14:paraId="4AF048A1" w14:textId="77777777" w:rsidR="000B77CF" w:rsidRPr="00B4117D" w:rsidRDefault="000B77CF" w:rsidP="00B4117D">
            <w:pPr>
              <w:spacing w:before="40" w:after="40" w:line="240" w:lineRule="auto"/>
              <w:jc w:val="center"/>
              <w:rPr>
                <w:rFonts w:asciiTheme="minorHAnsi" w:eastAsia="Calibri" w:hAnsiTheme="minorHAnsi" w:cstheme="minorHAnsi"/>
                <w:b/>
                <w:bCs/>
                <w:color w:val="FFFFFF" w:themeColor="background1"/>
                <w:sz w:val="22"/>
              </w:rPr>
            </w:pPr>
            <w:r w:rsidRPr="00B4117D">
              <w:rPr>
                <w:rFonts w:asciiTheme="minorHAnsi" w:eastAsia="Calibri" w:hAnsiTheme="minorHAnsi" w:cstheme="minorHAnsi"/>
                <w:b/>
                <w:bCs/>
                <w:color w:val="FFFFFF" w:themeColor="background1"/>
                <w:sz w:val="22"/>
              </w:rPr>
              <w:t>GTAPP class</w:t>
            </w:r>
          </w:p>
        </w:tc>
      </w:tr>
      <w:tr w:rsidR="000B77CF" w:rsidRPr="00B4117D" w14:paraId="3E7E34C7" w14:textId="77777777" w:rsidTr="00B4117D">
        <w:trPr>
          <w:jc w:val="center"/>
        </w:trPr>
        <w:tc>
          <w:tcPr>
            <w:tcW w:w="1710" w:type="dxa"/>
            <w:vMerge w:val="restart"/>
            <w:shd w:val="clear" w:color="auto" w:fill="B8CCE4"/>
            <w:vAlign w:val="center"/>
          </w:tcPr>
          <w:p w14:paraId="6632FC2E" w14:textId="0F385E2D"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0–59</w:t>
            </w:r>
          </w:p>
        </w:tc>
        <w:tc>
          <w:tcPr>
            <w:tcW w:w="2250" w:type="dxa"/>
            <w:vMerge w:val="restart"/>
            <w:vAlign w:val="center"/>
          </w:tcPr>
          <w:p w14:paraId="4D0160E1"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Arid</w:t>
            </w:r>
          </w:p>
        </w:tc>
        <w:tc>
          <w:tcPr>
            <w:tcW w:w="1890" w:type="dxa"/>
          </w:tcPr>
          <w:p w14:paraId="48EE6E5B"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Tropical</w:t>
            </w:r>
          </w:p>
        </w:tc>
        <w:tc>
          <w:tcPr>
            <w:tcW w:w="1654" w:type="dxa"/>
          </w:tcPr>
          <w:p w14:paraId="7E0C71FF"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AEZ1</w:t>
            </w:r>
          </w:p>
        </w:tc>
      </w:tr>
      <w:tr w:rsidR="000B77CF" w:rsidRPr="00B4117D" w14:paraId="5A2BCD97" w14:textId="77777777" w:rsidTr="00B4117D">
        <w:trPr>
          <w:jc w:val="center"/>
        </w:trPr>
        <w:tc>
          <w:tcPr>
            <w:tcW w:w="1710" w:type="dxa"/>
            <w:vMerge/>
            <w:shd w:val="clear" w:color="auto" w:fill="B8CCE4"/>
            <w:vAlign w:val="center"/>
          </w:tcPr>
          <w:p w14:paraId="0ABB9AED"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2250" w:type="dxa"/>
            <w:vMerge/>
            <w:vAlign w:val="center"/>
          </w:tcPr>
          <w:p w14:paraId="5A332766"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1890" w:type="dxa"/>
          </w:tcPr>
          <w:p w14:paraId="777B61D2"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Temperate</w:t>
            </w:r>
          </w:p>
        </w:tc>
        <w:tc>
          <w:tcPr>
            <w:tcW w:w="1654" w:type="dxa"/>
          </w:tcPr>
          <w:p w14:paraId="5364B976"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AEZ7</w:t>
            </w:r>
          </w:p>
        </w:tc>
      </w:tr>
      <w:tr w:rsidR="000B77CF" w:rsidRPr="00B4117D" w14:paraId="51E0E9BC" w14:textId="77777777" w:rsidTr="00B4117D">
        <w:trPr>
          <w:jc w:val="center"/>
        </w:trPr>
        <w:tc>
          <w:tcPr>
            <w:tcW w:w="1710" w:type="dxa"/>
            <w:vMerge/>
            <w:shd w:val="clear" w:color="auto" w:fill="B8CCE4"/>
            <w:vAlign w:val="center"/>
          </w:tcPr>
          <w:p w14:paraId="5D7AFF02"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2250" w:type="dxa"/>
            <w:vMerge/>
            <w:vAlign w:val="center"/>
          </w:tcPr>
          <w:p w14:paraId="5295D1CF"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1890" w:type="dxa"/>
          </w:tcPr>
          <w:p w14:paraId="589EC31F"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Boreal</w:t>
            </w:r>
          </w:p>
        </w:tc>
        <w:tc>
          <w:tcPr>
            <w:tcW w:w="1654" w:type="dxa"/>
          </w:tcPr>
          <w:p w14:paraId="5DB05CB1"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AEZ13</w:t>
            </w:r>
          </w:p>
        </w:tc>
      </w:tr>
      <w:tr w:rsidR="000B77CF" w:rsidRPr="00B4117D" w14:paraId="5AA49E60" w14:textId="77777777" w:rsidTr="00B4117D">
        <w:trPr>
          <w:jc w:val="center"/>
        </w:trPr>
        <w:tc>
          <w:tcPr>
            <w:tcW w:w="1710" w:type="dxa"/>
            <w:vMerge w:val="restart"/>
            <w:shd w:val="clear" w:color="auto" w:fill="B8CCE4"/>
            <w:vAlign w:val="center"/>
          </w:tcPr>
          <w:p w14:paraId="3C73BFAB" w14:textId="05349C24"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60–119</w:t>
            </w:r>
          </w:p>
        </w:tc>
        <w:tc>
          <w:tcPr>
            <w:tcW w:w="2250" w:type="dxa"/>
            <w:vMerge w:val="restart"/>
            <w:vAlign w:val="center"/>
          </w:tcPr>
          <w:p w14:paraId="3F8CCBF4" w14:textId="4E56C2C2"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Dry semiarid</w:t>
            </w:r>
          </w:p>
        </w:tc>
        <w:tc>
          <w:tcPr>
            <w:tcW w:w="1890" w:type="dxa"/>
          </w:tcPr>
          <w:p w14:paraId="17791866"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Tropical</w:t>
            </w:r>
          </w:p>
        </w:tc>
        <w:tc>
          <w:tcPr>
            <w:tcW w:w="1654" w:type="dxa"/>
          </w:tcPr>
          <w:p w14:paraId="1BA9C2D8"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AEZ2</w:t>
            </w:r>
          </w:p>
        </w:tc>
      </w:tr>
      <w:tr w:rsidR="000B77CF" w:rsidRPr="00B4117D" w14:paraId="2F7DF0EC" w14:textId="77777777" w:rsidTr="00B4117D">
        <w:trPr>
          <w:jc w:val="center"/>
        </w:trPr>
        <w:tc>
          <w:tcPr>
            <w:tcW w:w="1710" w:type="dxa"/>
            <w:vMerge/>
            <w:shd w:val="clear" w:color="auto" w:fill="B8CCE4"/>
            <w:vAlign w:val="center"/>
          </w:tcPr>
          <w:p w14:paraId="785CB4C5"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2250" w:type="dxa"/>
            <w:vMerge/>
            <w:vAlign w:val="center"/>
          </w:tcPr>
          <w:p w14:paraId="178FD8FD"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1890" w:type="dxa"/>
          </w:tcPr>
          <w:p w14:paraId="04841949"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Temperate</w:t>
            </w:r>
          </w:p>
        </w:tc>
        <w:tc>
          <w:tcPr>
            <w:tcW w:w="1654" w:type="dxa"/>
          </w:tcPr>
          <w:p w14:paraId="5ACAC1E9"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AEZ8</w:t>
            </w:r>
          </w:p>
        </w:tc>
      </w:tr>
      <w:tr w:rsidR="000B77CF" w:rsidRPr="00B4117D" w14:paraId="47145B58" w14:textId="77777777" w:rsidTr="00B4117D">
        <w:trPr>
          <w:jc w:val="center"/>
        </w:trPr>
        <w:tc>
          <w:tcPr>
            <w:tcW w:w="1710" w:type="dxa"/>
            <w:vMerge/>
            <w:shd w:val="clear" w:color="auto" w:fill="B8CCE4"/>
            <w:vAlign w:val="center"/>
          </w:tcPr>
          <w:p w14:paraId="0D904915"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2250" w:type="dxa"/>
            <w:vMerge/>
            <w:vAlign w:val="center"/>
          </w:tcPr>
          <w:p w14:paraId="735058B5"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1890" w:type="dxa"/>
          </w:tcPr>
          <w:p w14:paraId="6C680CCA"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Boreal</w:t>
            </w:r>
          </w:p>
        </w:tc>
        <w:tc>
          <w:tcPr>
            <w:tcW w:w="1654" w:type="dxa"/>
          </w:tcPr>
          <w:p w14:paraId="6EBF9718"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AEZ14</w:t>
            </w:r>
          </w:p>
        </w:tc>
      </w:tr>
      <w:tr w:rsidR="000B77CF" w:rsidRPr="00B4117D" w14:paraId="06FC8855" w14:textId="77777777" w:rsidTr="00B4117D">
        <w:trPr>
          <w:cantSplit/>
          <w:jc w:val="center"/>
        </w:trPr>
        <w:tc>
          <w:tcPr>
            <w:tcW w:w="1710" w:type="dxa"/>
            <w:vMerge w:val="restart"/>
            <w:shd w:val="clear" w:color="auto" w:fill="B8CCE4"/>
            <w:vAlign w:val="center"/>
          </w:tcPr>
          <w:p w14:paraId="730120E6" w14:textId="7E22D72B"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120–179</w:t>
            </w:r>
          </w:p>
        </w:tc>
        <w:tc>
          <w:tcPr>
            <w:tcW w:w="2250" w:type="dxa"/>
            <w:vMerge w:val="restart"/>
            <w:vAlign w:val="center"/>
          </w:tcPr>
          <w:p w14:paraId="0D5800E8" w14:textId="19A57B25"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Moist semiarid</w:t>
            </w:r>
          </w:p>
        </w:tc>
        <w:tc>
          <w:tcPr>
            <w:tcW w:w="1890" w:type="dxa"/>
          </w:tcPr>
          <w:p w14:paraId="042786BF"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Tropical</w:t>
            </w:r>
          </w:p>
        </w:tc>
        <w:tc>
          <w:tcPr>
            <w:tcW w:w="1654" w:type="dxa"/>
          </w:tcPr>
          <w:p w14:paraId="7B690548"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AEZ3</w:t>
            </w:r>
          </w:p>
        </w:tc>
      </w:tr>
      <w:tr w:rsidR="000B77CF" w:rsidRPr="00B4117D" w14:paraId="7D01CE4E" w14:textId="77777777" w:rsidTr="00B4117D">
        <w:trPr>
          <w:jc w:val="center"/>
        </w:trPr>
        <w:tc>
          <w:tcPr>
            <w:tcW w:w="1710" w:type="dxa"/>
            <w:vMerge/>
            <w:shd w:val="clear" w:color="auto" w:fill="B8CCE4"/>
            <w:vAlign w:val="center"/>
          </w:tcPr>
          <w:p w14:paraId="2106CB05"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2250" w:type="dxa"/>
            <w:vMerge/>
            <w:vAlign w:val="center"/>
          </w:tcPr>
          <w:p w14:paraId="1CA743C1"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1890" w:type="dxa"/>
          </w:tcPr>
          <w:p w14:paraId="57DEFAC9"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Temperate</w:t>
            </w:r>
          </w:p>
        </w:tc>
        <w:tc>
          <w:tcPr>
            <w:tcW w:w="1654" w:type="dxa"/>
          </w:tcPr>
          <w:p w14:paraId="2047C94A"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AEZ9</w:t>
            </w:r>
          </w:p>
        </w:tc>
      </w:tr>
      <w:tr w:rsidR="000B77CF" w:rsidRPr="00B4117D" w14:paraId="4340D47D" w14:textId="77777777" w:rsidTr="00B4117D">
        <w:trPr>
          <w:jc w:val="center"/>
        </w:trPr>
        <w:tc>
          <w:tcPr>
            <w:tcW w:w="1710" w:type="dxa"/>
            <w:vMerge/>
            <w:shd w:val="clear" w:color="auto" w:fill="B8CCE4"/>
            <w:vAlign w:val="center"/>
          </w:tcPr>
          <w:p w14:paraId="49548FE7"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2250" w:type="dxa"/>
            <w:vMerge/>
            <w:vAlign w:val="center"/>
          </w:tcPr>
          <w:p w14:paraId="4C217DA3"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1890" w:type="dxa"/>
          </w:tcPr>
          <w:p w14:paraId="3BDDC58F"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Boreal</w:t>
            </w:r>
          </w:p>
        </w:tc>
        <w:tc>
          <w:tcPr>
            <w:tcW w:w="1654" w:type="dxa"/>
          </w:tcPr>
          <w:p w14:paraId="45F0D5A4"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AEZ15</w:t>
            </w:r>
          </w:p>
        </w:tc>
      </w:tr>
      <w:tr w:rsidR="000B77CF" w:rsidRPr="00B4117D" w14:paraId="1809AD6F" w14:textId="77777777" w:rsidTr="00B4117D">
        <w:trPr>
          <w:cantSplit/>
          <w:jc w:val="center"/>
        </w:trPr>
        <w:tc>
          <w:tcPr>
            <w:tcW w:w="1710" w:type="dxa"/>
            <w:vMerge w:val="restart"/>
            <w:shd w:val="clear" w:color="auto" w:fill="B8CCE4"/>
            <w:vAlign w:val="center"/>
          </w:tcPr>
          <w:p w14:paraId="29248612" w14:textId="394E273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lastRenderedPageBreak/>
              <w:t>180–239</w:t>
            </w:r>
          </w:p>
        </w:tc>
        <w:tc>
          <w:tcPr>
            <w:tcW w:w="2250" w:type="dxa"/>
            <w:vMerge w:val="restart"/>
            <w:vAlign w:val="center"/>
          </w:tcPr>
          <w:p w14:paraId="79381F07" w14:textId="6694AAE2" w:rsidR="000B77CF" w:rsidRPr="00B4117D" w:rsidRDefault="00DC0DEB"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Sub humid</w:t>
            </w:r>
          </w:p>
        </w:tc>
        <w:tc>
          <w:tcPr>
            <w:tcW w:w="1890" w:type="dxa"/>
          </w:tcPr>
          <w:p w14:paraId="790B3C1C"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Tropical</w:t>
            </w:r>
          </w:p>
        </w:tc>
        <w:tc>
          <w:tcPr>
            <w:tcW w:w="1654" w:type="dxa"/>
          </w:tcPr>
          <w:p w14:paraId="3F0E0604"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AEZ4</w:t>
            </w:r>
          </w:p>
        </w:tc>
      </w:tr>
      <w:tr w:rsidR="000B77CF" w:rsidRPr="00B4117D" w14:paraId="2D69B248" w14:textId="77777777" w:rsidTr="00B4117D">
        <w:trPr>
          <w:jc w:val="center"/>
        </w:trPr>
        <w:tc>
          <w:tcPr>
            <w:tcW w:w="1710" w:type="dxa"/>
            <w:vMerge/>
            <w:shd w:val="clear" w:color="auto" w:fill="B8CCE4"/>
            <w:vAlign w:val="center"/>
          </w:tcPr>
          <w:p w14:paraId="464F36F8"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2250" w:type="dxa"/>
            <w:vMerge/>
            <w:vAlign w:val="center"/>
          </w:tcPr>
          <w:p w14:paraId="67FC920C"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1890" w:type="dxa"/>
          </w:tcPr>
          <w:p w14:paraId="5F7BBAE9"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Temperate</w:t>
            </w:r>
          </w:p>
        </w:tc>
        <w:tc>
          <w:tcPr>
            <w:tcW w:w="1654" w:type="dxa"/>
          </w:tcPr>
          <w:p w14:paraId="28BE73B5"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AEZ10</w:t>
            </w:r>
          </w:p>
        </w:tc>
      </w:tr>
      <w:tr w:rsidR="000B77CF" w:rsidRPr="00B4117D" w14:paraId="0CB9D678" w14:textId="77777777" w:rsidTr="00B4117D">
        <w:trPr>
          <w:jc w:val="center"/>
        </w:trPr>
        <w:tc>
          <w:tcPr>
            <w:tcW w:w="1710" w:type="dxa"/>
            <w:vMerge/>
            <w:shd w:val="clear" w:color="auto" w:fill="B8CCE4"/>
            <w:vAlign w:val="center"/>
          </w:tcPr>
          <w:p w14:paraId="4AE95197"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2250" w:type="dxa"/>
            <w:vMerge/>
            <w:vAlign w:val="center"/>
          </w:tcPr>
          <w:p w14:paraId="73EBFB19"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1890" w:type="dxa"/>
          </w:tcPr>
          <w:p w14:paraId="3F0CE7D7"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Boreal</w:t>
            </w:r>
          </w:p>
        </w:tc>
        <w:tc>
          <w:tcPr>
            <w:tcW w:w="1654" w:type="dxa"/>
          </w:tcPr>
          <w:p w14:paraId="6D270363"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AEZ16</w:t>
            </w:r>
          </w:p>
        </w:tc>
      </w:tr>
      <w:tr w:rsidR="000B77CF" w:rsidRPr="00B4117D" w14:paraId="1CD8E92A" w14:textId="77777777" w:rsidTr="00B4117D">
        <w:trPr>
          <w:jc w:val="center"/>
        </w:trPr>
        <w:tc>
          <w:tcPr>
            <w:tcW w:w="1710" w:type="dxa"/>
            <w:vMerge w:val="restart"/>
            <w:shd w:val="clear" w:color="auto" w:fill="B8CCE4"/>
            <w:vAlign w:val="center"/>
          </w:tcPr>
          <w:p w14:paraId="5065637A" w14:textId="1E5C4594"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240–299</w:t>
            </w:r>
          </w:p>
        </w:tc>
        <w:tc>
          <w:tcPr>
            <w:tcW w:w="2250" w:type="dxa"/>
            <w:vMerge w:val="restart"/>
            <w:vAlign w:val="center"/>
          </w:tcPr>
          <w:p w14:paraId="5CA62DC3"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Humid</w:t>
            </w:r>
          </w:p>
        </w:tc>
        <w:tc>
          <w:tcPr>
            <w:tcW w:w="1890" w:type="dxa"/>
          </w:tcPr>
          <w:p w14:paraId="6E368800"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Tropical</w:t>
            </w:r>
          </w:p>
        </w:tc>
        <w:tc>
          <w:tcPr>
            <w:tcW w:w="1654" w:type="dxa"/>
          </w:tcPr>
          <w:p w14:paraId="3D0C5300"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AEZ5</w:t>
            </w:r>
          </w:p>
        </w:tc>
      </w:tr>
      <w:tr w:rsidR="000B77CF" w:rsidRPr="00B4117D" w14:paraId="39C7099D" w14:textId="77777777" w:rsidTr="00B4117D">
        <w:trPr>
          <w:jc w:val="center"/>
        </w:trPr>
        <w:tc>
          <w:tcPr>
            <w:tcW w:w="1710" w:type="dxa"/>
            <w:vMerge/>
            <w:shd w:val="clear" w:color="auto" w:fill="B8CCE4"/>
            <w:vAlign w:val="center"/>
          </w:tcPr>
          <w:p w14:paraId="4875B2A5"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2250" w:type="dxa"/>
            <w:vMerge/>
            <w:vAlign w:val="center"/>
          </w:tcPr>
          <w:p w14:paraId="66533B3B"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1890" w:type="dxa"/>
          </w:tcPr>
          <w:p w14:paraId="221437BA"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Temperate</w:t>
            </w:r>
          </w:p>
        </w:tc>
        <w:tc>
          <w:tcPr>
            <w:tcW w:w="1654" w:type="dxa"/>
          </w:tcPr>
          <w:p w14:paraId="7CAAA69F"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AEZ11</w:t>
            </w:r>
          </w:p>
        </w:tc>
      </w:tr>
      <w:tr w:rsidR="000B77CF" w:rsidRPr="00B4117D" w14:paraId="07F888D2" w14:textId="77777777" w:rsidTr="00B4117D">
        <w:trPr>
          <w:jc w:val="center"/>
        </w:trPr>
        <w:tc>
          <w:tcPr>
            <w:tcW w:w="1710" w:type="dxa"/>
            <w:vMerge/>
            <w:shd w:val="clear" w:color="auto" w:fill="B8CCE4"/>
            <w:vAlign w:val="center"/>
          </w:tcPr>
          <w:p w14:paraId="23C89C96"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2250" w:type="dxa"/>
            <w:vMerge/>
            <w:vAlign w:val="center"/>
          </w:tcPr>
          <w:p w14:paraId="622BE415" w14:textId="77777777" w:rsidR="000B77CF" w:rsidRPr="00B4117D" w:rsidRDefault="000B77CF" w:rsidP="00B4117D">
            <w:pPr>
              <w:spacing w:before="20" w:after="20" w:line="240" w:lineRule="auto"/>
              <w:jc w:val="center"/>
              <w:rPr>
                <w:rFonts w:asciiTheme="minorHAnsi" w:eastAsia="Calibri" w:hAnsiTheme="minorHAnsi" w:cstheme="minorHAnsi"/>
                <w:bCs/>
                <w:sz w:val="22"/>
              </w:rPr>
            </w:pPr>
          </w:p>
        </w:tc>
        <w:tc>
          <w:tcPr>
            <w:tcW w:w="1890" w:type="dxa"/>
          </w:tcPr>
          <w:p w14:paraId="48D9DF4E"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Boreal</w:t>
            </w:r>
          </w:p>
        </w:tc>
        <w:tc>
          <w:tcPr>
            <w:tcW w:w="1654" w:type="dxa"/>
          </w:tcPr>
          <w:p w14:paraId="69589FD4"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AEZ17</w:t>
            </w:r>
          </w:p>
        </w:tc>
      </w:tr>
      <w:tr w:rsidR="000B77CF" w:rsidRPr="00B4117D" w14:paraId="53BD4819" w14:textId="77777777" w:rsidTr="00B4117D">
        <w:trPr>
          <w:jc w:val="center"/>
        </w:trPr>
        <w:tc>
          <w:tcPr>
            <w:tcW w:w="1710" w:type="dxa"/>
            <w:vMerge w:val="restart"/>
            <w:shd w:val="clear" w:color="auto" w:fill="B8CCE4"/>
            <w:vAlign w:val="center"/>
          </w:tcPr>
          <w:p w14:paraId="64A59CFB"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&gt;300 days</w:t>
            </w:r>
          </w:p>
        </w:tc>
        <w:tc>
          <w:tcPr>
            <w:tcW w:w="2250" w:type="dxa"/>
            <w:vMerge w:val="restart"/>
            <w:vAlign w:val="center"/>
          </w:tcPr>
          <w:p w14:paraId="408427F8"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Humid; year-round growing season</w:t>
            </w:r>
          </w:p>
        </w:tc>
        <w:tc>
          <w:tcPr>
            <w:tcW w:w="1890" w:type="dxa"/>
          </w:tcPr>
          <w:p w14:paraId="28FE2651"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Tropical</w:t>
            </w:r>
          </w:p>
        </w:tc>
        <w:tc>
          <w:tcPr>
            <w:tcW w:w="1654" w:type="dxa"/>
          </w:tcPr>
          <w:p w14:paraId="3910C75F"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AEZ6</w:t>
            </w:r>
          </w:p>
        </w:tc>
      </w:tr>
      <w:tr w:rsidR="000B77CF" w:rsidRPr="00B4117D" w14:paraId="2DBB19DB" w14:textId="77777777" w:rsidTr="003B3425">
        <w:trPr>
          <w:jc w:val="center"/>
        </w:trPr>
        <w:tc>
          <w:tcPr>
            <w:tcW w:w="1710" w:type="dxa"/>
            <w:vMerge/>
            <w:shd w:val="clear" w:color="auto" w:fill="B8CCE4"/>
          </w:tcPr>
          <w:p w14:paraId="1F83D6F4" w14:textId="77777777" w:rsidR="000B77CF" w:rsidRPr="00B4117D" w:rsidRDefault="000B77CF" w:rsidP="00B4117D">
            <w:pPr>
              <w:spacing w:before="20" w:after="20" w:line="240" w:lineRule="auto"/>
              <w:jc w:val="left"/>
              <w:rPr>
                <w:rFonts w:asciiTheme="minorHAnsi" w:eastAsia="Calibri" w:hAnsiTheme="minorHAnsi" w:cstheme="minorHAnsi"/>
                <w:bCs/>
                <w:sz w:val="22"/>
              </w:rPr>
            </w:pPr>
          </w:p>
        </w:tc>
        <w:tc>
          <w:tcPr>
            <w:tcW w:w="2250" w:type="dxa"/>
            <w:vMerge/>
          </w:tcPr>
          <w:p w14:paraId="1FDA0963" w14:textId="77777777" w:rsidR="000B77CF" w:rsidRPr="00B4117D" w:rsidRDefault="000B77CF" w:rsidP="00B4117D">
            <w:pPr>
              <w:spacing w:before="20" w:after="20" w:line="240" w:lineRule="auto"/>
              <w:jc w:val="left"/>
              <w:rPr>
                <w:rFonts w:asciiTheme="minorHAnsi" w:eastAsia="Calibri" w:hAnsiTheme="minorHAnsi" w:cstheme="minorHAnsi"/>
                <w:bCs/>
                <w:sz w:val="22"/>
              </w:rPr>
            </w:pPr>
          </w:p>
        </w:tc>
        <w:tc>
          <w:tcPr>
            <w:tcW w:w="1890" w:type="dxa"/>
          </w:tcPr>
          <w:p w14:paraId="0AA6DE07"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Temperate</w:t>
            </w:r>
          </w:p>
        </w:tc>
        <w:tc>
          <w:tcPr>
            <w:tcW w:w="1654" w:type="dxa"/>
          </w:tcPr>
          <w:p w14:paraId="3EA07BD3"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AEZ12</w:t>
            </w:r>
          </w:p>
        </w:tc>
      </w:tr>
      <w:tr w:rsidR="000B77CF" w:rsidRPr="00B4117D" w14:paraId="6FD9C571" w14:textId="77777777" w:rsidTr="003B3425">
        <w:trPr>
          <w:jc w:val="center"/>
        </w:trPr>
        <w:tc>
          <w:tcPr>
            <w:tcW w:w="1710" w:type="dxa"/>
            <w:vMerge/>
            <w:shd w:val="clear" w:color="auto" w:fill="B8CCE4"/>
          </w:tcPr>
          <w:p w14:paraId="7DDBB5FB" w14:textId="77777777" w:rsidR="000B77CF" w:rsidRPr="00B4117D" w:rsidRDefault="000B77CF" w:rsidP="00B4117D">
            <w:pPr>
              <w:spacing w:before="20" w:after="20" w:line="240" w:lineRule="auto"/>
              <w:jc w:val="left"/>
              <w:rPr>
                <w:rFonts w:asciiTheme="minorHAnsi" w:eastAsia="Calibri" w:hAnsiTheme="minorHAnsi" w:cstheme="minorHAnsi"/>
                <w:bCs/>
                <w:sz w:val="22"/>
              </w:rPr>
            </w:pPr>
          </w:p>
        </w:tc>
        <w:tc>
          <w:tcPr>
            <w:tcW w:w="2250" w:type="dxa"/>
            <w:vMerge/>
          </w:tcPr>
          <w:p w14:paraId="70E14CB3" w14:textId="77777777" w:rsidR="000B77CF" w:rsidRPr="00B4117D" w:rsidRDefault="000B77CF" w:rsidP="00B4117D">
            <w:pPr>
              <w:spacing w:before="20" w:after="20" w:line="240" w:lineRule="auto"/>
              <w:jc w:val="left"/>
              <w:rPr>
                <w:rFonts w:asciiTheme="minorHAnsi" w:eastAsia="Calibri" w:hAnsiTheme="minorHAnsi" w:cstheme="minorHAnsi"/>
                <w:bCs/>
                <w:sz w:val="22"/>
              </w:rPr>
            </w:pPr>
          </w:p>
        </w:tc>
        <w:tc>
          <w:tcPr>
            <w:tcW w:w="1890" w:type="dxa"/>
          </w:tcPr>
          <w:p w14:paraId="0E486C3C"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Boreal</w:t>
            </w:r>
          </w:p>
        </w:tc>
        <w:tc>
          <w:tcPr>
            <w:tcW w:w="1654" w:type="dxa"/>
          </w:tcPr>
          <w:p w14:paraId="0B6D015B" w14:textId="77777777" w:rsidR="000B77CF" w:rsidRPr="00B4117D" w:rsidRDefault="000B77CF" w:rsidP="00B4117D">
            <w:pPr>
              <w:spacing w:before="20" w:after="20" w:line="240" w:lineRule="auto"/>
              <w:jc w:val="center"/>
              <w:rPr>
                <w:rFonts w:asciiTheme="minorHAnsi" w:eastAsia="Calibri" w:hAnsiTheme="minorHAnsi" w:cstheme="minorHAnsi"/>
                <w:bCs/>
                <w:sz w:val="22"/>
              </w:rPr>
            </w:pPr>
            <w:r w:rsidRPr="00B4117D">
              <w:rPr>
                <w:rFonts w:asciiTheme="minorHAnsi" w:eastAsia="Calibri" w:hAnsiTheme="minorHAnsi" w:cstheme="minorHAnsi"/>
                <w:bCs/>
                <w:sz w:val="22"/>
              </w:rPr>
              <w:t>AEZ18</w:t>
            </w:r>
          </w:p>
        </w:tc>
      </w:tr>
    </w:tbl>
    <w:p w14:paraId="66FA0C83" w14:textId="77777777" w:rsidR="00BA2083" w:rsidRPr="001C3EDC" w:rsidRDefault="00BA2083" w:rsidP="00BA2083">
      <w:pPr>
        <w:pStyle w:val="Source"/>
        <w:spacing w:after="60"/>
      </w:pPr>
      <w:r w:rsidRPr="001C3EDC">
        <w:t>Note: LGP = Length of Growing Period.</w:t>
      </w:r>
    </w:p>
    <w:p w14:paraId="0A852722" w14:textId="4D0DFDE5" w:rsidR="001E3127" w:rsidRPr="001C3EDC" w:rsidRDefault="0040694C" w:rsidP="00BA2083">
      <w:pPr>
        <w:pStyle w:val="Source"/>
      </w:pPr>
      <w:r w:rsidRPr="001C3EDC">
        <w:t>Source: GTAP</w:t>
      </w:r>
      <w:r w:rsidR="0006676D" w:rsidRPr="001C3EDC">
        <w:t>.</w:t>
      </w:r>
    </w:p>
    <w:p w14:paraId="313AF5DB" w14:textId="268DB793" w:rsidR="001E3127" w:rsidRPr="001C3EDC" w:rsidRDefault="004F4A2C" w:rsidP="00CA5CD0">
      <w:pPr>
        <w:pStyle w:val="BodyText"/>
        <w:tabs>
          <w:tab w:val="left" w:pos="720"/>
        </w:tabs>
        <w:spacing w:before="120"/>
        <w:ind w:left="0" w:firstLine="0"/>
      </w:pPr>
      <w:r w:rsidRPr="001C3EDC">
        <w:rPr>
          <w:b/>
          <w:i/>
        </w:rPr>
        <w:t xml:space="preserve">Figure </w:t>
      </w:r>
      <w:r w:rsidR="00774BAB" w:rsidRPr="001C3EDC">
        <w:rPr>
          <w:b/>
          <w:i/>
        </w:rPr>
        <w:t>6</w:t>
      </w:r>
      <w:r w:rsidRPr="001C3EDC">
        <w:rPr>
          <w:bCs/>
          <w:i/>
          <w:iCs/>
        </w:rPr>
        <w:t xml:space="preserve"> </w:t>
      </w:r>
      <w:r w:rsidR="001E3127" w:rsidRPr="001C3EDC">
        <w:t xml:space="preserve">displays the model structure for various land use. </w:t>
      </w:r>
      <w:r w:rsidR="002B6E9E" w:rsidRPr="001C3EDC">
        <w:rPr>
          <w:b/>
          <w:i/>
        </w:rPr>
        <w:t>Table 2</w:t>
      </w:r>
      <w:r w:rsidR="002B6E9E" w:rsidRPr="001C3EDC">
        <w:rPr>
          <w:bCs/>
          <w:iCs/>
        </w:rPr>
        <w:t xml:space="preserve"> </w:t>
      </w:r>
      <w:r w:rsidR="001E3127" w:rsidRPr="001C3EDC">
        <w:t>maps AEZs in Bulgaria based on the GTAP-FAO-IIASA classification for global AEZs. AEZ9 (</w:t>
      </w:r>
      <w:r w:rsidR="00214C9F" w:rsidRPr="001C3EDC">
        <w:t>t</w:t>
      </w:r>
      <w:r w:rsidR="001E3127" w:rsidRPr="001C3EDC">
        <w:t>emperate-moist-semiarid) covers most of the country while AEZ10 represents mostly the Western regions</w:t>
      </w:r>
      <w:r w:rsidR="00C450CD" w:rsidRPr="001C3EDC">
        <w:t xml:space="preserve"> (</w:t>
      </w:r>
      <w:r w:rsidR="00C450CD" w:rsidRPr="001C3EDC">
        <w:rPr>
          <w:b/>
          <w:bCs/>
          <w:i/>
          <w:iCs/>
        </w:rPr>
        <w:t>Figure 11</w:t>
      </w:r>
      <w:r w:rsidR="00C450CD" w:rsidRPr="001C3EDC">
        <w:t>)</w:t>
      </w:r>
      <w:r w:rsidR="001E3127" w:rsidRPr="001C3EDC">
        <w:t>.</w:t>
      </w:r>
    </w:p>
    <w:p w14:paraId="50F3B30F" w14:textId="0011DEF0" w:rsidR="00683DD4" w:rsidRPr="001C3EDC" w:rsidRDefault="00683DD4" w:rsidP="00CA5CD0">
      <w:pPr>
        <w:pStyle w:val="BodyText"/>
        <w:tabs>
          <w:tab w:val="left" w:pos="720"/>
        </w:tabs>
        <w:ind w:left="0" w:firstLine="0"/>
        <w:rPr>
          <w:b/>
          <w:bCs/>
          <w:i/>
          <w:iCs/>
        </w:rPr>
      </w:pPr>
      <w:r w:rsidRPr="001C3EDC">
        <w:t>Besides, land productivity which is captured through the AEZ approach, analysis of the climate impact on agriculture in the country necessitates a good understanding of the country’s seasonal and long-term climate patterns.</w:t>
      </w:r>
      <w:r w:rsidR="00CB62AC" w:rsidRPr="001C3EDC">
        <w:t xml:space="preserve"> </w:t>
      </w:r>
      <w:r w:rsidRPr="001C3EDC">
        <w:t xml:space="preserve">The expected variations in </w:t>
      </w:r>
      <w:r w:rsidR="005739E2" w:rsidRPr="001C3EDC">
        <w:t xml:space="preserve">duration of </w:t>
      </w:r>
      <w:r w:rsidR="00042159" w:rsidRPr="001C3EDC">
        <w:t xml:space="preserve">the </w:t>
      </w:r>
      <w:r w:rsidR="005739E2" w:rsidRPr="001C3EDC">
        <w:t xml:space="preserve">growing </w:t>
      </w:r>
      <w:r w:rsidRPr="001C3EDC">
        <w:t xml:space="preserve">season are introduced </w:t>
      </w:r>
      <w:r w:rsidR="006F188C" w:rsidRPr="001C3EDC">
        <w:t xml:space="preserve">in </w:t>
      </w:r>
      <w:r w:rsidRPr="001C3EDC">
        <w:t xml:space="preserve">the model as total productivity loss in the agriculture sector based on </w:t>
      </w:r>
      <w:r w:rsidR="001F20A2" w:rsidRPr="001C3EDC">
        <w:t>the estimates from Roson and</w:t>
      </w:r>
      <w:r w:rsidRPr="001C3EDC">
        <w:t xml:space="preserve"> </w:t>
      </w:r>
      <w:r w:rsidR="00C450CD" w:rsidRPr="001C3EDC">
        <w:t>Sartori</w:t>
      </w:r>
      <w:r w:rsidRPr="001C3EDC">
        <w:t xml:space="preserve"> (</w:t>
      </w:r>
      <w:r w:rsidR="00E87F92" w:rsidRPr="001C3EDC">
        <w:t>2016</w:t>
      </w:r>
      <w:r w:rsidRPr="001C3EDC">
        <w:t>).</w:t>
      </w:r>
    </w:p>
    <w:p w14:paraId="3DF6965F" w14:textId="6D4EC6F8" w:rsidR="001E3127" w:rsidRPr="001C3EDC" w:rsidRDefault="00B67DAF" w:rsidP="004F7F4A">
      <w:pPr>
        <w:pStyle w:val="Caption"/>
        <w:spacing w:before="200"/>
        <w:rPr>
          <w:rFonts w:ascii="Calibri" w:hAnsi="Calibri"/>
          <w:i/>
          <w:color w:val="44546A"/>
          <w:sz w:val="22"/>
          <w:szCs w:val="18"/>
        </w:rPr>
      </w:pPr>
      <w:bookmarkStart w:id="58" w:name="_Toc486875537"/>
      <w:bookmarkStart w:id="59" w:name="_Toc505612583"/>
      <w:bookmarkStart w:id="60" w:name="_Toc522036480"/>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9</w:t>
      </w:r>
      <w:r w:rsidR="001B7905" w:rsidRPr="001C3EDC">
        <w:rPr>
          <w:rFonts w:ascii="Calibri" w:hAnsi="Calibri"/>
          <w:i/>
          <w:color w:val="44546A"/>
          <w:sz w:val="22"/>
          <w:szCs w:val="18"/>
        </w:rPr>
        <w:fldChar w:fldCharType="end"/>
      </w:r>
      <w:r w:rsidR="00450282" w:rsidRPr="001C3EDC">
        <w:rPr>
          <w:rFonts w:ascii="Calibri" w:hAnsi="Calibri"/>
          <w:i/>
          <w:color w:val="44546A"/>
          <w:sz w:val="22"/>
          <w:szCs w:val="18"/>
        </w:rPr>
        <w:t>.</w:t>
      </w:r>
      <w:r w:rsidR="001E3127" w:rsidRPr="001C3EDC">
        <w:rPr>
          <w:rFonts w:ascii="Calibri" w:hAnsi="Calibri"/>
          <w:i/>
          <w:color w:val="44546A"/>
          <w:sz w:val="22"/>
          <w:szCs w:val="18"/>
        </w:rPr>
        <w:t xml:space="preserve"> Land supply in </w:t>
      </w:r>
      <w:r w:rsidR="00AC43F9" w:rsidRPr="001C3EDC">
        <w:rPr>
          <w:rFonts w:ascii="Calibri" w:hAnsi="Calibri"/>
          <w:i/>
          <w:color w:val="44546A"/>
          <w:sz w:val="22"/>
          <w:szCs w:val="18"/>
        </w:rPr>
        <w:t xml:space="preserve">the </w:t>
      </w:r>
      <w:r w:rsidR="001E3127" w:rsidRPr="001C3EDC">
        <w:rPr>
          <w:rFonts w:ascii="Calibri" w:hAnsi="Calibri"/>
          <w:i/>
          <w:color w:val="44546A"/>
          <w:sz w:val="22"/>
          <w:szCs w:val="18"/>
        </w:rPr>
        <w:t>Bulgaria CGE</w:t>
      </w:r>
      <w:bookmarkEnd w:id="58"/>
      <w:bookmarkEnd w:id="59"/>
      <w:r w:rsidR="00AC43F9" w:rsidRPr="001C3EDC">
        <w:rPr>
          <w:rFonts w:ascii="Calibri" w:hAnsi="Calibri"/>
          <w:i/>
          <w:color w:val="44546A"/>
          <w:sz w:val="22"/>
          <w:szCs w:val="18"/>
        </w:rPr>
        <w:t xml:space="preserve"> model</w:t>
      </w:r>
      <w:bookmarkEnd w:id="60"/>
    </w:p>
    <w:p w14:paraId="37F37CC0" w14:textId="6E79BFAE" w:rsidR="001E3127" w:rsidRPr="001C3EDC" w:rsidRDefault="000B77CF" w:rsidP="000B77CF">
      <w:pPr>
        <w:jc w:val="center"/>
        <w:rPr>
          <w:rFonts w:cs="Times New Roman"/>
          <w:szCs w:val="24"/>
        </w:rPr>
      </w:pPr>
      <w:r w:rsidRPr="001C3EDC">
        <w:rPr>
          <w:rFonts w:ascii="Calibri" w:eastAsia="Calibri" w:hAnsi="Calibri" w:cs="Arial"/>
          <w:noProof/>
          <w:sz w:val="22"/>
        </w:rPr>
        <w:drawing>
          <wp:inline distT="0" distB="0" distL="0" distR="0" wp14:anchorId="4FBB70DE" wp14:editId="46A8370D">
            <wp:extent cx="3181739" cy="2380138"/>
            <wp:effectExtent l="19050" t="19050" r="19050" b="203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4877" cy="2389966"/>
                    </a:xfrm>
                    <a:prstGeom prst="rect">
                      <a:avLst/>
                    </a:prstGeom>
                    <a:ln w="6350">
                      <a:solidFill>
                        <a:srgbClr val="5B9BD5"/>
                      </a:solidFill>
                    </a:ln>
                  </pic:spPr>
                </pic:pic>
              </a:graphicData>
            </a:graphic>
          </wp:inline>
        </w:drawing>
      </w:r>
    </w:p>
    <w:p w14:paraId="291CC17D" w14:textId="5D6FD492" w:rsidR="001E3127" w:rsidRPr="001C3EDC" w:rsidRDefault="001E3127" w:rsidP="00166A66">
      <w:pPr>
        <w:pStyle w:val="BodyText"/>
        <w:tabs>
          <w:tab w:val="left" w:pos="720"/>
        </w:tabs>
        <w:spacing w:before="200"/>
        <w:ind w:left="0" w:firstLine="0"/>
      </w:pPr>
      <w:r w:rsidRPr="001C3EDC">
        <w:t>The competition for land</w:t>
      </w:r>
      <w:r w:rsidR="008F46D6" w:rsidRPr="001C3EDC">
        <w:t xml:space="preserve"> use in agriculture</w:t>
      </w:r>
      <w:r w:rsidRPr="001C3EDC">
        <w:t xml:space="preserve"> takes place </w:t>
      </w:r>
      <w:r w:rsidR="00C50697" w:rsidRPr="001C3EDC">
        <w:t>between the five</w:t>
      </w:r>
      <w:r w:rsidRPr="001C3EDC">
        <w:t xml:space="preserve"> AEZ</w:t>
      </w:r>
      <w:r w:rsidR="00C50697" w:rsidRPr="001C3EDC">
        <w:t xml:space="preserve">s </w:t>
      </w:r>
      <w:r w:rsidR="00EE0AC3" w:rsidRPr="001C3EDC">
        <w:t>(</w:t>
      </w:r>
      <w:r w:rsidR="007C1BD0" w:rsidRPr="001C3EDC">
        <w:t>s</w:t>
      </w:r>
      <w:r w:rsidRPr="001C3EDC">
        <w:t xml:space="preserve">ee </w:t>
      </w:r>
      <w:r w:rsidR="00A86D73" w:rsidRPr="001C3EDC">
        <w:rPr>
          <w:b/>
          <w:i/>
        </w:rPr>
        <w:t xml:space="preserve">Figure </w:t>
      </w:r>
      <w:r w:rsidR="006D4585" w:rsidRPr="001C3EDC">
        <w:rPr>
          <w:b/>
          <w:i/>
        </w:rPr>
        <w:t>9</w:t>
      </w:r>
      <w:r w:rsidRPr="001C3EDC">
        <w:t xml:space="preserve">) while competition for labor and capital takes place at the national level. </w:t>
      </w:r>
      <w:r w:rsidR="00C56989" w:rsidRPr="001C3EDC">
        <w:t xml:space="preserve">Beyond land, </w:t>
      </w:r>
      <w:r w:rsidR="006C6DED" w:rsidRPr="001C3EDC">
        <w:t xml:space="preserve">the </w:t>
      </w:r>
      <w:r w:rsidR="006B4AB5" w:rsidRPr="001C3EDC">
        <w:t>agricultur</w:t>
      </w:r>
      <w:r w:rsidR="008E24E5" w:rsidRPr="001C3EDC">
        <w:t>e</w:t>
      </w:r>
      <w:r w:rsidR="006B4AB5" w:rsidRPr="001C3EDC">
        <w:t xml:space="preserve"> </w:t>
      </w:r>
      <w:r w:rsidR="00C56989" w:rsidRPr="001C3EDC">
        <w:t>s</w:t>
      </w:r>
      <w:r w:rsidRPr="001C3EDC">
        <w:t>ector demand</w:t>
      </w:r>
      <w:r w:rsidR="006C6DED" w:rsidRPr="001C3EDC">
        <w:t>s</w:t>
      </w:r>
      <w:r w:rsidRPr="001C3EDC">
        <w:t xml:space="preserve"> labor, capital, and natural resources such as water, minerals, fish</w:t>
      </w:r>
      <w:r w:rsidR="001A0ECE" w:rsidRPr="001C3EDC">
        <w:t>,</w:t>
      </w:r>
      <w:r w:rsidRPr="001C3EDC">
        <w:t xml:space="preserve"> and forest.</w:t>
      </w:r>
      <w:r w:rsidR="00CB62AC" w:rsidRPr="001C3EDC">
        <w:t xml:space="preserve"> </w:t>
      </w:r>
      <w:r w:rsidR="008F46D6" w:rsidRPr="001C3EDC">
        <w:t xml:space="preserve">Land that is not used in agriculture is assumed to be </w:t>
      </w:r>
      <w:r w:rsidR="001E79DE" w:rsidRPr="001C3EDC">
        <w:t xml:space="preserve">used for livestock or </w:t>
      </w:r>
      <w:r w:rsidR="008F46D6" w:rsidRPr="001C3EDC">
        <w:t>covered by forests.</w:t>
      </w:r>
      <w:r w:rsidR="00CB62AC" w:rsidRPr="001C3EDC">
        <w:t xml:space="preserve"> </w:t>
      </w:r>
      <w:r w:rsidR="006C6DED" w:rsidRPr="001C3EDC">
        <w:t>Use of e</w:t>
      </w:r>
      <w:r w:rsidRPr="001C3EDC">
        <w:t xml:space="preserve">ach factor of production is determined in a specific way: labor and capital are imperfect substitutes and mobile between sectors while land </w:t>
      </w:r>
      <w:r w:rsidR="00C56989" w:rsidRPr="001C3EDC">
        <w:t xml:space="preserve">is </w:t>
      </w:r>
      <w:r w:rsidRPr="001C3EDC">
        <w:t xml:space="preserve">used </w:t>
      </w:r>
      <w:r w:rsidR="00C56989" w:rsidRPr="001C3EDC">
        <w:t xml:space="preserve">only for </w:t>
      </w:r>
      <w:r w:rsidRPr="001C3EDC">
        <w:t>crop production, forestry</w:t>
      </w:r>
      <w:r w:rsidR="004B2E26" w:rsidRPr="001C3EDC">
        <w:t>,</w:t>
      </w:r>
      <w:r w:rsidRPr="001C3EDC">
        <w:t xml:space="preserve"> or livestock. </w:t>
      </w:r>
    </w:p>
    <w:p w14:paraId="25B3ACA9" w14:textId="7BC363A1" w:rsidR="0020393A" w:rsidRPr="001C3EDC" w:rsidRDefault="00B85813" w:rsidP="00B4117D">
      <w:pPr>
        <w:pStyle w:val="Heading3"/>
        <w:spacing w:before="160" w:after="60"/>
      </w:pPr>
      <w:bookmarkStart w:id="61" w:name="_Toc510004090"/>
      <w:bookmarkStart w:id="62" w:name="_Toc522036458"/>
      <w:r w:rsidRPr="001C3EDC">
        <w:lastRenderedPageBreak/>
        <w:t>2.4.1. Land</w:t>
      </w:r>
      <w:r w:rsidR="00BC4D25" w:rsidRPr="001C3EDC">
        <w:t xml:space="preserve"> </w:t>
      </w:r>
      <w:r w:rsidR="004B2E26" w:rsidRPr="001C3EDC">
        <w:t>d</w:t>
      </w:r>
      <w:r w:rsidR="0020393A" w:rsidRPr="001C3EDC">
        <w:t>atabase construction</w:t>
      </w:r>
      <w:bookmarkEnd w:id="61"/>
      <w:bookmarkEnd w:id="62"/>
    </w:p>
    <w:p w14:paraId="78F38E68" w14:textId="008914C5" w:rsidR="0020393A" w:rsidRPr="001C3EDC" w:rsidRDefault="0020393A" w:rsidP="00CA5CD0">
      <w:pPr>
        <w:pStyle w:val="BodyText"/>
        <w:tabs>
          <w:tab w:val="left" w:pos="720"/>
        </w:tabs>
        <w:ind w:left="0" w:firstLine="0"/>
      </w:pPr>
      <w:r w:rsidRPr="001C3EDC">
        <w:t>The GTAP 9 Land Use and Land Cover Data Base builds on global land cover and land use databases, as well as global forestry data.</w:t>
      </w:r>
      <w:r w:rsidR="00CB62AC" w:rsidRPr="001C3EDC">
        <w:t xml:space="preserve"> </w:t>
      </w:r>
      <w:r w:rsidRPr="001C3EDC">
        <w:t>In keeping with the multiyear release of version 9, the land cover and land use database is updated to repr</w:t>
      </w:r>
      <w:r w:rsidR="003D455A" w:rsidRPr="001C3EDC">
        <w:t xml:space="preserve">esent 2011 as shown in </w:t>
      </w:r>
      <w:r w:rsidR="003D455A" w:rsidRPr="001C3EDC">
        <w:rPr>
          <w:b/>
          <w:bCs/>
          <w:i/>
          <w:iCs/>
        </w:rPr>
        <w:t xml:space="preserve">Figure </w:t>
      </w:r>
      <w:r w:rsidRPr="001C3EDC">
        <w:rPr>
          <w:b/>
          <w:bCs/>
          <w:i/>
          <w:iCs/>
        </w:rPr>
        <w:t>10</w:t>
      </w:r>
      <w:r w:rsidRPr="001C3EDC">
        <w:t>.</w:t>
      </w:r>
      <w:r w:rsidR="00CB62AC" w:rsidRPr="001C3EDC">
        <w:t xml:space="preserve"> </w:t>
      </w:r>
      <w:r w:rsidRPr="001C3EDC">
        <w:t>This global dataset was tailored to include multiple sources of land and water use at the R</w:t>
      </w:r>
      <w:r w:rsidR="00856DEC" w:rsidRPr="001C3EDC">
        <w:t>B</w:t>
      </w:r>
      <w:r w:rsidRPr="001C3EDC">
        <w:t xml:space="preserve"> and AEZ levels for Bulgaria using the most detailed and complete databases.</w:t>
      </w:r>
    </w:p>
    <w:p w14:paraId="476AFF16" w14:textId="6C97DEEA" w:rsidR="0020393A" w:rsidRPr="001C3EDC" w:rsidRDefault="0020393A" w:rsidP="004F7F4A">
      <w:pPr>
        <w:pStyle w:val="Caption"/>
        <w:spacing w:before="200"/>
        <w:rPr>
          <w:rFonts w:ascii="Calibri" w:hAnsi="Calibri"/>
          <w:i/>
          <w:color w:val="44546A"/>
          <w:sz w:val="22"/>
          <w:szCs w:val="18"/>
        </w:rPr>
      </w:pPr>
      <w:bookmarkStart w:id="63" w:name="_Toc522036481"/>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10</w:t>
      </w:r>
      <w:r w:rsidR="001B7905" w:rsidRPr="001C3EDC">
        <w:rPr>
          <w:rFonts w:ascii="Calibri" w:hAnsi="Calibri"/>
          <w:i/>
          <w:color w:val="44546A"/>
          <w:sz w:val="22"/>
          <w:szCs w:val="18"/>
        </w:rPr>
        <w:fldChar w:fldCharType="end"/>
      </w:r>
      <w:r w:rsidRPr="001C3EDC">
        <w:rPr>
          <w:rFonts w:ascii="Calibri" w:hAnsi="Calibri"/>
          <w:i/>
          <w:color w:val="44546A"/>
          <w:sz w:val="22"/>
          <w:szCs w:val="18"/>
        </w:rPr>
        <w:t>. Global AEZs</w:t>
      </w:r>
      <w:bookmarkEnd w:id="63"/>
    </w:p>
    <w:p w14:paraId="6EC8B785" w14:textId="5ED0E5D1" w:rsidR="0020393A" w:rsidRPr="001C3EDC" w:rsidRDefault="0020393A" w:rsidP="00B4117D">
      <w:pPr>
        <w:spacing w:after="0" w:line="240" w:lineRule="auto"/>
        <w:jc w:val="center"/>
        <w:rPr>
          <w:rFonts w:cs="Times New Roman"/>
          <w:szCs w:val="24"/>
        </w:rPr>
      </w:pPr>
      <w:r w:rsidRPr="001C3EDC">
        <w:rPr>
          <w:rFonts w:cs="Times New Roman"/>
          <w:noProof/>
          <w:szCs w:val="24"/>
        </w:rPr>
        <w:drawing>
          <wp:inline distT="0" distB="0" distL="0" distR="0" wp14:anchorId="20132F3D" wp14:editId="0A84CF90">
            <wp:extent cx="5666381" cy="2721935"/>
            <wp:effectExtent l="19050" t="19050" r="10795" b="2159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6265" b="3757"/>
                    <a:stretch/>
                  </pic:blipFill>
                  <pic:spPr bwMode="auto">
                    <a:xfrm>
                      <a:off x="0" y="0"/>
                      <a:ext cx="5666381" cy="2721935"/>
                    </a:xfrm>
                    <a:prstGeom prst="rect">
                      <a:avLst/>
                    </a:prstGeom>
                    <a:noFill/>
                    <a:ln w="6350">
                      <a:solidFill>
                        <a:srgbClr val="5B9BD5"/>
                      </a:solidFill>
                    </a:ln>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p>
    <w:p w14:paraId="6257B540" w14:textId="49606AF4" w:rsidR="00455A20" w:rsidRPr="001C3EDC" w:rsidRDefault="00455A20" w:rsidP="00BA2083">
      <w:pPr>
        <w:pStyle w:val="Source"/>
      </w:pPr>
      <w:r w:rsidRPr="001C3EDC">
        <w:t>Source: Lee et al. (2005)</w:t>
      </w:r>
    </w:p>
    <w:p w14:paraId="253562ED" w14:textId="24CD3318" w:rsidR="0020393A" w:rsidRPr="001C3EDC" w:rsidRDefault="0020393A" w:rsidP="00B4117D">
      <w:pPr>
        <w:pStyle w:val="BodyText"/>
        <w:tabs>
          <w:tab w:val="left" w:pos="720"/>
        </w:tabs>
        <w:spacing w:before="120" w:after="60"/>
        <w:ind w:left="0" w:firstLine="0"/>
      </w:pPr>
      <w:r w:rsidRPr="001C3EDC">
        <w:t>Procedures followed in updating the land cover data were</w:t>
      </w:r>
      <w:r w:rsidR="00F449C3" w:rsidRPr="001C3EDC">
        <w:t xml:space="preserve"> the following</w:t>
      </w:r>
      <w:r w:rsidRPr="001C3EDC">
        <w:t>:</w:t>
      </w:r>
    </w:p>
    <w:p w14:paraId="0C20F073" w14:textId="0F033ADD" w:rsidR="0020393A" w:rsidRPr="001C3EDC" w:rsidRDefault="0020393A" w:rsidP="00B4117D">
      <w:pPr>
        <w:pStyle w:val="ListParagraph"/>
        <w:numPr>
          <w:ilvl w:val="0"/>
          <w:numId w:val="13"/>
        </w:numPr>
        <w:spacing w:line="276" w:lineRule="auto"/>
        <w:ind w:left="835" w:hanging="475"/>
        <w:contextualSpacing w:val="0"/>
        <w:rPr>
          <w:rFonts w:cs="Times New Roman"/>
          <w:szCs w:val="24"/>
        </w:rPr>
      </w:pPr>
      <w:r w:rsidRPr="001C3EDC">
        <w:rPr>
          <w:rFonts w:cs="Times New Roman"/>
          <w:b/>
          <w:bCs/>
          <w:szCs w:val="24"/>
        </w:rPr>
        <w:t>Aggregation and normalization of agriculture and built-up land cover.</w:t>
      </w:r>
      <w:r w:rsidRPr="001C3EDC">
        <w:rPr>
          <w:rFonts w:cs="Times New Roman"/>
          <w:szCs w:val="24"/>
        </w:rPr>
        <w:t xml:space="preserve"> Within each 0.5 </w:t>
      </w:r>
      <w:r w:rsidR="00F449C3" w:rsidRPr="001C3EDC">
        <w:rPr>
          <w:rFonts w:cs="Times New Roman"/>
          <w:szCs w:val="24"/>
        </w:rPr>
        <w:t>×</w:t>
      </w:r>
      <w:r w:rsidRPr="001C3EDC">
        <w:rPr>
          <w:rFonts w:cs="Times New Roman"/>
          <w:szCs w:val="24"/>
        </w:rPr>
        <w:t xml:space="preserve"> 0.5</w:t>
      </w:r>
      <w:r w:rsidR="00B81B02" w:rsidRPr="001C3EDC">
        <w:rPr>
          <w:rFonts w:cs="Times New Roman"/>
          <w:szCs w:val="24"/>
        </w:rPr>
        <w:t xml:space="preserve"> </w:t>
      </w:r>
      <w:r w:rsidRPr="001C3EDC">
        <w:rPr>
          <w:rFonts w:cs="Times New Roman"/>
          <w:szCs w:val="24"/>
        </w:rPr>
        <w:t>degree grid cell</w:t>
      </w:r>
      <w:r w:rsidR="006C6DED" w:rsidRPr="001C3EDC">
        <w:rPr>
          <w:rFonts w:cs="Times New Roman"/>
          <w:szCs w:val="24"/>
        </w:rPr>
        <w:t>,</w:t>
      </w:r>
      <w:r w:rsidRPr="001C3EDC">
        <w:rPr>
          <w:rFonts w:cs="Times New Roman"/>
          <w:szCs w:val="24"/>
        </w:rPr>
        <w:t xml:space="preserve"> the percentage of land cover for croplands, pasturelands</w:t>
      </w:r>
      <w:r w:rsidR="00F449C3" w:rsidRPr="001C3EDC">
        <w:rPr>
          <w:rFonts w:cs="Times New Roman"/>
          <w:szCs w:val="24"/>
        </w:rPr>
        <w:t>,</w:t>
      </w:r>
      <w:r w:rsidRPr="001C3EDC">
        <w:rPr>
          <w:rFonts w:cs="Times New Roman"/>
          <w:szCs w:val="24"/>
        </w:rPr>
        <w:t xml:space="preserve"> and built-up lands were added. Grid</w:t>
      </w:r>
      <w:r w:rsidR="00F449C3" w:rsidRPr="001C3EDC">
        <w:rPr>
          <w:rFonts w:cs="Times New Roman"/>
          <w:szCs w:val="24"/>
        </w:rPr>
        <w:t xml:space="preserve"> </w:t>
      </w:r>
      <w:r w:rsidRPr="001C3EDC">
        <w:rPr>
          <w:rFonts w:cs="Times New Roman"/>
          <w:szCs w:val="24"/>
        </w:rPr>
        <w:t>cells wherein the combined agriculture and built-up land cover exceeded 100 percent were normalized to ensure that the sum of land cover for these cells does not exceed 100 percent.</w:t>
      </w:r>
    </w:p>
    <w:p w14:paraId="66B510CA" w14:textId="706C8B65" w:rsidR="0020393A" w:rsidRPr="001C3EDC" w:rsidRDefault="0020393A" w:rsidP="00B4117D">
      <w:pPr>
        <w:pStyle w:val="ListParagraph"/>
        <w:numPr>
          <w:ilvl w:val="0"/>
          <w:numId w:val="13"/>
        </w:numPr>
        <w:spacing w:line="276" w:lineRule="auto"/>
        <w:ind w:left="835" w:hanging="475"/>
        <w:contextualSpacing w:val="0"/>
        <w:rPr>
          <w:rFonts w:cs="Times New Roman"/>
          <w:szCs w:val="24"/>
        </w:rPr>
      </w:pPr>
      <w:r w:rsidRPr="001C3EDC">
        <w:rPr>
          <w:rFonts w:cs="Times New Roman"/>
          <w:b/>
          <w:bCs/>
          <w:szCs w:val="24"/>
        </w:rPr>
        <w:t>Derivation of the ‘residual’ land cover and its allocation to other land cover types</w:t>
      </w:r>
      <w:r w:rsidRPr="001C3EDC">
        <w:rPr>
          <w:rFonts w:cs="Times New Roman"/>
          <w:b/>
          <w:szCs w:val="24"/>
        </w:rPr>
        <w:t>.</w:t>
      </w:r>
      <w:r w:rsidRPr="001C3EDC">
        <w:rPr>
          <w:rFonts w:cs="Times New Roman"/>
          <w:szCs w:val="24"/>
        </w:rPr>
        <w:t xml:space="preserve"> The ‘residual’ land cover was calculated by deducting the normalized land cover of agricultural and built-up lands from grid</w:t>
      </w:r>
      <w:r w:rsidR="00F449C3" w:rsidRPr="001C3EDC">
        <w:rPr>
          <w:rFonts w:cs="Times New Roman"/>
          <w:szCs w:val="24"/>
        </w:rPr>
        <w:t xml:space="preserve"> </w:t>
      </w:r>
      <w:r w:rsidRPr="001C3EDC">
        <w:rPr>
          <w:rFonts w:cs="Times New Roman"/>
          <w:szCs w:val="24"/>
        </w:rPr>
        <w:t>cells with uniform value of 100 percent. The ‘residual’ land cover was then allocated to grasslands, forests, shrub</w:t>
      </w:r>
      <w:r w:rsidR="00DC0DEB" w:rsidRPr="001C3EDC">
        <w:rPr>
          <w:rFonts w:cs="Times New Roman"/>
          <w:szCs w:val="24"/>
        </w:rPr>
        <w:t xml:space="preserve"> </w:t>
      </w:r>
      <w:r w:rsidRPr="001C3EDC">
        <w:rPr>
          <w:rFonts w:cs="Times New Roman"/>
          <w:szCs w:val="24"/>
        </w:rPr>
        <w:t>lands</w:t>
      </w:r>
      <w:r w:rsidR="002F3C62" w:rsidRPr="001C3EDC">
        <w:rPr>
          <w:rFonts w:cs="Times New Roman"/>
          <w:szCs w:val="24"/>
        </w:rPr>
        <w:t>,</w:t>
      </w:r>
      <w:r w:rsidRPr="001C3EDC">
        <w:rPr>
          <w:rFonts w:cs="Times New Roman"/>
          <w:szCs w:val="24"/>
        </w:rPr>
        <w:t xml:space="preserve"> and other lands using the Global Maps of Potential Vegetation. </w:t>
      </w:r>
    </w:p>
    <w:p w14:paraId="4B520B3F" w14:textId="15A5A6E2" w:rsidR="0020393A" w:rsidRPr="001C3EDC" w:rsidRDefault="0020393A" w:rsidP="00B4117D">
      <w:pPr>
        <w:pStyle w:val="ListParagraph"/>
        <w:numPr>
          <w:ilvl w:val="0"/>
          <w:numId w:val="13"/>
        </w:numPr>
        <w:spacing w:line="276" w:lineRule="auto"/>
        <w:ind w:left="835" w:hanging="475"/>
        <w:contextualSpacing w:val="0"/>
        <w:rPr>
          <w:rFonts w:cs="Times New Roman"/>
          <w:szCs w:val="24"/>
        </w:rPr>
      </w:pPr>
      <w:r w:rsidRPr="001C3EDC">
        <w:rPr>
          <w:rFonts w:cs="Times New Roman"/>
          <w:b/>
          <w:bCs/>
          <w:szCs w:val="24"/>
        </w:rPr>
        <w:t>Conversion of the fractional land cover data into actual area of land cover</w:t>
      </w:r>
      <w:r w:rsidRPr="001C3EDC">
        <w:rPr>
          <w:rFonts w:cs="Times New Roman"/>
          <w:b/>
          <w:szCs w:val="24"/>
        </w:rPr>
        <w:t>.</w:t>
      </w:r>
      <w:r w:rsidRPr="001C3EDC">
        <w:rPr>
          <w:rFonts w:cs="Times New Roman"/>
          <w:szCs w:val="24"/>
        </w:rPr>
        <w:t xml:space="preserve"> To derive the grid-cell</w:t>
      </w:r>
      <w:r w:rsidR="002F3C62" w:rsidRPr="001C3EDC">
        <w:rPr>
          <w:rFonts w:cs="Times New Roman"/>
          <w:szCs w:val="24"/>
        </w:rPr>
        <w:t>-</w:t>
      </w:r>
      <w:r w:rsidRPr="001C3EDC">
        <w:rPr>
          <w:rFonts w:cs="Times New Roman"/>
          <w:szCs w:val="24"/>
        </w:rPr>
        <w:t xml:space="preserve">level areas for the different land cover types, a global map of the surface area of the earth was used. </w:t>
      </w:r>
    </w:p>
    <w:p w14:paraId="25863F03" w14:textId="0EFFDFF5" w:rsidR="0020393A" w:rsidRPr="001C3EDC" w:rsidRDefault="0020393A" w:rsidP="00B4117D">
      <w:pPr>
        <w:pStyle w:val="ListParagraph"/>
        <w:numPr>
          <w:ilvl w:val="0"/>
          <w:numId w:val="13"/>
        </w:numPr>
        <w:spacing w:line="276" w:lineRule="auto"/>
        <w:ind w:left="835" w:hanging="475"/>
        <w:contextualSpacing w:val="0"/>
        <w:rPr>
          <w:rFonts w:cs="Times New Roman"/>
          <w:szCs w:val="24"/>
        </w:rPr>
      </w:pPr>
      <w:r w:rsidRPr="001C3EDC">
        <w:rPr>
          <w:rFonts w:cs="Times New Roman"/>
          <w:b/>
          <w:bCs/>
          <w:szCs w:val="24"/>
        </w:rPr>
        <w:t>Aggregation of land cover areas by AEZ and by country.</w:t>
      </w:r>
      <w:r w:rsidRPr="001C3EDC">
        <w:rPr>
          <w:rFonts w:cs="Times New Roman"/>
          <w:szCs w:val="24"/>
        </w:rPr>
        <w:t xml:space="preserve"> The grid-cell</w:t>
      </w:r>
      <w:r w:rsidR="002F3C62" w:rsidRPr="001C3EDC">
        <w:rPr>
          <w:rFonts w:cs="Times New Roman"/>
          <w:szCs w:val="24"/>
        </w:rPr>
        <w:t>-</w:t>
      </w:r>
      <w:r w:rsidRPr="001C3EDC">
        <w:rPr>
          <w:rFonts w:cs="Times New Roman"/>
          <w:szCs w:val="24"/>
        </w:rPr>
        <w:t>level areas for different land cover types were aggregated by overlaying the land cover maps with a map of global AEZs and countries.</w:t>
      </w:r>
    </w:p>
    <w:p w14:paraId="2A2C28BD" w14:textId="5F976D87" w:rsidR="0020393A" w:rsidRPr="001C3EDC" w:rsidRDefault="0020393A" w:rsidP="00724F7C">
      <w:pPr>
        <w:pStyle w:val="ListParagraph"/>
        <w:numPr>
          <w:ilvl w:val="0"/>
          <w:numId w:val="13"/>
        </w:numPr>
        <w:spacing w:after="120" w:line="276" w:lineRule="auto"/>
        <w:ind w:left="835" w:hanging="475"/>
        <w:contextualSpacing w:val="0"/>
        <w:rPr>
          <w:rFonts w:cs="Times New Roman"/>
          <w:szCs w:val="24"/>
        </w:rPr>
      </w:pPr>
      <w:r w:rsidRPr="001C3EDC">
        <w:rPr>
          <w:rFonts w:cs="Times New Roman"/>
          <w:b/>
          <w:bCs/>
          <w:szCs w:val="24"/>
        </w:rPr>
        <w:t>Calculati</w:t>
      </w:r>
      <w:r w:rsidR="002F3C62" w:rsidRPr="001C3EDC">
        <w:rPr>
          <w:rFonts w:cs="Times New Roman"/>
          <w:b/>
          <w:bCs/>
          <w:szCs w:val="24"/>
        </w:rPr>
        <w:t>on of</w:t>
      </w:r>
      <w:r w:rsidRPr="001C3EDC">
        <w:rPr>
          <w:rFonts w:cs="Times New Roman"/>
          <w:b/>
          <w:bCs/>
          <w:szCs w:val="24"/>
        </w:rPr>
        <w:t xml:space="preserve"> accessible forest area by AEZ and by country.</w:t>
      </w:r>
      <w:r w:rsidRPr="001C3EDC">
        <w:rPr>
          <w:rFonts w:cs="Times New Roman"/>
          <w:szCs w:val="24"/>
        </w:rPr>
        <w:t xml:space="preserve"> To derive the accessible forest area by AEZ and by country, the aggregated forest area data w</w:t>
      </w:r>
      <w:r w:rsidR="002F3C62" w:rsidRPr="001C3EDC">
        <w:rPr>
          <w:rFonts w:cs="Times New Roman"/>
          <w:szCs w:val="24"/>
        </w:rPr>
        <w:t>ere</w:t>
      </w:r>
      <w:r w:rsidRPr="001C3EDC">
        <w:rPr>
          <w:rFonts w:cs="Times New Roman"/>
          <w:szCs w:val="24"/>
        </w:rPr>
        <w:t xml:space="preserve"> </w:t>
      </w:r>
      <w:r w:rsidRPr="001C3EDC">
        <w:rPr>
          <w:rFonts w:cs="Times New Roman"/>
          <w:szCs w:val="24"/>
        </w:rPr>
        <w:lastRenderedPageBreak/>
        <w:t xml:space="preserve">weighted by the share of accessible forests in total forest area by AEZ and by country. These shares were taken from </w:t>
      </w:r>
      <w:r w:rsidR="00042159" w:rsidRPr="001C3EDC">
        <w:rPr>
          <w:rFonts w:cs="Times New Roman"/>
          <w:szCs w:val="24"/>
        </w:rPr>
        <w:t xml:space="preserve">the </w:t>
      </w:r>
      <w:r w:rsidRPr="001C3EDC">
        <w:rPr>
          <w:rFonts w:cs="Times New Roman"/>
          <w:szCs w:val="24"/>
        </w:rPr>
        <w:t>GTAP 6 land cover database.</w:t>
      </w:r>
    </w:p>
    <w:p w14:paraId="01BBEEA0" w14:textId="6BC18B7C" w:rsidR="00B85813" w:rsidRPr="001C3EDC" w:rsidRDefault="00B85813" w:rsidP="00CF5E1E">
      <w:pPr>
        <w:pStyle w:val="Heading3"/>
        <w:spacing w:before="160" w:after="60"/>
      </w:pPr>
      <w:bookmarkStart w:id="64" w:name="_Toc510004091"/>
      <w:bookmarkStart w:id="65" w:name="_Toc522036459"/>
      <w:r w:rsidRPr="001C3EDC">
        <w:t xml:space="preserve">2.4.2. Water </w:t>
      </w:r>
      <w:r w:rsidR="00D777E0" w:rsidRPr="001C3EDC">
        <w:t>d</w:t>
      </w:r>
      <w:r w:rsidRPr="001C3EDC">
        <w:t>atabase construction</w:t>
      </w:r>
      <w:bookmarkEnd w:id="64"/>
      <w:bookmarkEnd w:id="65"/>
    </w:p>
    <w:p w14:paraId="7B239B8B" w14:textId="21153F78" w:rsidR="0020393A" w:rsidRPr="001C3EDC" w:rsidRDefault="0020393A" w:rsidP="00CA5CD0">
      <w:pPr>
        <w:pStyle w:val="BodyText"/>
        <w:tabs>
          <w:tab w:val="left" w:pos="720"/>
        </w:tabs>
        <w:ind w:left="0" w:firstLine="0"/>
      </w:pPr>
      <w:r w:rsidRPr="001C3EDC">
        <w:t xml:space="preserve">The process of </w:t>
      </w:r>
      <w:r w:rsidR="001E79DE" w:rsidRPr="001C3EDC">
        <w:t xml:space="preserve">incorporating </w:t>
      </w:r>
      <w:r w:rsidRPr="001C3EDC">
        <w:t xml:space="preserve">water </w:t>
      </w:r>
      <w:r w:rsidR="006C6DED" w:rsidRPr="001C3EDC">
        <w:t xml:space="preserve">in </w:t>
      </w:r>
      <w:r w:rsidR="001E79DE" w:rsidRPr="001C3EDC">
        <w:t xml:space="preserve">the Bulgaria model </w:t>
      </w:r>
      <w:r w:rsidRPr="001C3EDC">
        <w:t xml:space="preserve">as a factor of production starts with the underlying GTAP-AEZ database </w:t>
      </w:r>
      <w:r w:rsidR="00D777E0" w:rsidRPr="001C3EDC">
        <w:t xml:space="preserve">that </w:t>
      </w:r>
      <w:r w:rsidRPr="001C3EDC">
        <w:t xml:space="preserve">identifies land located in various agroecological </w:t>
      </w:r>
      <w:r w:rsidR="00042159" w:rsidRPr="001C3EDC">
        <w:t xml:space="preserve">areas </w:t>
      </w:r>
      <w:r w:rsidRPr="001C3EDC">
        <w:t xml:space="preserve">and </w:t>
      </w:r>
      <w:r w:rsidR="006C6DED" w:rsidRPr="001C3EDC">
        <w:t xml:space="preserve">its </w:t>
      </w:r>
      <w:r w:rsidRPr="001C3EDC">
        <w:t>uses (sectors).</w:t>
      </w:r>
      <w:r w:rsidR="00CB62AC" w:rsidRPr="001C3EDC">
        <w:t xml:space="preserve"> </w:t>
      </w:r>
      <w:r w:rsidRPr="001C3EDC">
        <w:t>It helps remember that when splitting the GTAP sectoral land rents into AEZs, land rent is tied to the harvested area, instead of the physically cultivated area.</w:t>
      </w:r>
      <w:r w:rsidR="00CB62AC" w:rsidRPr="001C3EDC">
        <w:t xml:space="preserve"> </w:t>
      </w:r>
      <w:r w:rsidRPr="001C3EDC">
        <w:t>In other words, in the GTAP economic accounts for each country, land rents are generated from the activity on a given parcel of land during the calendar year.</w:t>
      </w:r>
      <w:r w:rsidR="00CB62AC" w:rsidRPr="001C3EDC">
        <w:t xml:space="preserve"> </w:t>
      </w:r>
      <w:r w:rsidRPr="001C3EDC">
        <w:t>Therefore, the value of the land in production over the course of the entire year is what is important.</w:t>
      </w:r>
      <w:r w:rsidR="00CB62AC" w:rsidRPr="001C3EDC">
        <w:t xml:space="preserve"> </w:t>
      </w:r>
      <w:r w:rsidRPr="001C3EDC">
        <w:t>The GTAP sectoral land rents are first split into 18 AEZs</w:t>
      </w:r>
      <w:r w:rsidR="00792480" w:rsidRPr="001C3EDC">
        <w:rPr>
          <w:rStyle w:val="FootnoteReference"/>
          <w:sz w:val="24"/>
        </w:rPr>
        <w:footnoteReference w:id="3"/>
      </w:r>
      <w:r w:rsidRPr="001C3EDC">
        <w:t xml:space="preserve"> according to the AEZ-specific production shares as derived from multiple sources. </w:t>
      </w:r>
    </w:p>
    <w:p w14:paraId="0670B736" w14:textId="77777777" w:rsidR="0020393A" w:rsidRPr="001C3EDC" w:rsidRDefault="0020393A" w:rsidP="00CF5E1E">
      <w:pPr>
        <w:pStyle w:val="BodyText"/>
        <w:tabs>
          <w:tab w:val="left" w:pos="720"/>
        </w:tabs>
        <w:spacing w:after="60"/>
        <w:ind w:left="0" w:firstLine="0"/>
      </w:pPr>
      <w:r w:rsidRPr="001C3EDC">
        <w:t xml:space="preserve">The above method is used in conjunction with the following formula to split the GTAP sectoral land rents into 18 AEZs and then add water as factor of production. </w:t>
      </w:r>
    </w:p>
    <w:p w14:paraId="552FE5D7" w14:textId="77777777" w:rsidR="0020393A" w:rsidRPr="001C3EDC" w:rsidRDefault="00460389" w:rsidP="00CF5E1E">
      <w:pPr>
        <w:pStyle w:val="BodyText"/>
        <w:numPr>
          <w:ilvl w:val="0"/>
          <w:numId w:val="0"/>
        </w:numPr>
        <w:autoSpaceDE w:val="0"/>
        <w:autoSpaceDN w:val="0"/>
        <w:adjustRightInd w:val="0"/>
        <w:spacing w:after="0"/>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cs</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c</m:t>
              </m:r>
            </m:sub>
          </m:sSub>
          <m:d>
            <m:dPr>
              <m:begChr m:val="["/>
              <m:endChr m:val="]"/>
              <m:ctrlPr>
                <w:rPr>
                  <w:rFonts w:ascii="Cambria Math" w:hAnsi="Cambria Math" w:cstheme="minorHAnsi"/>
                  <w:i/>
                </w:rPr>
              </m:ctrlPr>
            </m:dPr>
            <m:e>
              <m:nary>
                <m:naryPr>
                  <m:chr m:val="∑"/>
                  <m:limLoc m:val="subSup"/>
                  <m:supHide m:val="1"/>
                  <m:ctrlPr>
                    <w:rPr>
                      <w:rFonts w:ascii="Cambria Math" w:hAnsi="Cambria Math" w:cstheme="minorHAnsi"/>
                      <w:i/>
                    </w:rPr>
                  </m:ctrlPr>
                </m:naryPr>
                <m:sub>
                  <m:r>
                    <w:rPr>
                      <w:rFonts w:ascii="Cambria Math" w:hAnsi="Cambria Math" w:cstheme="minorHAnsi"/>
                    </w:rPr>
                    <m:t>i∈c</m:t>
                  </m:r>
                </m:sub>
                <m:sup/>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ia</m:t>
                      </m:r>
                    </m:sub>
                  </m:sSub>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ia</m:t>
                      </m:r>
                    </m:sub>
                  </m:sSub>
                  <m:r>
                    <w:rPr>
                      <w:rFonts w:ascii="Cambria Math" w:hAnsi="Cambria Math" w:cstheme="minorHAnsi"/>
                    </w:rPr>
                    <m:t>/</m:t>
                  </m:r>
                  <m:nary>
                    <m:naryPr>
                      <m:chr m:val="∑"/>
                      <m:limLoc m:val="subSup"/>
                      <m:supHide m:val="1"/>
                      <m:ctrlPr>
                        <w:rPr>
                          <w:rFonts w:ascii="Cambria Math" w:hAnsi="Cambria Math" w:cstheme="minorHAnsi"/>
                          <w:i/>
                        </w:rPr>
                      </m:ctrlPr>
                    </m:naryPr>
                    <m:sub>
                      <m:r>
                        <w:rPr>
                          <w:rFonts w:ascii="Cambria Math" w:hAnsi="Cambria Math" w:cstheme="minorHAnsi"/>
                        </w:rPr>
                        <m:t>a∈AEZ</m:t>
                      </m:r>
                    </m:sub>
                    <m:sup/>
                    <m:e>
                      <m:nary>
                        <m:naryPr>
                          <m:chr m:val="∑"/>
                          <m:limLoc m:val="subSup"/>
                          <m:supHide m:val="1"/>
                          <m:ctrlPr>
                            <w:rPr>
                              <w:rFonts w:ascii="Cambria Math" w:hAnsi="Cambria Math" w:cstheme="minorHAnsi"/>
                              <w:i/>
                            </w:rPr>
                          </m:ctrlPr>
                        </m:naryPr>
                        <m:sub>
                          <m:r>
                            <w:rPr>
                              <w:rFonts w:ascii="Cambria Math" w:hAnsi="Cambria Math" w:cstheme="minorHAnsi"/>
                            </w:rPr>
                            <m:t>i∈c</m:t>
                          </m:r>
                        </m:sub>
                        <m:sup/>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ia</m:t>
                              </m:r>
                            </m:sub>
                          </m:sSub>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ia</m:t>
                              </m:r>
                            </m:sub>
                          </m:sSub>
                        </m:e>
                      </m:nary>
                    </m:e>
                  </m:nary>
                </m:e>
              </m:nary>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SH</m:t>
              </m:r>
            </m:e>
            <m:sub>
              <m:r>
                <w:rPr>
                  <w:rFonts w:ascii="Cambria Math" w:hAnsi="Cambria Math" w:cstheme="minorHAnsi"/>
                </w:rPr>
                <m:t>ws</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SH</m:t>
              </m:r>
            </m:e>
            <m:sub>
              <m:r>
                <w:rPr>
                  <w:rFonts w:ascii="Cambria Math" w:hAnsi="Cambria Math" w:cstheme="minorHAnsi"/>
                </w:rPr>
                <m:t>rb</m:t>
              </m:r>
            </m:sub>
          </m:sSub>
        </m:oMath>
      </m:oMathPara>
    </w:p>
    <w:p w14:paraId="29914917" w14:textId="108A35D4" w:rsidR="0020393A" w:rsidRPr="001C3EDC" w:rsidRDefault="0006676D" w:rsidP="00CF5E1E">
      <w:pPr>
        <w:pStyle w:val="BodyText"/>
        <w:numPr>
          <w:ilvl w:val="0"/>
          <w:numId w:val="0"/>
        </w:numPr>
        <w:autoSpaceDE w:val="0"/>
        <w:autoSpaceDN w:val="0"/>
        <w:adjustRightInd w:val="0"/>
        <w:spacing w:after="40"/>
      </w:pPr>
      <w:r w:rsidRPr="001C3EDC">
        <w:t>Where:</w:t>
      </w:r>
    </w:p>
    <w:p w14:paraId="45ADC4FB" w14:textId="1320EE07" w:rsidR="0020393A" w:rsidRPr="001C3EDC" w:rsidRDefault="0020393A" w:rsidP="00CF5E1E">
      <w:pPr>
        <w:pStyle w:val="BodyText"/>
        <w:numPr>
          <w:ilvl w:val="0"/>
          <w:numId w:val="0"/>
        </w:numPr>
        <w:autoSpaceDE w:val="0"/>
        <w:autoSpaceDN w:val="0"/>
        <w:adjustRightInd w:val="0"/>
        <w:spacing w:after="40"/>
        <w:ind w:firstLine="397"/>
        <w:rPr>
          <w:sz w:val="20"/>
          <w:szCs w:val="20"/>
        </w:rPr>
      </w:pPr>
      <w:r w:rsidRPr="001C3EDC">
        <w:rPr>
          <w:i/>
          <w:sz w:val="20"/>
          <w:szCs w:val="20"/>
        </w:rPr>
        <w:t>R</w:t>
      </w:r>
      <w:r w:rsidR="00084F98" w:rsidRPr="001C3EDC">
        <w:rPr>
          <w:i/>
          <w:sz w:val="20"/>
          <w:szCs w:val="20"/>
          <w:vertAlign w:val="subscript"/>
        </w:rPr>
        <w:t>cs</w:t>
      </w:r>
      <w:r w:rsidRPr="001C3EDC">
        <w:rPr>
          <w:sz w:val="20"/>
          <w:szCs w:val="20"/>
        </w:rPr>
        <w:tab/>
        <w:t xml:space="preserve">is the land rent accrued to GTAP sector </w:t>
      </w:r>
      <w:r w:rsidRPr="001C3EDC">
        <w:rPr>
          <w:i/>
          <w:sz w:val="20"/>
          <w:szCs w:val="20"/>
        </w:rPr>
        <w:t>c</w:t>
      </w:r>
      <w:r w:rsidRPr="001C3EDC">
        <w:rPr>
          <w:sz w:val="20"/>
          <w:szCs w:val="20"/>
        </w:rPr>
        <w:t xml:space="preserve"> in AEZ </w:t>
      </w:r>
      <w:r w:rsidRPr="001C3EDC">
        <w:rPr>
          <w:i/>
          <w:sz w:val="20"/>
          <w:szCs w:val="20"/>
        </w:rPr>
        <w:t>a</w:t>
      </w:r>
      <w:r w:rsidRPr="001C3EDC">
        <w:rPr>
          <w:sz w:val="20"/>
          <w:szCs w:val="20"/>
        </w:rPr>
        <w:t>;</w:t>
      </w:r>
    </w:p>
    <w:p w14:paraId="366AB1EB" w14:textId="29B4C8A5" w:rsidR="0020393A" w:rsidRPr="001C3EDC" w:rsidRDefault="0020393A" w:rsidP="00CF5E1E">
      <w:pPr>
        <w:pStyle w:val="BodyText"/>
        <w:numPr>
          <w:ilvl w:val="0"/>
          <w:numId w:val="0"/>
        </w:numPr>
        <w:autoSpaceDE w:val="0"/>
        <w:autoSpaceDN w:val="0"/>
        <w:adjustRightInd w:val="0"/>
        <w:spacing w:after="40"/>
        <w:ind w:left="810" w:hanging="413"/>
        <w:rPr>
          <w:sz w:val="20"/>
          <w:szCs w:val="20"/>
        </w:rPr>
      </w:pPr>
      <w:r w:rsidRPr="001C3EDC">
        <w:rPr>
          <w:i/>
          <w:sz w:val="20"/>
          <w:szCs w:val="20"/>
        </w:rPr>
        <w:t>R</w:t>
      </w:r>
      <w:r w:rsidRPr="001C3EDC">
        <w:rPr>
          <w:i/>
          <w:sz w:val="20"/>
          <w:szCs w:val="20"/>
          <w:vertAlign w:val="subscript"/>
        </w:rPr>
        <w:t>c</w:t>
      </w:r>
      <w:r w:rsidRPr="001C3EDC">
        <w:rPr>
          <w:sz w:val="20"/>
          <w:szCs w:val="20"/>
        </w:rPr>
        <w:tab/>
        <w:t xml:space="preserve">is the total land rent of GTAP crop sector </w:t>
      </w:r>
      <w:r w:rsidRPr="001C3EDC">
        <w:rPr>
          <w:i/>
          <w:sz w:val="20"/>
          <w:szCs w:val="20"/>
        </w:rPr>
        <w:t>c</w:t>
      </w:r>
      <w:r w:rsidRPr="001C3EDC">
        <w:rPr>
          <w:sz w:val="20"/>
          <w:szCs w:val="20"/>
        </w:rPr>
        <w:t>, (no AEZ distinction here, VFM</w:t>
      </w:r>
      <w:r w:rsidR="00F1038E" w:rsidRPr="001C3EDC">
        <w:rPr>
          <w:sz w:val="20"/>
          <w:szCs w:val="20"/>
        </w:rPr>
        <w:t xml:space="preserve"> - Value of Firm Purchases at Market prices -</w:t>
      </w:r>
      <w:r w:rsidRPr="001C3EDC">
        <w:rPr>
          <w:sz w:val="20"/>
          <w:szCs w:val="20"/>
        </w:rPr>
        <w:t xml:space="preserve"> header in GTAP);</w:t>
      </w:r>
    </w:p>
    <w:p w14:paraId="36384AF4" w14:textId="473099A3" w:rsidR="0020393A" w:rsidRPr="001C3EDC" w:rsidRDefault="0020393A" w:rsidP="00CF5E1E">
      <w:pPr>
        <w:pStyle w:val="BodyText"/>
        <w:numPr>
          <w:ilvl w:val="0"/>
          <w:numId w:val="0"/>
        </w:numPr>
        <w:autoSpaceDE w:val="0"/>
        <w:autoSpaceDN w:val="0"/>
        <w:adjustRightInd w:val="0"/>
        <w:spacing w:after="40"/>
        <w:ind w:firstLine="397"/>
        <w:rPr>
          <w:sz w:val="20"/>
          <w:szCs w:val="20"/>
        </w:rPr>
      </w:pPr>
      <w:r w:rsidRPr="001C3EDC">
        <w:rPr>
          <w:i/>
          <w:sz w:val="20"/>
          <w:szCs w:val="20"/>
        </w:rPr>
        <w:t>P</w:t>
      </w:r>
      <w:r w:rsidR="00084F98" w:rsidRPr="001C3EDC">
        <w:rPr>
          <w:i/>
          <w:sz w:val="20"/>
          <w:szCs w:val="20"/>
          <w:vertAlign w:val="subscript"/>
        </w:rPr>
        <w:t>i</w:t>
      </w:r>
      <w:r w:rsidRPr="001C3EDC">
        <w:rPr>
          <w:sz w:val="20"/>
          <w:szCs w:val="20"/>
        </w:rPr>
        <w:tab/>
        <w:t>is the per</w:t>
      </w:r>
      <w:r w:rsidR="00084F98" w:rsidRPr="001C3EDC">
        <w:rPr>
          <w:sz w:val="20"/>
          <w:szCs w:val="20"/>
        </w:rPr>
        <w:t xml:space="preserve"> </w:t>
      </w:r>
      <w:r w:rsidRPr="001C3EDC">
        <w:rPr>
          <w:sz w:val="20"/>
          <w:szCs w:val="20"/>
        </w:rPr>
        <w:t xml:space="preserve">ton price of FAO crop </w:t>
      </w:r>
      <w:r w:rsidRPr="001C3EDC">
        <w:rPr>
          <w:i/>
          <w:sz w:val="20"/>
          <w:szCs w:val="20"/>
        </w:rPr>
        <w:t>i</w:t>
      </w:r>
      <w:r w:rsidRPr="001C3EDC">
        <w:rPr>
          <w:sz w:val="20"/>
          <w:szCs w:val="20"/>
        </w:rPr>
        <w:t xml:space="preserve"> (invariant to AEZs)</w:t>
      </w:r>
      <w:r w:rsidR="00084F98" w:rsidRPr="001C3EDC">
        <w:rPr>
          <w:sz w:val="20"/>
          <w:szCs w:val="20"/>
        </w:rPr>
        <w:t>;</w:t>
      </w:r>
    </w:p>
    <w:p w14:paraId="28A05087" w14:textId="6E044DF6" w:rsidR="0020393A" w:rsidRPr="001C3EDC" w:rsidRDefault="0020393A" w:rsidP="00CF5E1E">
      <w:pPr>
        <w:pStyle w:val="BodyText"/>
        <w:numPr>
          <w:ilvl w:val="0"/>
          <w:numId w:val="0"/>
        </w:numPr>
        <w:autoSpaceDE w:val="0"/>
        <w:autoSpaceDN w:val="0"/>
        <w:adjustRightInd w:val="0"/>
        <w:spacing w:after="40"/>
        <w:ind w:firstLine="397"/>
        <w:rPr>
          <w:sz w:val="20"/>
          <w:szCs w:val="20"/>
        </w:rPr>
      </w:pPr>
      <w:r w:rsidRPr="001C3EDC">
        <w:rPr>
          <w:i/>
          <w:sz w:val="20"/>
          <w:szCs w:val="20"/>
        </w:rPr>
        <w:t>Y</w:t>
      </w:r>
      <w:r w:rsidRPr="001C3EDC">
        <w:rPr>
          <w:i/>
          <w:sz w:val="20"/>
          <w:szCs w:val="20"/>
          <w:vertAlign w:val="subscript"/>
        </w:rPr>
        <w:t>ia</w:t>
      </w:r>
      <w:r w:rsidRPr="001C3EDC">
        <w:rPr>
          <w:sz w:val="20"/>
          <w:szCs w:val="20"/>
        </w:rPr>
        <w:tab/>
        <w:t>is the yield (ton</w:t>
      </w:r>
      <w:r w:rsidR="00084F98" w:rsidRPr="001C3EDC">
        <w:rPr>
          <w:sz w:val="20"/>
          <w:szCs w:val="20"/>
        </w:rPr>
        <w:t xml:space="preserve"> per </w:t>
      </w:r>
      <w:r w:rsidRPr="001C3EDC">
        <w:rPr>
          <w:sz w:val="20"/>
          <w:szCs w:val="20"/>
        </w:rPr>
        <w:t>1</w:t>
      </w:r>
      <w:r w:rsidR="00084F98" w:rsidRPr="001C3EDC">
        <w:rPr>
          <w:sz w:val="20"/>
          <w:szCs w:val="20"/>
        </w:rPr>
        <w:t>,</w:t>
      </w:r>
      <w:r w:rsidRPr="001C3EDC">
        <w:rPr>
          <w:sz w:val="20"/>
          <w:szCs w:val="20"/>
        </w:rPr>
        <w:t>000</w:t>
      </w:r>
      <w:r w:rsidR="00084F98" w:rsidRPr="001C3EDC">
        <w:rPr>
          <w:sz w:val="20"/>
          <w:szCs w:val="20"/>
        </w:rPr>
        <w:t xml:space="preserve"> </w:t>
      </w:r>
      <w:r w:rsidRPr="001C3EDC">
        <w:rPr>
          <w:sz w:val="20"/>
          <w:szCs w:val="20"/>
        </w:rPr>
        <w:t xml:space="preserve">ha) of FAO crop </w:t>
      </w:r>
      <w:r w:rsidRPr="001C3EDC">
        <w:rPr>
          <w:i/>
          <w:sz w:val="20"/>
          <w:szCs w:val="20"/>
        </w:rPr>
        <w:t>i</w:t>
      </w:r>
      <w:r w:rsidRPr="001C3EDC">
        <w:rPr>
          <w:sz w:val="20"/>
          <w:szCs w:val="20"/>
        </w:rPr>
        <w:t xml:space="preserve"> in AEZ </w:t>
      </w:r>
      <w:r w:rsidRPr="001C3EDC">
        <w:rPr>
          <w:i/>
          <w:sz w:val="20"/>
          <w:szCs w:val="20"/>
        </w:rPr>
        <w:t>a</w:t>
      </w:r>
      <w:r w:rsidR="00084F98" w:rsidRPr="001C3EDC">
        <w:rPr>
          <w:sz w:val="20"/>
          <w:szCs w:val="20"/>
        </w:rPr>
        <w:t>;</w:t>
      </w:r>
    </w:p>
    <w:p w14:paraId="293E1560" w14:textId="362FCA6F" w:rsidR="0020393A" w:rsidRPr="001C3EDC" w:rsidRDefault="0020393A" w:rsidP="00CF5E1E">
      <w:pPr>
        <w:pStyle w:val="BodyText"/>
        <w:numPr>
          <w:ilvl w:val="0"/>
          <w:numId w:val="0"/>
        </w:numPr>
        <w:autoSpaceDE w:val="0"/>
        <w:autoSpaceDN w:val="0"/>
        <w:adjustRightInd w:val="0"/>
        <w:spacing w:after="40"/>
        <w:ind w:firstLine="397"/>
        <w:rPr>
          <w:sz w:val="20"/>
          <w:szCs w:val="20"/>
        </w:rPr>
      </w:pPr>
      <w:r w:rsidRPr="001C3EDC">
        <w:rPr>
          <w:i/>
          <w:sz w:val="20"/>
          <w:szCs w:val="20"/>
        </w:rPr>
        <w:t>H</w:t>
      </w:r>
      <w:r w:rsidRPr="001C3EDC">
        <w:rPr>
          <w:i/>
          <w:sz w:val="20"/>
          <w:szCs w:val="20"/>
          <w:vertAlign w:val="subscript"/>
        </w:rPr>
        <w:t>ia</w:t>
      </w:r>
      <w:r w:rsidRPr="001C3EDC">
        <w:rPr>
          <w:sz w:val="20"/>
          <w:szCs w:val="20"/>
        </w:rPr>
        <w:tab/>
        <w:t xml:space="preserve">is the harvested area of FAO crop </w:t>
      </w:r>
      <w:r w:rsidRPr="001C3EDC">
        <w:rPr>
          <w:i/>
          <w:sz w:val="20"/>
          <w:szCs w:val="20"/>
        </w:rPr>
        <w:t>i</w:t>
      </w:r>
      <w:r w:rsidRPr="001C3EDC">
        <w:rPr>
          <w:sz w:val="20"/>
          <w:szCs w:val="20"/>
        </w:rPr>
        <w:t xml:space="preserve"> in AEZ </w:t>
      </w:r>
      <w:r w:rsidRPr="001C3EDC">
        <w:rPr>
          <w:i/>
          <w:sz w:val="20"/>
          <w:szCs w:val="20"/>
        </w:rPr>
        <w:t>a</w:t>
      </w:r>
      <w:r w:rsidR="00084F98" w:rsidRPr="001C3EDC">
        <w:rPr>
          <w:sz w:val="20"/>
          <w:szCs w:val="20"/>
        </w:rPr>
        <w:t>;</w:t>
      </w:r>
      <w:r w:rsidRPr="001C3EDC">
        <w:rPr>
          <w:sz w:val="20"/>
          <w:szCs w:val="20"/>
        </w:rPr>
        <w:t xml:space="preserve"> </w:t>
      </w:r>
    </w:p>
    <w:p w14:paraId="4DC6BE8B" w14:textId="5B2FAD17" w:rsidR="0020393A" w:rsidRPr="001C3EDC" w:rsidRDefault="0020393A" w:rsidP="00CF5E1E">
      <w:pPr>
        <w:pStyle w:val="BodyText"/>
        <w:numPr>
          <w:ilvl w:val="0"/>
          <w:numId w:val="0"/>
        </w:numPr>
        <w:autoSpaceDE w:val="0"/>
        <w:autoSpaceDN w:val="0"/>
        <w:adjustRightInd w:val="0"/>
        <w:spacing w:after="40"/>
        <w:ind w:left="810" w:hanging="413"/>
        <w:rPr>
          <w:i/>
          <w:sz w:val="20"/>
          <w:szCs w:val="20"/>
        </w:rPr>
      </w:pPr>
      <w:r w:rsidRPr="001C3EDC">
        <w:rPr>
          <w:i/>
          <w:sz w:val="20"/>
          <w:szCs w:val="20"/>
        </w:rPr>
        <w:t>SH</w:t>
      </w:r>
      <w:r w:rsidRPr="001C3EDC">
        <w:rPr>
          <w:i/>
          <w:sz w:val="20"/>
          <w:szCs w:val="20"/>
          <w:vertAlign w:val="subscript"/>
        </w:rPr>
        <w:t>ws</w:t>
      </w:r>
      <w:r w:rsidR="00084F98" w:rsidRPr="001C3EDC">
        <w:rPr>
          <w:i/>
          <w:sz w:val="20"/>
          <w:szCs w:val="20"/>
        </w:rPr>
        <w:tab/>
      </w:r>
      <w:r w:rsidRPr="001C3EDC">
        <w:rPr>
          <w:sz w:val="20"/>
          <w:szCs w:val="20"/>
        </w:rPr>
        <w:t>is the share of water type (</w:t>
      </w:r>
      <w:r w:rsidRPr="001C3EDC">
        <w:rPr>
          <w:i/>
          <w:sz w:val="20"/>
          <w:szCs w:val="20"/>
        </w:rPr>
        <w:t>t</w:t>
      </w:r>
      <w:r w:rsidR="00084F98" w:rsidRPr="001C3EDC">
        <w:rPr>
          <w:i/>
          <w:sz w:val="20"/>
          <w:szCs w:val="20"/>
        </w:rPr>
        <w:t xml:space="preserve"> </w:t>
      </w:r>
      <m:oMath>
        <m:r>
          <w:rPr>
            <w:rFonts w:ascii="Cambria Math" w:hAnsi="Cambria Math"/>
            <w:sz w:val="20"/>
            <w:szCs w:val="20"/>
          </w:rPr>
          <m:t xml:space="preserve">= </m:t>
        </m:r>
      </m:oMath>
      <w:r w:rsidRPr="001C3EDC">
        <w:rPr>
          <w:sz w:val="20"/>
          <w:szCs w:val="20"/>
        </w:rPr>
        <w:t>ground</w:t>
      </w:r>
      <w:r w:rsidR="00084F98" w:rsidRPr="001C3EDC">
        <w:rPr>
          <w:sz w:val="20"/>
          <w:szCs w:val="20"/>
        </w:rPr>
        <w:t>water</w:t>
      </w:r>
      <w:r w:rsidRPr="001C3EDC">
        <w:rPr>
          <w:sz w:val="20"/>
          <w:szCs w:val="20"/>
        </w:rPr>
        <w:t xml:space="preserve"> or surface water, </w:t>
      </w:r>
      <w:r w:rsidRPr="001C3EDC">
        <w:rPr>
          <w:i/>
          <w:sz w:val="20"/>
          <w:szCs w:val="20"/>
        </w:rPr>
        <w:t>b</w:t>
      </w:r>
      <w:r w:rsidR="00084F98" w:rsidRPr="001C3EDC">
        <w:rPr>
          <w:sz w:val="20"/>
          <w:szCs w:val="20"/>
        </w:rPr>
        <w:t xml:space="preserve"> </w:t>
      </w:r>
      <w:r w:rsidRPr="001C3EDC">
        <w:rPr>
          <w:sz w:val="20"/>
          <w:szCs w:val="20"/>
        </w:rPr>
        <w:t>=</w:t>
      </w:r>
      <w:r w:rsidR="00084F98" w:rsidRPr="001C3EDC">
        <w:rPr>
          <w:sz w:val="20"/>
          <w:szCs w:val="20"/>
        </w:rPr>
        <w:t xml:space="preserve"> RBs</w:t>
      </w:r>
      <w:r w:rsidRPr="001C3EDC">
        <w:rPr>
          <w:sz w:val="20"/>
          <w:szCs w:val="20"/>
        </w:rPr>
        <w:t>) in total basin water supply</w:t>
      </w:r>
      <w:r w:rsidR="00084F98" w:rsidRPr="001C3EDC">
        <w:rPr>
          <w:sz w:val="20"/>
          <w:szCs w:val="20"/>
        </w:rPr>
        <w:t>; and</w:t>
      </w:r>
    </w:p>
    <w:p w14:paraId="5C88BCF3" w14:textId="4F10257E" w:rsidR="0020393A" w:rsidRPr="001C3EDC" w:rsidRDefault="0020393A" w:rsidP="00CF5E1E">
      <w:pPr>
        <w:pStyle w:val="BodyText"/>
        <w:numPr>
          <w:ilvl w:val="0"/>
          <w:numId w:val="0"/>
        </w:numPr>
        <w:autoSpaceDE w:val="0"/>
        <w:autoSpaceDN w:val="0"/>
        <w:adjustRightInd w:val="0"/>
        <w:spacing w:after="40"/>
        <w:ind w:firstLine="397"/>
        <w:rPr>
          <w:sz w:val="20"/>
          <w:szCs w:val="20"/>
        </w:rPr>
      </w:pPr>
      <w:r w:rsidRPr="001C3EDC">
        <w:rPr>
          <w:i/>
          <w:sz w:val="20"/>
          <w:szCs w:val="20"/>
        </w:rPr>
        <w:t>SH</w:t>
      </w:r>
      <w:r w:rsidRPr="001C3EDC">
        <w:rPr>
          <w:i/>
          <w:sz w:val="20"/>
          <w:szCs w:val="20"/>
          <w:vertAlign w:val="subscript"/>
        </w:rPr>
        <w:t>rb</w:t>
      </w:r>
      <w:r w:rsidR="00084F98" w:rsidRPr="001C3EDC">
        <w:rPr>
          <w:i/>
          <w:sz w:val="20"/>
          <w:szCs w:val="20"/>
        </w:rPr>
        <w:tab/>
      </w:r>
      <w:r w:rsidRPr="001C3EDC">
        <w:rPr>
          <w:sz w:val="20"/>
          <w:szCs w:val="20"/>
        </w:rPr>
        <w:t xml:space="preserve">is the water consumption </w:t>
      </w:r>
      <w:r w:rsidR="0006676D" w:rsidRPr="001C3EDC">
        <w:rPr>
          <w:sz w:val="20"/>
          <w:szCs w:val="20"/>
        </w:rPr>
        <w:t xml:space="preserve">share of sectors by </w:t>
      </w:r>
      <w:r w:rsidR="00084F98" w:rsidRPr="001C3EDC">
        <w:rPr>
          <w:sz w:val="20"/>
          <w:szCs w:val="20"/>
        </w:rPr>
        <w:t>RB</w:t>
      </w:r>
      <w:r w:rsidR="0006676D" w:rsidRPr="001C3EDC">
        <w:rPr>
          <w:sz w:val="20"/>
          <w:szCs w:val="20"/>
        </w:rPr>
        <w:t>.</w:t>
      </w:r>
    </w:p>
    <w:p w14:paraId="3C273CCF" w14:textId="70C3E96A" w:rsidR="0020393A" w:rsidRPr="001C3EDC" w:rsidRDefault="003D455A" w:rsidP="00CF5E1E">
      <w:pPr>
        <w:pStyle w:val="Caption"/>
        <w:spacing w:before="200"/>
        <w:rPr>
          <w:rFonts w:ascii="Calibri" w:hAnsi="Calibri"/>
          <w:i/>
          <w:color w:val="44546A"/>
          <w:sz w:val="22"/>
          <w:szCs w:val="18"/>
        </w:rPr>
      </w:pPr>
      <w:bookmarkStart w:id="66" w:name="_Toc522036482"/>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11</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20393A" w:rsidRPr="001C3EDC">
        <w:rPr>
          <w:rFonts w:ascii="Calibri" w:hAnsi="Calibri"/>
          <w:i/>
          <w:color w:val="44546A"/>
          <w:sz w:val="22"/>
          <w:szCs w:val="18"/>
        </w:rPr>
        <w:t>Bulgaria AEZs based on global AEZ classification</w:t>
      </w:r>
      <w:bookmarkEnd w:id="66"/>
    </w:p>
    <w:p w14:paraId="4854A425" w14:textId="5B1B115D" w:rsidR="0020393A" w:rsidRPr="001C3EDC" w:rsidRDefault="0020393A" w:rsidP="003D455A">
      <w:pPr>
        <w:pStyle w:val="BodyText"/>
        <w:numPr>
          <w:ilvl w:val="0"/>
          <w:numId w:val="0"/>
        </w:numPr>
        <w:spacing w:before="60" w:after="0" w:line="240" w:lineRule="auto"/>
        <w:jc w:val="center"/>
        <w:rPr>
          <w:rFonts w:eastAsia="Calibri" w:cstheme="minorHAnsi"/>
        </w:rPr>
      </w:pPr>
      <w:r w:rsidRPr="001C3EDC">
        <w:rPr>
          <w:noProof/>
          <w:lang w:eastAsia="en-US"/>
        </w:rPr>
        <w:drawing>
          <wp:inline distT="0" distB="0" distL="0" distR="0" wp14:anchorId="32BA71C9" wp14:editId="5898CA07">
            <wp:extent cx="3324240" cy="2136602"/>
            <wp:effectExtent l="19050" t="19050" r="9525" b="1651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3360613" cy="2159980"/>
                    </a:xfrm>
                    <a:prstGeom prst="rect">
                      <a:avLst/>
                    </a:prstGeom>
                    <a:ln w="6350">
                      <a:solidFill>
                        <a:srgbClr val="5B9BD5"/>
                      </a:solidFill>
                    </a:ln>
                  </pic:spPr>
                </pic:pic>
              </a:graphicData>
            </a:graphic>
          </wp:inline>
        </w:drawing>
      </w:r>
    </w:p>
    <w:p w14:paraId="7229FC33" w14:textId="20C826B2" w:rsidR="0020393A" w:rsidRPr="001C3EDC" w:rsidRDefault="0020393A" w:rsidP="00BA2083">
      <w:pPr>
        <w:pStyle w:val="Source"/>
        <w:spacing w:after="60"/>
      </w:pPr>
      <w:r w:rsidRPr="001C3EDC">
        <w:t>Sources: GTAP, FAO, and IIASA 2017.</w:t>
      </w:r>
    </w:p>
    <w:p w14:paraId="4FBD2BC9" w14:textId="397B4052" w:rsidR="0020393A" w:rsidRPr="001C3EDC" w:rsidRDefault="0020393A" w:rsidP="00CF5E1E">
      <w:pPr>
        <w:pStyle w:val="Source"/>
        <w:spacing w:after="0"/>
      </w:pPr>
      <w:r w:rsidRPr="001C3EDC">
        <w:t>Note:</w:t>
      </w:r>
      <w:r w:rsidR="001002C3" w:rsidRPr="001C3EDC">
        <w:t xml:space="preserve"> Brown and </w:t>
      </w:r>
      <w:r w:rsidR="00CB2C24" w:rsidRPr="001C3EDC">
        <w:t>b</w:t>
      </w:r>
      <w:r w:rsidR="001002C3" w:rsidRPr="001C3EDC">
        <w:t>lue color areas represent Bulgaria.</w:t>
      </w:r>
      <w:r w:rsidRPr="001C3EDC">
        <w:t xml:space="preserve"> While Bulgarian sources define seven AEZs, GTAP-FAO-IIASA classification displays the Bulgarian territory in five global AEZs.</w:t>
      </w:r>
    </w:p>
    <w:p w14:paraId="6C4C9865" w14:textId="18FC5C34" w:rsidR="00D34C31" w:rsidRPr="001C3EDC" w:rsidRDefault="00D34C31" w:rsidP="00CA5CD0">
      <w:pPr>
        <w:pStyle w:val="BodyText"/>
        <w:tabs>
          <w:tab w:val="left" w:pos="720"/>
        </w:tabs>
        <w:spacing w:before="120"/>
        <w:ind w:left="0" w:firstLine="0"/>
      </w:pPr>
      <w:r w:rsidRPr="001C3EDC">
        <w:rPr>
          <w:b/>
          <w:bCs/>
          <w:i/>
          <w:iCs/>
        </w:rPr>
        <w:lastRenderedPageBreak/>
        <w:t>Figure</w:t>
      </w:r>
      <w:r w:rsidR="003D455A" w:rsidRPr="001C3EDC">
        <w:rPr>
          <w:b/>
          <w:bCs/>
          <w:i/>
          <w:iCs/>
        </w:rPr>
        <w:t xml:space="preserve"> </w:t>
      </w:r>
      <w:r w:rsidRPr="001C3EDC">
        <w:rPr>
          <w:b/>
          <w:bCs/>
          <w:i/>
          <w:iCs/>
        </w:rPr>
        <w:t>1</w:t>
      </w:r>
      <w:r w:rsidR="003D455A" w:rsidRPr="001C3EDC">
        <w:rPr>
          <w:b/>
          <w:bCs/>
          <w:i/>
          <w:iCs/>
        </w:rPr>
        <w:t>2</w:t>
      </w:r>
      <w:r w:rsidRPr="001C3EDC">
        <w:t xml:space="preserve"> shows the volume of water use by </w:t>
      </w:r>
      <w:r w:rsidR="00CB2C24" w:rsidRPr="001C3EDC">
        <w:t>RB</w:t>
      </w:r>
      <w:r w:rsidR="00CB62AC" w:rsidRPr="001C3EDC">
        <w:t xml:space="preserve"> </w:t>
      </w:r>
      <w:r w:rsidRPr="001C3EDC">
        <w:t>and sector for Bulgaria in 2011.</w:t>
      </w:r>
      <w:r w:rsidR="00CB62AC" w:rsidRPr="001C3EDC">
        <w:t xml:space="preserve"> </w:t>
      </w:r>
      <w:r w:rsidRPr="001C3EDC">
        <w:t xml:space="preserve">Physical water consumption data </w:t>
      </w:r>
      <w:r w:rsidR="00CB2C24" w:rsidRPr="001C3EDC">
        <w:t xml:space="preserve">were </w:t>
      </w:r>
      <w:r w:rsidRPr="001C3EDC">
        <w:t xml:space="preserve">combined with data from </w:t>
      </w:r>
      <w:r w:rsidR="003D455A" w:rsidRPr="001C3EDC">
        <w:rPr>
          <w:b/>
          <w:i/>
        </w:rPr>
        <w:t xml:space="preserve">Figure </w:t>
      </w:r>
      <w:r w:rsidRPr="001C3EDC">
        <w:rPr>
          <w:b/>
          <w:i/>
        </w:rPr>
        <w:t>1</w:t>
      </w:r>
      <w:r w:rsidR="003D455A" w:rsidRPr="001C3EDC">
        <w:rPr>
          <w:b/>
          <w:i/>
        </w:rPr>
        <w:t>3</w:t>
      </w:r>
      <w:r w:rsidRPr="001C3EDC">
        <w:t xml:space="preserve"> that shows </w:t>
      </w:r>
      <w:r w:rsidR="000752C9" w:rsidRPr="001C3EDC">
        <w:t xml:space="preserve">the </w:t>
      </w:r>
      <w:r w:rsidRPr="001C3EDC">
        <w:t xml:space="preserve">average water tariff across basins to generate the value of water use by sector and </w:t>
      </w:r>
      <w:r w:rsidR="00CB2C24" w:rsidRPr="001C3EDC">
        <w:t>RB</w:t>
      </w:r>
      <w:r w:rsidR="00CB62AC" w:rsidRPr="001C3EDC">
        <w:t xml:space="preserve"> </w:t>
      </w:r>
      <w:r w:rsidRPr="001C3EDC">
        <w:t xml:space="preserve">that is needed to generate the </w:t>
      </w:r>
      <w:r w:rsidRPr="001C3EDC">
        <w:rPr>
          <w:i/>
        </w:rPr>
        <w:t>SH</w:t>
      </w:r>
      <w:r w:rsidRPr="001C3EDC">
        <w:rPr>
          <w:i/>
          <w:vertAlign w:val="subscript"/>
        </w:rPr>
        <w:t>rb</w:t>
      </w:r>
      <w:r w:rsidRPr="001C3EDC">
        <w:rPr>
          <w:i/>
        </w:rPr>
        <w:t>(c,</w:t>
      </w:r>
      <w:r w:rsidR="00EB6443" w:rsidRPr="001C3EDC">
        <w:rPr>
          <w:i/>
        </w:rPr>
        <w:t xml:space="preserve"> </w:t>
      </w:r>
      <w:r w:rsidRPr="001C3EDC">
        <w:rPr>
          <w:i/>
        </w:rPr>
        <w:t>b</w:t>
      </w:r>
      <w:r w:rsidRPr="001C3EDC">
        <w:t>) share value used in the above equation.</w:t>
      </w:r>
      <w:r w:rsidR="00997BAB" w:rsidRPr="001C3EDC">
        <w:t xml:space="preserve"> The </w:t>
      </w:r>
      <w:r w:rsidRPr="001C3EDC">
        <w:t xml:space="preserve"> </w:t>
      </w:r>
      <m:oMath>
        <m:sSub>
          <m:sSubPr>
            <m:ctrlPr>
              <w:rPr>
                <w:rFonts w:ascii="Cambria Math" w:hAnsi="Cambria Math"/>
              </w:rPr>
            </m:ctrlPr>
          </m:sSubPr>
          <m:e>
            <m:r>
              <w:rPr>
                <w:rFonts w:ascii="Cambria Math" w:hAnsi="Cambria Math"/>
              </w:rPr>
              <m:t>SH</m:t>
            </m:r>
          </m:e>
          <m:sub>
            <m:r>
              <w:rPr>
                <w:rFonts w:ascii="Cambria Math" w:hAnsi="Cambria Math"/>
              </w:rPr>
              <m:t>ws</m:t>
            </m:r>
          </m:sub>
        </m:sSub>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b</m:t>
        </m:r>
        <m:r>
          <m:rPr>
            <m:sty m:val="p"/>
          </m:rPr>
          <w:rPr>
            <w:rFonts w:ascii="Cambria Math" w:hAnsi="Cambria Math"/>
          </w:rPr>
          <m:t>)</m:t>
        </m:r>
      </m:oMath>
      <w:r w:rsidRPr="001C3EDC">
        <w:t xml:space="preserve"> value was </w:t>
      </w:r>
      <w:r w:rsidR="00A16D29" w:rsidRPr="001C3EDC">
        <w:t>generated using</w:t>
      </w:r>
      <w:r w:rsidRPr="001C3EDC">
        <w:t xml:space="preserve"> the distribution of freshwater sources across the four </w:t>
      </w:r>
      <w:r w:rsidR="00A15702" w:rsidRPr="001C3EDC">
        <w:t xml:space="preserve">RBs </w:t>
      </w:r>
      <w:r w:rsidRPr="001C3EDC">
        <w:t xml:space="preserve">in Bulgaria. </w:t>
      </w:r>
    </w:p>
    <w:p w14:paraId="3D799A55" w14:textId="16ED6CCB" w:rsidR="003D455A" w:rsidRPr="001C3EDC" w:rsidRDefault="003D455A" w:rsidP="004F7F4A">
      <w:pPr>
        <w:pStyle w:val="Caption"/>
        <w:spacing w:before="200"/>
        <w:rPr>
          <w:rFonts w:ascii="Calibri" w:hAnsi="Calibri"/>
          <w:i/>
          <w:color w:val="44546A"/>
          <w:sz w:val="22"/>
          <w:szCs w:val="18"/>
        </w:rPr>
      </w:pPr>
      <w:bookmarkStart w:id="67" w:name="_Toc522036483"/>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12</w:t>
      </w:r>
      <w:r w:rsidR="001B7905" w:rsidRPr="001C3EDC">
        <w:rPr>
          <w:rFonts w:ascii="Calibri" w:hAnsi="Calibri"/>
          <w:i/>
          <w:color w:val="44546A"/>
          <w:sz w:val="22"/>
          <w:szCs w:val="18"/>
        </w:rPr>
        <w:fldChar w:fldCharType="end"/>
      </w:r>
      <w:r w:rsidRPr="001C3EDC">
        <w:rPr>
          <w:rFonts w:ascii="Calibri" w:hAnsi="Calibri"/>
          <w:i/>
          <w:color w:val="44546A"/>
          <w:sz w:val="22"/>
          <w:szCs w:val="18"/>
        </w:rPr>
        <w:t>. Water use (million m</w:t>
      </w:r>
      <w:r w:rsidRPr="001C3EDC">
        <w:rPr>
          <w:rFonts w:ascii="Calibri" w:hAnsi="Calibri"/>
          <w:i/>
          <w:color w:val="44546A"/>
          <w:sz w:val="22"/>
          <w:szCs w:val="18"/>
          <w:vertAlign w:val="superscript"/>
        </w:rPr>
        <w:t>3</w:t>
      </w:r>
      <w:r w:rsidRPr="001C3EDC">
        <w:rPr>
          <w:rFonts w:ascii="Calibri" w:hAnsi="Calibri"/>
          <w:i/>
          <w:color w:val="44546A"/>
          <w:sz w:val="22"/>
          <w:szCs w:val="18"/>
        </w:rPr>
        <w:t xml:space="preserve">) by sector and </w:t>
      </w:r>
      <w:r w:rsidR="00A15702" w:rsidRPr="001C3EDC">
        <w:rPr>
          <w:rFonts w:ascii="Calibri" w:hAnsi="Calibri"/>
          <w:i/>
          <w:color w:val="44546A"/>
          <w:sz w:val="22"/>
          <w:szCs w:val="18"/>
        </w:rPr>
        <w:t>RB</w:t>
      </w:r>
      <w:r w:rsidRPr="001C3EDC">
        <w:rPr>
          <w:rFonts w:ascii="Calibri" w:hAnsi="Calibri"/>
          <w:i/>
          <w:color w:val="44546A"/>
          <w:sz w:val="22"/>
          <w:szCs w:val="18"/>
        </w:rPr>
        <w:t>, 2011</w:t>
      </w:r>
      <w:bookmarkEnd w:id="67"/>
    </w:p>
    <w:p w14:paraId="3623815B" w14:textId="53DA34E0" w:rsidR="00BA0CB0" w:rsidRPr="001C3EDC" w:rsidRDefault="00BA0CB0" w:rsidP="00BA2083">
      <w:pPr>
        <w:spacing w:line="240" w:lineRule="auto"/>
        <w:rPr>
          <w:lang w:eastAsia="bg-BG"/>
        </w:rPr>
      </w:pPr>
      <w:r w:rsidRPr="001C3EDC">
        <w:rPr>
          <w:noProof/>
        </w:rPr>
        <w:drawing>
          <wp:inline distT="0" distB="0" distL="0" distR="0" wp14:anchorId="752B5667" wp14:editId="324AF5D9">
            <wp:extent cx="5731510" cy="3296093"/>
            <wp:effectExtent l="0" t="0" r="2540" b="0"/>
            <wp:docPr id="52" name="Chart 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EF7782" w14:textId="77777777" w:rsidR="003D455A" w:rsidRPr="001C3EDC" w:rsidRDefault="003D455A" w:rsidP="00BA2083">
      <w:pPr>
        <w:pStyle w:val="Source"/>
      </w:pPr>
      <w:r w:rsidRPr="001C3EDC">
        <w:t>Source: Ministry of Agriculture, Foods and Forestry.</w:t>
      </w:r>
    </w:p>
    <w:p w14:paraId="651F716F" w14:textId="3AE5B64E" w:rsidR="003D455A" w:rsidRPr="001C3EDC" w:rsidRDefault="003D455A" w:rsidP="004F7F4A">
      <w:pPr>
        <w:pStyle w:val="Caption"/>
        <w:spacing w:before="200"/>
        <w:rPr>
          <w:rFonts w:ascii="Calibri" w:hAnsi="Calibri"/>
          <w:i/>
          <w:color w:val="44546A"/>
          <w:sz w:val="22"/>
          <w:szCs w:val="18"/>
        </w:rPr>
      </w:pPr>
      <w:bookmarkStart w:id="68" w:name="_Toc522036484"/>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13</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Average water tariff by sector and </w:t>
      </w:r>
      <w:r w:rsidR="00C365E7" w:rsidRPr="001C3EDC">
        <w:rPr>
          <w:rFonts w:ascii="Calibri" w:hAnsi="Calibri"/>
          <w:i/>
          <w:color w:val="44546A"/>
          <w:sz w:val="22"/>
          <w:szCs w:val="18"/>
        </w:rPr>
        <w:t>RB</w:t>
      </w:r>
      <w:r w:rsidRPr="001C3EDC">
        <w:rPr>
          <w:rFonts w:ascii="Calibri" w:hAnsi="Calibri"/>
          <w:i/>
          <w:color w:val="44546A"/>
          <w:sz w:val="22"/>
          <w:szCs w:val="18"/>
        </w:rPr>
        <w:t xml:space="preserve">, 2011 </w:t>
      </w:r>
      <w:r w:rsidR="003F795E" w:rsidRPr="001C3EDC">
        <w:rPr>
          <w:rFonts w:ascii="Calibri" w:hAnsi="Calibri"/>
          <w:i/>
          <w:color w:val="44546A"/>
          <w:sz w:val="22"/>
          <w:szCs w:val="18"/>
        </w:rPr>
        <w:t>(</w:t>
      </w:r>
      <w:r w:rsidRPr="001C3EDC">
        <w:rPr>
          <w:rFonts w:ascii="Calibri" w:hAnsi="Calibri"/>
          <w:i/>
          <w:color w:val="44546A"/>
          <w:sz w:val="22"/>
          <w:szCs w:val="18"/>
        </w:rPr>
        <w:t>US$</w:t>
      </w:r>
      <w:r w:rsidR="003F795E" w:rsidRPr="001C3EDC">
        <w:rPr>
          <w:rFonts w:ascii="Calibri" w:hAnsi="Calibri"/>
          <w:i/>
          <w:color w:val="44546A"/>
          <w:sz w:val="22"/>
          <w:szCs w:val="18"/>
        </w:rPr>
        <w:t>)</w:t>
      </w:r>
      <w:bookmarkEnd w:id="68"/>
    </w:p>
    <w:p w14:paraId="40B6DC25" w14:textId="1FC1C327" w:rsidR="007A1109" w:rsidRPr="001C3EDC" w:rsidRDefault="007A1109" w:rsidP="00BA2083">
      <w:pPr>
        <w:spacing w:line="240" w:lineRule="auto"/>
      </w:pPr>
      <w:r w:rsidRPr="001C3EDC">
        <w:rPr>
          <w:noProof/>
        </w:rPr>
        <w:drawing>
          <wp:inline distT="0" distB="0" distL="0" distR="0" wp14:anchorId="67688389" wp14:editId="3D8B5AB7">
            <wp:extent cx="5731510" cy="2977116"/>
            <wp:effectExtent l="0" t="0" r="2540" b="13970"/>
            <wp:docPr id="12" name="Chart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A064A1" w14:textId="77777777" w:rsidR="003D455A" w:rsidRPr="001C3EDC" w:rsidRDefault="003D455A" w:rsidP="00BA2083">
      <w:pPr>
        <w:pStyle w:val="Source"/>
      </w:pPr>
      <w:r w:rsidRPr="001C3EDC">
        <w:t>Source: Ministry of Agriculture, Foods and Forestry.</w:t>
      </w:r>
    </w:p>
    <w:p w14:paraId="5A451565" w14:textId="0594B879" w:rsidR="00DB6768" w:rsidRPr="001C3EDC" w:rsidRDefault="00DB6768" w:rsidP="00CA5CD0">
      <w:pPr>
        <w:pStyle w:val="BodyText"/>
        <w:tabs>
          <w:tab w:val="left" w:pos="720"/>
        </w:tabs>
        <w:ind w:left="0" w:firstLine="0"/>
      </w:pPr>
      <w:r w:rsidRPr="001C3EDC">
        <w:lastRenderedPageBreak/>
        <w:t xml:space="preserve">As can be seen in these figures, demand for water mainly comes from the Danube region for electricity generation. In the meantime, water tariffs for all industrial sectors are the same except for agriculture that benefits from the lowest tariffs. </w:t>
      </w:r>
      <w:r w:rsidR="00997BAB" w:rsidRPr="001C3EDC">
        <w:t xml:space="preserve">The </w:t>
      </w:r>
      <w:r w:rsidRPr="001C3EDC">
        <w:t xml:space="preserve">Black Sea region pays the highest tariffs for water while </w:t>
      </w:r>
      <w:r w:rsidR="00997BAB" w:rsidRPr="001C3EDC">
        <w:t xml:space="preserve">the </w:t>
      </w:r>
      <w:r w:rsidRPr="001C3EDC">
        <w:t>West Aegean region benefits from the lowest tariffs.</w:t>
      </w:r>
    </w:p>
    <w:p w14:paraId="517F5174" w14:textId="6F3CDC06" w:rsidR="00D34C31" w:rsidRPr="001C3EDC" w:rsidRDefault="00D34C31" w:rsidP="00CA5CD0">
      <w:pPr>
        <w:pStyle w:val="BodyText"/>
        <w:tabs>
          <w:tab w:val="left" w:pos="720"/>
        </w:tabs>
        <w:ind w:left="0" w:firstLine="0"/>
      </w:pPr>
      <w:r w:rsidRPr="001C3EDC">
        <w:t xml:space="preserve">As an illustration, </w:t>
      </w:r>
      <w:r w:rsidRPr="001C3EDC">
        <w:rPr>
          <w:b/>
          <w:i/>
        </w:rPr>
        <w:t>Table 3</w:t>
      </w:r>
      <w:r w:rsidRPr="001C3EDC">
        <w:t xml:space="preserve"> shows Bulgaria’s total value-added</w:t>
      </w:r>
      <w:r w:rsidR="004A3265" w:rsidRPr="001C3EDC">
        <w:t xml:space="preserve"> creation</w:t>
      </w:r>
      <w:r w:rsidRPr="001C3EDC">
        <w:t xml:space="preserve">, including </w:t>
      </w:r>
      <w:r w:rsidR="004A3265" w:rsidRPr="001C3EDC">
        <w:t xml:space="preserve">for </w:t>
      </w:r>
      <w:r w:rsidRPr="001C3EDC">
        <w:t>land rents (header ‘VFM’</w:t>
      </w:r>
      <w:r w:rsidR="00F1038E" w:rsidRPr="001C3EDC">
        <w:t xml:space="preserve"> - Value of Firm Purchases at Market prices -</w:t>
      </w:r>
      <w:r w:rsidRPr="001C3EDC">
        <w:t xml:space="preserve"> from the GTAP database) </w:t>
      </w:r>
      <w:r w:rsidR="00DB6768" w:rsidRPr="001C3EDC">
        <w:t>by crop (irrigated and rainfed)</w:t>
      </w:r>
      <w:r w:rsidR="003F795E" w:rsidRPr="001C3EDC">
        <w:t>,</w:t>
      </w:r>
      <w:r w:rsidR="00DB6768" w:rsidRPr="001C3EDC">
        <w:t xml:space="preserve"> by</w:t>
      </w:r>
      <w:r w:rsidRPr="001C3EDC">
        <w:t xml:space="preserve"> </w:t>
      </w:r>
      <w:r w:rsidR="00C365E7" w:rsidRPr="001C3EDC">
        <w:t>RB</w:t>
      </w:r>
      <w:r w:rsidR="003F795E" w:rsidRPr="001C3EDC">
        <w:t>,</w:t>
      </w:r>
      <w:r w:rsidRPr="001C3EDC">
        <w:t xml:space="preserve"> </w:t>
      </w:r>
      <w:r w:rsidR="004A3265" w:rsidRPr="001C3EDC">
        <w:t xml:space="preserve">and </w:t>
      </w:r>
      <w:r w:rsidRPr="001C3EDC">
        <w:t xml:space="preserve">by AEZ. The data show that most of </w:t>
      </w:r>
      <w:r w:rsidR="00663BCA" w:rsidRPr="001C3EDC">
        <w:t>the economic value is generated by</w:t>
      </w:r>
      <w:r w:rsidRPr="001C3EDC">
        <w:t xml:space="preserve"> Bulgaria’s </w:t>
      </w:r>
      <w:r w:rsidR="00663BCA" w:rsidRPr="001C3EDC">
        <w:t xml:space="preserve">irrigated </w:t>
      </w:r>
      <w:r w:rsidRPr="001C3EDC">
        <w:t xml:space="preserve">crops in the Danube </w:t>
      </w:r>
      <w:r w:rsidR="00E1050D" w:rsidRPr="001C3EDC">
        <w:t>RB</w:t>
      </w:r>
      <w:r w:rsidR="00CB62AC" w:rsidRPr="001C3EDC">
        <w:t xml:space="preserve"> </w:t>
      </w:r>
      <w:r w:rsidRPr="001C3EDC">
        <w:t>in AEZ9 and AEZ10</w:t>
      </w:r>
      <w:r w:rsidR="00663BCA" w:rsidRPr="001C3EDC">
        <w:t>.</w:t>
      </w:r>
      <w:r w:rsidR="00CB62AC" w:rsidRPr="001C3EDC">
        <w:t xml:space="preserve"> </w:t>
      </w:r>
      <w:r w:rsidR="00663BCA" w:rsidRPr="001C3EDC">
        <w:t xml:space="preserve">This is in line with expectations </w:t>
      </w:r>
      <w:r w:rsidR="00E1050D" w:rsidRPr="001C3EDC">
        <w:t>because</w:t>
      </w:r>
      <w:r w:rsidR="00663BCA" w:rsidRPr="001C3EDC">
        <w:t xml:space="preserve"> these two regions </w:t>
      </w:r>
      <w:r w:rsidRPr="001C3EDC">
        <w:t>are</w:t>
      </w:r>
      <w:r w:rsidR="00663BCA" w:rsidRPr="001C3EDC">
        <w:t xml:space="preserve"> known for </w:t>
      </w:r>
      <w:r w:rsidR="00997BAB" w:rsidRPr="001C3EDC">
        <w:t xml:space="preserve">their </w:t>
      </w:r>
      <w:r w:rsidRPr="001C3EDC">
        <w:t xml:space="preserve">temperate climate </w:t>
      </w:r>
      <w:r w:rsidR="00663BCA" w:rsidRPr="001C3EDC">
        <w:t>that allow</w:t>
      </w:r>
      <w:r w:rsidR="00D651FF" w:rsidRPr="001C3EDC">
        <w:t>s</w:t>
      </w:r>
      <w:r w:rsidR="00663BCA" w:rsidRPr="001C3EDC">
        <w:t xml:space="preserve"> </w:t>
      </w:r>
      <w:r w:rsidRPr="001C3EDC">
        <w:t xml:space="preserve">longer </w:t>
      </w:r>
      <w:bookmarkStart w:id="69" w:name="_Hlk513729283"/>
      <w:r w:rsidRPr="001C3EDC">
        <w:t>growing periods.</w:t>
      </w:r>
      <w:r w:rsidR="00CB62AC" w:rsidRPr="001C3EDC">
        <w:t xml:space="preserve"> </w:t>
      </w:r>
      <w:r w:rsidR="00314FDD" w:rsidRPr="001C3EDC">
        <w:t xml:space="preserve">In the data and model, water endowment, which is based on all managed water in the </w:t>
      </w:r>
      <w:r w:rsidR="00C365E7" w:rsidRPr="001C3EDC">
        <w:t>RBs</w:t>
      </w:r>
      <w:r w:rsidR="00314FDD" w:rsidRPr="001C3EDC">
        <w:t xml:space="preserve">, has an equilibrium, </w:t>
      </w:r>
      <w:r w:rsidR="00BD5D25" w:rsidRPr="001C3EDC">
        <w:t>that is</w:t>
      </w:r>
      <w:r w:rsidR="00314FDD" w:rsidRPr="001C3EDC">
        <w:t xml:space="preserve">, supply and demand </w:t>
      </w:r>
      <w:r w:rsidR="00BD5D25" w:rsidRPr="001C3EDC">
        <w:t xml:space="preserve">is </w:t>
      </w:r>
      <w:r w:rsidR="00314FDD" w:rsidRPr="001C3EDC">
        <w:t xml:space="preserve">equal; consumption of water from different </w:t>
      </w:r>
      <w:r w:rsidR="00C365E7" w:rsidRPr="001C3EDC">
        <w:t>RBs</w:t>
      </w:r>
      <w:r w:rsidR="00314FDD" w:rsidRPr="001C3EDC">
        <w:t xml:space="preserve"> by different industries equal</w:t>
      </w:r>
      <w:r w:rsidR="00BD5D25" w:rsidRPr="001C3EDC">
        <w:t>s</w:t>
      </w:r>
      <w:r w:rsidR="00314FDD" w:rsidRPr="001C3EDC">
        <w:t xml:space="preserve"> the total availability of water in each </w:t>
      </w:r>
      <w:r w:rsidR="00C365E7" w:rsidRPr="001C3EDC">
        <w:t>RB</w:t>
      </w:r>
      <w:r w:rsidR="00314FDD" w:rsidRPr="001C3EDC">
        <w:t>.</w:t>
      </w:r>
      <w:r w:rsidR="00893D66" w:rsidRPr="001C3EDC">
        <w:t xml:space="preserve"> Such a balance exists both in the reference year as well as in the baseline and </w:t>
      </w:r>
      <w:r w:rsidR="00D651FF" w:rsidRPr="001C3EDC">
        <w:t>climate scenarios with or without adaptation</w:t>
      </w:r>
      <w:r w:rsidR="00893D66" w:rsidRPr="001C3EDC">
        <w:t xml:space="preserve"> in future.</w:t>
      </w:r>
      <w:r w:rsidR="00D651FF" w:rsidRPr="001C3EDC">
        <w:t xml:space="preserve"> </w:t>
      </w:r>
      <w:r w:rsidR="00C74B9E" w:rsidRPr="001C3EDC">
        <w:t>This does not imply that future water scarcity and increased drought risk is not a concern with ongoing climate change, especially on</w:t>
      </w:r>
      <w:r w:rsidR="00DC0DEB" w:rsidRPr="001C3EDC">
        <w:t xml:space="preserve"> the</w:t>
      </w:r>
      <w:r w:rsidR="00C74B9E" w:rsidRPr="001C3EDC">
        <w:t xml:space="preserve"> longer-term (that is, at the end of the century, well beyond the horizon of this analysis). On short-term (or the next 30 years), main risks linked to water resources relate primarily to flooding. Over this timeframe, groundwater availability is not expected to change significantly and with population decline and moderate economic growth, water availability is not likely to become </w:t>
      </w:r>
      <w:r w:rsidR="00DC0DEB" w:rsidRPr="001C3EDC">
        <w:t xml:space="preserve">a </w:t>
      </w:r>
      <w:r w:rsidR="00C74B9E" w:rsidRPr="001C3EDC">
        <w:t>concern for those regions that use groundwater.  Only the Black Sea region appears to be most vulnerable to water scarcity risk (on a seasonal basis), given its higher reliance on surface water and higher tourism activities. This points admittedly to the limits of the granularity of the analysis and could be a direction for further development: there might be seasonal shortages</w:t>
      </w:r>
      <w:r w:rsidR="004133F3" w:rsidRPr="001C3EDC">
        <w:t>,</w:t>
      </w:r>
      <w:r w:rsidR="00C74B9E" w:rsidRPr="001C3EDC">
        <w:t xml:space="preserve"> but they cannot be captured in a model with a yearly time step and </w:t>
      </w:r>
      <w:r w:rsidR="00F22660" w:rsidRPr="001C3EDC">
        <w:t>that degree of disaggregation.</w:t>
      </w:r>
    </w:p>
    <w:p w14:paraId="358D9F11" w14:textId="53DF30D2" w:rsidR="00D34C31" w:rsidRPr="001C3EDC" w:rsidRDefault="00D34C31" w:rsidP="004F7F4A">
      <w:pPr>
        <w:pStyle w:val="Caption"/>
        <w:spacing w:before="200"/>
        <w:rPr>
          <w:rFonts w:ascii="Calibri" w:hAnsi="Calibri"/>
          <w:i/>
          <w:color w:val="44546A"/>
          <w:sz w:val="22"/>
          <w:szCs w:val="18"/>
        </w:rPr>
      </w:pPr>
      <w:bookmarkStart w:id="70" w:name="_Toc522036516"/>
      <w:bookmarkEnd w:id="69"/>
      <w:r w:rsidRPr="001C3EDC">
        <w:rPr>
          <w:rFonts w:ascii="Calibri" w:hAnsi="Calibri"/>
          <w:i/>
          <w:color w:val="44546A"/>
          <w:sz w:val="22"/>
          <w:szCs w:val="18"/>
        </w:rPr>
        <w:t xml:space="preserve">Table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Table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3</w:t>
      </w:r>
      <w:r w:rsidR="001B7905" w:rsidRPr="001C3EDC">
        <w:rPr>
          <w:rFonts w:ascii="Calibri" w:hAnsi="Calibri"/>
          <w:i/>
          <w:color w:val="44546A"/>
          <w:sz w:val="22"/>
          <w:szCs w:val="18"/>
        </w:rPr>
        <w:fldChar w:fldCharType="end"/>
      </w:r>
      <w:r w:rsidRPr="001C3EDC">
        <w:rPr>
          <w:rFonts w:ascii="Calibri" w:hAnsi="Calibri"/>
          <w:i/>
          <w:color w:val="44546A"/>
          <w:sz w:val="22"/>
          <w:szCs w:val="18"/>
        </w:rPr>
        <w:t>. Bulgaria crop sector rents (US$</w:t>
      </w:r>
      <w:r w:rsidR="00BD5D25" w:rsidRPr="001C3EDC">
        <w:rPr>
          <w:rFonts w:ascii="Calibri" w:hAnsi="Calibri"/>
          <w:i/>
          <w:color w:val="44546A"/>
          <w:sz w:val="22"/>
          <w:szCs w:val="18"/>
        </w:rPr>
        <w:t>, millions</w:t>
      </w:r>
      <w:r w:rsidRPr="001C3EDC">
        <w:rPr>
          <w:rFonts w:ascii="Calibri" w:hAnsi="Calibri"/>
          <w:i/>
          <w:color w:val="44546A"/>
          <w:sz w:val="22"/>
          <w:szCs w:val="18"/>
        </w:rPr>
        <w:t>)</w:t>
      </w:r>
      <w:bookmarkEnd w:id="70"/>
    </w:p>
    <w:tbl>
      <w:tblPr>
        <w:tblStyle w:val="TableGrid5"/>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345"/>
        <w:gridCol w:w="851"/>
        <w:gridCol w:w="850"/>
        <w:gridCol w:w="851"/>
        <w:gridCol w:w="850"/>
        <w:gridCol w:w="851"/>
        <w:gridCol w:w="850"/>
        <w:gridCol w:w="851"/>
        <w:gridCol w:w="850"/>
      </w:tblGrid>
      <w:tr w:rsidR="00DB3A3E" w:rsidRPr="001C3EDC" w14:paraId="245EC214" w14:textId="77777777" w:rsidTr="00CF5E1E">
        <w:trPr>
          <w:tblHeader/>
          <w:jc w:val="center"/>
        </w:trPr>
        <w:tc>
          <w:tcPr>
            <w:tcW w:w="1271" w:type="dxa"/>
            <w:shd w:val="clear" w:color="auto" w:fill="365F91"/>
          </w:tcPr>
          <w:p w14:paraId="251365BE" w14:textId="77777777" w:rsidR="00DB3A3E" w:rsidRPr="00DB3A3E" w:rsidRDefault="00DB3A3E" w:rsidP="009C4DAF">
            <w:pPr>
              <w:spacing w:before="40" w:after="40" w:line="240" w:lineRule="auto"/>
              <w:jc w:val="center"/>
              <w:rPr>
                <w:rFonts w:asciiTheme="minorHAnsi" w:eastAsia="Calibri" w:hAnsiTheme="minorHAnsi" w:cstheme="minorHAnsi"/>
                <w:color w:val="FFFFFF"/>
                <w:sz w:val="22"/>
              </w:rPr>
            </w:pPr>
            <w:bookmarkStart w:id="71" w:name="_Hlk505588039"/>
          </w:p>
        </w:tc>
        <w:tc>
          <w:tcPr>
            <w:tcW w:w="851" w:type="dxa"/>
            <w:shd w:val="clear" w:color="auto" w:fill="365F91"/>
          </w:tcPr>
          <w:p w14:paraId="7432FA0B" w14:textId="77777777" w:rsidR="00DB3A3E" w:rsidRPr="00DB3A3E" w:rsidRDefault="00DB3A3E" w:rsidP="009C4DAF">
            <w:pPr>
              <w:spacing w:before="40" w:after="40" w:line="240" w:lineRule="auto"/>
              <w:jc w:val="center"/>
              <w:rPr>
                <w:rFonts w:asciiTheme="minorHAnsi" w:eastAsia="Calibri" w:hAnsiTheme="minorHAnsi" w:cstheme="minorHAnsi"/>
                <w:b/>
                <w:bCs/>
                <w:noProof/>
                <w:color w:val="FFFFFF"/>
                <w:sz w:val="22"/>
              </w:rPr>
            </w:pPr>
            <w:r w:rsidRPr="00DB3A3E">
              <w:rPr>
                <w:rFonts w:asciiTheme="minorHAnsi" w:eastAsia="Calibri" w:hAnsiTheme="minorHAnsi" w:cstheme="minorHAnsi"/>
                <w:b/>
                <w:bCs/>
                <w:noProof/>
                <w:color w:val="FFFFFF"/>
                <w:sz w:val="22"/>
              </w:rPr>
              <w:t>pdr</w:t>
            </w:r>
          </w:p>
        </w:tc>
        <w:tc>
          <w:tcPr>
            <w:tcW w:w="850" w:type="dxa"/>
            <w:shd w:val="clear" w:color="auto" w:fill="365F91"/>
          </w:tcPr>
          <w:p w14:paraId="62AF77E6" w14:textId="77777777" w:rsidR="00DB3A3E" w:rsidRPr="00DB3A3E" w:rsidRDefault="00DB3A3E" w:rsidP="009C4DAF">
            <w:pPr>
              <w:spacing w:before="40" w:after="40" w:line="240" w:lineRule="auto"/>
              <w:jc w:val="center"/>
              <w:rPr>
                <w:rFonts w:asciiTheme="minorHAnsi" w:eastAsia="Calibri" w:hAnsiTheme="minorHAnsi" w:cstheme="minorHAnsi"/>
                <w:b/>
                <w:bCs/>
                <w:noProof/>
                <w:color w:val="FFFFFF"/>
                <w:sz w:val="22"/>
              </w:rPr>
            </w:pPr>
            <w:r w:rsidRPr="00DB3A3E">
              <w:rPr>
                <w:rFonts w:asciiTheme="minorHAnsi" w:eastAsia="Calibri" w:hAnsiTheme="minorHAnsi" w:cstheme="minorHAnsi"/>
                <w:b/>
                <w:bCs/>
                <w:noProof/>
                <w:color w:val="FFFFFF"/>
                <w:sz w:val="22"/>
              </w:rPr>
              <w:t>wht</w:t>
            </w:r>
          </w:p>
        </w:tc>
        <w:tc>
          <w:tcPr>
            <w:tcW w:w="851" w:type="dxa"/>
            <w:shd w:val="clear" w:color="auto" w:fill="365F91"/>
          </w:tcPr>
          <w:p w14:paraId="00978ECC" w14:textId="77777777" w:rsidR="00DB3A3E" w:rsidRPr="00DB3A3E" w:rsidRDefault="00DB3A3E" w:rsidP="009C4DAF">
            <w:pPr>
              <w:spacing w:before="40" w:after="40" w:line="240" w:lineRule="auto"/>
              <w:jc w:val="center"/>
              <w:rPr>
                <w:rFonts w:asciiTheme="minorHAnsi" w:eastAsia="Calibri" w:hAnsiTheme="minorHAnsi" w:cstheme="minorHAnsi"/>
                <w:b/>
                <w:bCs/>
                <w:noProof/>
                <w:color w:val="FFFFFF"/>
                <w:sz w:val="22"/>
              </w:rPr>
            </w:pPr>
            <w:r w:rsidRPr="00DB3A3E">
              <w:rPr>
                <w:rFonts w:asciiTheme="minorHAnsi" w:eastAsia="Calibri" w:hAnsiTheme="minorHAnsi" w:cstheme="minorHAnsi"/>
                <w:b/>
                <w:bCs/>
                <w:noProof/>
                <w:color w:val="FFFFFF"/>
                <w:sz w:val="22"/>
              </w:rPr>
              <w:t>gro</w:t>
            </w:r>
          </w:p>
        </w:tc>
        <w:tc>
          <w:tcPr>
            <w:tcW w:w="850" w:type="dxa"/>
            <w:shd w:val="clear" w:color="auto" w:fill="365F91"/>
          </w:tcPr>
          <w:p w14:paraId="514DCC39" w14:textId="77777777" w:rsidR="00DB3A3E" w:rsidRPr="00DB3A3E" w:rsidRDefault="00DB3A3E" w:rsidP="009C4DAF">
            <w:pPr>
              <w:spacing w:before="40" w:after="40" w:line="240" w:lineRule="auto"/>
              <w:jc w:val="center"/>
              <w:rPr>
                <w:rFonts w:asciiTheme="minorHAnsi" w:eastAsia="Calibri" w:hAnsiTheme="minorHAnsi" w:cstheme="minorHAnsi"/>
                <w:b/>
                <w:bCs/>
                <w:noProof/>
                <w:color w:val="FFFFFF"/>
                <w:sz w:val="22"/>
              </w:rPr>
            </w:pPr>
            <w:r w:rsidRPr="00DB3A3E">
              <w:rPr>
                <w:rFonts w:asciiTheme="minorHAnsi" w:eastAsia="Calibri" w:hAnsiTheme="minorHAnsi" w:cstheme="minorHAnsi"/>
                <w:b/>
                <w:bCs/>
                <w:noProof/>
                <w:color w:val="FFFFFF"/>
                <w:sz w:val="22"/>
              </w:rPr>
              <w:t>v_f</w:t>
            </w:r>
          </w:p>
        </w:tc>
        <w:tc>
          <w:tcPr>
            <w:tcW w:w="851" w:type="dxa"/>
            <w:shd w:val="clear" w:color="auto" w:fill="365F91"/>
          </w:tcPr>
          <w:p w14:paraId="30A095AE" w14:textId="77777777" w:rsidR="00DB3A3E" w:rsidRPr="00DB3A3E" w:rsidRDefault="00DB3A3E" w:rsidP="009C4DAF">
            <w:pPr>
              <w:spacing w:before="40" w:after="40" w:line="240" w:lineRule="auto"/>
              <w:jc w:val="center"/>
              <w:rPr>
                <w:rFonts w:asciiTheme="minorHAnsi" w:eastAsia="Calibri" w:hAnsiTheme="minorHAnsi" w:cstheme="minorHAnsi"/>
                <w:b/>
                <w:bCs/>
                <w:noProof/>
                <w:color w:val="FFFFFF"/>
                <w:sz w:val="22"/>
              </w:rPr>
            </w:pPr>
            <w:r w:rsidRPr="00DB3A3E">
              <w:rPr>
                <w:rFonts w:asciiTheme="minorHAnsi" w:eastAsia="Calibri" w:hAnsiTheme="minorHAnsi" w:cstheme="minorHAnsi"/>
                <w:b/>
                <w:bCs/>
                <w:noProof/>
                <w:color w:val="FFFFFF"/>
                <w:sz w:val="22"/>
              </w:rPr>
              <w:t>osd</w:t>
            </w:r>
          </w:p>
        </w:tc>
        <w:tc>
          <w:tcPr>
            <w:tcW w:w="850" w:type="dxa"/>
            <w:shd w:val="clear" w:color="auto" w:fill="365F91"/>
          </w:tcPr>
          <w:p w14:paraId="1B9AF387" w14:textId="77777777" w:rsidR="00DB3A3E" w:rsidRPr="00DB3A3E" w:rsidRDefault="00DB3A3E" w:rsidP="009C4DAF">
            <w:pPr>
              <w:spacing w:before="40" w:after="40" w:line="240" w:lineRule="auto"/>
              <w:jc w:val="center"/>
              <w:rPr>
                <w:rFonts w:asciiTheme="minorHAnsi" w:eastAsia="Calibri" w:hAnsiTheme="minorHAnsi" w:cstheme="minorHAnsi"/>
                <w:b/>
                <w:bCs/>
                <w:noProof/>
                <w:color w:val="FFFFFF"/>
                <w:sz w:val="22"/>
              </w:rPr>
            </w:pPr>
            <w:r w:rsidRPr="00DB3A3E">
              <w:rPr>
                <w:rFonts w:asciiTheme="minorHAnsi" w:eastAsia="Calibri" w:hAnsiTheme="minorHAnsi" w:cstheme="minorHAnsi"/>
                <w:b/>
                <w:bCs/>
                <w:noProof/>
                <w:color w:val="FFFFFF"/>
                <w:sz w:val="22"/>
              </w:rPr>
              <w:t>c_b</w:t>
            </w:r>
          </w:p>
        </w:tc>
        <w:tc>
          <w:tcPr>
            <w:tcW w:w="851" w:type="dxa"/>
            <w:shd w:val="clear" w:color="auto" w:fill="365F91"/>
          </w:tcPr>
          <w:p w14:paraId="227D482E" w14:textId="77777777" w:rsidR="00DB3A3E" w:rsidRPr="00DB3A3E" w:rsidRDefault="00DB3A3E" w:rsidP="009C4DAF">
            <w:pPr>
              <w:spacing w:before="40" w:after="40" w:line="240" w:lineRule="auto"/>
              <w:jc w:val="center"/>
              <w:rPr>
                <w:rFonts w:asciiTheme="minorHAnsi" w:eastAsia="Calibri" w:hAnsiTheme="minorHAnsi" w:cstheme="minorHAnsi"/>
                <w:b/>
                <w:bCs/>
                <w:noProof/>
                <w:color w:val="FFFFFF"/>
                <w:sz w:val="22"/>
              </w:rPr>
            </w:pPr>
            <w:r w:rsidRPr="00DB3A3E">
              <w:rPr>
                <w:rFonts w:asciiTheme="minorHAnsi" w:eastAsia="Calibri" w:hAnsiTheme="minorHAnsi" w:cstheme="minorHAnsi"/>
                <w:b/>
                <w:bCs/>
                <w:noProof/>
                <w:color w:val="FFFFFF"/>
                <w:sz w:val="22"/>
              </w:rPr>
              <w:t>pfb</w:t>
            </w:r>
          </w:p>
        </w:tc>
        <w:tc>
          <w:tcPr>
            <w:tcW w:w="850" w:type="dxa"/>
            <w:shd w:val="clear" w:color="auto" w:fill="365F91"/>
          </w:tcPr>
          <w:p w14:paraId="3B46C0C9" w14:textId="77777777" w:rsidR="00DB3A3E" w:rsidRPr="00DB3A3E" w:rsidRDefault="00DB3A3E" w:rsidP="009C4DAF">
            <w:pPr>
              <w:spacing w:before="40" w:after="40" w:line="240" w:lineRule="auto"/>
              <w:jc w:val="center"/>
              <w:rPr>
                <w:rFonts w:asciiTheme="minorHAnsi" w:eastAsia="Calibri" w:hAnsiTheme="minorHAnsi" w:cstheme="minorHAnsi"/>
                <w:b/>
                <w:bCs/>
                <w:noProof/>
                <w:color w:val="FFFFFF"/>
                <w:sz w:val="22"/>
              </w:rPr>
            </w:pPr>
            <w:r w:rsidRPr="00DB3A3E">
              <w:rPr>
                <w:rFonts w:asciiTheme="minorHAnsi" w:eastAsia="Calibri" w:hAnsiTheme="minorHAnsi" w:cstheme="minorHAnsi"/>
                <w:b/>
                <w:bCs/>
                <w:noProof/>
                <w:color w:val="FFFFFF"/>
                <w:sz w:val="22"/>
              </w:rPr>
              <w:t>ocr</w:t>
            </w:r>
          </w:p>
        </w:tc>
      </w:tr>
      <w:tr w:rsidR="00DB3A3E" w:rsidRPr="00DB3A3E" w14:paraId="0D41B4D4" w14:textId="77777777" w:rsidTr="009C4DAF">
        <w:trPr>
          <w:jc w:val="center"/>
        </w:trPr>
        <w:tc>
          <w:tcPr>
            <w:tcW w:w="1271" w:type="dxa"/>
            <w:shd w:val="clear" w:color="auto" w:fill="B8CCE4"/>
          </w:tcPr>
          <w:p w14:paraId="624831AF"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S_DB_AEZ8</w:t>
            </w:r>
          </w:p>
        </w:tc>
        <w:tc>
          <w:tcPr>
            <w:tcW w:w="851" w:type="dxa"/>
          </w:tcPr>
          <w:p w14:paraId="06A6FE2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4F7140D6"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46D138B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6378CE2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0.04</w:t>
            </w:r>
          </w:p>
        </w:tc>
        <w:tc>
          <w:tcPr>
            <w:tcW w:w="851" w:type="dxa"/>
          </w:tcPr>
          <w:p w14:paraId="2C8A28B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4B4950F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56B50FE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7B30769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0.05</w:t>
            </w:r>
          </w:p>
        </w:tc>
      </w:tr>
      <w:tr w:rsidR="00DB3A3E" w:rsidRPr="00DB3A3E" w14:paraId="4B11416A" w14:textId="77777777" w:rsidTr="009C4DAF">
        <w:trPr>
          <w:jc w:val="center"/>
        </w:trPr>
        <w:tc>
          <w:tcPr>
            <w:tcW w:w="1271" w:type="dxa"/>
            <w:shd w:val="clear" w:color="auto" w:fill="B8CCE4"/>
          </w:tcPr>
          <w:p w14:paraId="2CC2F12C"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G_DB_AEZ8</w:t>
            </w:r>
          </w:p>
        </w:tc>
        <w:tc>
          <w:tcPr>
            <w:tcW w:w="851" w:type="dxa"/>
          </w:tcPr>
          <w:p w14:paraId="4DAAFBC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0.03</w:t>
            </w:r>
          </w:p>
        </w:tc>
        <w:tc>
          <w:tcPr>
            <w:tcW w:w="850" w:type="dxa"/>
          </w:tcPr>
          <w:p w14:paraId="3388DBA1"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0.10</w:t>
            </w:r>
          </w:p>
        </w:tc>
        <w:tc>
          <w:tcPr>
            <w:tcW w:w="851" w:type="dxa"/>
          </w:tcPr>
          <w:p w14:paraId="245E7207"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0.08</w:t>
            </w:r>
          </w:p>
        </w:tc>
        <w:tc>
          <w:tcPr>
            <w:tcW w:w="850" w:type="dxa"/>
          </w:tcPr>
          <w:p w14:paraId="56493568"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1.40</w:t>
            </w:r>
          </w:p>
        </w:tc>
        <w:tc>
          <w:tcPr>
            <w:tcW w:w="851" w:type="dxa"/>
          </w:tcPr>
          <w:p w14:paraId="5192BFD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0.18</w:t>
            </w:r>
          </w:p>
        </w:tc>
        <w:tc>
          <w:tcPr>
            <w:tcW w:w="850" w:type="dxa"/>
          </w:tcPr>
          <w:p w14:paraId="05D61B2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01DD9486"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0.08</w:t>
            </w:r>
          </w:p>
        </w:tc>
        <w:tc>
          <w:tcPr>
            <w:tcW w:w="850" w:type="dxa"/>
          </w:tcPr>
          <w:p w14:paraId="2C977FD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1.99</w:t>
            </w:r>
          </w:p>
        </w:tc>
      </w:tr>
      <w:tr w:rsidR="00DB3A3E" w:rsidRPr="00DB3A3E" w14:paraId="739EA7A3" w14:textId="77777777" w:rsidTr="009C4DAF">
        <w:trPr>
          <w:jc w:val="center"/>
        </w:trPr>
        <w:tc>
          <w:tcPr>
            <w:tcW w:w="1271" w:type="dxa"/>
            <w:shd w:val="clear" w:color="auto" w:fill="B8CCE4"/>
          </w:tcPr>
          <w:p w14:paraId="70076136"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S_BS_AEZ8</w:t>
            </w:r>
          </w:p>
        </w:tc>
        <w:tc>
          <w:tcPr>
            <w:tcW w:w="851" w:type="dxa"/>
          </w:tcPr>
          <w:p w14:paraId="66294F6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59D8D759"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6ECA477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6125CEF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0.05</w:t>
            </w:r>
          </w:p>
        </w:tc>
        <w:tc>
          <w:tcPr>
            <w:tcW w:w="851" w:type="dxa"/>
          </w:tcPr>
          <w:p w14:paraId="0282C9D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c>
          <w:tcPr>
            <w:tcW w:w="850" w:type="dxa"/>
          </w:tcPr>
          <w:p w14:paraId="6E86996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3CB7926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69797587"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0.08</w:t>
            </w:r>
          </w:p>
        </w:tc>
      </w:tr>
      <w:tr w:rsidR="00DB3A3E" w:rsidRPr="00DB3A3E" w14:paraId="400A96C9" w14:textId="77777777" w:rsidTr="009C4DAF">
        <w:trPr>
          <w:jc w:val="center"/>
        </w:trPr>
        <w:tc>
          <w:tcPr>
            <w:tcW w:w="1271" w:type="dxa"/>
            <w:shd w:val="clear" w:color="auto" w:fill="B8CCE4"/>
          </w:tcPr>
          <w:p w14:paraId="28921220"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G_BS_AEZ8</w:t>
            </w:r>
          </w:p>
        </w:tc>
        <w:tc>
          <w:tcPr>
            <w:tcW w:w="851" w:type="dxa"/>
          </w:tcPr>
          <w:p w14:paraId="06CE1D7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c>
          <w:tcPr>
            <w:tcW w:w="850" w:type="dxa"/>
          </w:tcPr>
          <w:p w14:paraId="2C4DD8F1"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0.02</w:t>
            </w:r>
          </w:p>
        </w:tc>
        <w:tc>
          <w:tcPr>
            <w:tcW w:w="851" w:type="dxa"/>
          </w:tcPr>
          <w:p w14:paraId="4188668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c>
          <w:tcPr>
            <w:tcW w:w="850" w:type="dxa"/>
          </w:tcPr>
          <w:p w14:paraId="28D2F043"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0.22</w:t>
            </w:r>
          </w:p>
        </w:tc>
        <w:tc>
          <w:tcPr>
            <w:tcW w:w="851" w:type="dxa"/>
          </w:tcPr>
          <w:p w14:paraId="3F58074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0.03</w:t>
            </w:r>
          </w:p>
        </w:tc>
        <w:tc>
          <w:tcPr>
            <w:tcW w:w="850" w:type="dxa"/>
          </w:tcPr>
          <w:p w14:paraId="2F1C90A1"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75E535C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c>
          <w:tcPr>
            <w:tcW w:w="850" w:type="dxa"/>
          </w:tcPr>
          <w:p w14:paraId="754DAD9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0.31</w:t>
            </w:r>
          </w:p>
        </w:tc>
      </w:tr>
      <w:tr w:rsidR="00DB3A3E" w:rsidRPr="00DB3A3E" w14:paraId="6D76EDB9" w14:textId="77777777" w:rsidTr="009C4DAF">
        <w:trPr>
          <w:jc w:val="center"/>
        </w:trPr>
        <w:tc>
          <w:tcPr>
            <w:tcW w:w="1271" w:type="dxa"/>
            <w:shd w:val="clear" w:color="auto" w:fill="B8CCE4"/>
          </w:tcPr>
          <w:p w14:paraId="714777C1"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G_WA_AEZ8</w:t>
            </w:r>
          </w:p>
        </w:tc>
        <w:tc>
          <w:tcPr>
            <w:tcW w:w="851" w:type="dxa"/>
          </w:tcPr>
          <w:p w14:paraId="5DCA260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c>
          <w:tcPr>
            <w:tcW w:w="850" w:type="dxa"/>
          </w:tcPr>
          <w:p w14:paraId="2F224273"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0.03</w:t>
            </w:r>
          </w:p>
        </w:tc>
        <w:tc>
          <w:tcPr>
            <w:tcW w:w="851" w:type="dxa"/>
          </w:tcPr>
          <w:p w14:paraId="505BF01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0.03</w:t>
            </w:r>
          </w:p>
        </w:tc>
        <w:tc>
          <w:tcPr>
            <w:tcW w:w="850" w:type="dxa"/>
          </w:tcPr>
          <w:p w14:paraId="7215C88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0.44</w:t>
            </w:r>
          </w:p>
        </w:tc>
        <w:tc>
          <w:tcPr>
            <w:tcW w:w="851" w:type="dxa"/>
          </w:tcPr>
          <w:p w14:paraId="48BA51F6"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0.06</w:t>
            </w:r>
          </w:p>
        </w:tc>
        <w:tc>
          <w:tcPr>
            <w:tcW w:w="850" w:type="dxa"/>
          </w:tcPr>
          <w:p w14:paraId="2EE71453"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72037257"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0.03</w:t>
            </w:r>
          </w:p>
        </w:tc>
        <w:tc>
          <w:tcPr>
            <w:tcW w:w="850" w:type="dxa"/>
          </w:tcPr>
          <w:p w14:paraId="09466AA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0.63</w:t>
            </w:r>
          </w:p>
        </w:tc>
      </w:tr>
      <w:tr w:rsidR="00DB3A3E" w:rsidRPr="00DB3A3E" w14:paraId="0F8F1592" w14:textId="77777777" w:rsidTr="009C4DAF">
        <w:trPr>
          <w:jc w:val="center"/>
        </w:trPr>
        <w:tc>
          <w:tcPr>
            <w:tcW w:w="1271" w:type="dxa"/>
            <w:shd w:val="clear" w:color="auto" w:fill="B8CCE4"/>
          </w:tcPr>
          <w:p w14:paraId="068AB69D"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S_DB_AEZ9</w:t>
            </w:r>
          </w:p>
        </w:tc>
        <w:tc>
          <w:tcPr>
            <w:tcW w:w="851" w:type="dxa"/>
          </w:tcPr>
          <w:p w14:paraId="128C67C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0.06</w:t>
            </w:r>
          </w:p>
        </w:tc>
        <w:tc>
          <w:tcPr>
            <w:tcW w:w="850" w:type="dxa"/>
          </w:tcPr>
          <w:p w14:paraId="2F76D0E1"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2.98</w:t>
            </w:r>
          </w:p>
        </w:tc>
        <w:tc>
          <w:tcPr>
            <w:tcW w:w="851" w:type="dxa"/>
          </w:tcPr>
          <w:p w14:paraId="7C38246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1.22</w:t>
            </w:r>
          </w:p>
        </w:tc>
        <w:tc>
          <w:tcPr>
            <w:tcW w:w="850" w:type="dxa"/>
          </w:tcPr>
          <w:p w14:paraId="10DA3787"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1.93</w:t>
            </w:r>
          </w:p>
        </w:tc>
        <w:tc>
          <w:tcPr>
            <w:tcW w:w="851" w:type="dxa"/>
          </w:tcPr>
          <w:p w14:paraId="1E90E5E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3.70</w:t>
            </w:r>
          </w:p>
        </w:tc>
        <w:tc>
          <w:tcPr>
            <w:tcW w:w="850" w:type="dxa"/>
          </w:tcPr>
          <w:p w14:paraId="37D16B3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780A3C8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0.09</w:t>
            </w:r>
          </w:p>
        </w:tc>
        <w:tc>
          <w:tcPr>
            <w:tcW w:w="850" w:type="dxa"/>
          </w:tcPr>
          <w:p w14:paraId="3BC1A977"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3.32</w:t>
            </w:r>
          </w:p>
        </w:tc>
      </w:tr>
      <w:tr w:rsidR="00DB3A3E" w:rsidRPr="00DB3A3E" w14:paraId="32223D44" w14:textId="77777777" w:rsidTr="009C4DAF">
        <w:trPr>
          <w:jc w:val="center"/>
        </w:trPr>
        <w:tc>
          <w:tcPr>
            <w:tcW w:w="1271" w:type="dxa"/>
            <w:shd w:val="clear" w:color="auto" w:fill="B8CCE4"/>
          </w:tcPr>
          <w:p w14:paraId="7F3B459F"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G_DB_AEZ9</w:t>
            </w:r>
          </w:p>
        </w:tc>
        <w:tc>
          <w:tcPr>
            <w:tcW w:w="851" w:type="dxa"/>
          </w:tcPr>
          <w:p w14:paraId="1FEADED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2.26</w:t>
            </w:r>
          </w:p>
        </w:tc>
        <w:tc>
          <w:tcPr>
            <w:tcW w:w="850" w:type="dxa"/>
          </w:tcPr>
          <w:p w14:paraId="1072F416"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112.16</w:t>
            </w:r>
          </w:p>
        </w:tc>
        <w:tc>
          <w:tcPr>
            <w:tcW w:w="851" w:type="dxa"/>
          </w:tcPr>
          <w:p w14:paraId="250AA2A5"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45.85</w:t>
            </w:r>
          </w:p>
        </w:tc>
        <w:tc>
          <w:tcPr>
            <w:tcW w:w="850" w:type="dxa"/>
          </w:tcPr>
          <w:p w14:paraId="240E65B1"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72.59</w:t>
            </w:r>
          </w:p>
        </w:tc>
        <w:tc>
          <w:tcPr>
            <w:tcW w:w="851" w:type="dxa"/>
          </w:tcPr>
          <w:p w14:paraId="575FF14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139.05</w:t>
            </w:r>
          </w:p>
        </w:tc>
        <w:tc>
          <w:tcPr>
            <w:tcW w:w="850" w:type="dxa"/>
          </w:tcPr>
          <w:p w14:paraId="16B8BAB7"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47DFCA9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3.32</w:t>
            </w:r>
          </w:p>
        </w:tc>
        <w:tc>
          <w:tcPr>
            <w:tcW w:w="850" w:type="dxa"/>
          </w:tcPr>
          <w:p w14:paraId="6F6C8B2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124.78</w:t>
            </w:r>
          </w:p>
        </w:tc>
      </w:tr>
      <w:tr w:rsidR="00DB3A3E" w:rsidRPr="00DB3A3E" w14:paraId="4275DF36" w14:textId="77777777" w:rsidTr="009C4DAF">
        <w:trPr>
          <w:jc w:val="center"/>
        </w:trPr>
        <w:tc>
          <w:tcPr>
            <w:tcW w:w="1271" w:type="dxa"/>
            <w:shd w:val="clear" w:color="auto" w:fill="B8CCE4"/>
          </w:tcPr>
          <w:p w14:paraId="6695303E"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S_BS_AEZ9</w:t>
            </w:r>
          </w:p>
        </w:tc>
        <w:tc>
          <w:tcPr>
            <w:tcW w:w="851" w:type="dxa"/>
          </w:tcPr>
          <w:p w14:paraId="0468B2D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0.09</w:t>
            </w:r>
          </w:p>
        </w:tc>
        <w:tc>
          <w:tcPr>
            <w:tcW w:w="850" w:type="dxa"/>
          </w:tcPr>
          <w:p w14:paraId="3FA270D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4.38</w:t>
            </w:r>
          </w:p>
        </w:tc>
        <w:tc>
          <w:tcPr>
            <w:tcW w:w="851" w:type="dxa"/>
          </w:tcPr>
          <w:p w14:paraId="55CF0C6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1.79</w:t>
            </w:r>
          </w:p>
        </w:tc>
        <w:tc>
          <w:tcPr>
            <w:tcW w:w="850" w:type="dxa"/>
          </w:tcPr>
          <w:p w14:paraId="031B4BF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2.83</w:t>
            </w:r>
          </w:p>
        </w:tc>
        <w:tc>
          <w:tcPr>
            <w:tcW w:w="851" w:type="dxa"/>
          </w:tcPr>
          <w:p w14:paraId="493D40C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5.43</w:t>
            </w:r>
          </w:p>
        </w:tc>
        <w:tc>
          <w:tcPr>
            <w:tcW w:w="850" w:type="dxa"/>
          </w:tcPr>
          <w:p w14:paraId="4DEBFA07"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70E3AB31"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0.13</w:t>
            </w:r>
          </w:p>
        </w:tc>
        <w:tc>
          <w:tcPr>
            <w:tcW w:w="850" w:type="dxa"/>
          </w:tcPr>
          <w:p w14:paraId="692B7008"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4.87</w:t>
            </w:r>
          </w:p>
        </w:tc>
      </w:tr>
      <w:tr w:rsidR="00DB3A3E" w:rsidRPr="00DB3A3E" w14:paraId="6BC5D0DF" w14:textId="77777777" w:rsidTr="009C4DAF">
        <w:trPr>
          <w:jc w:val="center"/>
        </w:trPr>
        <w:tc>
          <w:tcPr>
            <w:tcW w:w="1271" w:type="dxa"/>
            <w:shd w:val="clear" w:color="auto" w:fill="B8CCE4"/>
          </w:tcPr>
          <w:p w14:paraId="3F010192"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G_BS_AEZ9</w:t>
            </w:r>
          </w:p>
        </w:tc>
        <w:tc>
          <w:tcPr>
            <w:tcW w:w="851" w:type="dxa"/>
          </w:tcPr>
          <w:p w14:paraId="24A6078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0.36</w:t>
            </w:r>
          </w:p>
        </w:tc>
        <w:tc>
          <w:tcPr>
            <w:tcW w:w="850" w:type="dxa"/>
          </w:tcPr>
          <w:p w14:paraId="107C409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17.70</w:t>
            </w:r>
          </w:p>
        </w:tc>
        <w:tc>
          <w:tcPr>
            <w:tcW w:w="851" w:type="dxa"/>
          </w:tcPr>
          <w:p w14:paraId="09C73D6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7.24</w:t>
            </w:r>
          </w:p>
        </w:tc>
        <w:tc>
          <w:tcPr>
            <w:tcW w:w="850" w:type="dxa"/>
          </w:tcPr>
          <w:p w14:paraId="3B8A2EC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11.46</w:t>
            </w:r>
          </w:p>
        </w:tc>
        <w:tc>
          <w:tcPr>
            <w:tcW w:w="851" w:type="dxa"/>
          </w:tcPr>
          <w:p w14:paraId="3F31EDF3"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21.94</w:t>
            </w:r>
          </w:p>
        </w:tc>
        <w:tc>
          <w:tcPr>
            <w:tcW w:w="850" w:type="dxa"/>
          </w:tcPr>
          <w:p w14:paraId="798252B3"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17AB8B8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0.52</w:t>
            </w:r>
          </w:p>
        </w:tc>
        <w:tc>
          <w:tcPr>
            <w:tcW w:w="850" w:type="dxa"/>
          </w:tcPr>
          <w:p w14:paraId="2B1550B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19.69</w:t>
            </w:r>
          </w:p>
        </w:tc>
      </w:tr>
      <w:tr w:rsidR="00DB3A3E" w:rsidRPr="00DB3A3E" w14:paraId="5C25794F" w14:textId="77777777" w:rsidTr="009C4DAF">
        <w:trPr>
          <w:jc w:val="center"/>
        </w:trPr>
        <w:tc>
          <w:tcPr>
            <w:tcW w:w="1271" w:type="dxa"/>
            <w:shd w:val="clear" w:color="auto" w:fill="B8CCE4"/>
          </w:tcPr>
          <w:p w14:paraId="1EEADFCB"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S_EA_AEZ9</w:t>
            </w:r>
          </w:p>
        </w:tc>
        <w:tc>
          <w:tcPr>
            <w:tcW w:w="851" w:type="dxa"/>
          </w:tcPr>
          <w:p w14:paraId="33982E1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c>
          <w:tcPr>
            <w:tcW w:w="850" w:type="dxa"/>
          </w:tcPr>
          <w:p w14:paraId="702BE1F1"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0.31</w:t>
            </w:r>
          </w:p>
        </w:tc>
        <w:tc>
          <w:tcPr>
            <w:tcW w:w="851" w:type="dxa"/>
          </w:tcPr>
          <w:p w14:paraId="5E87DB5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0.13</w:t>
            </w:r>
          </w:p>
        </w:tc>
        <w:tc>
          <w:tcPr>
            <w:tcW w:w="850" w:type="dxa"/>
          </w:tcPr>
          <w:p w14:paraId="1CF6EED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0.20</w:t>
            </w:r>
          </w:p>
        </w:tc>
        <w:tc>
          <w:tcPr>
            <w:tcW w:w="851" w:type="dxa"/>
          </w:tcPr>
          <w:p w14:paraId="4834FA68"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0.38</w:t>
            </w:r>
          </w:p>
        </w:tc>
        <w:tc>
          <w:tcPr>
            <w:tcW w:w="850" w:type="dxa"/>
          </w:tcPr>
          <w:p w14:paraId="337734E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7F34986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c>
          <w:tcPr>
            <w:tcW w:w="850" w:type="dxa"/>
          </w:tcPr>
          <w:p w14:paraId="1FC8244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0.34</w:t>
            </w:r>
          </w:p>
        </w:tc>
      </w:tr>
      <w:tr w:rsidR="00DB3A3E" w:rsidRPr="00DB3A3E" w14:paraId="1C3ED346" w14:textId="77777777" w:rsidTr="009C4DAF">
        <w:trPr>
          <w:jc w:val="center"/>
        </w:trPr>
        <w:tc>
          <w:tcPr>
            <w:tcW w:w="1271" w:type="dxa"/>
            <w:shd w:val="clear" w:color="auto" w:fill="B8CCE4"/>
          </w:tcPr>
          <w:p w14:paraId="24ABB5A6"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G_EA_AEZ9</w:t>
            </w:r>
          </w:p>
        </w:tc>
        <w:tc>
          <w:tcPr>
            <w:tcW w:w="851" w:type="dxa"/>
          </w:tcPr>
          <w:p w14:paraId="6A6474F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0.02</w:t>
            </w:r>
          </w:p>
        </w:tc>
        <w:tc>
          <w:tcPr>
            <w:tcW w:w="850" w:type="dxa"/>
          </w:tcPr>
          <w:p w14:paraId="2AE956B8"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1.05</w:t>
            </w:r>
          </w:p>
        </w:tc>
        <w:tc>
          <w:tcPr>
            <w:tcW w:w="851" w:type="dxa"/>
          </w:tcPr>
          <w:p w14:paraId="54B0A2E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0.43</w:t>
            </w:r>
          </w:p>
        </w:tc>
        <w:tc>
          <w:tcPr>
            <w:tcW w:w="850" w:type="dxa"/>
          </w:tcPr>
          <w:p w14:paraId="1765DAB3"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0.68</w:t>
            </w:r>
          </w:p>
        </w:tc>
        <w:tc>
          <w:tcPr>
            <w:tcW w:w="851" w:type="dxa"/>
          </w:tcPr>
          <w:p w14:paraId="3983BEA6"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1.30</w:t>
            </w:r>
          </w:p>
        </w:tc>
        <w:tc>
          <w:tcPr>
            <w:tcW w:w="850" w:type="dxa"/>
          </w:tcPr>
          <w:p w14:paraId="0E35B3E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3D44923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0.03</w:t>
            </w:r>
          </w:p>
        </w:tc>
        <w:tc>
          <w:tcPr>
            <w:tcW w:w="850" w:type="dxa"/>
          </w:tcPr>
          <w:p w14:paraId="0AA94EC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1.17</w:t>
            </w:r>
          </w:p>
        </w:tc>
      </w:tr>
      <w:tr w:rsidR="00DB3A3E" w:rsidRPr="00DB3A3E" w14:paraId="59AB6E29" w14:textId="77777777" w:rsidTr="009C4DAF">
        <w:trPr>
          <w:jc w:val="center"/>
        </w:trPr>
        <w:tc>
          <w:tcPr>
            <w:tcW w:w="1271" w:type="dxa"/>
            <w:shd w:val="clear" w:color="auto" w:fill="B8CCE4"/>
          </w:tcPr>
          <w:p w14:paraId="313BEEC3"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S_WA_AEZ9</w:t>
            </w:r>
          </w:p>
        </w:tc>
        <w:tc>
          <w:tcPr>
            <w:tcW w:w="851" w:type="dxa"/>
          </w:tcPr>
          <w:p w14:paraId="6343698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0.05</w:t>
            </w:r>
          </w:p>
        </w:tc>
        <w:tc>
          <w:tcPr>
            <w:tcW w:w="850" w:type="dxa"/>
          </w:tcPr>
          <w:p w14:paraId="2C3382A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2.50</w:t>
            </w:r>
          </w:p>
        </w:tc>
        <w:tc>
          <w:tcPr>
            <w:tcW w:w="851" w:type="dxa"/>
          </w:tcPr>
          <w:p w14:paraId="4F2940F9"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1.02</w:t>
            </w:r>
          </w:p>
        </w:tc>
        <w:tc>
          <w:tcPr>
            <w:tcW w:w="850" w:type="dxa"/>
          </w:tcPr>
          <w:p w14:paraId="7CAE82A5"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1.62</w:t>
            </w:r>
          </w:p>
        </w:tc>
        <w:tc>
          <w:tcPr>
            <w:tcW w:w="851" w:type="dxa"/>
          </w:tcPr>
          <w:p w14:paraId="4DD6ED4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3.10</w:t>
            </w:r>
          </w:p>
        </w:tc>
        <w:tc>
          <w:tcPr>
            <w:tcW w:w="850" w:type="dxa"/>
          </w:tcPr>
          <w:p w14:paraId="49588D16"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652960D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0.07</w:t>
            </w:r>
          </w:p>
        </w:tc>
        <w:tc>
          <w:tcPr>
            <w:tcW w:w="850" w:type="dxa"/>
          </w:tcPr>
          <w:p w14:paraId="7F757F8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2.79</w:t>
            </w:r>
          </w:p>
        </w:tc>
      </w:tr>
      <w:tr w:rsidR="00DB3A3E" w:rsidRPr="00DB3A3E" w14:paraId="0C467AF8" w14:textId="77777777" w:rsidTr="009C4DAF">
        <w:trPr>
          <w:jc w:val="center"/>
        </w:trPr>
        <w:tc>
          <w:tcPr>
            <w:tcW w:w="1271" w:type="dxa"/>
            <w:shd w:val="clear" w:color="auto" w:fill="B8CCE4"/>
          </w:tcPr>
          <w:p w14:paraId="20ADF33D"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G_WA_AEZ9</w:t>
            </w:r>
          </w:p>
        </w:tc>
        <w:tc>
          <w:tcPr>
            <w:tcW w:w="851" w:type="dxa"/>
          </w:tcPr>
          <w:p w14:paraId="4C59248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0.72</w:t>
            </w:r>
          </w:p>
        </w:tc>
        <w:tc>
          <w:tcPr>
            <w:tcW w:w="850" w:type="dxa"/>
          </w:tcPr>
          <w:p w14:paraId="12DC3AA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35.61</w:t>
            </w:r>
          </w:p>
        </w:tc>
        <w:tc>
          <w:tcPr>
            <w:tcW w:w="851" w:type="dxa"/>
          </w:tcPr>
          <w:p w14:paraId="25C39F38"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14.56</w:t>
            </w:r>
          </w:p>
        </w:tc>
        <w:tc>
          <w:tcPr>
            <w:tcW w:w="850" w:type="dxa"/>
          </w:tcPr>
          <w:p w14:paraId="5CBFECC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23.04</w:t>
            </w:r>
          </w:p>
        </w:tc>
        <w:tc>
          <w:tcPr>
            <w:tcW w:w="851" w:type="dxa"/>
          </w:tcPr>
          <w:p w14:paraId="49EC5CE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44.14</w:t>
            </w:r>
          </w:p>
        </w:tc>
        <w:tc>
          <w:tcPr>
            <w:tcW w:w="850" w:type="dxa"/>
          </w:tcPr>
          <w:p w14:paraId="0BB5AB85"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5381C25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1.05</w:t>
            </w:r>
          </w:p>
        </w:tc>
        <w:tc>
          <w:tcPr>
            <w:tcW w:w="850" w:type="dxa"/>
          </w:tcPr>
          <w:p w14:paraId="340A5AB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39.61</w:t>
            </w:r>
          </w:p>
        </w:tc>
      </w:tr>
      <w:tr w:rsidR="00DB3A3E" w:rsidRPr="00DB3A3E" w14:paraId="3460D502" w14:textId="77777777" w:rsidTr="009C4DAF">
        <w:trPr>
          <w:jc w:val="center"/>
        </w:trPr>
        <w:tc>
          <w:tcPr>
            <w:tcW w:w="1271" w:type="dxa"/>
            <w:shd w:val="clear" w:color="auto" w:fill="B8CCE4"/>
          </w:tcPr>
          <w:p w14:paraId="06E82BD4"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S_DB_AEZ10</w:t>
            </w:r>
          </w:p>
        </w:tc>
        <w:tc>
          <w:tcPr>
            <w:tcW w:w="851" w:type="dxa"/>
          </w:tcPr>
          <w:p w14:paraId="13E60C2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0.02</w:t>
            </w:r>
          </w:p>
        </w:tc>
        <w:tc>
          <w:tcPr>
            <w:tcW w:w="850" w:type="dxa"/>
          </w:tcPr>
          <w:p w14:paraId="7B6E01F8"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0.21</w:t>
            </w:r>
          </w:p>
        </w:tc>
        <w:tc>
          <w:tcPr>
            <w:tcW w:w="851" w:type="dxa"/>
          </w:tcPr>
          <w:p w14:paraId="464E8F5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0.07</w:t>
            </w:r>
          </w:p>
        </w:tc>
        <w:tc>
          <w:tcPr>
            <w:tcW w:w="850" w:type="dxa"/>
          </w:tcPr>
          <w:p w14:paraId="4EDCD298"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0.17</w:t>
            </w:r>
          </w:p>
        </w:tc>
        <w:tc>
          <w:tcPr>
            <w:tcW w:w="851" w:type="dxa"/>
          </w:tcPr>
          <w:p w14:paraId="0887E597"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0.22</w:t>
            </w:r>
          </w:p>
        </w:tc>
        <w:tc>
          <w:tcPr>
            <w:tcW w:w="850" w:type="dxa"/>
          </w:tcPr>
          <w:p w14:paraId="607F998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1A32FCA3"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3112AC18"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0.24</w:t>
            </w:r>
          </w:p>
        </w:tc>
      </w:tr>
      <w:tr w:rsidR="00DB3A3E" w:rsidRPr="00DB3A3E" w14:paraId="1B3BC0D1" w14:textId="77777777" w:rsidTr="009C4DAF">
        <w:trPr>
          <w:jc w:val="center"/>
        </w:trPr>
        <w:tc>
          <w:tcPr>
            <w:tcW w:w="1271" w:type="dxa"/>
            <w:shd w:val="clear" w:color="auto" w:fill="B8CCE4"/>
          </w:tcPr>
          <w:p w14:paraId="01D881BA"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G_DB_AEZ10</w:t>
            </w:r>
          </w:p>
        </w:tc>
        <w:tc>
          <w:tcPr>
            <w:tcW w:w="851" w:type="dxa"/>
          </w:tcPr>
          <w:p w14:paraId="69F5616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0.57</w:t>
            </w:r>
          </w:p>
        </w:tc>
        <w:tc>
          <w:tcPr>
            <w:tcW w:w="850" w:type="dxa"/>
          </w:tcPr>
          <w:p w14:paraId="05A7C74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7.97</w:t>
            </w:r>
          </w:p>
        </w:tc>
        <w:tc>
          <w:tcPr>
            <w:tcW w:w="851" w:type="dxa"/>
          </w:tcPr>
          <w:p w14:paraId="1093D09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2.81</w:t>
            </w:r>
          </w:p>
        </w:tc>
        <w:tc>
          <w:tcPr>
            <w:tcW w:w="850" w:type="dxa"/>
          </w:tcPr>
          <w:p w14:paraId="11B72C98"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6.51</w:t>
            </w:r>
          </w:p>
        </w:tc>
        <w:tc>
          <w:tcPr>
            <w:tcW w:w="851" w:type="dxa"/>
          </w:tcPr>
          <w:p w14:paraId="3B368BF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8.42</w:t>
            </w:r>
          </w:p>
        </w:tc>
        <w:tc>
          <w:tcPr>
            <w:tcW w:w="850" w:type="dxa"/>
          </w:tcPr>
          <w:p w14:paraId="36A4B79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6824A19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0.10</w:t>
            </w:r>
          </w:p>
        </w:tc>
        <w:tc>
          <w:tcPr>
            <w:tcW w:w="850" w:type="dxa"/>
          </w:tcPr>
          <w:p w14:paraId="605796A9"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9.21</w:t>
            </w:r>
          </w:p>
        </w:tc>
      </w:tr>
      <w:tr w:rsidR="00DB3A3E" w:rsidRPr="00DB3A3E" w14:paraId="65989B3A" w14:textId="77777777" w:rsidTr="009C4DAF">
        <w:trPr>
          <w:jc w:val="center"/>
        </w:trPr>
        <w:tc>
          <w:tcPr>
            <w:tcW w:w="1271" w:type="dxa"/>
            <w:shd w:val="clear" w:color="auto" w:fill="B8CCE4"/>
          </w:tcPr>
          <w:p w14:paraId="5E60C939"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lastRenderedPageBreak/>
              <w:t>S_BS_AEZ10</w:t>
            </w:r>
          </w:p>
        </w:tc>
        <w:tc>
          <w:tcPr>
            <w:tcW w:w="851" w:type="dxa"/>
          </w:tcPr>
          <w:p w14:paraId="42146B7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0.02</w:t>
            </w:r>
          </w:p>
        </w:tc>
        <w:tc>
          <w:tcPr>
            <w:tcW w:w="850" w:type="dxa"/>
          </w:tcPr>
          <w:p w14:paraId="246CAE2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0.31</w:t>
            </w:r>
          </w:p>
        </w:tc>
        <w:tc>
          <w:tcPr>
            <w:tcW w:w="851" w:type="dxa"/>
          </w:tcPr>
          <w:p w14:paraId="786288F3"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0.11</w:t>
            </w:r>
          </w:p>
        </w:tc>
        <w:tc>
          <w:tcPr>
            <w:tcW w:w="850" w:type="dxa"/>
          </w:tcPr>
          <w:p w14:paraId="772CD09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0.25</w:t>
            </w:r>
          </w:p>
        </w:tc>
        <w:tc>
          <w:tcPr>
            <w:tcW w:w="851" w:type="dxa"/>
          </w:tcPr>
          <w:p w14:paraId="0D4BADB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0.33</w:t>
            </w:r>
          </w:p>
        </w:tc>
        <w:tc>
          <w:tcPr>
            <w:tcW w:w="850" w:type="dxa"/>
          </w:tcPr>
          <w:p w14:paraId="2B55070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77FA4E95"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58A5A43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0.36</w:t>
            </w:r>
          </w:p>
        </w:tc>
      </w:tr>
      <w:tr w:rsidR="00DB3A3E" w:rsidRPr="00DB3A3E" w14:paraId="2C6CEA93" w14:textId="77777777" w:rsidTr="009C4DAF">
        <w:trPr>
          <w:jc w:val="center"/>
        </w:trPr>
        <w:tc>
          <w:tcPr>
            <w:tcW w:w="1271" w:type="dxa"/>
            <w:shd w:val="clear" w:color="auto" w:fill="B8CCE4"/>
          </w:tcPr>
          <w:p w14:paraId="2A87FF73"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G_BS_AEZ10</w:t>
            </w:r>
          </w:p>
        </w:tc>
        <w:tc>
          <w:tcPr>
            <w:tcW w:w="851" w:type="dxa"/>
          </w:tcPr>
          <w:p w14:paraId="3E5FB086"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0.09</w:t>
            </w:r>
          </w:p>
        </w:tc>
        <w:tc>
          <w:tcPr>
            <w:tcW w:w="850" w:type="dxa"/>
          </w:tcPr>
          <w:p w14:paraId="7803E509"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1.26</w:t>
            </w:r>
          </w:p>
        </w:tc>
        <w:tc>
          <w:tcPr>
            <w:tcW w:w="851" w:type="dxa"/>
          </w:tcPr>
          <w:p w14:paraId="48767AB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0.44</w:t>
            </w:r>
          </w:p>
        </w:tc>
        <w:tc>
          <w:tcPr>
            <w:tcW w:w="850" w:type="dxa"/>
          </w:tcPr>
          <w:p w14:paraId="044F70D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1.03</w:t>
            </w:r>
          </w:p>
        </w:tc>
        <w:tc>
          <w:tcPr>
            <w:tcW w:w="851" w:type="dxa"/>
          </w:tcPr>
          <w:p w14:paraId="76A99DB5"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1.33</w:t>
            </w:r>
          </w:p>
        </w:tc>
        <w:tc>
          <w:tcPr>
            <w:tcW w:w="850" w:type="dxa"/>
          </w:tcPr>
          <w:p w14:paraId="64141745"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71CDAF45"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0.02</w:t>
            </w:r>
          </w:p>
        </w:tc>
        <w:tc>
          <w:tcPr>
            <w:tcW w:w="850" w:type="dxa"/>
          </w:tcPr>
          <w:p w14:paraId="7AC9D7E8"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1.45</w:t>
            </w:r>
          </w:p>
        </w:tc>
      </w:tr>
      <w:tr w:rsidR="00DB3A3E" w:rsidRPr="00DB3A3E" w14:paraId="633B265B" w14:textId="77777777" w:rsidTr="009C4DAF">
        <w:trPr>
          <w:jc w:val="center"/>
        </w:trPr>
        <w:tc>
          <w:tcPr>
            <w:tcW w:w="1271" w:type="dxa"/>
            <w:shd w:val="clear" w:color="auto" w:fill="B8CCE4"/>
          </w:tcPr>
          <w:p w14:paraId="696FD6A7"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S_EA_AEZ10</w:t>
            </w:r>
          </w:p>
        </w:tc>
        <w:tc>
          <w:tcPr>
            <w:tcW w:w="851" w:type="dxa"/>
          </w:tcPr>
          <w:p w14:paraId="028AA8E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1C7F40E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0.02</w:t>
            </w:r>
          </w:p>
        </w:tc>
        <w:tc>
          <w:tcPr>
            <w:tcW w:w="851" w:type="dxa"/>
          </w:tcPr>
          <w:p w14:paraId="58EA79B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c>
          <w:tcPr>
            <w:tcW w:w="850" w:type="dxa"/>
          </w:tcPr>
          <w:p w14:paraId="364D875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0.02</w:t>
            </w:r>
          </w:p>
        </w:tc>
        <w:tc>
          <w:tcPr>
            <w:tcW w:w="851" w:type="dxa"/>
          </w:tcPr>
          <w:p w14:paraId="574D6D6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0.02</w:t>
            </w:r>
          </w:p>
        </w:tc>
        <w:tc>
          <w:tcPr>
            <w:tcW w:w="850" w:type="dxa"/>
          </w:tcPr>
          <w:p w14:paraId="506B7BC9"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4678A6A9"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1D9E76A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0.03</w:t>
            </w:r>
          </w:p>
        </w:tc>
      </w:tr>
      <w:tr w:rsidR="00DB3A3E" w:rsidRPr="00DB3A3E" w14:paraId="64D06397" w14:textId="77777777" w:rsidTr="009C4DAF">
        <w:trPr>
          <w:jc w:val="center"/>
        </w:trPr>
        <w:tc>
          <w:tcPr>
            <w:tcW w:w="1271" w:type="dxa"/>
            <w:shd w:val="clear" w:color="auto" w:fill="B8CCE4"/>
          </w:tcPr>
          <w:p w14:paraId="6F3B5FA6"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G_EA_AEZ10</w:t>
            </w:r>
          </w:p>
        </w:tc>
        <w:tc>
          <w:tcPr>
            <w:tcW w:w="851" w:type="dxa"/>
          </w:tcPr>
          <w:p w14:paraId="53D16767"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c>
          <w:tcPr>
            <w:tcW w:w="850" w:type="dxa"/>
          </w:tcPr>
          <w:p w14:paraId="2378BD4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0.07</w:t>
            </w:r>
          </w:p>
        </w:tc>
        <w:tc>
          <w:tcPr>
            <w:tcW w:w="851" w:type="dxa"/>
          </w:tcPr>
          <w:p w14:paraId="6A010A21"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0.03</w:t>
            </w:r>
          </w:p>
        </w:tc>
        <w:tc>
          <w:tcPr>
            <w:tcW w:w="850" w:type="dxa"/>
          </w:tcPr>
          <w:p w14:paraId="44EE7193"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0.06</w:t>
            </w:r>
          </w:p>
        </w:tc>
        <w:tc>
          <w:tcPr>
            <w:tcW w:w="851" w:type="dxa"/>
          </w:tcPr>
          <w:p w14:paraId="0A87E93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0.08</w:t>
            </w:r>
          </w:p>
        </w:tc>
        <w:tc>
          <w:tcPr>
            <w:tcW w:w="850" w:type="dxa"/>
          </w:tcPr>
          <w:p w14:paraId="1B0AFAD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0F46AAE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2516553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0.09</w:t>
            </w:r>
          </w:p>
        </w:tc>
      </w:tr>
      <w:tr w:rsidR="00DB3A3E" w:rsidRPr="00DB3A3E" w14:paraId="2EA220B9" w14:textId="77777777" w:rsidTr="009C4DAF">
        <w:trPr>
          <w:jc w:val="center"/>
        </w:trPr>
        <w:tc>
          <w:tcPr>
            <w:tcW w:w="1271" w:type="dxa"/>
            <w:shd w:val="clear" w:color="auto" w:fill="B8CCE4"/>
          </w:tcPr>
          <w:p w14:paraId="298989AC"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S_WA_AEZ10</w:t>
            </w:r>
          </w:p>
        </w:tc>
        <w:tc>
          <w:tcPr>
            <w:tcW w:w="851" w:type="dxa"/>
          </w:tcPr>
          <w:p w14:paraId="1C7361F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c>
          <w:tcPr>
            <w:tcW w:w="850" w:type="dxa"/>
          </w:tcPr>
          <w:p w14:paraId="118198A6"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0.18</w:t>
            </w:r>
          </w:p>
        </w:tc>
        <w:tc>
          <w:tcPr>
            <w:tcW w:w="851" w:type="dxa"/>
          </w:tcPr>
          <w:p w14:paraId="33C9C4F7"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0.06</w:t>
            </w:r>
          </w:p>
        </w:tc>
        <w:tc>
          <w:tcPr>
            <w:tcW w:w="850" w:type="dxa"/>
          </w:tcPr>
          <w:p w14:paraId="5E95F518"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0.15</w:t>
            </w:r>
          </w:p>
        </w:tc>
        <w:tc>
          <w:tcPr>
            <w:tcW w:w="851" w:type="dxa"/>
          </w:tcPr>
          <w:p w14:paraId="39E890D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0.19</w:t>
            </w:r>
          </w:p>
        </w:tc>
        <w:tc>
          <w:tcPr>
            <w:tcW w:w="850" w:type="dxa"/>
          </w:tcPr>
          <w:p w14:paraId="2A09F40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5AE49666"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0E6AB4A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0.21</w:t>
            </w:r>
          </w:p>
        </w:tc>
      </w:tr>
      <w:tr w:rsidR="00DB3A3E" w:rsidRPr="00DB3A3E" w14:paraId="24C5091A" w14:textId="77777777" w:rsidTr="009C4DAF">
        <w:trPr>
          <w:jc w:val="center"/>
        </w:trPr>
        <w:tc>
          <w:tcPr>
            <w:tcW w:w="1271" w:type="dxa"/>
            <w:shd w:val="clear" w:color="auto" w:fill="B8CCE4"/>
          </w:tcPr>
          <w:p w14:paraId="1CCE24D0"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G_WA_AEZ10</w:t>
            </w:r>
          </w:p>
        </w:tc>
        <w:tc>
          <w:tcPr>
            <w:tcW w:w="851" w:type="dxa"/>
          </w:tcPr>
          <w:p w14:paraId="2B66FD9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0.18</w:t>
            </w:r>
          </w:p>
        </w:tc>
        <w:tc>
          <w:tcPr>
            <w:tcW w:w="850" w:type="dxa"/>
          </w:tcPr>
          <w:p w14:paraId="291BE61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2.53</w:t>
            </w:r>
          </w:p>
        </w:tc>
        <w:tc>
          <w:tcPr>
            <w:tcW w:w="851" w:type="dxa"/>
          </w:tcPr>
          <w:p w14:paraId="2E56144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0.89</w:t>
            </w:r>
          </w:p>
        </w:tc>
        <w:tc>
          <w:tcPr>
            <w:tcW w:w="850" w:type="dxa"/>
          </w:tcPr>
          <w:p w14:paraId="3755F763"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2.07</w:t>
            </w:r>
          </w:p>
        </w:tc>
        <w:tc>
          <w:tcPr>
            <w:tcW w:w="851" w:type="dxa"/>
          </w:tcPr>
          <w:p w14:paraId="78005EE3"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2.67</w:t>
            </w:r>
          </w:p>
        </w:tc>
        <w:tc>
          <w:tcPr>
            <w:tcW w:w="850" w:type="dxa"/>
          </w:tcPr>
          <w:p w14:paraId="4145271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14F8BA1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0.03</w:t>
            </w:r>
          </w:p>
        </w:tc>
        <w:tc>
          <w:tcPr>
            <w:tcW w:w="850" w:type="dxa"/>
          </w:tcPr>
          <w:p w14:paraId="2507514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2.92</w:t>
            </w:r>
          </w:p>
        </w:tc>
      </w:tr>
      <w:tr w:rsidR="00DB3A3E" w:rsidRPr="00DB3A3E" w14:paraId="7A25491A" w14:textId="77777777" w:rsidTr="009C4DAF">
        <w:trPr>
          <w:jc w:val="center"/>
        </w:trPr>
        <w:tc>
          <w:tcPr>
            <w:tcW w:w="1271" w:type="dxa"/>
            <w:shd w:val="clear" w:color="auto" w:fill="B8CCE4"/>
          </w:tcPr>
          <w:p w14:paraId="35FADFCC"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G_DB_AEZ14</w:t>
            </w:r>
          </w:p>
        </w:tc>
        <w:tc>
          <w:tcPr>
            <w:tcW w:w="851" w:type="dxa"/>
          </w:tcPr>
          <w:p w14:paraId="7468552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61985E7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0.05</w:t>
            </w:r>
          </w:p>
        </w:tc>
        <w:tc>
          <w:tcPr>
            <w:tcW w:w="851" w:type="dxa"/>
          </w:tcPr>
          <w:p w14:paraId="2D6BC66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0.02</w:t>
            </w:r>
          </w:p>
        </w:tc>
        <w:tc>
          <w:tcPr>
            <w:tcW w:w="850" w:type="dxa"/>
          </w:tcPr>
          <w:p w14:paraId="1AA83857"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0.12</w:t>
            </w:r>
          </w:p>
        </w:tc>
        <w:tc>
          <w:tcPr>
            <w:tcW w:w="851" w:type="dxa"/>
          </w:tcPr>
          <w:p w14:paraId="428614E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0.05</w:t>
            </w:r>
          </w:p>
        </w:tc>
        <w:tc>
          <w:tcPr>
            <w:tcW w:w="850" w:type="dxa"/>
          </w:tcPr>
          <w:p w14:paraId="2CDDD89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55C9C79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38FA6C9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0.42</w:t>
            </w:r>
          </w:p>
        </w:tc>
      </w:tr>
      <w:tr w:rsidR="00DB3A3E" w:rsidRPr="00DB3A3E" w14:paraId="77D4B8F4" w14:textId="77777777" w:rsidTr="009C4DAF">
        <w:trPr>
          <w:jc w:val="center"/>
        </w:trPr>
        <w:tc>
          <w:tcPr>
            <w:tcW w:w="1271" w:type="dxa"/>
            <w:shd w:val="clear" w:color="auto" w:fill="B8CCE4"/>
          </w:tcPr>
          <w:p w14:paraId="03725FA3"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S_BS_AEZ15</w:t>
            </w:r>
          </w:p>
        </w:tc>
        <w:tc>
          <w:tcPr>
            <w:tcW w:w="851" w:type="dxa"/>
          </w:tcPr>
          <w:p w14:paraId="55CBA6F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00D20949"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c>
          <w:tcPr>
            <w:tcW w:w="851" w:type="dxa"/>
          </w:tcPr>
          <w:p w14:paraId="14BAF30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630A7EF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24B638F1"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7DB337E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5F75C97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44BF3EB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r>
      <w:tr w:rsidR="00DB3A3E" w:rsidRPr="00DB3A3E" w14:paraId="3D341AB2" w14:textId="77777777" w:rsidTr="009C4DAF">
        <w:trPr>
          <w:jc w:val="center"/>
        </w:trPr>
        <w:tc>
          <w:tcPr>
            <w:tcW w:w="1271" w:type="dxa"/>
            <w:shd w:val="clear" w:color="auto" w:fill="B8CCE4"/>
          </w:tcPr>
          <w:p w14:paraId="36C872BC"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G_BS_AEZ15</w:t>
            </w:r>
          </w:p>
        </w:tc>
        <w:tc>
          <w:tcPr>
            <w:tcW w:w="851" w:type="dxa"/>
          </w:tcPr>
          <w:p w14:paraId="42E66725"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1C0FCFE9"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0.03</w:t>
            </w:r>
          </w:p>
        </w:tc>
        <w:tc>
          <w:tcPr>
            <w:tcW w:w="851" w:type="dxa"/>
          </w:tcPr>
          <w:p w14:paraId="25A7CC7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c>
          <w:tcPr>
            <w:tcW w:w="850" w:type="dxa"/>
          </w:tcPr>
          <w:p w14:paraId="315C2BF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0.02</w:t>
            </w:r>
          </w:p>
        </w:tc>
        <w:tc>
          <w:tcPr>
            <w:tcW w:w="851" w:type="dxa"/>
          </w:tcPr>
          <w:p w14:paraId="380EFBF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0.02</w:t>
            </w:r>
          </w:p>
        </w:tc>
        <w:tc>
          <w:tcPr>
            <w:tcW w:w="850" w:type="dxa"/>
          </w:tcPr>
          <w:p w14:paraId="31E61CA3"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63E5592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70991E8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0.03</w:t>
            </w:r>
          </w:p>
        </w:tc>
      </w:tr>
      <w:tr w:rsidR="00DB3A3E" w:rsidRPr="00DB3A3E" w14:paraId="480F1900" w14:textId="77777777" w:rsidTr="009C4DAF">
        <w:trPr>
          <w:jc w:val="center"/>
        </w:trPr>
        <w:tc>
          <w:tcPr>
            <w:tcW w:w="1271" w:type="dxa"/>
            <w:shd w:val="clear" w:color="auto" w:fill="B8CCE4"/>
          </w:tcPr>
          <w:p w14:paraId="12F104CB"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G_WA_AEZ15</w:t>
            </w:r>
          </w:p>
        </w:tc>
        <w:tc>
          <w:tcPr>
            <w:tcW w:w="851" w:type="dxa"/>
          </w:tcPr>
          <w:p w14:paraId="4351A953"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2ED9BD3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0.05</w:t>
            </w:r>
          </w:p>
        </w:tc>
        <w:tc>
          <w:tcPr>
            <w:tcW w:w="851" w:type="dxa"/>
          </w:tcPr>
          <w:p w14:paraId="723D3F5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c>
          <w:tcPr>
            <w:tcW w:w="850" w:type="dxa"/>
          </w:tcPr>
          <w:p w14:paraId="32B50F88"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0.04</w:t>
            </w:r>
          </w:p>
        </w:tc>
        <w:tc>
          <w:tcPr>
            <w:tcW w:w="851" w:type="dxa"/>
          </w:tcPr>
          <w:p w14:paraId="67219D29"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0.04</w:t>
            </w:r>
          </w:p>
        </w:tc>
        <w:tc>
          <w:tcPr>
            <w:tcW w:w="850" w:type="dxa"/>
          </w:tcPr>
          <w:p w14:paraId="0F97160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32359045"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4BEC6C99"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0.05</w:t>
            </w:r>
          </w:p>
        </w:tc>
      </w:tr>
      <w:tr w:rsidR="00DB3A3E" w:rsidRPr="00DB3A3E" w14:paraId="00EF57E8" w14:textId="77777777" w:rsidTr="009C4DAF">
        <w:trPr>
          <w:jc w:val="center"/>
        </w:trPr>
        <w:tc>
          <w:tcPr>
            <w:tcW w:w="1271" w:type="dxa"/>
            <w:shd w:val="clear" w:color="auto" w:fill="B8CCE4"/>
          </w:tcPr>
          <w:p w14:paraId="063EF2AA"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UnSkLab</w:t>
            </w:r>
          </w:p>
        </w:tc>
        <w:tc>
          <w:tcPr>
            <w:tcW w:w="851" w:type="dxa"/>
          </w:tcPr>
          <w:p w14:paraId="37F0192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2.74</w:t>
            </w:r>
          </w:p>
        </w:tc>
        <w:tc>
          <w:tcPr>
            <w:tcW w:w="850" w:type="dxa"/>
          </w:tcPr>
          <w:p w14:paraId="1102E71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153.32</w:t>
            </w:r>
          </w:p>
        </w:tc>
        <w:tc>
          <w:tcPr>
            <w:tcW w:w="851" w:type="dxa"/>
          </w:tcPr>
          <w:p w14:paraId="3768D82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47.77</w:t>
            </w:r>
          </w:p>
        </w:tc>
        <w:tc>
          <w:tcPr>
            <w:tcW w:w="850" w:type="dxa"/>
          </w:tcPr>
          <w:p w14:paraId="4C38B50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108.56</w:t>
            </w:r>
          </w:p>
        </w:tc>
        <w:tc>
          <w:tcPr>
            <w:tcW w:w="851" w:type="dxa"/>
          </w:tcPr>
          <w:p w14:paraId="36864A47"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187.98</w:t>
            </w:r>
          </w:p>
        </w:tc>
        <w:tc>
          <w:tcPr>
            <w:tcW w:w="850" w:type="dxa"/>
          </w:tcPr>
          <w:p w14:paraId="58DC531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0.04</w:t>
            </w:r>
          </w:p>
        </w:tc>
        <w:tc>
          <w:tcPr>
            <w:tcW w:w="851" w:type="dxa"/>
          </w:tcPr>
          <w:p w14:paraId="176D9120"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1.15</w:t>
            </w:r>
          </w:p>
        </w:tc>
        <w:tc>
          <w:tcPr>
            <w:tcW w:w="850" w:type="dxa"/>
          </w:tcPr>
          <w:p w14:paraId="6165295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128.36</w:t>
            </w:r>
          </w:p>
        </w:tc>
      </w:tr>
      <w:tr w:rsidR="00DB3A3E" w:rsidRPr="00DB3A3E" w14:paraId="475DC4EA" w14:textId="77777777" w:rsidTr="009C4DAF">
        <w:trPr>
          <w:jc w:val="center"/>
        </w:trPr>
        <w:tc>
          <w:tcPr>
            <w:tcW w:w="1271" w:type="dxa"/>
            <w:shd w:val="clear" w:color="auto" w:fill="B8CCE4"/>
          </w:tcPr>
          <w:p w14:paraId="790C1155"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SkLab</w:t>
            </w:r>
          </w:p>
        </w:tc>
        <w:tc>
          <w:tcPr>
            <w:tcW w:w="851" w:type="dxa"/>
          </w:tcPr>
          <w:p w14:paraId="5F01D09B"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0.47</w:t>
            </w:r>
          </w:p>
        </w:tc>
        <w:tc>
          <w:tcPr>
            <w:tcW w:w="850" w:type="dxa"/>
          </w:tcPr>
          <w:p w14:paraId="63ACB0E2"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25.30</w:t>
            </w:r>
          </w:p>
        </w:tc>
        <w:tc>
          <w:tcPr>
            <w:tcW w:w="851" w:type="dxa"/>
          </w:tcPr>
          <w:p w14:paraId="730AC17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7.93</w:t>
            </w:r>
          </w:p>
        </w:tc>
        <w:tc>
          <w:tcPr>
            <w:tcW w:w="850" w:type="dxa"/>
          </w:tcPr>
          <w:p w14:paraId="7EADCE1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18.53</w:t>
            </w:r>
          </w:p>
        </w:tc>
        <w:tc>
          <w:tcPr>
            <w:tcW w:w="851" w:type="dxa"/>
          </w:tcPr>
          <w:p w14:paraId="6CC962E3"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31.01</w:t>
            </w:r>
          </w:p>
        </w:tc>
        <w:tc>
          <w:tcPr>
            <w:tcW w:w="850" w:type="dxa"/>
          </w:tcPr>
          <w:p w14:paraId="04E38066"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0.01</w:t>
            </w:r>
          </w:p>
        </w:tc>
        <w:tc>
          <w:tcPr>
            <w:tcW w:w="851" w:type="dxa"/>
          </w:tcPr>
          <w:p w14:paraId="26C18C1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0.51</w:t>
            </w:r>
          </w:p>
        </w:tc>
        <w:tc>
          <w:tcPr>
            <w:tcW w:w="850" w:type="dxa"/>
          </w:tcPr>
          <w:p w14:paraId="6A29242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22.49</w:t>
            </w:r>
          </w:p>
        </w:tc>
      </w:tr>
      <w:tr w:rsidR="00DB3A3E" w:rsidRPr="00DB3A3E" w14:paraId="6C40E379" w14:textId="77777777" w:rsidTr="009C4DAF">
        <w:trPr>
          <w:jc w:val="center"/>
        </w:trPr>
        <w:tc>
          <w:tcPr>
            <w:tcW w:w="1271" w:type="dxa"/>
            <w:shd w:val="clear" w:color="auto" w:fill="B8CCE4"/>
          </w:tcPr>
          <w:p w14:paraId="7358146E"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Capital</w:t>
            </w:r>
          </w:p>
        </w:tc>
        <w:tc>
          <w:tcPr>
            <w:tcW w:w="851" w:type="dxa"/>
          </w:tcPr>
          <w:p w14:paraId="1514AE7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0.93</w:t>
            </w:r>
          </w:p>
        </w:tc>
        <w:tc>
          <w:tcPr>
            <w:tcW w:w="850" w:type="dxa"/>
          </w:tcPr>
          <w:p w14:paraId="55767B86"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48.52</w:t>
            </w:r>
          </w:p>
        </w:tc>
        <w:tc>
          <w:tcPr>
            <w:tcW w:w="851" w:type="dxa"/>
          </w:tcPr>
          <w:p w14:paraId="3D6DB186"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17.51</w:t>
            </w:r>
          </w:p>
        </w:tc>
        <w:tc>
          <w:tcPr>
            <w:tcW w:w="850" w:type="dxa"/>
          </w:tcPr>
          <w:p w14:paraId="34404676"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33.48</w:t>
            </w:r>
          </w:p>
        </w:tc>
        <w:tc>
          <w:tcPr>
            <w:tcW w:w="851" w:type="dxa"/>
          </w:tcPr>
          <w:p w14:paraId="20DBDC1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58.84</w:t>
            </w:r>
          </w:p>
        </w:tc>
        <w:tc>
          <w:tcPr>
            <w:tcW w:w="850" w:type="dxa"/>
          </w:tcPr>
          <w:p w14:paraId="2D97DD56"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0.05</w:t>
            </w:r>
          </w:p>
        </w:tc>
        <w:tc>
          <w:tcPr>
            <w:tcW w:w="851" w:type="dxa"/>
          </w:tcPr>
          <w:p w14:paraId="36130AC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1.27</w:t>
            </w:r>
          </w:p>
        </w:tc>
        <w:tc>
          <w:tcPr>
            <w:tcW w:w="850" w:type="dxa"/>
          </w:tcPr>
          <w:p w14:paraId="13923D28"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54.88</w:t>
            </w:r>
          </w:p>
        </w:tc>
      </w:tr>
      <w:tr w:rsidR="00DB3A3E" w:rsidRPr="00DB3A3E" w14:paraId="305A1405" w14:textId="77777777" w:rsidTr="009C4DAF">
        <w:trPr>
          <w:jc w:val="center"/>
        </w:trPr>
        <w:tc>
          <w:tcPr>
            <w:tcW w:w="1271" w:type="dxa"/>
            <w:shd w:val="clear" w:color="auto" w:fill="B8CCE4"/>
          </w:tcPr>
          <w:p w14:paraId="10637ECA" w14:textId="77777777" w:rsidR="00DB3A3E" w:rsidRPr="00DB3A3E" w:rsidRDefault="00DB3A3E" w:rsidP="009C4DAF">
            <w:pPr>
              <w:spacing w:before="20" w:after="20" w:line="240" w:lineRule="auto"/>
              <w:jc w:val="left"/>
              <w:rPr>
                <w:rFonts w:asciiTheme="minorHAnsi" w:eastAsia="Calibri" w:hAnsiTheme="minorHAnsi" w:cstheme="minorHAnsi"/>
                <w:sz w:val="20"/>
                <w:szCs w:val="20"/>
              </w:rPr>
            </w:pPr>
            <w:r w:rsidRPr="00DB3A3E">
              <w:rPr>
                <w:rFonts w:asciiTheme="minorHAnsi" w:eastAsia="Calibri" w:hAnsiTheme="minorHAnsi" w:cstheme="minorHAnsi"/>
                <w:sz w:val="20"/>
                <w:szCs w:val="20"/>
              </w:rPr>
              <w:t>NatRes</w:t>
            </w:r>
          </w:p>
        </w:tc>
        <w:tc>
          <w:tcPr>
            <w:tcW w:w="851" w:type="dxa"/>
          </w:tcPr>
          <w:p w14:paraId="5403B92A"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2DE3596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05EA63EC"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0C08067E"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2AEDB444"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7C2959C9"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1" w:type="dxa"/>
          </w:tcPr>
          <w:p w14:paraId="59665FFD"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c>
          <w:tcPr>
            <w:tcW w:w="850" w:type="dxa"/>
          </w:tcPr>
          <w:p w14:paraId="477D635F" w14:textId="77777777" w:rsidR="00DB3A3E" w:rsidRPr="00DB3A3E" w:rsidRDefault="00DB3A3E" w:rsidP="009C4DAF">
            <w:pPr>
              <w:spacing w:before="20" w:after="20" w:line="240" w:lineRule="auto"/>
              <w:jc w:val="right"/>
              <w:rPr>
                <w:rFonts w:asciiTheme="minorHAnsi" w:eastAsia="Calibri" w:hAnsiTheme="minorHAnsi" w:cstheme="minorHAnsi"/>
                <w:sz w:val="20"/>
                <w:szCs w:val="20"/>
              </w:rPr>
            </w:pPr>
            <w:r w:rsidRPr="00DB3A3E">
              <w:rPr>
                <w:rFonts w:asciiTheme="minorHAnsi" w:eastAsia="Calibri" w:hAnsiTheme="minorHAnsi" w:cstheme="minorHAnsi"/>
                <w:sz w:val="20"/>
                <w:szCs w:val="20"/>
              </w:rPr>
              <w:t>0.00</w:t>
            </w:r>
          </w:p>
        </w:tc>
      </w:tr>
    </w:tbl>
    <w:bookmarkEnd w:id="71"/>
    <w:p w14:paraId="6C372697" w14:textId="77777777" w:rsidR="00BA2083" w:rsidRPr="001C3EDC" w:rsidRDefault="00BA2083" w:rsidP="00BA2083">
      <w:pPr>
        <w:pStyle w:val="Source"/>
        <w:spacing w:after="60"/>
      </w:pPr>
      <w:r w:rsidRPr="001C3EDC">
        <w:t xml:space="preserve">Note: Water type classification: S = surface water, G = groundwater; RB classification: DB = Danube, BS = Black Sea, WA = West Aegean, EA = East Aegean </w:t>
      </w:r>
    </w:p>
    <w:p w14:paraId="73615B81" w14:textId="080E3EBF" w:rsidR="00D34C31" w:rsidRPr="001C3EDC" w:rsidRDefault="00D34C31" w:rsidP="00BA2083">
      <w:pPr>
        <w:pStyle w:val="Source"/>
      </w:pPr>
      <w:r w:rsidRPr="001C3EDC">
        <w:t>Source: GTAP data processing using data from Ministry of Agriculture, Foods and Forestry.</w:t>
      </w:r>
    </w:p>
    <w:p w14:paraId="2C125363" w14:textId="4F7F4666" w:rsidR="003B1B3B" w:rsidRPr="001C3EDC" w:rsidRDefault="003B1B3B" w:rsidP="00CF5E1E">
      <w:pPr>
        <w:pStyle w:val="Heading2"/>
        <w:spacing w:before="360" w:after="60"/>
      </w:pPr>
      <w:bookmarkStart w:id="72" w:name="_Toc510004092"/>
      <w:bookmarkStart w:id="73" w:name="_Toc522036460"/>
      <w:bookmarkStart w:id="74" w:name="_Toc486875417"/>
      <w:bookmarkStart w:id="75" w:name="_Toc505600280"/>
      <w:r w:rsidRPr="001C3EDC">
        <w:t>2</w:t>
      </w:r>
      <w:r w:rsidR="005A056E" w:rsidRPr="001C3EDC">
        <w:t>.5</w:t>
      </w:r>
      <w:r w:rsidR="0006676D" w:rsidRPr="001C3EDC">
        <w:t>.</w:t>
      </w:r>
      <w:r w:rsidR="00603E67" w:rsidRPr="001C3EDC">
        <w:t xml:space="preserve"> </w:t>
      </w:r>
      <w:r w:rsidR="00603E67" w:rsidRPr="001C3EDC">
        <w:tab/>
      </w:r>
      <w:bookmarkEnd w:id="72"/>
      <w:r w:rsidR="00F1038E" w:rsidRPr="001C3EDC">
        <w:t>Damage functions</w:t>
      </w:r>
      <w:bookmarkEnd w:id="73"/>
    </w:p>
    <w:p w14:paraId="0420C121" w14:textId="6A6B0719" w:rsidR="001D4182" w:rsidRPr="001C3EDC" w:rsidRDefault="006C6DED" w:rsidP="00CA5CD0">
      <w:pPr>
        <w:pStyle w:val="BodyText"/>
        <w:tabs>
          <w:tab w:val="left" w:pos="720"/>
        </w:tabs>
        <w:ind w:left="0" w:firstLine="0"/>
      </w:pPr>
      <w:r w:rsidRPr="001C3EDC">
        <w:t>C</w:t>
      </w:r>
      <w:r w:rsidR="00D24A9F" w:rsidRPr="001C3EDC">
        <w:t>limate change affects economi</w:t>
      </w:r>
      <w:r w:rsidR="00F1038E" w:rsidRPr="001C3EDC">
        <w:t>c activiti</w:t>
      </w:r>
      <w:r w:rsidR="00D24A9F" w:rsidRPr="001C3EDC">
        <w:t xml:space="preserve">es through changes in observable physical parameters (temperature, rainfall, </w:t>
      </w:r>
      <w:r w:rsidR="00C365E7" w:rsidRPr="001C3EDC">
        <w:t>SLR</w:t>
      </w:r>
      <w:r w:rsidR="00354FD2" w:rsidRPr="001C3EDC">
        <w:t>,</w:t>
      </w:r>
      <w:r w:rsidR="00D24A9F" w:rsidRPr="001C3EDC">
        <w:t xml:space="preserve"> </w:t>
      </w:r>
      <w:r w:rsidR="00354FD2" w:rsidRPr="001C3EDC">
        <w:t>and so on</w:t>
      </w:r>
      <w:r w:rsidR="00D24A9F" w:rsidRPr="001C3EDC">
        <w:t>) that are translated into shocks on economic variables in the economic model</w:t>
      </w:r>
      <w:r w:rsidR="001044FF" w:rsidRPr="001C3EDC">
        <w:t>.</w:t>
      </w:r>
      <w:r w:rsidR="00D24A9F" w:rsidRPr="001C3EDC">
        <w:t xml:space="preserve"> The mathematical relations </w:t>
      </w:r>
      <w:r w:rsidRPr="001C3EDC">
        <w:t xml:space="preserve">that capture these shocks are </w:t>
      </w:r>
      <w:r w:rsidR="00D24A9F" w:rsidRPr="001C3EDC">
        <w:t xml:space="preserve">called </w:t>
      </w:r>
      <w:r w:rsidR="001044FF" w:rsidRPr="001C3EDC">
        <w:t>‘</w:t>
      </w:r>
      <w:r w:rsidR="00D24A9F" w:rsidRPr="001C3EDC">
        <w:t>damage</w:t>
      </w:r>
      <w:r w:rsidR="001044FF" w:rsidRPr="001C3EDC">
        <w:t>’</w:t>
      </w:r>
      <w:r w:rsidR="00D24A9F" w:rsidRPr="001C3EDC">
        <w:t xml:space="preserve"> functions.</w:t>
      </w:r>
    </w:p>
    <w:p w14:paraId="11211490" w14:textId="77777777" w:rsidR="00CD38B1" w:rsidRPr="001C3EDC" w:rsidRDefault="00CD38B1" w:rsidP="00CF5E1E">
      <w:pPr>
        <w:pStyle w:val="Heading4"/>
        <w:spacing w:before="120"/>
      </w:pPr>
      <w:r w:rsidRPr="001C3EDC">
        <w:t>Estimating damage functions</w:t>
      </w:r>
    </w:p>
    <w:p w14:paraId="3D1E9741" w14:textId="0E6A2B9A" w:rsidR="00CD38B1" w:rsidRPr="001C3EDC" w:rsidRDefault="00CD38B1" w:rsidP="00CA5CD0">
      <w:pPr>
        <w:pStyle w:val="BodyText"/>
        <w:tabs>
          <w:tab w:val="left" w:pos="720"/>
        </w:tabs>
        <w:ind w:left="0" w:firstLine="0"/>
      </w:pPr>
      <w:r w:rsidRPr="001C3EDC">
        <w:t>Damage functions help translate physical impacts of climate change into economic variables of interest that can be used, for example, in a CGE framework. Seen this way, damage functions represent relationships between climate variables</w:t>
      </w:r>
      <w:r w:rsidR="006C6DED" w:rsidRPr="001C3EDC">
        <w:t>,</w:t>
      </w:r>
      <w:r w:rsidRPr="001C3EDC">
        <w:t xml:space="preserve"> </w:t>
      </w:r>
      <w:r w:rsidR="00DF47A3" w:rsidRPr="001C3EDC">
        <w:t>such as</w:t>
      </w:r>
      <w:r w:rsidRPr="001C3EDC">
        <w:t xml:space="preserve"> temperature and precipitation</w:t>
      </w:r>
      <w:r w:rsidR="006C6DED" w:rsidRPr="001C3EDC">
        <w:t>,</w:t>
      </w:r>
      <w:r w:rsidRPr="001C3EDC">
        <w:t xml:space="preserve"> and economic</w:t>
      </w:r>
      <w:r w:rsidR="006C6DED" w:rsidRPr="001C3EDC">
        <w:t xml:space="preserve"> variables, </w:t>
      </w:r>
      <w:r w:rsidR="00DF47A3" w:rsidRPr="001C3EDC">
        <w:t>such as</w:t>
      </w:r>
      <w:r w:rsidRPr="001C3EDC">
        <w:t xml:space="preserve"> productivity, for example. What follows is the specification of some of the functional forms used for </w:t>
      </w:r>
      <w:r w:rsidR="006C6DED" w:rsidRPr="001C3EDC">
        <w:t xml:space="preserve">the </w:t>
      </w:r>
      <w:r w:rsidRPr="001C3EDC">
        <w:t>Bulgaria</w:t>
      </w:r>
      <w:r w:rsidR="006C6DED" w:rsidRPr="001C3EDC">
        <w:t xml:space="preserve"> CGE model</w:t>
      </w:r>
      <w:r w:rsidRPr="001C3EDC">
        <w:t>.</w:t>
      </w:r>
      <w:r w:rsidR="006C6DED" w:rsidRPr="001C3EDC">
        <w:t xml:space="preserve"> </w:t>
      </w:r>
      <w:r w:rsidR="009E38BA" w:rsidRPr="001C3EDC">
        <w:t>T</w:t>
      </w:r>
      <w:r w:rsidRPr="001C3EDC">
        <w:t xml:space="preserve">hese equations are not part of the </w:t>
      </w:r>
      <w:r w:rsidR="009E38BA" w:rsidRPr="001C3EDC">
        <w:t xml:space="preserve">standard GTAP </w:t>
      </w:r>
      <w:r w:rsidRPr="001C3EDC">
        <w:t xml:space="preserve">Bulgaria CGE model </w:t>
      </w:r>
      <w:r w:rsidR="009E38BA" w:rsidRPr="001C3EDC">
        <w:t>and are</w:t>
      </w:r>
      <w:r w:rsidRPr="001C3EDC">
        <w:t xml:space="preserve"> derived from these results as applied originally by Roson and Sartori (2016). </w:t>
      </w:r>
      <w:r w:rsidR="007F7DC4" w:rsidRPr="001C3EDC">
        <w:t>T</w:t>
      </w:r>
      <w:r w:rsidRPr="001C3EDC">
        <w:t>he specific values that were finally fed into the CGE model</w:t>
      </w:r>
      <w:r w:rsidR="007F7DC4" w:rsidRPr="001C3EDC">
        <w:t xml:space="preserve"> can be found in </w:t>
      </w:r>
      <w:r w:rsidR="00CF18D6" w:rsidRPr="001C3EDC">
        <w:rPr>
          <w:b/>
          <w:bCs/>
          <w:i/>
          <w:iCs/>
        </w:rPr>
        <w:t>Table 4</w:t>
      </w:r>
      <w:r w:rsidR="00CF18D6" w:rsidRPr="001C3EDC">
        <w:t>.</w:t>
      </w:r>
    </w:p>
    <w:p w14:paraId="599D6244" w14:textId="0D7F1D65" w:rsidR="00CD38B1" w:rsidRPr="001C3EDC" w:rsidRDefault="00CD38B1" w:rsidP="00634B9D">
      <w:pPr>
        <w:pStyle w:val="ListParagraph"/>
        <w:numPr>
          <w:ilvl w:val="0"/>
          <w:numId w:val="8"/>
        </w:numPr>
        <w:spacing w:line="276" w:lineRule="auto"/>
        <w:jc w:val="left"/>
        <w:rPr>
          <w:rFonts w:cs="Times New Roman"/>
          <w:b/>
          <w:szCs w:val="24"/>
        </w:rPr>
      </w:pPr>
      <w:r w:rsidRPr="001C3EDC">
        <w:rPr>
          <w:rFonts w:cs="Times New Roman"/>
          <w:b/>
          <w:szCs w:val="24"/>
        </w:rPr>
        <w:t>SLR function</w:t>
      </w:r>
    </w:p>
    <w:p w14:paraId="05CFB9C0" w14:textId="77777777" w:rsidR="00CD38B1" w:rsidRPr="001C3EDC" w:rsidRDefault="00CD38B1" w:rsidP="0006676D">
      <w:pPr>
        <w:spacing w:line="276" w:lineRule="auto"/>
        <w:rPr>
          <w:rFonts w:eastAsiaTheme="minorEastAsia" w:cs="Times New Roman"/>
          <w:szCs w:val="24"/>
        </w:rPr>
      </w:pPr>
      <m:oMathPara>
        <m:oMath>
          <m:r>
            <w:rPr>
              <w:rFonts w:ascii="Cambria Math" w:hAnsi="Cambria Math" w:cs="Times New Roman"/>
              <w:szCs w:val="24"/>
            </w:rPr>
            <m:t>SLR=</m:t>
          </m:r>
          <m:d>
            <m:dPr>
              <m:begChr m:val="["/>
              <m:endChr m:val="]"/>
              <m:ctrlPr>
                <w:rPr>
                  <w:rFonts w:ascii="Cambria Math" w:hAnsi="Cambria Math" w:cs="Times New Roman"/>
                  <w:i/>
                  <w:szCs w:val="24"/>
                </w:rPr>
              </m:ctrlPr>
            </m:dPr>
            <m:e>
              <m:d>
                <m:dPr>
                  <m:ctrlPr>
                    <w:rPr>
                      <w:rFonts w:ascii="Cambria Math" w:hAnsi="Cambria Math" w:cs="Times New Roman"/>
                      <w:i/>
                      <w:szCs w:val="24"/>
                    </w:rPr>
                  </m:ctrlPr>
                </m:dPr>
                <m:e>
                  <m:r>
                    <w:rPr>
                      <w:rFonts w:ascii="Cambria Math" w:hAnsi="Cambria Math" w:cs="Times New Roman"/>
                      <w:szCs w:val="24"/>
                    </w:rPr>
                    <m:t>α+β∆t-V</m:t>
                  </m:r>
                </m:e>
              </m:d>
              <m:r>
                <w:rPr>
                  <w:rFonts w:ascii="Cambria Math" w:hAnsi="Cambria Math" w:cs="Times New Roman"/>
                  <w:szCs w:val="24"/>
                </w:rPr>
                <m:t>(Y-2000)</m:t>
              </m:r>
            </m:e>
          </m:d>
        </m:oMath>
      </m:oMathPara>
    </w:p>
    <w:p w14:paraId="5A4C10CC" w14:textId="68859C1A" w:rsidR="00155118" w:rsidRPr="001C3EDC" w:rsidRDefault="00CF5E1E" w:rsidP="00CF5E1E">
      <w:pPr>
        <w:pStyle w:val="BodyText"/>
        <w:numPr>
          <w:ilvl w:val="0"/>
          <w:numId w:val="0"/>
        </w:numPr>
        <w:tabs>
          <w:tab w:val="left" w:pos="720"/>
        </w:tabs>
        <w:spacing w:after="60"/>
      </w:pPr>
      <w:r>
        <w:t>w</w:t>
      </w:r>
      <w:r w:rsidR="00155118" w:rsidRPr="001C3EDC">
        <w:t>here</w:t>
      </w:r>
      <w:r>
        <w:t>:</w:t>
      </w:r>
    </w:p>
    <w:p w14:paraId="4D6201F8" w14:textId="0FBB351F" w:rsidR="00155118" w:rsidRPr="00CF5E1E" w:rsidRDefault="00CF5E1E" w:rsidP="00CF5E1E">
      <w:pPr>
        <w:pStyle w:val="BodyText"/>
        <w:numPr>
          <w:ilvl w:val="0"/>
          <w:numId w:val="0"/>
        </w:numPr>
        <w:tabs>
          <w:tab w:val="left" w:pos="720"/>
          <w:tab w:val="left" w:pos="1080"/>
        </w:tabs>
        <w:spacing w:after="60"/>
        <w:ind w:left="360" w:firstLine="360"/>
        <w:rPr>
          <w:sz w:val="20"/>
          <w:szCs w:val="20"/>
        </w:rPr>
      </w:pPr>
      <w:r>
        <w:rPr>
          <w:sz w:val="20"/>
          <w:szCs w:val="20"/>
        </w:rPr>
        <w:t>SLR</w:t>
      </w:r>
      <w:r>
        <w:rPr>
          <w:sz w:val="20"/>
          <w:szCs w:val="20"/>
        </w:rPr>
        <w:tab/>
      </w:r>
      <w:r w:rsidR="00155118" w:rsidRPr="00CF5E1E">
        <w:rPr>
          <w:sz w:val="20"/>
          <w:szCs w:val="20"/>
        </w:rPr>
        <w:t>is Sea Level Rise in meters;</w:t>
      </w:r>
    </w:p>
    <w:p w14:paraId="43F25AB7" w14:textId="4AE908A0" w:rsidR="00155118" w:rsidRPr="00CF5E1E" w:rsidRDefault="00155118" w:rsidP="00CF5E1E">
      <w:pPr>
        <w:pStyle w:val="BodyText"/>
        <w:numPr>
          <w:ilvl w:val="0"/>
          <w:numId w:val="0"/>
        </w:numPr>
        <w:tabs>
          <w:tab w:val="left" w:pos="1080"/>
        </w:tabs>
        <w:spacing w:after="60"/>
        <w:ind w:left="360" w:firstLine="360"/>
        <w:rPr>
          <w:sz w:val="20"/>
          <w:szCs w:val="20"/>
        </w:rPr>
      </w:pPr>
      <w:r w:rsidRPr="00CF5E1E">
        <w:rPr>
          <w:sz w:val="20"/>
          <w:szCs w:val="20"/>
        </w:rPr>
        <w:t xml:space="preserve"> </w:t>
      </w:r>
      <m:oMath>
        <m:r>
          <w:rPr>
            <w:rFonts w:ascii="Cambria Math" w:hAnsi="Cambria Math"/>
            <w:sz w:val="20"/>
            <w:szCs w:val="20"/>
          </w:rPr>
          <m:t>∆t</m:t>
        </m:r>
      </m:oMath>
      <w:r w:rsidRPr="00CF5E1E">
        <w:rPr>
          <w:sz w:val="20"/>
          <w:szCs w:val="20"/>
        </w:rPr>
        <w:t xml:space="preserve"> </w:t>
      </w:r>
      <w:r w:rsidRPr="00CF5E1E">
        <w:rPr>
          <w:sz w:val="20"/>
          <w:szCs w:val="20"/>
        </w:rPr>
        <w:tab/>
      </w:r>
      <w:r w:rsidR="00CF5E1E">
        <w:rPr>
          <w:sz w:val="20"/>
          <w:szCs w:val="20"/>
        </w:rPr>
        <w:tab/>
      </w:r>
      <w:r w:rsidRPr="00CF5E1E">
        <w:rPr>
          <w:sz w:val="20"/>
          <w:szCs w:val="20"/>
        </w:rPr>
        <w:t>is the change in temperature relative to the baseline (1985</w:t>
      </w:r>
      <w:r w:rsidR="004133F3" w:rsidRPr="00CF5E1E">
        <w:rPr>
          <w:sz w:val="20"/>
          <w:szCs w:val="20"/>
        </w:rPr>
        <w:t>–</w:t>
      </w:r>
      <w:r w:rsidRPr="00CF5E1E">
        <w:rPr>
          <w:sz w:val="20"/>
          <w:szCs w:val="20"/>
        </w:rPr>
        <w:t>2005</w:t>
      </w:r>
      <w:r w:rsidRPr="00CF5E1E">
        <w:rPr>
          <w:rStyle w:val="FootnoteReference"/>
          <w:sz w:val="20"/>
          <w:szCs w:val="20"/>
        </w:rPr>
        <w:footnoteReference w:id="4"/>
      </w:r>
      <w:r w:rsidRPr="00CF5E1E">
        <w:rPr>
          <w:sz w:val="20"/>
          <w:szCs w:val="20"/>
        </w:rPr>
        <w:t>);</w:t>
      </w:r>
    </w:p>
    <w:p w14:paraId="6B6989DD" w14:textId="2DB1E99A" w:rsidR="00155118" w:rsidRPr="00CF5E1E" w:rsidRDefault="00155118" w:rsidP="00CF5E1E">
      <w:pPr>
        <w:pStyle w:val="BodyText"/>
        <w:numPr>
          <w:ilvl w:val="0"/>
          <w:numId w:val="0"/>
        </w:numPr>
        <w:tabs>
          <w:tab w:val="left" w:pos="1080"/>
        </w:tabs>
        <w:spacing w:after="60"/>
        <w:ind w:left="360" w:firstLine="360"/>
        <w:rPr>
          <w:sz w:val="20"/>
          <w:szCs w:val="20"/>
        </w:rPr>
      </w:pPr>
      <w:r w:rsidRPr="00CF5E1E">
        <w:rPr>
          <w:i/>
          <w:sz w:val="20"/>
          <w:szCs w:val="20"/>
        </w:rPr>
        <w:t>Y</w:t>
      </w:r>
      <w:r w:rsidRPr="00CF5E1E">
        <w:rPr>
          <w:sz w:val="20"/>
          <w:szCs w:val="20"/>
        </w:rPr>
        <w:tab/>
      </w:r>
      <w:r w:rsidR="00CF5E1E">
        <w:rPr>
          <w:sz w:val="20"/>
          <w:szCs w:val="20"/>
        </w:rPr>
        <w:tab/>
      </w:r>
      <w:r w:rsidRPr="00CF5E1E">
        <w:rPr>
          <w:sz w:val="20"/>
          <w:szCs w:val="20"/>
        </w:rPr>
        <w:t>is the year period (2050, for example);</w:t>
      </w:r>
    </w:p>
    <w:p w14:paraId="2C2BA458" w14:textId="69BB0DB2" w:rsidR="00954C85" w:rsidRDefault="00954C85" w:rsidP="00CF5E1E">
      <w:pPr>
        <w:pStyle w:val="BodyText"/>
        <w:numPr>
          <w:ilvl w:val="0"/>
          <w:numId w:val="0"/>
        </w:numPr>
        <w:tabs>
          <w:tab w:val="left" w:pos="1080"/>
        </w:tabs>
        <w:spacing w:after="60"/>
        <w:ind w:left="360" w:firstLine="360"/>
        <w:rPr>
          <w:sz w:val="20"/>
          <w:szCs w:val="20"/>
        </w:rPr>
      </w:pPr>
      <w:r w:rsidRPr="00CF5E1E">
        <w:rPr>
          <w:i/>
          <w:sz w:val="20"/>
          <w:szCs w:val="20"/>
        </w:rPr>
        <w:t>V</w:t>
      </w:r>
      <w:r w:rsidRPr="00CF5E1E">
        <w:rPr>
          <w:sz w:val="20"/>
          <w:szCs w:val="20"/>
        </w:rPr>
        <w:tab/>
      </w:r>
      <w:r w:rsidR="00CF5E1E">
        <w:rPr>
          <w:sz w:val="20"/>
          <w:szCs w:val="20"/>
        </w:rPr>
        <w:tab/>
      </w:r>
      <w:r w:rsidRPr="00CF5E1E">
        <w:rPr>
          <w:sz w:val="20"/>
          <w:szCs w:val="20"/>
        </w:rPr>
        <w:t>is vertical land movement;</w:t>
      </w:r>
    </w:p>
    <w:p w14:paraId="0962CBFF" w14:textId="7AB5F90F" w:rsidR="00954C85" w:rsidRPr="00CF5E1E" w:rsidRDefault="00954C85" w:rsidP="00CF5E1E">
      <w:pPr>
        <w:pStyle w:val="BodyText"/>
        <w:numPr>
          <w:ilvl w:val="0"/>
          <w:numId w:val="0"/>
        </w:numPr>
        <w:tabs>
          <w:tab w:val="left" w:pos="1080"/>
        </w:tabs>
        <w:spacing w:after="60"/>
        <w:ind w:left="360" w:firstLine="360"/>
        <w:rPr>
          <w:i/>
          <w:sz w:val="20"/>
          <w:szCs w:val="20"/>
        </w:rPr>
      </w:pPr>
      <m:oMath>
        <m:r>
          <w:rPr>
            <w:rFonts w:ascii="Cambria Math" w:hAnsi="Cambria Math"/>
            <w:sz w:val="20"/>
            <w:szCs w:val="20"/>
          </w:rPr>
          <w:lastRenderedPageBreak/>
          <m:t>α</m:t>
        </m:r>
      </m:oMath>
      <w:r w:rsidRPr="00CF5E1E">
        <w:rPr>
          <w:i/>
          <w:sz w:val="20"/>
          <w:szCs w:val="20"/>
        </w:rPr>
        <w:t xml:space="preserve">, </w:t>
      </w:r>
      <m:oMath>
        <m:r>
          <w:rPr>
            <w:rFonts w:ascii="Cambria Math" w:hAnsi="Cambria Math"/>
            <w:sz w:val="20"/>
            <w:szCs w:val="20"/>
          </w:rPr>
          <m:t>β</m:t>
        </m:r>
      </m:oMath>
      <w:r w:rsidRPr="00CF5E1E">
        <w:rPr>
          <w:i/>
          <w:sz w:val="20"/>
          <w:szCs w:val="20"/>
        </w:rPr>
        <w:t xml:space="preserve"> </w:t>
      </w:r>
      <w:r w:rsidRPr="00CF5E1E">
        <w:rPr>
          <w:i/>
          <w:sz w:val="20"/>
          <w:szCs w:val="20"/>
        </w:rPr>
        <w:tab/>
      </w:r>
      <w:r w:rsidRPr="00CF5E1E">
        <w:rPr>
          <w:sz w:val="20"/>
          <w:szCs w:val="20"/>
        </w:rPr>
        <w:t xml:space="preserve">are parameters to be econometrically estimated from a panel data by Roson and Sartori (2016), who find </w:t>
      </w:r>
      <m:oMath>
        <m:r>
          <m:rPr>
            <m:sty m:val="p"/>
          </m:rPr>
          <w:rPr>
            <w:rFonts w:ascii="Cambria Math" w:hAnsi="Cambria Math"/>
            <w:sz w:val="20"/>
            <w:szCs w:val="20"/>
          </w:rPr>
          <m:t>α</m:t>
        </m:r>
      </m:oMath>
      <w:r w:rsidRPr="00CF5E1E">
        <w:rPr>
          <w:sz w:val="20"/>
          <w:szCs w:val="20"/>
        </w:rPr>
        <w:t xml:space="preserve">=0.00095 and </w:t>
      </w:r>
      <m:oMath>
        <m:r>
          <m:rPr>
            <m:sty m:val="p"/>
          </m:rPr>
          <w:rPr>
            <w:rFonts w:ascii="Cambria Math" w:hAnsi="Cambria Math"/>
            <w:sz w:val="20"/>
            <w:szCs w:val="20"/>
          </w:rPr>
          <m:t>β</m:t>
        </m:r>
      </m:oMath>
      <w:r w:rsidRPr="00CF5E1E">
        <w:rPr>
          <w:sz w:val="20"/>
          <w:szCs w:val="20"/>
        </w:rPr>
        <w:t>=0.00342.</w:t>
      </w:r>
    </w:p>
    <w:p w14:paraId="0CE2D771" w14:textId="0F0EED14" w:rsidR="00155118" w:rsidRPr="001C3EDC" w:rsidRDefault="00155118" w:rsidP="00CF5E1E">
      <w:pPr>
        <w:pStyle w:val="BodyText"/>
        <w:tabs>
          <w:tab w:val="left" w:pos="720"/>
        </w:tabs>
        <w:ind w:left="0" w:firstLine="0"/>
      </w:pPr>
      <w:r w:rsidRPr="001C3EDC">
        <w:t xml:space="preserve">Using this </w:t>
      </w:r>
      <w:r w:rsidR="00954C85" w:rsidRPr="001C3EDC">
        <w:t>relation</w:t>
      </w:r>
      <w:r w:rsidRPr="001C3EDC">
        <w:t xml:space="preserve">, the authors then estimated a derivative variable from SLR as a percentage change between land available for use in 2050 with respect to 2005. </w:t>
      </w:r>
      <w:r w:rsidR="00954C85" w:rsidRPr="001C3EDC">
        <w:t xml:space="preserve"> </w:t>
      </w:r>
      <w:r w:rsidRPr="001C3EDC">
        <w:t>It gives a loss of land resulting from SLR of about 0.2</w:t>
      </w:r>
      <w:r w:rsidR="009C327F" w:rsidRPr="001C3EDC">
        <w:t xml:space="preserve"> percent</w:t>
      </w:r>
      <w:r w:rsidRPr="001C3EDC">
        <w:t xml:space="preserve"> by 2050 for Central and Eastern Europe.</w:t>
      </w:r>
    </w:p>
    <w:p w14:paraId="14E36C12" w14:textId="77777777" w:rsidR="00CD38B1" w:rsidRPr="001C3EDC" w:rsidRDefault="00CD38B1" w:rsidP="00634B9D">
      <w:pPr>
        <w:pStyle w:val="ListParagraph"/>
        <w:numPr>
          <w:ilvl w:val="0"/>
          <w:numId w:val="8"/>
        </w:numPr>
        <w:spacing w:line="276" w:lineRule="auto"/>
        <w:jc w:val="left"/>
        <w:rPr>
          <w:rFonts w:cs="Times New Roman"/>
          <w:b/>
          <w:szCs w:val="24"/>
        </w:rPr>
      </w:pPr>
      <w:r w:rsidRPr="001C3EDC">
        <w:rPr>
          <w:rFonts w:cs="Times New Roman"/>
          <w:b/>
          <w:szCs w:val="24"/>
        </w:rPr>
        <w:t>Impact on crop yields</w:t>
      </w:r>
    </w:p>
    <w:p w14:paraId="1CBBA69B" w14:textId="77777777" w:rsidR="00CD38B1" w:rsidRPr="001C3EDC" w:rsidRDefault="00CD38B1" w:rsidP="0006676D">
      <w:pPr>
        <w:spacing w:line="276" w:lineRule="auto"/>
        <w:rPr>
          <w:rFonts w:eastAsiaTheme="minorEastAsia" w:cs="Times New Roman"/>
          <w:szCs w:val="24"/>
        </w:rPr>
      </w:pPr>
      <m:oMathPara>
        <m:oMath>
          <m:r>
            <w:rPr>
              <w:rFonts w:ascii="Cambria Math" w:hAnsi="Cambria Math" w:cs="Times New Roman"/>
              <w:szCs w:val="24"/>
            </w:rPr>
            <m:t>DY=115.992DT-9.936</m:t>
          </m:r>
          <m:sSup>
            <m:sSupPr>
              <m:ctrlPr>
                <w:rPr>
                  <w:rFonts w:ascii="Cambria Math" w:hAnsi="Cambria Math" w:cs="Times New Roman"/>
                  <w:i/>
                  <w:szCs w:val="24"/>
                </w:rPr>
              </m:ctrlPr>
            </m:sSupPr>
            <m:e>
              <m:r>
                <w:rPr>
                  <w:rFonts w:ascii="Cambria Math" w:hAnsi="Cambria Math" w:cs="Times New Roman"/>
                  <w:szCs w:val="24"/>
                </w:rPr>
                <m:t>DT</m:t>
              </m:r>
            </m:e>
            <m:sup>
              <m:r>
                <w:rPr>
                  <w:rFonts w:ascii="Cambria Math" w:hAnsi="Cambria Math" w:cs="Times New Roman"/>
                  <w:szCs w:val="24"/>
                </w:rPr>
                <m:t>2</m:t>
              </m:r>
            </m:sup>
          </m:sSup>
          <m:r>
            <w:rPr>
              <w:rFonts w:ascii="Cambria Math" w:hAnsi="Cambria Math" w:cs="Times New Roman"/>
              <w:szCs w:val="24"/>
            </w:rPr>
            <m:t>+0.475DP+</m:t>
          </m:r>
          <m:f>
            <m:fPr>
              <m:type m:val="lin"/>
              <m:ctrlPr>
                <w:rPr>
                  <w:rFonts w:ascii="Cambria Math" w:hAnsi="Cambria Math" w:cs="Times New Roman"/>
                  <w:i/>
                  <w:szCs w:val="24"/>
                </w:rPr>
              </m:ctrlPr>
            </m:fPr>
            <m:num>
              <m:r>
                <w:rPr>
                  <w:rFonts w:ascii="Cambria Math" w:hAnsi="Cambria Math" w:cs="Times New Roman"/>
                  <w:szCs w:val="24"/>
                </w:rPr>
                <m:t>7.9DK</m:t>
              </m:r>
            </m:num>
            <m:den>
              <m:r>
                <w:rPr>
                  <w:rFonts w:ascii="Cambria Math" w:hAnsi="Cambria Math" w:cs="Times New Roman"/>
                  <w:szCs w:val="24"/>
                </w:rPr>
                <m:t>K</m:t>
              </m:r>
            </m:den>
          </m:f>
        </m:oMath>
      </m:oMathPara>
    </w:p>
    <w:p w14:paraId="5ACE214A" w14:textId="55E2D734" w:rsidR="00954C85" w:rsidRPr="001C3EDC" w:rsidRDefault="00CF5E1E" w:rsidP="00CF5E1E">
      <w:pPr>
        <w:pStyle w:val="BodyText"/>
        <w:numPr>
          <w:ilvl w:val="0"/>
          <w:numId w:val="0"/>
        </w:numPr>
        <w:tabs>
          <w:tab w:val="left" w:pos="720"/>
        </w:tabs>
        <w:spacing w:after="60"/>
      </w:pPr>
      <w:r>
        <w:t>where:</w:t>
      </w:r>
    </w:p>
    <w:p w14:paraId="3C17991F" w14:textId="2852EA47" w:rsidR="00954C85" w:rsidRPr="00CF5E1E" w:rsidRDefault="00CD38B1" w:rsidP="00CF5E1E">
      <w:pPr>
        <w:pStyle w:val="BodyText"/>
        <w:numPr>
          <w:ilvl w:val="0"/>
          <w:numId w:val="0"/>
        </w:numPr>
        <w:tabs>
          <w:tab w:val="left" w:pos="720"/>
        </w:tabs>
        <w:spacing w:after="60"/>
        <w:ind w:left="720" w:hanging="360"/>
        <w:rPr>
          <w:sz w:val="20"/>
          <w:szCs w:val="20"/>
        </w:rPr>
      </w:pPr>
      <w:r w:rsidRPr="00CF5E1E">
        <w:rPr>
          <w:i/>
          <w:sz w:val="20"/>
          <w:szCs w:val="20"/>
        </w:rPr>
        <w:t>DY</w:t>
      </w:r>
      <w:r w:rsidRPr="00CF5E1E">
        <w:rPr>
          <w:sz w:val="20"/>
          <w:szCs w:val="20"/>
        </w:rPr>
        <w:t xml:space="preserve"> </w:t>
      </w:r>
      <w:r w:rsidR="00954C85" w:rsidRPr="00CF5E1E">
        <w:rPr>
          <w:sz w:val="20"/>
          <w:szCs w:val="20"/>
        </w:rPr>
        <w:tab/>
      </w:r>
      <w:r w:rsidR="00954C85" w:rsidRPr="00CF5E1E">
        <w:rPr>
          <w:sz w:val="20"/>
          <w:szCs w:val="20"/>
        </w:rPr>
        <w:tab/>
      </w:r>
      <w:r w:rsidR="00CF5E1E" w:rsidRPr="00CF5E1E">
        <w:rPr>
          <w:sz w:val="20"/>
          <w:szCs w:val="20"/>
        </w:rPr>
        <w:tab/>
      </w:r>
      <w:r w:rsidRPr="00CF5E1E">
        <w:rPr>
          <w:sz w:val="20"/>
          <w:szCs w:val="20"/>
        </w:rPr>
        <w:t xml:space="preserve">is change </w:t>
      </w:r>
      <w:r w:rsidR="00954C85" w:rsidRPr="00CF5E1E">
        <w:rPr>
          <w:sz w:val="20"/>
          <w:szCs w:val="20"/>
        </w:rPr>
        <w:t xml:space="preserve">in </w:t>
      </w:r>
      <w:r w:rsidRPr="00CF5E1E">
        <w:rPr>
          <w:sz w:val="20"/>
          <w:szCs w:val="20"/>
        </w:rPr>
        <w:t>output per hectare</w:t>
      </w:r>
      <w:r w:rsidR="00954C85" w:rsidRPr="00CF5E1E">
        <w:rPr>
          <w:sz w:val="20"/>
          <w:szCs w:val="20"/>
        </w:rPr>
        <w:t>;</w:t>
      </w:r>
    </w:p>
    <w:p w14:paraId="489A9315" w14:textId="2AFE9E5F" w:rsidR="00954C85" w:rsidRPr="00CF5E1E" w:rsidRDefault="00A02023" w:rsidP="00CF5E1E">
      <w:pPr>
        <w:pStyle w:val="BodyText"/>
        <w:numPr>
          <w:ilvl w:val="0"/>
          <w:numId w:val="0"/>
        </w:numPr>
        <w:tabs>
          <w:tab w:val="left" w:pos="720"/>
        </w:tabs>
        <w:spacing w:after="60"/>
        <w:ind w:left="720" w:hanging="360"/>
        <w:rPr>
          <w:sz w:val="20"/>
          <w:szCs w:val="20"/>
        </w:rPr>
      </w:pPr>
      <w:r w:rsidRPr="00CF5E1E">
        <w:rPr>
          <w:i/>
          <w:sz w:val="20"/>
          <w:szCs w:val="20"/>
        </w:rPr>
        <w:t>DT</w:t>
      </w:r>
      <w:r w:rsidR="00954C85" w:rsidRPr="00CF5E1E">
        <w:rPr>
          <w:i/>
          <w:sz w:val="20"/>
          <w:szCs w:val="20"/>
        </w:rPr>
        <w:tab/>
      </w:r>
      <w:r w:rsidR="00954C85" w:rsidRPr="00CF5E1E">
        <w:rPr>
          <w:i/>
          <w:sz w:val="20"/>
          <w:szCs w:val="20"/>
        </w:rPr>
        <w:tab/>
      </w:r>
      <w:r w:rsidR="00954C85" w:rsidRPr="00CF5E1E">
        <w:rPr>
          <w:i/>
          <w:sz w:val="20"/>
          <w:szCs w:val="20"/>
        </w:rPr>
        <w:tab/>
      </w:r>
      <w:r w:rsidR="009A59C7" w:rsidRPr="00CF5E1E">
        <w:rPr>
          <w:sz w:val="20"/>
          <w:szCs w:val="20"/>
        </w:rPr>
        <w:t xml:space="preserve">is </w:t>
      </w:r>
      <w:r w:rsidR="00D75C03" w:rsidRPr="00CF5E1E">
        <w:rPr>
          <w:sz w:val="20"/>
          <w:szCs w:val="20"/>
        </w:rPr>
        <w:t>change in temperature</w:t>
      </w:r>
      <w:r w:rsidR="00954C85" w:rsidRPr="00CF5E1E">
        <w:rPr>
          <w:sz w:val="20"/>
          <w:szCs w:val="20"/>
        </w:rPr>
        <w:t xml:space="preserve"> (°C);</w:t>
      </w:r>
    </w:p>
    <w:p w14:paraId="21BEE860" w14:textId="16C2A602" w:rsidR="00954C85" w:rsidRPr="00CF5E1E" w:rsidRDefault="00CD38B1" w:rsidP="00CF5E1E">
      <w:pPr>
        <w:pStyle w:val="BodyText"/>
        <w:numPr>
          <w:ilvl w:val="0"/>
          <w:numId w:val="0"/>
        </w:numPr>
        <w:tabs>
          <w:tab w:val="left" w:pos="720"/>
        </w:tabs>
        <w:spacing w:after="60"/>
        <w:ind w:left="720" w:hanging="360"/>
        <w:rPr>
          <w:sz w:val="20"/>
          <w:szCs w:val="20"/>
        </w:rPr>
      </w:pPr>
      <w:r w:rsidRPr="00CF5E1E">
        <w:rPr>
          <w:i/>
          <w:sz w:val="20"/>
          <w:szCs w:val="20"/>
        </w:rPr>
        <w:t>DP</w:t>
      </w:r>
      <w:r w:rsidR="00954C85" w:rsidRPr="00CF5E1E">
        <w:rPr>
          <w:i/>
          <w:sz w:val="20"/>
          <w:szCs w:val="20"/>
        </w:rPr>
        <w:tab/>
      </w:r>
      <w:r w:rsidR="00954C85" w:rsidRPr="00CF5E1E">
        <w:rPr>
          <w:i/>
          <w:sz w:val="20"/>
          <w:szCs w:val="20"/>
        </w:rPr>
        <w:tab/>
      </w:r>
      <w:r w:rsidR="00954C85" w:rsidRPr="00CF5E1E">
        <w:rPr>
          <w:i/>
          <w:sz w:val="20"/>
          <w:szCs w:val="20"/>
        </w:rPr>
        <w:tab/>
      </w:r>
      <w:r w:rsidRPr="00CF5E1E">
        <w:rPr>
          <w:sz w:val="20"/>
          <w:szCs w:val="20"/>
        </w:rPr>
        <w:t>is change in precipitation</w:t>
      </w:r>
      <w:r w:rsidR="00954C85" w:rsidRPr="00CF5E1E">
        <w:rPr>
          <w:sz w:val="20"/>
          <w:szCs w:val="20"/>
        </w:rPr>
        <w:t xml:space="preserve"> (mm);</w:t>
      </w:r>
    </w:p>
    <w:p w14:paraId="29499EA4" w14:textId="7489C164" w:rsidR="00954C85" w:rsidRPr="00CF5E1E" w:rsidRDefault="00CD38B1" w:rsidP="00CF5E1E">
      <w:pPr>
        <w:pStyle w:val="BodyText"/>
        <w:numPr>
          <w:ilvl w:val="0"/>
          <w:numId w:val="0"/>
        </w:numPr>
        <w:tabs>
          <w:tab w:val="left" w:pos="720"/>
        </w:tabs>
        <w:spacing w:after="60"/>
        <w:ind w:left="720" w:hanging="360"/>
        <w:rPr>
          <w:sz w:val="20"/>
          <w:szCs w:val="20"/>
        </w:rPr>
      </w:pPr>
      <w:r w:rsidRPr="00CF5E1E">
        <w:rPr>
          <w:i/>
          <w:sz w:val="20"/>
          <w:szCs w:val="20"/>
        </w:rPr>
        <w:t>DK</w:t>
      </w:r>
      <w:r w:rsidR="00954C85" w:rsidRPr="00CF5E1E">
        <w:rPr>
          <w:i/>
          <w:sz w:val="20"/>
          <w:szCs w:val="20"/>
        </w:rPr>
        <w:tab/>
      </w:r>
      <w:r w:rsidR="00954C85" w:rsidRPr="00CF5E1E">
        <w:rPr>
          <w:i/>
          <w:sz w:val="20"/>
          <w:szCs w:val="20"/>
        </w:rPr>
        <w:tab/>
      </w:r>
      <w:r w:rsidR="00954C85" w:rsidRPr="00CF5E1E">
        <w:rPr>
          <w:i/>
          <w:sz w:val="20"/>
          <w:szCs w:val="20"/>
        </w:rPr>
        <w:tab/>
      </w:r>
      <w:r w:rsidRPr="00CF5E1E">
        <w:rPr>
          <w:sz w:val="20"/>
          <w:szCs w:val="20"/>
        </w:rPr>
        <w:t xml:space="preserve">is change in </w:t>
      </w:r>
      <w:r w:rsidR="00954C85" w:rsidRPr="00CF5E1E">
        <w:rPr>
          <w:sz w:val="20"/>
          <w:szCs w:val="20"/>
        </w:rPr>
        <w:t xml:space="preserve">atmospheric </w:t>
      </w:r>
      <w:r w:rsidR="00BF03EC" w:rsidRPr="00CF5E1E">
        <w:rPr>
          <w:sz w:val="20"/>
          <w:szCs w:val="20"/>
        </w:rPr>
        <w:t>carbon dioxide</w:t>
      </w:r>
      <w:r w:rsidRPr="00CF5E1E">
        <w:rPr>
          <w:sz w:val="20"/>
          <w:szCs w:val="20"/>
        </w:rPr>
        <w:t xml:space="preserve"> concentration</w:t>
      </w:r>
      <w:r w:rsidR="00954C85" w:rsidRPr="00CF5E1E">
        <w:rPr>
          <w:sz w:val="20"/>
          <w:szCs w:val="20"/>
        </w:rPr>
        <w:t xml:space="preserve"> (ppm)</w:t>
      </w:r>
      <w:r w:rsidRPr="00CF5E1E">
        <w:rPr>
          <w:sz w:val="20"/>
          <w:szCs w:val="20"/>
        </w:rPr>
        <w:t xml:space="preserve">. </w:t>
      </w:r>
    </w:p>
    <w:p w14:paraId="65F3545C" w14:textId="2728F374" w:rsidR="00CD38B1" w:rsidRPr="001C3EDC" w:rsidRDefault="00CD38B1" w:rsidP="00CF5E1E">
      <w:pPr>
        <w:pStyle w:val="BodyText"/>
        <w:tabs>
          <w:tab w:val="left" w:pos="720"/>
        </w:tabs>
        <w:ind w:left="0" w:firstLine="0"/>
      </w:pPr>
      <w:r w:rsidRPr="001C3EDC">
        <w:t>This initial equation is then transformed so as to link changes in yield to variation in average temperature only</w:t>
      </w:r>
      <w:r w:rsidR="00954C85" w:rsidRPr="001C3EDC">
        <w:t xml:space="preserve"> and the authors compute DY/Y to get per cent changes in output per hectare.  Such yield losses range between 1 and 11</w:t>
      </w:r>
      <w:r w:rsidR="009C327F" w:rsidRPr="001C3EDC">
        <w:t xml:space="preserve"> percent</w:t>
      </w:r>
      <w:r w:rsidR="00954C85" w:rsidRPr="001C3EDC">
        <w:t xml:space="preserve"> for temperate regions, for different crops (as shown in </w:t>
      </w:r>
      <w:r w:rsidR="00713743" w:rsidRPr="001C3EDC">
        <w:rPr>
          <w:b/>
          <w:bCs/>
          <w:i/>
          <w:iCs/>
        </w:rPr>
        <w:t>T</w:t>
      </w:r>
      <w:r w:rsidR="00954C85" w:rsidRPr="001C3EDC">
        <w:rPr>
          <w:b/>
          <w:bCs/>
          <w:i/>
          <w:iCs/>
        </w:rPr>
        <w:t>able 4</w:t>
      </w:r>
      <w:r w:rsidR="00954C85" w:rsidRPr="001C3EDC">
        <w:t xml:space="preserve">). </w:t>
      </w:r>
    </w:p>
    <w:p w14:paraId="42F83546" w14:textId="77777777" w:rsidR="00CD38B1" w:rsidRPr="001C3EDC" w:rsidRDefault="00CD38B1" w:rsidP="00634B9D">
      <w:pPr>
        <w:pStyle w:val="ListParagraph"/>
        <w:numPr>
          <w:ilvl w:val="0"/>
          <w:numId w:val="8"/>
        </w:numPr>
        <w:spacing w:line="276" w:lineRule="auto"/>
        <w:contextualSpacing w:val="0"/>
        <w:jc w:val="left"/>
        <w:rPr>
          <w:rFonts w:cs="Times New Roman"/>
          <w:b/>
          <w:szCs w:val="24"/>
        </w:rPr>
      </w:pPr>
      <w:r w:rsidRPr="001C3EDC">
        <w:rPr>
          <w:rFonts w:cs="Times New Roman"/>
          <w:b/>
          <w:szCs w:val="24"/>
        </w:rPr>
        <w:t>Heat stress and labor productivity</w:t>
      </w:r>
    </w:p>
    <w:p w14:paraId="47208ED4" w14:textId="77777777" w:rsidR="00CD38B1" w:rsidRPr="001C3EDC" w:rsidRDefault="00CD38B1" w:rsidP="00CF5E1E">
      <w:pPr>
        <w:pStyle w:val="ListParagraph"/>
        <w:spacing w:line="276" w:lineRule="auto"/>
        <w:ind w:left="0"/>
        <w:contextualSpacing w:val="0"/>
        <w:rPr>
          <w:rFonts w:eastAsiaTheme="minorEastAsia" w:cs="Times New Roman"/>
          <w:szCs w:val="24"/>
        </w:rPr>
      </w:pPr>
      <m:oMathPara>
        <m:oMath>
          <m:r>
            <w:rPr>
              <w:rFonts w:ascii="Cambria Math" w:hAnsi="Cambria Math" w:cs="Times New Roman"/>
              <w:szCs w:val="24"/>
            </w:rPr>
            <m:t>RH=67.11-0.84T-0.23P-0.0005</m:t>
          </m:r>
          <m:sSup>
            <m:sSupPr>
              <m:ctrlPr>
                <w:rPr>
                  <w:rFonts w:ascii="Cambria Math" w:hAnsi="Cambria Math" w:cs="Times New Roman"/>
                  <w:i/>
                  <w:szCs w:val="24"/>
                </w:rPr>
              </m:ctrlPr>
            </m:sSupPr>
            <m:e>
              <m:r>
                <w:rPr>
                  <w:rFonts w:ascii="Cambria Math" w:hAnsi="Cambria Math" w:cs="Times New Roman"/>
                  <w:szCs w:val="24"/>
                </w:rPr>
                <m:t>P</m:t>
              </m:r>
            </m:e>
            <m:sup>
              <m:r>
                <w:rPr>
                  <w:rFonts w:ascii="Cambria Math" w:hAnsi="Cambria Math" w:cs="Times New Roman"/>
                  <w:szCs w:val="24"/>
                </w:rPr>
                <m:t>2</m:t>
              </m:r>
            </m:sup>
          </m:sSup>
        </m:oMath>
      </m:oMathPara>
    </w:p>
    <w:p w14:paraId="4E1674DE" w14:textId="391B08A0" w:rsidR="00954C85" w:rsidRPr="001C3EDC" w:rsidRDefault="00471CF1" w:rsidP="00CF5E1E">
      <w:pPr>
        <w:pStyle w:val="BodyText"/>
        <w:numPr>
          <w:ilvl w:val="0"/>
          <w:numId w:val="0"/>
        </w:numPr>
        <w:tabs>
          <w:tab w:val="left" w:pos="720"/>
        </w:tabs>
        <w:spacing w:after="60"/>
      </w:pPr>
      <w:r w:rsidRPr="001C3EDC">
        <w:t>w</w:t>
      </w:r>
      <w:r w:rsidR="00CF5E1E">
        <w:t>here:</w:t>
      </w:r>
    </w:p>
    <w:p w14:paraId="6BB7D300" w14:textId="6FFD5BB5" w:rsidR="00DF7ADD" w:rsidRPr="00CF5E1E" w:rsidRDefault="00CD38B1" w:rsidP="00CF5E1E">
      <w:pPr>
        <w:pStyle w:val="BodyText"/>
        <w:numPr>
          <w:ilvl w:val="0"/>
          <w:numId w:val="0"/>
        </w:numPr>
        <w:tabs>
          <w:tab w:val="left" w:pos="1260"/>
        </w:tabs>
        <w:spacing w:after="60"/>
        <w:ind w:left="360"/>
        <w:rPr>
          <w:sz w:val="20"/>
          <w:szCs w:val="20"/>
        </w:rPr>
      </w:pPr>
      <w:r w:rsidRPr="00CF5E1E">
        <w:rPr>
          <w:i/>
          <w:sz w:val="20"/>
          <w:szCs w:val="20"/>
        </w:rPr>
        <w:t>RH</w:t>
      </w:r>
      <w:r w:rsidRPr="00CF5E1E">
        <w:rPr>
          <w:sz w:val="20"/>
          <w:szCs w:val="20"/>
        </w:rPr>
        <w:t xml:space="preserve"> </w:t>
      </w:r>
      <w:r w:rsidR="00DF7ADD" w:rsidRPr="00CF5E1E">
        <w:rPr>
          <w:sz w:val="20"/>
          <w:szCs w:val="20"/>
        </w:rPr>
        <w:tab/>
      </w:r>
      <w:r w:rsidRPr="00CF5E1E">
        <w:rPr>
          <w:sz w:val="20"/>
          <w:szCs w:val="20"/>
        </w:rPr>
        <w:t xml:space="preserve">is the average relative humidity </w:t>
      </w:r>
      <w:r w:rsidR="00DF7ADD" w:rsidRPr="00CF5E1E">
        <w:rPr>
          <w:sz w:val="20"/>
          <w:szCs w:val="20"/>
        </w:rPr>
        <w:t>(%);</w:t>
      </w:r>
    </w:p>
    <w:p w14:paraId="0E28F5F8" w14:textId="4A2459A6" w:rsidR="00DF7ADD" w:rsidRPr="00CF5E1E" w:rsidRDefault="00CD38B1" w:rsidP="00CF5E1E">
      <w:pPr>
        <w:pStyle w:val="BodyText"/>
        <w:numPr>
          <w:ilvl w:val="0"/>
          <w:numId w:val="0"/>
        </w:numPr>
        <w:tabs>
          <w:tab w:val="left" w:pos="1260"/>
        </w:tabs>
        <w:spacing w:after="60"/>
        <w:ind w:left="360"/>
        <w:rPr>
          <w:sz w:val="20"/>
          <w:szCs w:val="20"/>
        </w:rPr>
      </w:pPr>
      <w:r w:rsidRPr="00CF5E1E">
        <w:rPr>
          <w:i/>
          <w:sz w:val="20"/>
          <w:szCs w:val="20"/>
        </w:rPr>
        <w:t>T</w:t>
      </w:r>
      <w:r w:rsidRPr="00CF5E1E">
        <w:rPr>
          <w:sz w:val="20"/>
          <w:szCs w:val="20"/>
        </w:rPr>
        <w:t xml:space="preserve"> </w:t>
      </w:r>
      <w:r w:rsidR="00DF7ADD" w:rsidRPr="00CF5E1E">
        <w:rPr>
          <w:sz w:val="20"/>
          <w:szCs w:val="20"/>
        </w:rPr>
        <w:tab/>
      </w:r>
      <w:r w:rsidRPr="00CF5E1E">
        <w:rPr>
          <w:sz w:val="20"/>
          <w:szCs w:val="20"/>
        </w:rPr>
        <w:t xml:space="preserve">is </w:t>
      </w:r>
      <w:r w:rsidR="00DF7ADD" w:rsidRPr="00CF5E1E">
        <w:rPr>
          <w:sz w:val="20"/>
          <w:szCs w:val="20"/>
        </w:rPr>
        <w:t xml:space="preserve">the </w:t>
      </w:r>
      <w:r w:rsidRPr="00CF5E1E">
        <w:rPr>
          <w:sz w:val="20"/>
          <w:szCs w:val="20"/>
        </w:rPr>
        <w:t xml:space="preserve">average air temperature </w:t>
      </w:r>
      <w:r w:rsidR="00DF7ADD" w:rsidRPr="00CF5E1E">
        <w:rPr>
          <w:sz w:val="20"/>
          <w:szCs w:val="20"/>
        </w:rPr>
        <w:t>(°C);</w:t>
      </w:r>
    </w:p>
    <w:p w14:paraId="65D7054C" w14:textId="0795CE1B" w:rsidR="00DF7ADD" w:rsidRPr="00CF5E1E" w:rsidRDefault="00CD38B1" w:rsidP="00CF5E1E">
      <w:pPr>
        <w:pStyle w:val="BodyText"/>
        <w:numPr>
          <w:ilvl w:val="0"/>
          <w:numId w:val="0"/>
        </w:numPr>
        <w:tabs>
          <w:tab w:val="left" w:pos="1260"/>
        </w:tabs>
        <w:spacing w:after="60"/>
        <w:ind w:left="360"/>
        <w:rPr>
          <w:sz w:val="20"/>
          <w:szCs w:val="20"/>
        </w:rPr>
      </w:pPr>
      <w:r w:rsidRPr="00CF5E1E">
        <w:rPr>
          <w:i/>
          <w:sz w:val="20"/>
          <w:szCs w:val="20"/>
        </w:rPr>
        <w:t>P</w:t>
      </w:r>
      <w:r w:rsidRPr="00CF5E1E">
        <w:rPr>
          <w:sz w:val="20"/>
          <w:szCs w:val="20"/>
        </w:rPr>
        <w:t xml:space="preserve"> </w:t>
      </w:r>
      <w:r w:rsidR="00DF7ADD" w:rsidRPr="00CF5E1E">
        <w:rPr>
          <w:sz w:val="20"/>
          <w:szCs w:val="20"/>
        </w:rPr>
        <w:tab/>
      </w:r>
      <w:r w:rsidRPr="00CF5E1E">
        <w:rPr>
          <w:sz w:val="20"/>
          <w:szCs w:val="20"/>
        </w:rPr>
        <w:t xml:space="preserve">is the monthly average precipitation </w:t>
      </w:r>
      <w:r w:rsidR="00DF7ADD" w:rsidRPr="00CF5E1E">
        <w:rPr>
          <w:sz w:val="20"/>
          <w:szCs w:val="20"/>
        </w:rPr>
        <w:t>(mm)</w:t>
      </w:r>
      <w:r w:rsidRPr="00CF5E1E">
        <w:rPr>
          <w:sz w:val="20"/>
          <w:szCs w:val="20"/>
        </w:rPr>
        <w:t xml:space="preserve">. </w:t>
      </w:r>
    </w:p>
    <w:p w14:paraId="47143108" w14:textId="628DD694" w:rsidR="00CD38B1" w:rsidRPr="001C3EDC" w:rsidRDefault="00CD38B1" w:rsidP="00CF5E1E">
      <w:pPr>
        <w:pStyle w:val="BodyText"/>
        <w:tabs>
          <w:tab w:val="left" w:pos="720"/>
        </w:tabs>
        <w:ind w:left="0" w:firstLine="0"/>
        <w:rPr>
          <w:rFonts w:ascii="Garamond" w:hAnsi="Garamond" w:cs="Garamond"/>
        </w:rPr>
      </w:pPr>
      <w:r w:rsidRPr="001C3EDC">
        <w:t xml:space="preserve">From </w:t>
      </w:r>
      <w:r w:rsidRPr="001C3EDC">
        <w:rPr>
          <w:i/>
        </w:rPr>
        <w:t>RH</w:t>
      </w:r>
      <w:r w:rsidRPr="001C3EDC">
        <w:t xml:space="preserve">, the average absolute humidity </w:t>
      </w:r>
      <w:r w:rsidRPr="001C3EDC">
        <w:rPr>
          <w:i/>
        </w:rPr>
        <w:t>E</w:t>
      </w:r>
      <w:r w:rsidR="00F24F5F" w:rsidRPr="001C3EDC">
        <w:t xml:space="preserve"> is computed</w:t>
      </w:r>
      <w:r w:rsidRPr="001C3EDC">
        <w:t>, from which</w:t>
      </w:r>
      <w:r w:rsidR="0002768B" w:rsidRPr="001C3EDC">
        <w:t xml:space="preserve"> the</w:t>
      </w:r>
      <w:r w:rsidRPr="001C3EDC">
        <w:t xml:space="preserve"> Wet Bulb Global Temperature</w:t>
      </w:r>
      <w:r w:rsidR="00885115" w:rsidRPr="001C3EDC">
        <w:t xml:space="preserve"> (WBGT) is then computed</w:t>
      </w:r>
      <w:r w:rsidRPr="001C3EDC">
        <w:t>, to define the percentage of a typical working hour that a person can work assuming the remaining time is rest.</w:t>
      </w:r>
      <w:r w:rsidR="00DF7ADD" w:rsidRPr="001C3EDC">
        <w:t xml:space="preserve"> Losses in labor productivity due to RH adjustments coming from climate change vary between 2.5 and 17.5</w:t>
      </w:r>
      <w:r w:rsidR="009C327F" w:rsidRPr="001C3EDC">
        <w:t xml:space="preserve"> percent</w:t>
      </w:r>
      <w:r w:rsidR="00DF7ADD" w:rsidRPr="001C3EDC">
        <w:t>.</w:t>
      </w:r>
    </w:p>
    <w:p w14:paraId="4E15A366" w14:textId="65CD57AD" w:rsidR="00CD38B1" w:rsidRPr="003B27CD" w:rsidRDefault="00CD38B1" w:rsidP="0006676D">
      <w:pPr>
        <w:autoSpaceDE w:val="0"/>
        <w:autoSpaceDN w:val="0"/>
        <w:adjustRightInd w:val="0"/>
        <w:spacing w:after="0" w:line="276" w:lineRule="auto"/>
        <w:jc w:val="center"/>
        <w:rPr>
          <w:rFonts w:ascii="Cambria Math" w:hAnsi="Cambria Math" w:cs="Garamond"/>
          <w:szCs w:val="24"/>
          <w:lang w:val="fr-FR"/>
        </w:rPr>
      </w:pPr>
      <w:r w:rsidRPr="003B27CD">
        <w:rPr>
          <w:rFonts w:ascii="Cambria Math" w:hAnsi="Cambria Math" w:cs="LiberationSerif-Italic"/>
          <w:i/>
          <w:iCs/>
          <w:szCs w:val="24"/>
          <w:lang w:val="fr-FR"/>
        </w:rPr>
        <w:t>E</w:t>
      </w:r>
      <w:r w:rsidR="00885115" w:rsidRPr="003B27CD">
        <w:rPr>
          <w:rFonts w:ascii="Cambria Math" w:hAnsi="Cambria Math" w:cs="LiberationSerif-Italic"/>
          <w:i/>
          <w:iCs/>
          <w:szCs w:val="24"/>
          <w:lang w:val="fr-FR"/>
        </w:rPr>
        <w:t xml:space="preserve"> </w:t>
      </w:r>
      <w:r w:rsidRPr="003B27CD">
        <w:rPr>
          <w:rFonts w:ascii="Cambria Math" w:hAnsi="Cambria Math" w:cs="OpenSymbol"/>
          <w:szCs w:val="24"/>
          <w:lang w:val="fr-FR"/>
        </w:rPr>
        <w:t>=</w:t>
      </w:r>
      <w:r w:rsidR="00885115" w:rsidRPr="003B27CD">
        <w:rPr>
          <w:rFonts w:ascii="Cambria Math" w:hAnsi="Cambria Math" w:cs="OpenSymbol"/>
          <w:szCs w:val="24"/>
          <w:lang w:val="fr-FR"/>
        </w:rPr>
        <w:t xml:space="preserve"> </w:t>
      </w:r>
      <w:r w:rsidRPr="003B27CD">
        <w:rPr>
          <w:rFonts w:ascii="Cambria Math" w:hAnsi="Cambria Math" w:cs="OpenSymbol"/>
          <w:szCs w:val="24"/>
          <w:lang w:val="fr-FR"/>
        </w:rPr>
        <w:t>(</w:t>
      </w:r>
      <w:r w:rsidRPr="003B27CD">
        <w:rPr>
          <w:rFonts w:ascii="Cambria Math" w:hAnsi="Cambria Math" w:cs="LiberationSerif-Italic"/>
          <w:i/>
          <w:iCs/>
          <w:szCs w:val="24"/>
          <w:lang w:val="fr-FR"/>
        </w:rPr>
        <w:t>RH</w:t>
      </w:r>
      <w:r w:rsidRPr="003B27CD">
        <w:rPr>
          <w:rFonts w:ascii="Cambria Math" w:hAnsi="Cambria Math" w:cs="OpenSymbol"/>
          <w:szCs w:val="24"/>
          <w:lang w:val="fr-FR"/>
        </w:rPr>
        <w:t>/</w:t>
      </w:r>
      <w:r w:rsidRPr="003B27CD">
        <w:rPr>
          <w:rFonts w:ascii="Cambria Math" w:hAnsi="Cambria Math" w:cs="LiberationSerif"/>
          <w:szCs w:val="24"/>
          <w:lang w:val="fr-FR"/>
        </w:rPr>
        <w:t>100</w:t>
      </w:r>
      <w:r w:rsidRPr="003B27CD">
        <w:rPr>
          <w:rFonts w:ascii="Cambria Math" w:hAnsi="Cambria Math" w:cs="OpenSymbol"/>
          <w:szCs w:val="24"/>
          <w:lang w:val="fr-FR"/>
        </w:rPr>
        <w:t>)</w:t>
      </w:r>
      <w:r w:rsidR="00885115" w:rsidRPr="003B27CD">
        <w:rPr>
          <w:rFonts w:ascii="Cambria Math" w:hAnsi="Cambria Math" w:cs="OpenSymbol"/>
          <w:szCs w:val="24"/>
          <w:lang w:val="fr-FR"/>
        </w:rPr>
        <w:t xml:space="preserve"> </w:t>
      </w:r>
      <w:r w:rsidRPr="003B27CD">
        <w:rPr>
          <w:rFonts w:ascii="Cambria Math" w:hAnsi="Cambria Math" w:cs="OpenSymbol"/>
          <w:szCs w:val="24"/>
          <w:lang w:val="fr-FR"/>
        </w:rPr>
        <w:t>×</w:t>
      </w:r>
      <w:r w:rsidR="00885115" w:rsidRPr="003B27CD">
        <w:rPr>
          <w:rFonts w:ascii="Cambria Math" w:hAnsi="Cambria Math" w:cs="OpenSymbol"/>
          <w:szCs w:val="24"/>
          <w:lang w:val="fr-FR"/>
        </w:rPr>
        <w:t xml:space="preserve"> </w:t>
      </w:r>
      <w:r w:rsidRPr="003B27CD">
        <w:rPr>
          <w:rFonts w:ascii="Cambria Math" w:hAnsi="Cambria Math" w:cs="LiberationSerif"/>
          <w:szCs w:val="24"/>
          <w:lang w:val="fr-FR"/>
        </w:rPr>
        <w:t>6.105</w:t>
      </w:r>
      <w:r w:rsidR="00885115" w:rsidRPr="003B27CD">
        <w:rPr>
          <w:rFonts w:ascii="Cambria Math" w:hAnsi="Cambria Math" w:cs="LiberationSerif"/>
          <w:szCs w:val="24"/>
          <w:lang w:val="fr-FR"/>
        </w:rPr>
        <w:t xml:space="preserve"> </w:t>
      </w:r>
      <w:r w:rsidRPr="003B27CD">
        <w:rPr>
          <w:rFonts w:ascii="Cambria Math" w:hAnsi="Cambria Math" w:cs="OpenSymbol"/>
          <w:szCs w:val="24"/>
          <w:lang w:val="fr-FR"/>
        </w:rPr>
        <w:t>×</w:t>
      </w:r>
      <w:r w:rsidR="00885115" w:rsidRPr="003B27CD">
        <w:rPr>
          <w:rFonts w:ascii="Cambria Math" w:hAnsi="Cambria Math" w:cs="OpenSymbol"/>
          <w:szCs w:val="24"/>
          <w:lang w:val="fr-FR"/>
        </w:rPr>
        <w:t xml:space="preserve"> </w:t>
      </w:r>
      <w:r w:rsidRPr="003B27CD">
        <w:rPr>
          <w:rFonts w:ascii="Cambria Math" w:hAnsi="Cambria Math" w:cs="LiberationSerif"/>
          <w:szCs w:val="24"/>
          <w:lang w:val="fr-FR"/>
        </w:rPr>
        <w:t>exp</w:t>
      </w:r>
      <w:r w:rsidRPr="003B27CD">
        <w:rPr>
          <w:rFonts w:ascii="Cambria Math" w:hAnsi="Cambria Math" w:cs="OpenSymbol"/>
          <w:szCs w:val="24"/>
          <w:lang w:val="fr-FR"/>
        </w:rPr>
        <w:t>(</w:t>
      </w:r>
      <w:r w:rsidRPr="003B27CD">
        <w:rPr>
          <w:rFonts w:ascii="Cambria Math" w:hAnsi="Cambria Math" w:cs="LiberationSerif"/>
          <w:szCs w:val="24"/>
          <w:lang w:val="fr-FR"/>
        </w:rPr>
        <w:t>17.27</w:t>
      </w:r>
      <w:r w:rsidRPr="003B27CD">
        <w:rPr>
          <w:rFonts w:ascii="Cambria Math" w:hAnsi="Cambria Math" w:cs="LiberationSerif-Italic"/>
          <w:i/>
          <w:iCs/>
          <w:szCs w:val="24"/>
          <w:lang w:val="fr-FR"/>
        </w:rPr>
        <w:t>T</w:t>
      </w:r>
      <w:r w:rsidRPr="003B27CD">
        <w:rPr>
          <w:rFonts w:ascii="Cambria Math" w:hAnsi="Cambria Math" w:cs="OpenSymbol"/>
          <w:szCs w:val="24"/>
          <w:lang w:val="fr-FR"/>
        </w:rPr>
        <w:t>/(</w:t>
      </w:r>
      <w:r w:rsidRPr="003B27CD">
        <w:rPr>
          <w:rFonts w:ascii="Cambria Math" w:hAnsi="Cambria Math" w:cs="LiberationSerif"/>
          <w:szCs w:val="24"/>
          <w:lang w:val="fr-FR"/>
        </w:rPr>
        <w:t>237.7</w:t>
      </w:r>
      <w:r w:rsidRPr="003B27CD">
        <w:rPr>
          <w:rFonts w:ascii="Cambria Math" w:hAnsi="Cambria Math" w:cs="OpenSymbol"/>
          <w:szCs w:val="24"/>
          <w:lang w:val="fr-FR"/>
        </w:rPr>
        <w:t>+</w:t>
      </w:r>
      <w:r w:rsidR="00EB6443" w:rsidRPr="003B27CD">
        <w:rPr>
          <w:rFonts w:ascii="Cambria Math" w:hAnsi="Cambria Math" w:cs="LiberationSerif-Italic"/>
          <w:i/>
          <w:iCs/>
          <w:szCs w:val="24"/>
          <w:lang w:val="fr-FR"/>
        </w:rPr>
        <w:t>T</w:t>
      </w:r>
      <w:r w:rsidRPr="003B27CD">
        <w:rPr>
          <w:rFonts w:ascii="Cambria Math" w:hAnsi="Cambria Math" w:cs="OpenSymbol"/>
          <w:szCs w:val="24"/>
          <w:lang w:val="fr-FR"/>
        </w:rPr>
        <w:t>))</w:t>
      </w:r>
    </w:p>
    <w:p w14:paraId="2F2A61B0" w14:textId="3FFFF06C" w:rsidR="00CD38B1" w:rsidRPr="003B27CD" w:rsidRDefault="00CD38B1" w:rsidP="00AD0CA2">
      <w:pPr>
        <w:autoSpaceDE w:val="0"/>
        <w:autoSpaceDN w:val="0"/>
        <w:adjustRightInd w:val="0"/>
        <w:spacing w:after="120" w:line="276" w:lineRule="auto"/>
        <w:jc w:val="center"/>
        <w:rPr>
          <w:rFonts w:ascii="Cambria Math" w:hAnsi="Cambria Math" w:cs="Garamond"/>
          <w:szCs w:val="24"/>
          <w:lang w:val="fr-FR"/>
        </w:rPr>
      </w:pPr>
      <w:r w:rsidRPr="003B27CD">
        <w:rPr>
          <w:rFonts w:ascii="Cambria Math" w:hAnsi="Cambria Math" w:cs="LiberationSerif-Italic"/>
          <w:i/>
          <w:iCs/>
          <w:szCs w:val="24"/>
          <w:lang w:val="fr-FR"/>
        </w:rPr>
        <w:t>WBGT</w:t>
      </w:r>
      <w:r w:rsidR="00885115" w:rsidRPr="003B27CD">
        <w:rPr>
          <w:rFonts w:ascii="Cambria Math" w:hAnsi="Cambria Math" w:cs="LiberationSerif-Italic"/>
          <w:i/>
          <w:iCs/>
          <w:szCs w:val="24"/>
          <w:lang w:val="fr-FR"/>
        </w:rPr>
        <w:t xml:space="preserve"> </w:t>
      </w:r>
      <w:r w:rsidRPr="003B27CD">
        <w:rPr>
          <w:rFonts w:ascii="Cambria Math" w:hAnsi="Cambria Math" w:cs="OpenSymbol"/>
          <w:szCs w:val="24"/>
          <w:lang w:val="fr-FR"/>
        </w:rPr>
        <w:t>=</w:t>
      </w:r>
      <w:r w:rsidR="00885115" w:rsidRPr="003B27CD">
        <w:rPr>
          <w:rFonts w:ascii="Cambria Math" w:hAnsi="Cambria Math" w:cs="OpenSymbol"/>
          <w:szCs w:val="24"/>
          <w:lang w:val="fr-FR"/>
        </w:rPr>
        <w:t xml:space="preserve"> </w:t>
      </w:r>
      <w:r w:rsidRPr="003B27CD">
        <w:rPr>
          <w:rFonts w:ascii="Cambria Math" w:hAnsi="Cambria Math" w:cs="LiberationSerif"/>
          <w:szCs w:val="24"/>
          <w:lang w:val="fr-FR"/>
        </w:rPr>
        <w:t xml:space="preserve">0.567 </w:t>
      </w:r>
      <w:r w:rsidRPr="003B27CD">
        <w:rPr>
          <w:rFonts w:ascii="Cambria Math" w:hAnsi="Cambria Math" w:cs="LiberationSerif-Italic"/>
          <w:i/>
          <w:iCs/>
          <w:szCs w:val="24"/>
          <w:lang w:val="fr-FR"/>
        </w:rPr>
        <w:t>T</w:t>
      </w:r>
      <w:r w:rsidRPr="003B27CD">
        <w:rPr>
          <w:rFonts w:ascii="Cambria Math" w:hAnsi="Cambria Math" w:cs="OpenSymbol"/>
          <w:szCs w:val="24"/>
          <w:lang w:val="fr-FR"/>
        </w:rPr>
        <w:t>+</w:t>
      </w:r>
      <w:r w:rsidRPr="003B27CD">
        <w:rPr>
          <w:rFonts w:ascii="Cambria Math" w:hAnsi="Cambria Math" w:cs="LiberationSerif"/>
          <w:szCs w:val="24"/>
          <w:lang w:val="fr-FR"/>
        </w:rPr>
        <w:t>3.94</w:t>
      </w:r>
      <w:r w:rsidRPr="003B27CD">
        <w:rPr>
          <w:rFonts w:ascii="Cambria Math" w:hAnsi="Cambria Math" w:cs="OpenSymbol"/>
          <w:szCs w:val="24"/>
          <w:lang w:val="fr-FR"/>
        </w:rPr>
        <w:t>+</w:t>
      </w:r>
      <w:r w:rsidRPr="003B27CD">
        <w:rPr>
          <w:rFonts w:ascii="Cambria Math" w:hAnsi="Cambria Math" w:cs="LiberationSerif"/>
          <w:szCs w:val="24"/>
          <w:lang w:val="fr-FR"/>
        </w:rPr>
        <w:t>0.393</w:t>
      </w:r>
      <w:r w:rsidRPr="003B27CD">
        <w:rPr>
          <w:rFonts w:ascii="Cambria Math" w:hAnsi="Cambria Math" w:cs="LiberationSerif-Italic"/>
          <w:i/>
          <w:iCs/>
          <w:szCs w:val="24"/>
          <w:lang w:val="fr-FR"/>
        </w:rPr>
        <w:t>E</w:t>
      </w:r>
    </w:p>
    <w:p w14:paraId="79E9374D" w14:textId="59F0DE95" w:rsidR="00CD38B1" w:rsidRPr="001C3EDC" w:rsidRDefault="00CD38B1" w:rsidP="00CF5E1E">
      <w:pPr>
        <w:pStyle w:val="ListParagraph"/>
        <w:numPr>
          <w:ilvl w:val="0"/>
          <w:numId w:val="8"/>
        </w:numPr>
        <w:spacing w:line="276" w:lineRule="auto"/>
        <w:jc w:val="left"/>
        <w:rPr>
          <w:rFonts w:cs="Times New Roman"/>
          <w:b/>
          <w:szCs w:val="24"/>
        </w:rPr>
      </w:pPr>
      <w:r w:rsidRPr="001C3EDC">
        <w:rPr>
          <w:rFonts w:cs="Times New Roman"/>
          <w:b/>
          <w:szCs w:val="24"/>
        </w:rPr>
        <w:t>Tourism</w:t>
      </w:r>
    </w:p>
    <w:p w14:paraId="02FB7A2A" w14:textId="3AA68951" w:rsidR="00CD38B1" w:rsidRPr="001C3EDC" w:rsidRDefault="00CD38B1" w:rsidP="00CF5E1E">
      <w:pPr>
        <w:pStyle w:val="ListParagraph"/>
        <w:spacing w:line="276" w:lineRule="auto"/>
        <w:ind w:left="0"/>
        <w:rPr>
          <w:rFonts w:eastAsiaTheme="minorEastAsia" w:cs="Times New Roman"/>
          <w:szCs w:val="24"/>
        </w:rPr>
      </w:pPr>
      <m:oMathPara>
        <m:oMath>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A</m:t>
              </m:r>
            </m:sub>
          </m:sSub>
          <m:r>
            <w:rPr>
              <w:rFonts w:ascii="Cambria Math" w:hAnsi="Cambria Math" w:cs="Times New Roman"/>
              <w:szCs w:val="24"/>
            </w:rPr>
            <m:t>×</m:t>
          </m:r>
          <m:r>
            <m:rPr>
              <m:sty m:val="p"/>
            </m:rPr>
            <w:rPr>
              <w:rFonts w:ascii="Cambria Math" w:hAnsi="Cambria Math" w:cs="Times New Roman"/>
              <w:szCs w:val="24"/>
            </w:rPr>
            <m:t>exp⁡</m:t>
          </m:r>
          <m:r>
            <w:rPr>
              <w:rFonts w:ascii="Cambria Math" w:hAnsi="Cambria Math" w:cs="Times New Roman"/>
              <w:szCs w:val="24"/>
            </w:rPr>
            <m:t>(0.22T-0.00791</m:t>
          </m:r>
          <m:sSup>
            <m:sSupPr>
              <m:ctrlPr>
                <w:rPr>
                  <w:rFonts w:ascii="Cambria Math" w:hAnsi="Cambria Math" w:cs="Times New Roman"/>
                  <w:i/>
                  <w:szCs w:val="24"/>
                </w:rPr>
              </m:ctrlPr>
            </m:sSupPr>
            <m:e>
              <m:r>
                <w:rPr>
                  <w:rFonts w:ascii="Cambria Math" w:hAnsi="Cambria Math" w:cs="Times New Roman"/>
                  <w:szCs w:val="24"/>
                </w:rPr>
                <m:t>T</m:t>
              </m:r>
            </m:e>
            <m:sup>
              <m:r>
                <w:rPr>
                  <w:rFonts w:ascii="Cambria Math" w:hAnsi="Cambria Math" w:cs="Times New Roman"/>
                  <w:szCs w:val="24"/>
                </w:rPr>
                <m:t>2</m:t>
              </m:r>
            </m:sup>
          </m:sSup>
          <m:r>
            <w:rPr>
              <w:rFonts w:ascii="Cambria Math" w:hAnsi="Cambria Math" w:cs="Times New Roman"/>
              <w:szCs w:val="24"/>
            </w:rPr>
            <m:t>)</m:t>
          </m:r>
        </m:oMath>
      </m:oMathPara>
    </w:p>
    <w:p w14:paraId="048A5409" w14:textId="40AE3387" w:rsidR="00CD38B1" w:rsidRPr="001C3EDC" w:rsidRDefault="00CD38B1" w:rsidP="00CF5E1E">
      <w:pPr>
        <w:spacing w:line="276" w:lineRule="auto"/>
        <w:rPr>
          <w:rFonts w:eastAsiaTheme="minorEastAsia" w:cs="Times New Roman"/>
          <w:szCs w:val="24"/>
        </w:rPr>
      </w:pPr>
      <m:oMathPara>
        <m:oMath>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D</m:t>
              </m:r>
            </m:sub>
          </m:sSub>
          <m:r>
            <w:rPr>
              <w:rFonts w:ascii="Cambria Math" w:hAnsi="Cambria Math" w:cs="Times New Roman"/>
              <w:szCs w:val="24"/>
            </w:rPr>
            <m:t>×</m:t>
          </m:r>
          <m:r>
            <m:rPr>
              <m:sty m:val="p"/>
            </m:rPr>
            <w:rPr>
              <w:rFonts w:ascii="Cambria Math" w:hAnsi="Cambria Math" w:cs="Times New Roman"/>
              <w:szCs w:val="24"/>
            </w:rPr>
            <m:t>exp⁡</m:t>
          </m:r>
          <m:r>
            <w:rPr>
              <w:rFonts w:ascii="Cambria Math" w:hAnsi="Cambria Math" w:cs="Times New Roman"/>
              <w:szCs w:val="24"/>
            </w:rPr>
            <m:t>(-0.18T-0.0.00438</m:t>
          </m:r>
          <m:sSup>
            <m:sSupPr>
              <m:ctrlPr>
                <w:rPr>
                  <w:rFonts w:ascii="Cambria Math" w:hAnsi="Cambria Math" w:cs="Times New Roman"/>
                  <w:i/>
                  <w:szCs w:val="24"/>
                </w:rPr>
              </m:ctrlPr>
            </m:sSupPr>
            <m:e>
              <m:r>
                <w:rPr>
                  <w:rFonts w:ascii="Cambria Math" w:hAnsi="Cambria Math" w:cs="Times New Roman"/>
                  <w:szCs w:val="24"/>
                </w:rPr>
                <m:t>T</m:t>
              </m:r>
            </m:e>
            <m:sup>
              <m:r>
                <w:rPr>
                  <w:rFonts w:ascii="Cambria Math" w:hAnsi="Cambria Math" w:cs="Times New Roman"/>
                  <w:szCs w:val="24"/>
                </w:rPr>
                <m:t>2</m:t>
              </m:r>
            </m:sup>
          </m:sSup>
          <m:r>
            <w:rPr>
              <w:rFonts w:ascii="Cambria Math" w:hAnsi="Cambria Math" w:cs="Times New Roman"/>
              <w:szCs w:val="24"/>
            </w:rPr>
            <m:t xml:space="preserve"> )</m:t>
          </m:r>
        </m:oMath>
      </m:oMathPara>
    </w:p>
    <w:p w14:paraId="4284FD3B" w14:textId="5F020A9C" w:rsidR="00DF7ADD" w:rsidRPr="001C3EDC" w:rsidRDefault="00DF7ADD" w:rsidP="00CF5E1E">
      <w:pPr>
        <w:pStyle w:val="BodyText"/>
        <w:numPr>
          <w:ilvl w:val="0"/>
          <w:numId w:val="0"/>
        </w:numPr>
        <w:tabs>
          <w:tab w:val="left" w:pos="720"/>
        </w:tabs>
        <w:spacing w:after="60"/>
      </w:pPr>
      <w:r w:rsidRPr="001C3EDC">
        <w:t>w</w:t>
      </w:r>
      <w:r w:rsidR="00CF5E1E">
        <w:t>here:</w:t>
      </w:r>
    </w:p>
    <w:p w14:paraId="556E0108" w14:textId="2D2789BA" w:rsidR="00DF7ADD" w:rsidRPr="00CF5E1E" w:rsidRDefault="00CD38B1" w:rsidP="00CF5E1E">
      <w:pPr>
        <w:pStyle w:val="BodyText"/>
        <w:numPr>
          <w:ilvl w:val="0"/>
          <w:numId w:val="0"/>
        </w:numPr>
        <w:tabs>
          <w:tab w:val="left" w:pos="1260"/>
        </w:tabs>
        <w:spacing w:after="60"/>
        <w:ind w:left="360"/>
        <w:rPr>
          <w:i/>
          <w:sz w:val="20"/>
          <w:szCs w:val="20"/>
        </w:rPr>
      </w:pPr>
      <w:r w:rsidRPr="00CF5E1E">
        <w:rPr>
          <w:i/>
          <w:sz w:val="20"/>
          <w:szCs w:val="20"/>
        </w:rPr>
        <w:t xml:space="preserve">A </w:t>
      </w:r>
      <w:r w:rsidR="00CF5E1E">
        <w:rPr>
          <w:i/>
          <w:sz w:val="20"/>
          <w:szCs w:val="20"/>
        </w:rPr>
        <w:tab/>
      </w:r>
      <w:r w:rsidRPr="00CF5E1E">
        <w:rPr>
          <w:sz w:val="20"/>
          <w:szCs w:val="20"/>
        </w:rPr>
        <w:t>is for arrivals</w:t>
      </w:r>
      <w:r w:rsidR="00DF7ADD" w:rsidRPr="00CF5E1E">
        <w:rPr>
          <w:sz w:val="20"/>
          <w:szCs w:val="20"/>
        </w:rPr>
        <w:t>;</w:t>
      </w:r>
    </w:p>
    <w:p w14:paraId="36371DA0" w14:textId="2C2EF66D" w:rsidR="00DF7ADD" w:rsidRPr="00CF5E1E" w:rsidRDefault="00CD38B1" w:rsidP="00CF5E1E">
      <w:pPr>
        <w:pStyle w:val="BodyText"/>
        <w:numPr>
          <w:ilvl w:val="0"/>
          <w:numId w:val="0"/>
        </w:numPr>
        <w:tabs>
          <w:tab w:val="left" w:pos="1260"/>
        </w:tabs>
        <w:spacing w:after="60"/>
        <w:ind w:left="360"/>
        <w:rPr>
          <w:i/>
          <w:sz w:val="20"/>
          <w:szCs w:val="20"/>
        </w:rPr>
      </w:pPr>
      <w:r w:rsidRPr="00CF5E1E">
        <w:rPr>
          <w:i/>
          <w:sz w:val="20"/>
          <w:szCs w:val="20"/>
        </w:rPr>
        <w:t xml:space="preserve">D </w:t>
      </w:r>
      <w:r w:rsidR="00DF7ADD" w:rsidRPr="00CF5E1E">
        <w:rPr>
          <w:i/>
          <w:sz w:val="20"/>
          <w:szCs w:val="20"/>
        </w:rPr>
        <w:tab/>
      </w:r>
      <w:r w:rsidRPr="00CF5E1E">
        <w:rPr>
          <w:sz w:val="20"/>
          <w:szCs w:val="20"/>
        </w:rPr>
        <w:t>is for departures</w:t>
      </w:r>
      <w:r w:rsidR="00DF7ADD" w:rsidRPr="00CF5E1E">
        <w:rPr>
          <w:sz w:val="20"/>
          <w:szCs w:val="20"/>
        </w:rPr>
        <w:t>;</w:t>
      </w:r>
    </w:p>
    <w:p w14:paraId="3AD64AF7" w14:textId="17683164" w:rsidR="00DF7ADD" w:rsidRPr="00CF5E1E" w:rsidRDefault="00DF7ADD" w:rsidP="00CF5E1E">
      <w:pPr>
        <w:pStyle w:val="BodyText"/>
        <w:numPr>
          <w:ilvl w:val="0"/>
          <w:numId w:val="0"/>
        </w:numPr>
        <w:tabs>
          <w:tab w:val="left" w:pos="1260"/>
        </w:tabs>
        <w:spacing w:after="60"/>
        <w:ind w:left="360"/>
        <w:rPr>
          <w:sz w:val="20"/>
          <w:szCs w:val="20"/>
        </w:rPr>
      </w:pPr>
      <w:r w:rsidRPr="00CF5E1E">
        <w:rPr>
          <w:i/>
          <w:sz w:val="20"/>
          <w:szCs w:val="20"/>
        </w:rPr>
        <w:t xml:space="preserve">T </w:t>
      </w:r>
      <w:r w:rsidRPr="00CF5E1E">
        <w:rPr>
          <w:i/>
          <w:sz w:val="20"/>
          <w:szCs w:val="20"/>
        </w:rPr>
        <w:tab/>
      </w:r>
      <w:r w:rsidRPr="00CF5E1E">
        <w:rPr>
          <w:sz w:val="20"/>
          <w:szCs w:val="20"/>
        </w:rPr>
        <w:t>is the average temperature (°C);</w:t>
      </w:r>
    </w:p>
    <w:p w14:paraId="49C68848" w14:textId="6145AF07" w:rsidR="00CD38B1" w:rsidRPr="00CF5E1E" w:rsidRDefault="00CD38B1" w:rsidP="00CF5E1E">
      <w:pPr>
        <w:pStyle w:val="BodyText"/>
        <w:numPr>
          <w:ilvl w:val="0"/>
          <w:numId w:val="0"/>
        </w:numPr>
        <w:tabs>
          <w:tab w:val="left" w:pos="1350"/>
        </w:tabs>
        <w:ind w:left="360"/>
        <w:rPr>
          <w:sz w:val="20"/>
          <w:szCs w:val="20"/>
        </w:rPr>
      </w:pPr>
      <w:r w:rsidRPr="00CF5E1E">
        <w:rPr>
          <w:i/>
          <w:sz w:val="20"/>
          <w:szCs w:val="20"/>
        </w:rPr>
        <w:t>K</w:t>
      </w:r>
      <w:r w:rsidRPr="00CF5E1E">
        <w:rPr>
          <w:i/>
          <w:sz w:val="20"/>
          <w:szCs w:val="20"/>
          <w:vertAlign w:val="subscript"/>
        </w:rPr>
        <w:t>A</w:t>
      </w:r>
      <w:r w:rsidRPr="00CF5E1E">
        <w:rPr>
          <w:sz w:val="20"/>
          <w:szCs w:val="20"/>
        </w:rPr>
        <w:t xml:space="preserve"> and </w:t>
      </w:r>
      <w:r w:rsidRPr="00CF5E1E">
        <w:rPr>
          <w:i/>
          <w:sz w:val="20"/>
          <w:szCs w:val="20"/>
        </w:rPr>
        <w:t>K</w:t>
      </w:r>
      <w:r w:rsidRPr="00CF5E1E">
        <w:rPr>
          <w:i/>
          <w:sz w:val="20"/>
          <w:szCs w:val="20"/>
          <w:vertAlign w:val="subscript"/>
        </w:rPr>
        <w:t>D</w:t>
      </w:r>
      <w:r w:rsidRPr="00CF5E1E">
        <w:rPr>
          <w:sz w:val="20"/>
          <w:szCs w:val="20"/>
        </w:rPr>
        <w:t xml:space="preserve"> are country</w:t>
      </w:r>
      <w:r w:rsidR="00616EF1" w:rsidRPr="00CF5E1E">
        <w:rPr>
          <w:sz w:val="20"/>
          <w:szCs w:val="20"/>
        </w:rPr>
        <w:t>-</w:t>
      </w:r>
      <w:r w:rsidRPr="00CF5E1E">
        <w:rPr>
          <w:sz w:val="20"/>
          <w:szCs w:val="20"/>
        </w:rPr>
        <w:t xml:space="preserve">specific constants that are designed to account for all other factors that are different from temperature. </w:t>
      </w:r>
    </w:p>
    <w:p w14:paraId="49589927" w14:textId="737EC024" w:rsidR="00593EC1" w:rsidRPr="001C3EDC" w:rsidRDefault="00593EC1" w:rsidP="00CF5E1E">
      <w:pPr>
        <w:pStyle w:val="BodyText"/>
        <w:numPr>
          <w:ilvl w:val="0"/>
          <w:numId w:val="8"/>
        </w:numPr>
        <w:tabs>
          <w:tab w:val="left" w:pos="1350"/>
        </w:tabs>
        <w:spacing w:after="60"/>
        <w:rPr>
          <w:b/>
        </w:rPr>
      </w:pPr>
      <w:r w:rsidRPr="001C3EDC">
        <w:rPr>
          <w:b/>
        </w:rPr>
        <w:t>Energy</w:t>
      </w:r>
    </w:p>
    <w:p w14:paraId="7EB4F76E" w14:textId="18F66DB5" w:rsidR="00820068" w:rsidRPr="001C3EDC" w:rsidRDefault="00820068" w:rsidP="00CF5E1E">
      <w:pPr>
        <w:pStyle w:val="BodyText"/>
        <w:tabs>
          <w:tab w:val="left" w:pos="720"/>
        </w:tabs>
        <w:ind w:left="0" w:firstLine="0"/>
      </w:pPr>
      <w:r w:rsidRPr="001C3EDC">
        <w:t>Climate change is likely to impact the energy sector through several channels, such as reduced efficiency of nuclear and thermal power</w:t>
      </w:r>
      <w:r w:rsidR="008316FB" w:rsidRPr="001C3EDC">
        <w:t xml:space="preserve"> </w:t>
      </w:r>
      <w:r w:rsidRPr="001C3EDC">
        <w:t xml:space="preserve">plants (since higher air and water </w:t>
      </w:r>
      <w:r w:rsidRPr="001C3EDC">
        <w:lastRenderedPageBreak/>
        <w:t>temperatures affect the efficiency of their cooling systems), uncertainty for hydropower generation (given river flows might be impact</w:t>
      </w:r>
      <w:r w:rsidR="008316FB" w:rsidRPr="001C3EDC">
        <w:t>ed</w:t>
      </w:r>
      <w:r w:rsidRPr="001C3EDC">
        <w:t xml:space="preserve"> by climate change), damages to infrastructure, including transmission and distribution networks (with more frequent and intense weather hazards), or a shift in energy demand (from winter to summer). However, it should also be noted that a conclusion of the </w:t>
      </w:r>
      <w:r w:rsidR="00F82774" w:rsidRPr="00051D56">
        <w:t>Risk and Vulnerability Analysis and Assessment of the Bulgarian Economic Sectors to Climate Change</w:t>
      </w:r>
      <w:r w:rsidRPr="001C3EDC">
        <w:t xml:space="preserve"> (MoEW 2014) is that the energy sector is ‘extremely resilient’ to expected impacts in the period until 2035. As a result, the present analysis focuses primarily on the impact of climate change on energy demand, an ‘indirect’ impact of climate change</w:t>
      </w:r>
      <w:r w:rsidR="00324492" w:rsidRPr="001C3EDC">
        <w:t>.</w:t>
      </w:r>
      <w:r w:rsidRPr="001C3EDC">
        <w:t xml:space="preserve">  </w:t>
      </w:r>
    </w:p>
    <w:p w14:paraId="7D939E76" w14:textId="152F85EA" w:rsidR="00625716" w:rsidRPr="001C3EDC" w:rsidRDefault="00820068" w:rsidP="00CF5E1E">
      <w:pPr>
        <w:pStyle w:val="BodyText"/>
        <w:tabs>
          <w:tab w:val="left" w:pos="720"/>
        </w:tabs>
        <w:ind w:left="0" w:firstLine="0"/>
      </w:pPr>
      <w:r w:rsidRPr="001C3EDC">
        <w:t xml:space="preserve">The relationship between (changes in) temperature and </w:t>
      </w:r>
      <w:r w:rsidR="00985B7E" w:rsidRPr="001C3EDC">
        <w:t xml:space="preserve">(changes in) </w:t>
      </w:r>
      <w:r w:rsidRPr="001C3EDC">
        <w:t xml:space="preserve">energy consumption is rather complex and depends on the season, the source of energy, and the climatic conditions of the country. For instance, an increase in winter temperatures would cause a decrease in energy used for heating purposes, whereas an increase in summer temperatures is likely to cause an increase of energy consumed for cooling purposes. Analyses of climate change scenarios for Bulgaria indicate that </w:t>
      </w:r>
      <w:r w:rsidR="00985B7E" w:rsidRPr="001C3EDC">
        <w:t xml:space="preserve">the </w:t>
      </w:r>
      <w:r w:rsidRPr="001C3EDC">
        <w:t xml:space="preserve">decrease in heating degree days is larger than </w:t>
      </w:r>
      <w:r w:rsidR="00985B7E" w:rsidRPr="001C3EDC">
        <w:t xml:space="preserve">the </w:t>
      </w:r>
      <w:r w:rsidRPr="001C3EDC">
        <w:t>increase in cooling degree days, at least till the 2050’s.</w:t>
      </w:r>
      <w:r w:rsidRPr="001C3EDC">
        <w:rPr>
          <w:rStyle w:val="FootnoteReference"/>
        </w:rPr>
        <w:footnoteReference w:id="5"/>
      </w:r>
      <w:r w:rsidRPr="001C3EDC">
        <w:t xml:space="preserve"> In other words, climate change will translate overall in </w:t>
      </w:r>
      <w:r w:rsidR="00625716" w:rsidRPr="001C3EDC">
        <w:t xml:space="preserve">a </w:t>
      </w:r>
      <w:r w:rsidRPr="001C3EDC">
        <w:t xml:space="preserve">reduced energy demand. </w:t>
      </w:r>
      <w:r w:rsidR="00625716" w:rsidRPr="001C3EDC">
        <w:t>The impact of temperature change on energy demand is modeled following the specifications in Roson and Sartori (2016), based on seasonal long run temperature elasticities of energy demand, differentiated by energy source and climate region.  Overall for Bulgaria, energy demand falls by about 1.9 percent in the optimistic scenario with 2 degrees temperature rise, and by about 10.7 percent in the pessimistic case with 4 degrees temperature rise.</w:t>
      </w:r>
    </w:p>
    <w:p w14:paraId="72624630" w14:textId="102CC447" w:rsidR="000B0766" w:rsidRPr="001C3EDC" w:rsidRDefault="000B0766" w:rsidP="00CF5E1E">
      <w:pPr>
        <w:pStyle w:val="BodyText"/>
        <w:tabs>
          <w:tab w:val="left" w:pos="720"/>
        </w:tabs>
        <w:spacing w:after="60"/>
        <w:ind w:left="0" w:firstLine="0"/>
      </w:pPr>
      <w:r w:rsidRPr="001C3EDC">
        <w:t xml:space="preserve">Simulations </w:t>
      </w:r>
      <w:r w:rsidR="001D4182" w:rsidRPr="001C3EDC">
        <w:t xml:space="preserve">described above </w:t>
      </w:r>
      <w:r w:rsidRPr="001C3EDC">
        <w:t xml:space="preserve">are performed by identifying the relevant economic variables and imposing </w:t>
      </w:r>
      <w:r w:rsidR="00897D91" w:rsidRPr="001C3EDC">
        <w:t>‘</w:t>
      </w:r>
      <w:r w:rsidR="00A87693" w:rsidRPr="001C3EDC">
        <w:t>shocks</w:t>
      </w:r>
      <w:r w:rsidR="00897D91" w:rsidRPr="001C3EDC">
        <w:t>’</w:t>
      </w:r>
      <w:r w:rsidR="00A87693" w:rsidRPr="001C3EDC">
        <w:t xml:space="preserve"> (exogenous </w:t>
      </w:r>
      <w:r w:rsidRPr="001C3EDC">
        <w:t>changes</w:t>
      </w:r>
      <w:r w:rsidR="00A87693" w:rsidRPr="001C3EDC">
        <w:t>)</w:t>
      </w:r>
      <w:r w:rsidRPr="001C3EDC">
        <w:t xml:space="preserve"> </w:t>
      </w:r>
      <w:r w:rsidR="00B64466" w:rsidRPr="001C3EDC">
        <w:t xml:space="preserve">to </w:t>
      </w:r>
      <w:r w:rsidR="00A87693" w:rsidRPr="001C3EDC">
        <w:t>these variables</w:t>
      </w:r>
      <w:r w:rsidRPr="001C3EDC">
        <w:t xml:space="preserve">, </w:t>
      </w:r>
      <w:r w:rsidR="00A87693" w:rsidRPr="001C3EDC">
        <w:t xml:space="preserve">such </w:t>
      </w:r>
      <w:r w:rsidR="00E2495C" w:rsidRPr="001C3EDC">
        <w:t>as the following</w:t>
      </w:r>
      <w:r w:rsidRPr="001C3EDC">
        <w:t>:</w:t>
      </w:r>
    </w:p>
    <w:p w14:paraId="3F2B92C1" w14:textId="15058EDC" w:rsidR="000B0766" w:rsidRPr="001C3EDC" w:rsidRDefault="000B0766" w:rsidP="00CF5E1E">
      <w:pPr>
        <w:pStyle w:val="ListParagraph"/>
        <w:numPr>
          <w:ilvl w:val="0"/>
          <w:numId w:val="5"/>
        </w:numPr>
        <w:spacing w:line="276" w:lineRule="auto"/>
        <w:ind w:left="835" w:hanging="475"/>
        <w:contextualSpacing w:val="0"/>
        <w:rPr>
          <w:rFonts w:cs="Times New Roman"/>
          <w:szCs w:val="24"/>
        </w:rPr>
      </w:pPr>
      <w:r w:rsidRPr="001C3EDC">
        <w:rPr>
          <w:rFonts w:cs="Times New Roman"/>
          <w:szCs w:val="24"/>
        </w:rPr>
        <w:t xml:space="preserve">Land losses to </w:t>
      </w:r>
      <w:r w:rsidR="00C365E7" w:rsidRPr="001C3EDC">
        <w:t>SLR</w:t>
      </w:r>
      <w:r w:rsidRPr="001C3EDC">
        <w:rPr>
          <w:rFonts w:cs="Times New Roman"/>
          <w:szCs w:val="24"/>
        </w:rPr>
        <w:t xml:space="preserve"> have been modelled as percent decreases in the stock of productive land and capital in Bulgaria. Both modifications concern variables, land and capital stocks, which are exogenous to the model and therefore they are straightforwardly implemented. As the information on capital losses is not available, it was assumed they are equivalent to land use losses</w:t>
      </w:r>
      <w:r w:rsidR="00B64466" w:rsidRPr="001C3EDC">
        <w:rPr>
          <w:rFonts w:cs="Times New Roman"/>
          <w:szCs w:val="24"/>
        </w:rPr>
        <w:t>;</w:t>
      </w:r>
    </w:p>
    <w:p w14:paraId="05A9BE93" w14:textId="387AC035" w:rsidR="000B0766" w:rsidRPr="001C3EDC" w:rsidRDefault="000B0766" w:rsidP="00CF5E1E">
      <w:pPr>
        <w:pStyle w:val="ListParagraph"/>
        <w:numPr>
          <w:ilvl w:val="0"/>
          <w:numId w:val="5"/>
        </w:numPr>
        <w:spacing w:line="276" w:lineRule="auto"/>
        <w:ind w:left="835" w:hanging="475"/>
        <w:contextualSpacing w:val="0"/>
        <w:rPr>
          <w:rFonts w:cs="Times New Roman"/>
          <w:szCs w:val="24"/>
        </w:rPr>
      </w:pPr>
      <w:r w:rsidRPr="001C3EDC">
        <w:rPr>
          <w:rFonts w:cs="Times New Roman"/>
          <w:szCs w:val="24"/>
        </w:rPr>
        <w:t>Changes in regional households’ demand for oil, gas</w:t>
      </w:r>
      <w:r w:rsidR="00960D6A" w:rsidRPr="001C3EDC">
        <w:rPr>
          <w:rFonts w:cs="Times New Roman"/>
          <w:szCs w:val="24"/>
        </w:rPr>
        <w:t>,</w:t>
      </w:r>
      <w:r w:rsidRPr="001C3EDC">
        <w:rPr>
          <w:rFonts w:cs="Times New Roman"/>
          <w:szCs w:val="24"/>
        </w:rPr>
        <w:t xml:space="preserve"> and electricity are modelled as changes in the overall </w:t>
      </w:r>
      <w:r w:rsidR="00B64466" w:rsidRPr="001C3EDC">
        <w:rPr>
          <w:rFonts w:cs="Times New Roman"/>
          <w:szCs w:val="24"/>
        </w:rPr>
        <w:t xml:space="preserve">demand shifters </w:t>
      </w:r>
      <w:r w:rsidRPr="001C3EDC">
        <w:rPr>
          <w:rFonts w:cs="Times New Roman"/>
          <w:szCs w:val="24"/>
        </w:rPr>
        <w:t>of the respective industries</w:t>
      </w:r>
      <w:r w:rsidR="00B64466" w:rsidRPr="001C3EDC">
        <w:rPr>
          <w:rFonts w:cs="Times New Roman"/>
          <w:szCs w:val="24"/>
        </w:rPr>
        <w:t>;</w:t>
      </w:r>
      <w:r w:rsidRPr="001C3EDC">
        <w:rPr>
          <w:rFonts w:cs="Times New Roman"/>
          <w:szCs w:val="24"/>
        </w:rPr>
        <w:t xml:space="preserve"> </w:t>
      </w:r>
    </w:p>
    <w:p w14:paraId="5C00B351" w14:textId="582C8519" w:rsidR="000B0766" w:rsidRPr="001C3EDC" w:rsidRDefault="000B0766" w:rsidP="00CF5E1E">
      <w:pPr>
        <w:pStyle w:val="ListParagraph"/>
        <w:numPr>
          <w:ilvl w:val="0"/>
          <w:numId w:val="5"/>
        </w:numPr>
        <w:spacing w:line="276" w:lineRule="auto"/>
        <w:ind w:left="835" w:hanging="475"/>
        <w:contextualSpacing w:val="0"/>
        <w:rPr>
          <w:rFonts w:cs="Times New Roman"/>
          <w:szCs w:val="24"/>
        </w:rPr>
      </w:pPr>
      <w:r w:rsidRPr="001C3EDC">
        <w:rPr>
          <w:rFonts w:cs="Times New Roman"/>
          <w:szCs w:val="24"/>
        </w:rPr>
        <w:t>Changes in tourists’ expenditure are modelled as changes in households’ demand addressing the ‘market services sector’, which includes recreational services</w:t>
      </w:r>
      <w:r w:rsidR="00B64466" w:rsidRPr="001C3EDC">
        <w:rPr>
          <w:rFonts w:cs="Times New Roman"/>
          <w:szCs w:val="24"/>
        </w:rPr>
        <w:t>;</w:t>
      </w:r>
      <w:r w:rsidRPr="001C3EDC">
        <w:rPr>
          <w:rFonts w:cs="Times New Roman"/>
          <w:szCs w:val="24"/>
        </w:rPr>
        <w:t xml:space="preserve"> </w:t>
      </w:r>
    </w:p>
    <w:p w14:paraId="21EC00D2" w14:textId="6995796D" w:rsidR="000B0766" w:rsidRPr="001C3EDC" w:rsidRDefault="000B0766" w:rsidP="00CF5E1E">
      <w:pPr>
        <w:pStyle w:val="ListParagraph"/>
        <w:numPr>
          <w:ilvl w:val="0"/>
          <w:numId w:val="5"/>
        </w:numPr>
        <w:spacing w:after="120" w:line="276" w:lineRule="auto"/>
        <w:ind w:left="835" w:hanging="475"/>
        <w:contextualSpacing w:val="0"/>
        <w:rPr>
          <w:rFonts w:cs="Times New Roman"/>
          <w:szCs w:val="24"/>
        </w:rPr>
      </w:pPr>
      <w:r w:rsidRPr="001C3EDC">
        <w:rPr>
          <w:rFonts w:cs="Times New Roman"/>
          <w:szCs w:val="24"/>
        </w:rPr>
        <w:t xml:space="preserve">Effects on agriculture </w:t>
      </w:r>
      <w:r w:rsidR="00447797" w:rsidRPr="001C3EDC">
        <w:rPr>
          <w:rFonts w:cs="Times New Roman"/>
          <w:szCs w:val="24"/>
        </w:rPr>
        <w:t>are</w:t>
      </w:r>
      <w:r w:rsidRPr="001C3EDC">
        <w:rPr>
          <w:rFonts w:cs="Times New Roman"/>
          <w:szCs w:val="24"/>
        </w:rPr>
        <w:t xml:space="preserve"> simulated through changes in crop productivity. </w:t>
      </w:r>
    </w:p>
    <w:p w14:paraId="565ADD12" w14:textId="5B312524" w:rsidR="0039494D" w:rsidRPr="001C3EDC" w:rsidRDefault="0039494D" w:rsidP="00CA5CD0">
      <w:pPr>
        <w:pStyle w:val="BodyText"/>
        <w:ind w:left="0" w:firstLine="0"/>
      </w:pPr>
      <w:r w:rsidRPr="001C3EDC">
        <w:t xml:space="preserve">To analyze the macro-economic impacts of climate change and the benefits from adaptation, two climate change scenarios have been chosen, contrasting a climate sensitive-scenario (a 2°C warmer world) and a carbon intensive-scenario (a 4°C warmer world).  Given currently published analyses for Europe, there is special value in considering a 4°C warmer world scenario (since available studies focus mostly on a 2°C warmer world, as explained in </w:t>
      </w:r>
      <w:r w:rsidRPr="001C3EDC">
        <w:rPr>
          <w:b/>
          <w:bCs/>
          <w:i/>
          <w:iCs/>
        </w:rPr>
        <w:lastRenderedPageBreak/>
        <w:t>Section 3.2</w:t>
      </w:r>
      <w:r w:rsidRPr="001C3EDC">
        <w:t xml:space="preserve">).  </w:t>
      </w:r>
      <w:r w:rsidR="00D75D0F" w:rsidRPr="001C3EDC">
        <w:t>The climate-sensitive scenario corresponds to the Representative Concentration Pathway 4.5 (RCP 4.5),</w:t>
      </w:r>
      <w:r w:rsidR="00D75D0F" w:rsidRPr="001C3EDC">
        <w:rPr>
          <w:rStyle w:val="FootnoteReference"/>
          <w:sz w:val="24"/>
        </w:rPr>
        <w:footnoteReference w:id="6"/>
      </w:r>
      <w:r w:rsidR="00D75D0F" w:rsidRPr="001C3EDC">
        <w:t xml:space="preserve"> which represents a future in which some collective action is taken to limit greenhouse gas emissions and global annual average temperature increases by 2.4 °C (range of 1.7 to 3.2 °C) by 2100 relative to pre-industrial levels. The carbon-intensive scenario corresponds to RCP 8.5, which represents a future in which no actions are taken to reduce emissions and global annual average temperature increases by 4.3 °C (range of 3.2 to 5.4 °C) by 2100 relative to pre-industrial levels.</w:t>
      </w:r>
    </w:p>
    <w:p w14:paraId="05EB154D" w14:textId="273B6A62" w:rsidR="00FD7529" w:rsidRPr="001C3EDC" w:rsidRDefault="00120814" w:rsidP="00CA5CD0">
      <w:pPr>
        <w:pStyle w:val="BodyText"/>
        <w:ind w:left="0" w:firstLine="0"/>
      </w:pPr>
      <w:r w:rsidRPr="001C3EDC">
        <w:rPr>
          <w:b/>
          <w:bCs/>
          <w:i/>
          <w:iCs/>
        </w:rPr>
        <w:t>F</w:t>
      </w:r>
      <w:r w:rsidR="00657E65" w:rsidRPr="001C3EDC">
        <w:rPr>
          <w:b/>
          <w:bCs/>
          <w:i/>
          <w:iCs/>
        </w:rPr>
        <w:t xml:space="preserve">igures </w:t>
      </w:r>
      <w:r w:rsidRPr="001C3EDC">
        <w:rPr>
          <w:b/>
          <w:bCs/>
          <w:i/>
          <w:iCs/>
        </w:rPr>
        <w:t>14 and 15</w:t>
      </w:r>
      <w:r w:rsidRPr="001C3EDC">
        <w:t xml:space="preserve"> </w:t>
      </w:r>
      <w:r w:rsidR="00B64466" w:rsidRPr="001C3EDC">
        <w:t xml:space="preserve">show expected changes in monthly temperatures for Bulgaria, </w:t>
      </w:r>
      <w:r w:rsidR="00D75D0F" w:rsidRPr="001C3EDC">
        <w:t>in 4°C warmer world</w:t>
      </w:r>
      <w:r w:rsidR="00D75D0F" w:rsidRPr="001C3EDC" w:rsidDel="00B64466">
        <w:t xml:space="preserve"> </w:t>
      </w:r>
      <w:r w:rsidR="001841C4" w:rsidRPr="001C3EDC">
        <w:t>(RCP 8.5)</w:t>
      </w:r>
      <w:r w:rsidR="00FD7529" w:rsidRPr="001C3EDC">
        <w:t xml:space="preserve">. Under RCP 8.5, global mean temperature increases on average by about </w:t>
      </w:r>
      <w:r w:rsidR="00554EF0" w:rsidRPr="001C3EDC">
        <w:t>2</w:t>
      </w:r>
      <w:r w:rsidRPr="001C3EDC">
        <w:t>°</w:t>
      </w:r>
      <w:r w:rsidR="00554EF0" w:rsidRPr="001C3EDC">
        <w:t xml:space="preserve">C </w:t>
      </w:r>
      <w:r w:rsidR="00FD7529" w:rsidRPr="001C3EDC">
        <w:t xml:space="preserve">by mid-century and </w:t>
      </w:r>
      <w:r w:rsidR="001841C4" w:rsidRPr="001C3EDC">
        <w:t>4</w:t>
      </w:r>
      <w:r w:rsidRPr="001C3EDC">
        <w:t>°</w:t>
      </w:r>
      <w:r w:rsidR="001841C4" w:rsidRPr="001C3EDC">
        <w:t>C</w:t>
      </w:r>
      <w:r w:rsidR="00FD7529" w:rsidRPr="001C3EDC">
        <w:t xml:space="preserve"> by the turn of the century while warming is more intense over Bulgaria: around 2.4°C by mid-century and 4.8°C by the turn of the century. For a few climate models, mean temperature change over Bulgaria gets close to 4°C as soon as 2050.  </w:t>
      </w:r>
      <w:r w:rsidR="00CF18D6" w:rsidRPr="001C3EDC">
        <w:t>The damage functions from Roson and Sartori (2016) are calibrated against anticipated gl</w:t>
      </w:r>
      <w:r w:rsidR="00FD20EB" w:rsidRPr="001C3EDC">
        <w:t xml:space="preserve">obal average temperature rise. </w:t>
      </w:r>
      <w:r w:rsidR="00FD7529" w:rsidRPr="001C3EDC">
        <w:t xml:space="preserve"> </w:t>
      </w:r>
      <w:r w:rsidR="00CF18D6" w:rsidRPr="001C3EDC">
        <w:t xml:space="preserve">This assumption is </w:t>
      </w:r>
      <w:r w:rsidR="00FD7529" w:rsidRPr="001C3EDC">
        <w:t xml:space="preserve">broadly </w:t>
      </w:r>
      <w:r w:rsidR="00CF18D6" w:rsidRPr="001C3EDC">
        <w:t>consistent</w:t>
      </w:r>
      <w:r w:rsidR="00FD7529" w:rsidRPr="001C3EDC">
        <w:t xml:space="preserve"> while slightly underestimating warming over Bulgaria at the same time.</w:t>
      </w:r>
    </w:p>
    <w:p w14:paraId="66F8C3E8" w14:textId="5507AA7F" w:rsidR="00897D35" w:rsidRPr="001C3EDC" w:rsidRDefault="003D455A" w:rsidP="004F7F4A">
      <w:pPr>
        <w:pStyle w:val="Caption"/>
        <w:spacing w:before="200"/>
        <w:rPr>
          <w:rFonts w:ascii="Calibri" w:hAnsi="Calibri"/>
          <w:i/>
          <w:color w:val="44546A"/>
          <w:sz w:val="22"/>
          <w:szCs w:val="18"/>
        </w:rPr>
      </w:pPr>
      <w:bookmarkStart w:id="76" w:name="_Toc522036485"/>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14</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897D35" w:rsidRPr="001C3EDC">
        <w:rPr>
          <w:rFonts w:ascii="Calibri" w:hAnsi="Calibri"/>
          <w:i/>
          <w:color w:val="44546A"/>
          <w:sz w:val="22"/>
          <w:szCs w:val="18"/>
        </w:rPr>
        <w:t>Projected change in monthly temperature in Bulgaria in 2020</w:t>
      </w:r>
      <w:r w:rsidR="00120814" w:rsidRPr="001C3EDC">
        <w:rPr>
          <w:rFonts w:ascii="Calibri" w:hAnsi="Calibri"/>
          <w:i/>
          <w:color w:val="44546A"/>
          <w:sz w:val="22"/>
          <w:szCs w:val="18"/>
        </w:rPr>
        <w:t>–</w:t>
      </w:r>
      <w:r w:rsidR="00897D35" w:rsidRPr="001C3EDC">
        <w:rPr>
          <w:rFonts w:ascii="Calibri" w:hAnsi="Calibri"/>
          <w:i/>
          <w:color w:val="44546A"/>
          <w:sz w:val="22"/>
          <w:szCs w:val="18"/>
        </w:rPr>
        <w:t>2039 (RCP 8.5)</w:t>
      </w:r>
      <w:bookmarkEnd w:id="76"/>
    </w:p>
    <w:p w14:paraId="569CBD6A" w14:textId="4894D599" w:rsidR="002F1D7C" w:rsidRPr="001C3EDC" w:rsidRDefault="002F1D7C" w:rsidP="00897D35">
      <w:pPr>
        <w:spacing w:after="0" w:line="240" w:lineRule="auto"/>
        <w:jc w:val="center"/>
      </w:pPr>
      <w:r w:rsidRPr="001C3EDC">
        <w:rPr>
          <w:noProof/>
        </w:rPr>
        <w:drawing>
          <wp:inline distT="0" distB="0" distL="0" distR="0" wp14:anchorId="5223766C" wp14:editId="780F80F2">
            <wp:extent cx="4429972" cy="2141316"/>
            <wp:effectExtent l="19050" t="19050" r="2794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4053" cy="2172291"/>
                    </a:xfrm>
                    <a:prstGeom prst="rect">
                      <a:avLst/>
                    </a:prstGeom>
                    <a:noFill/>
                    <a:ln w="6350">
                      <a:solidFill>
                        <a:srgbClr val="5B9BD5"/>
                      </a:solidFill>
                    </a:ln>
                  </pic:spPr>
                </pic:pic>
              </a:graphicData>
            </a:graphic>
          </wp:inline>
        </w:drawing>
      </w:r>
    </w:p>
    <w:p w14:paraId="295B28E7" w14:textId="3F024BFA" w:rsidR="00AC1ADC" w:rsidRPr="001C3EDC" w:rsidRDefault="00AC1ADC" w:rsidP="00BA2083">
      <w:pPr>
        <w:pStyle w:val="Source"/>
      </w:pPr>
      <w:r w:rsidRPr="001C3EDC">
        <w:t xml:space="preserve">Source: World Bank Climate Change </w:t>
      </w:r>
      <w:r w:rsidR="009E38BA" w:rsidRPr="001C3EDC">
        <w:t xml:space="preserve">Knowledge </w:t>
      </w:r>
      <w:r w:rsidRPr="001C3EDC">
        <w:t>Portal</w:t>
      </w:r>
      <w:r w:rsidR="00897D35" w:rsidRPr="001C3EDC">
        <w:t>.</w:t>
      </w:r>
    </w:p>
    <w:p w14:paraId="2754CEF4" w14:textId="4E3E9B44" w:rsidR="00897D35" w:rsidRPr="001C3EDC" w:rsidRDefault="003D455A" w:rsidP="004F7F4A">
      <w:pPr>
        <w:pStyle w:val="Caption"/>
        <w:spacing w:before="200"/>
        <w:rPr>
          <w:rFonts w:ascii="Calibri" w:hAnsi="Calibri"/>
          <w:i/>
          <w:color w:val="44546A"/>
          <w:sz w:val="22"/>
          <w:szCs w:val="18"/>
        </w:rPr>
      </w:pPr>
      <w:bookmarkStart w:id="77" w:name="_Toc522036486"/>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15</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897D35" w:rsidRPr="001C3EDC">
        <w:rPr>
          <w:rFonts w:ascii="Calibri" w:hAnsi="Calibri"/>
          <w:i/>
          <w:color w:val="44546A"/>
          <w:sz w:val="22"/>
          <w:szCs w:val="18"/>
        </w:rPr>
        <w:t>Projected change in monthly temperature in Bulgaria in 2040</w:t>
      </w:r>
      <w:r w:rsidR="00EF7943" w:rsidRPr="001C3EDC">
        <w:rPr>
          <w:rFonts w:ascii="Calibri" w:hAnsi="Calibri"/>
          <w:i/>
          <w:color w:val="44546A"/>
          <w:sz w:val="22"/>
          <w:szCs w:val="18"/>
        </w:rPr>
        <w:t>–</w:t>
      </w:r>
      <w:r w:rsidR="00897D35" w:rsidRPr="001C3EDC">
        <w:rPr>
          <w:rFonts w:ascii="Calibri" w:hAnsi="Calibri"/>
          <w:i/>
          <w:color w:val="44546A"/>
          <w:sz w:val="22"/>
          <w:szCs w:val="18"/>
        </w:rPr>
        <w:t>2059 (RCP 8.5)</w:t>
      </w:r>
      <w:bookmarkEnd w:id="77"/>
    </w:p>
    <w:p w14:paraId="6919A48C" w14:textId="1D111BD0" w:rsidR="00193527" w:rsidRPr="001C3EDC" w:rsidRDefault="00193527" w:rsidP="00BA2083">
      <w:pPr>
        <w:spacing w:after="0" w:line="240" w:lineRule="auto"/>
        <w:jc w:val="center"/>
      </w:pPr>
      <w:r w:rsidRPr="001C3EDC">
        <w:rPr>
          <w:noProof/>
        </w:rPr>
        <w:drawing>
          <wp:inline distT="0" distB="0" distL="0" distR="0" wp14:anchorId="60E16265" wp14:editId="4B642997">
            <wp:extent cx="4440697" cy="2183946"/>
            <wp:effectExtent l="19050" t="19050" r="1714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2770" cy="2204638"/>
                    </a:xfrm>
                    <a:prstGeom prst="rect">
                      <a:avLst/>
                    </a:prstGeom>
                    <a:noFill/>
                    <a:ln w="6350">
                      <a:solidFill>
                        <a:srgbClr val="5B9BD5"/>
                      </a:solidFill>
                    </a:ln>
                  </pic:spPr>
                </pic:pic>
              </a:graphicData>
            </a:graphic>
          </wp:inline>
        </w:drawing>
      </w:r>
    </w:p>
    <w:p w14:paraId="6ACA2191" w14:textId="1D2D1500" w:rsidR="00AC1ADC" w:rsidRPr="001C3EDC" w:rsidRDefault="00AC1ADC" w:rsidP="00BA2083">
      <w:pPr>
        <w:pStyle w:val="Source"/>
      </w:pPr>
      <w:r w:rsidRPr="001C3EDC">
        <w:t xml:space="preserve">Source: World Bank Climate Change </w:t>
      </w:r>
      <w:r w:rsidR="009E38BA" w:rsidRPr="001C3EDC">
        <w:t xml:space="preserve">Knowledge </w:t>
      </w:r>
      <w:r w:rsidRPr="001C3EDC">
        <w:t>Portal</w:t>
      </w:r>
      <w:r w:rsidR="00CF0328" w:rsidRPr="001C3EDC">
        <w:t>.</w:t>
      </w:r>
    </w:p>
    <w:p w14:paraId="6E1C4FB9" w14:textId="0678D6D6" w:rsidR="00240724" w:rsidRPr="001C3EDC" w:rsidRDefault="00182D35" w:rsidP="00CA5CD0">
      <w:pPr>
        <w:pStyle w:val="BodyText"/>
        <w:tabs>
          <w:tab w:val="left" w:pos="720"/>
        </w:tabs>
        <w:ind w:left="0" w:firstLine="0"/>
      </w:pPr>
      <w:r w:rsidRPr="001C3EDC">
        <w:t xml:space="preserve">These expected monthly temperature increases are translated into productivity changes in </w:t>
      </w:r>
      <w:r w:rsidR="00447E2E" w:rsidRPr="001C3EDC">
        <w:t>economic variables for 2</w:t>
      </w:r>
      <w:r w:rsidR="00F24F5F" w:rsidRPr="001C3EDC">
        <w:t>°</w:t>
      </w:r>
      <w:r w:rsidR="00447E2E" w:rsidRPr="001C3EDC">
        <w:t>C (optimistic) and 4</w:t>
      </w:r>
      <w:r w:rsidR="00F24F5F" w:rsidRPr="001C3EDC">
        <w:t>°</w:t>
      </w:r>
      <w:r w:rsidR="00447E2E" w:rsidRPr="001C3EDC">
        <w:t xml:space="preserve">C (pessimistic) temperature change scenarios using the shocks developed by </w:t>
      </w:r>
      <w:r w:rsidRPr="001C3EDC">
        <w:t xml:space="preserve">Roson </w:t>
      </w:r>
      <w:r w:rsidR="00BB6CAF" w:rsidRPr="001C3EDC">
        <w:t>and Sartori</w:t>
      </w:r>
      <w:r w:rsidR="00FD20EB" w:rsidRPr="001C3EDC">
        <w:t xml:space="preserve"> (2016).</w:t>
      </w:r>
      <w:r w:rsidR="00240724" w:rsidRPr="001C3EDC">
        <w:br w:type="page"/>
      </w:r>
    </w:p>
    <w:p w14:paraId="140E1713" w14:textId="67A469F8" w:rsidR="003D455A" w:rsidRPr="001C3EDC" w:rsidRDefault="000A1E82" w:rsidP="004F7F4A">
      <w:pPr>
        <w:pStyle w:val="Caption"/>
        <w:spacing w:before="200"/>
        <w:rPr>
          <w:rFonts w:ascii="Calibri" w:hAnsi="Calibri"/>
          <w:i/>
          <w:color w:val="44546A"/>
          <w:sz w:val="22"/>
          <w:szCs w:val="18"/>
        </w:rPr>
      </w:pPr>
      <w:bookmarkStart w:id="78" w:name="_Toc522036517"/>
      <w:r w:rsidRPr="001C3EDC">
        <w:rPr>
          <w:rFonts w:ascii="Calibri" w:hAnsi="Calibri"/>
          <w:i/>
          <w:color w:val="44546A"/>
          <w:sz w:val="22"/>
          <w:szCs w:val="18"/>
        </w:rPr>
        <w:lastRenderedPageBreak/>
        <w:t xml:space="preserve">Table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Table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4</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Productivity changes in economic variables for 2°C (optimistic) and 4°C (pessimistic) temperature change scenarios using the shocks developed by Roson </w:t>
      </w:r>
      <w:r w:rsidR="00BB6CAF" w:rsidRPr="001C3EDC">
        <w:rPr>
          <w:rFonts w:ascii="Calibri" w:hAnsi="Calibri"/>
          <w:i/>
          <w:color w:val="44546A"/>
          <w:sz w:val="22"/>
          <w:szCs w:val="18"/>
        </w:rPr>
        <w:t>and Sartori</w:t>
      </w:r>
      <w:r w:rsidRPr="001C3EDC">
        <w:rPr>
          <w:rFonts w:ascii="Calibri" w:hAnsi="Calibri"/>
          <w:i/>
          <w:color w:val="44546A"/>
          <w:sz w:val="22"/>
          <w:szCs w:val="18"/>
        </w:rPr>
        <w:t xml:space="preserve"> 2016</w:t>
      </w:r>
      <w:bookmarkEnd w:id="78"/>
    </w:p>
    <w:tbl>
      <w:tblPr>
        <w:tblW w:w="8358"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170"/>
        <w:gridCol w:w="1517"/>
        <w:gridCol w:w="1577"/>
        <w:gridCol w:w="1517"/>
        <w:gridCol w:w="1577"/>
      </w:tblGrid>
      <w:tr w:rsidR="000A1E82" w:rsidRPr="00CF5E1E" w14:paraId="0FAA3FEC" w14:textId="77777777" w:rsidTr="00EB0274">
        <w:trPr>
          <w:trHeight w:val="310"/>
          <w:tblHeader/>
          <w:jc w:val="center"/>
        </w:trPr>
        <w:tc>
          <w:tcPr>
            <w:tcW w:w="2170" w:type="dxa"/>
            <w:vMerge w:val="restart"/>
            <w:shd w:val="clear" w:color="auto" w:fill="365F91"/>
            <w:noWrap/>
            <w:vAlign w:val="center"/>
            <w:hideMark/>
          </w:tcPr>
          <w:p w14:paraId="4F2B5E8C" w14:textId="76A4C2CA" w:rsidR="000A1E82" w:rsidRPr="00CF5E1E" w:rsidRDefault="000A1E82" w:rsidP="00FB32A7">
            <w:pPr>
              <w:spacing w:before="40" w:after="40" w:line="240" w:lineRule="auto"/>
              <w:jc w:val="center"/>
              <w:rPr>
                <w:rFonts w:asciiTheme="minorHAnsi" w:eastAsia="Times New Roman" w:hAnsiTheme="minorHAnsi" w:cstheme="minorHAnsi"/>
                <w:b/>
                <w:color w:val="FFFFFF" w:themeColor="background1"/>
                <w:sz w:val="22"/>
              </w:rPr>
            </w:pPr>
            <w:r w:rsidRPr="00CF5E1E">
              <w:rPr>
                <w:rFonts w:asciiTheme="minorHAnsi" w:eastAsia="Times New Roman" w:hAnsiTheme="minorHAnsi" w:cstheme="minorHAnsi"/>
                <w:b/>
                <w:color w:val="FFFFFF" w:themeColor="background1"/>
                <w:sz w:val="22"/>
              </w:rPr>
              <w:t>Shocks/</w:t>
            </w:r>
            <w:r w:rsidR="00EB0274" w:rsidRPr="00CF5E1E">
              <w:rPr>
                <w:rFonts w:asciiTheme="minorHAnsi" w:eastAsia="Times New Roman" w:hAnsiTheme="minorHAnsi" w:cstheme="minorHAnsi"/>
                <w:b/>
                <w:color w:val="FFFFFF" w:themeColor="background1"/>
                <w:sz w:val="22"/>
              </w:rPr>
              <w:t>Scenario name</w:t>
            </w:r>
          </w:p>
        </w:tc>
        <w:tc>
          <w:tcPr>
            <w:tcW w:w="3094" w:type="dxa"/>
            <w:gridSpan w:val="2"/>
            <w:shd w:val="clear" w:color="auto" w:fill="365F91"/>
            <w:noWrap/>
            <w:vAlign w:val="center"/>
            <w:hideMark/>
          </w:tcPr>
          <w:p w14:paraId="4DD701E4" w14:textId="23E00D6B" w:rsidR="000A1E82" w:rsidRPr="00CF5E1E" w:rsidRDefault="000440F3" w:rsidP="00FB32A7">
            <w:pPr>
              <w:spacing w:before="40" w:after="40" w:line="240" w:lineRule="auto"/>
              <w:jc w:val="center"/>
              <w:rPr>
                <w:rFonts w:asciiTheme="minorHAnsi" w:eastAsia="Times New Roman" w:hAnsiTheme="minorHAnsi" w:cstheme="minorHAnsi"/>
                <w:b/>
                <w:color w:val="FFFFFF" w:themeColor="background1"/>
                <w:sz w:val="22"/>
              </w:rPr>
            </w:pPr>
            <w:r w:rsidRPr="00CF5E1E">
              <w:rPr>
                <w:rFonts w:asciiTheme="minorHAnsi" w:eastAsia="Times New Roman" w:hAnsiTheme="minorHAnsi" w:cstheme="minorHAnsi"/>
                <w:b/>
                <w:color w:val="FFFFFF" w:themeColor="background1"/>
                <w:sz w:val="22"/>
              </w:rPr>
              <w:t>2°</w:t>
            </w:r>
            <w:r w:rsidR="000A1E82" w:rsidRPr="00CF5E1E">
              <w:rPr>
                <w:rFonts w:asciiTheme="minorHAnsi" w:eastAsia="Times New Roman" w:hAnsiTheme="minorHAnsi" w:cstheme="minorHAnsi"/>
                <w:b/>
                <w:color w:val="FFFFFF" w:themeColor="background1"/>
                <w:sz w:val="22"/>
              </w:rPr>
              <w:t>C temperature increase</w:t>
            </w:r>
          </w:p>
        </w:tc>
        <w:tc>
          <w:tcPr>
            <w:tcW w:w="3094" w:type="dxa"/>
            <w:gridSpan w:val="2"/>
            <w:shd w:val="clear" w:color="auto" w:fill="365F91"/>
            <w:noWrap/>
            <w:vAlign w:val="center"/>
            <w:hideMark/>
          </w:tcPr>
          <w:p w14:paraId="4C706A49" w14:textId="3DB58003" w:rsidR="000A1E82" w:rsidRPr="00CF5E1E" w:rsidRDefault="000440F3" w:rsidP="00FB32A7">
            <w:pPr>
              <w:spacing w:before="40" w:after="40" w:line="240" w:lineRule="auto"/>
              <w:jc w:val="center"/>
              <w:rPr>
                <w:rFonts w:asciiTheme="minorHAnsi" w:eastAsia="Times New Roman" w:hAnsiTheme="minorHAnsi" w:cstheme="minorHAnsi"/>
                <w:b/>
                <w:color w:val="FFFFFF" w:themeColor="background1"/>
                <w:sz w:val="22"/>
              </w:rPr>
            </w:pPr>
            <w:r w:rsidRPr="00CF5E1E">
              <w:rPr>
                <w:rFonts w:asciiTheme="minorHAnsi" w:eastAsia="Times New Roman" w:hAnsiTheme="minorHAnsi" w:cstheme="minorHAnsi"/>
                <w:b/>
                <w:color w:val="FFFFFF" w:themeColor="background1"/>
                <w:sz w:val="22"/>
              </w:rPr>
              <w:t>4°</w:t>
            </w:r>
            <w:r w:rsidR="000A1E82" w:rsidRPr="00CF5E1E">
              <w:rPr>
                <w:rFonts w:asciiTheme="minorHAnsi" w:eastAsia="Times New Roman" w:hAnsiTheme="minorHAnsi" w:cstheme="minorHAnsi"/>
                <w:b/>
                <w:color w:val="FFFFFF" w:themeColor="background1"/>
                <w:sz w:val="22"/>
              </w:rPr>
              <w:t>C temperature increase</w:t>
            </w:r>
          </w:p>
        </w:tc>
      </w:tr>
      <w:tr w:rsidR="000A1E82" w:rsidRPr="00CF5E1E" w14:paraId="3DD6A397" w14:textId="77777777" w:rsidTr="00EB0274">
        <w:trPr>
          <w:trHeight w:val="310"/>
          <w:jc w:val="center"/>
        </w:trPr>
        <w:tc>
          <w:tcPr>
            <w:tcW w:w="2170" w:type="dxa"/>
            <w:vMerge/>
            <w:shd w:val="clear" w:color="auto" w:fill="D9D9D9" w:themeFill="background1" w:themeFillShade="D9"/>
            <w:noWrap/>
            <w:vAlign w:val="center"/>
            <w:hideMark/>
          </w:tcPr>
          <w:p w14:paraId="11630C91" w14:textId="53DCFC1C" w:rsidR="000A1E82" w:rsidRPr="00CF5E1E" w:rsidRDefault="000A1E82" w:rsidP="00FB32A7">
            <w:pPr>
              <w:spacing w:before="40" w:after="40" w:line="240" w:lineRule="auto"/>
              <w:jc w:val="center"/>
              <w:rPr>
                <w:rFonts w:asciiTheme="minorHAnsi" w:eastAsia="Times New Roman" w:hAnsiTheme="minorHAnsi" w:cstheme="minorHAnsi"/>
                <w:sz w:val="22"/>
              </w:rPr>
            </w:pPr>
          </w:p>
        </w:tc>
        <w:tc>
          <w:tcPr>
            <w:tcW w:w="1517" w:type="dxa"/>
            <w:shd w:val="clear" w:color="auto" w:fill="D9D9D9" w:themeFill="background1" w:themeFillShade="D9"/>
            <w:noWrap/>
            <w:vAlign w:val="center"/>
            <w:hideMark/>
          </w:tcPr>
          <w:p w14:paraId="1FE5C343" w14:textId="4E3CD3FE" w:rsidR="000A1E82" w:rsidRPr="00CF5E1E" w:rsidRDefault="000A1E82" w:rsidP="00FB32A7">
            <w:pPr>
              <w:pStyle w:val="ListParagraph"/>
              <w:numPr>
                <w:ilvl w:val="0"/>
                <w:numId w:val="9"/>
              </w:numPr>
              <w:spacing w:before="40" w:after="40" w:line="240" w:lineRule="auto"/>
              <w:ind w:left="360"/>
              <w:jc w:val="center"/>
              <w:rPr>
                <w:rFonts w:asciiTheme="minorHAnsi" w:eastAsia="Times New Roman" w:hAnsiTheme="minorHAnsi" w:cstheme="minorHAnsi"/>
                <w:b/>
                <w:sz w:val="22"/>
              </w:rPr>
            </w:pPr>
            <w:r w:rsidRPr="00CF5E1E">
              <w:rPr>
                <w:rFonts w:asciiTheme="minorHAnsi" w:eastAsia="Times New Roman" w:hAnsiTheme="minorHAnsi" w:cstheme="minorHAnsi"/>
                <w:b/>
                <w:sz w:val="22"/>
              </w:rPr>
              <w:t>Optimistic</w:t>
            </w:r>
          </w:p>
        </w:tc>
        <w:tc>
          <w:tcPr>
            <w:tcW w:w="1577" w:type="dxa"/>
            <w:shd w:val="clear" w:color="auto" w:fill="D9D9D9" w:themeFill="background1" w:themeFillShade="D9"/>
            <w:noWrap/>
            <w:vAlign w:val="center"/>
            <w:hideMark/>
          </w:tcPr>
          <w:p w14:paraId="4C8097BD" w14:textId="7B8CDA67" w:rsidR="000A1E82" w:rsidRPr="00CF5E1E" w:rsidRDefault="000A1E82" w:rsidP="00FB32A7">
            <w:pPr>
              <w:pStyle w:val="ListParagraph"/>
              <w:numPr>
                <w:ilvl w:val="0"/>
                <w:numId w:val="9"/>
              </w:numPr>
              <w:spacing w:before="40" w:after="40" w:line="240" w:lineRule="auto"/>
              <w:ind w:left="360"/>
              <w:jc w:val="center"/>
              <w:rPr>
                <w:rFonts w:asciiTheme="minorHAnsi" w:eastAsia="Times New Roman" w:hAnsiTheme="minorHAnsi" w:cstheme="minorHAnsi"/>
                <w:b/>
                <w:sz w:val="22"/>
              </w:rPr>
            </w:pPr>
            <w:r w:rsidRPr="00CF5E1E">
              <w:rPr>
                <w:rFonts w:asciiTheme="minorHAnsi" w:eastAsia="Times New Roman" w:hAnsiTheme="minorHAnsi" w:cstheme="minorHAnsi"/>
                <w:b/>
                <w:sz w:val="22"/>
              </w:rPr>
              <w:t>Pessimistic</w:t>
            </w:r>
          </w:p>
        </w:tc>
        <w:tc>
          <w:tcPr>
            <w:tcW w:w="1517" w:type="dxa"/>
            <w:shd w:val="clear" w:color="auto" w:fill="D9D9D9" w:themeFill="background1" w:themeFillShade="D9"/>
            <w:noWrap/>
            <w:vAlign w:val="center"/>
            <w:hideMark/>
          </w:tcPr>
          <w:p w14:paraId="7C4A028D" w14:textId="1F232B46" w:rsidR="000A1E82" w:rsidRPr="00CF5E1E" w:rsidRDefault="000A1E82" w:rsidP="00FB32A7">
            <w:pPr>
              <w:pStyle w:val="ListParagraph"/>
              <w:numPr>
                <w:ilvl w:val="0"/>
                <w:numId w:val="10"/>
              </w:numPr>
              <w:spacing w:before="40" w:after="40" w:line="240" w:lineRule="auto"/>
              <w:ind w:left="360"/>
              <w:jc w:val="center"/>
              <w:rPr>
                <w:rFonts w:asciiTheme="minorHAnsi" w:eastAsia="Times New Roman" w:hAnsiTheme="minorHAnsi" w:cstheme="minorHAnsi"/>
                <w:b/>
                <w:sz w:val="22"/>
              </w:rPr>
            </w:pPr>
            <w:r w:rsidRPr="00CF5E1E">
              <w:rPr>
                <w:rFonts w:asciiTheme="minorHAnsi" w:eastAsia="Times New Roman" w:hAnsiTheme="minorHAnsi" w:cstheme="minorHAnsi"/>
                <w:b/>
                <w:sz w:val="22"/>
              </w:rPr>
              <w:t>Optimistic</w:t>
            </w:r>
          </w:p>
        </w:tc>
        <w:tc>
          <w:tcPr>
            <w:tcW w:w="1577" w:type="dxa"/>
            <w:shd w:val="clear" w:color="auto" w:fill="D9D9D9" w:themeFill="background1" w:themeFillShade="D9"/>
            <w:noWrap/>
            <w:vAlign w:val="center"/>
            <w:hideMark/>
          </w:tcPr>
          <w:p w14:paraId="3E50D3B5" w14:textId="4407C928" w:rsidR="000A1E82" w:rsidRPr="00CF5E1E" w:rsidRDefault="000A1E82" w:rsidP="00FB32A7">
            <w:pPr>
              <w:pStyle w:val="ListParagraph"/>
              <w:numPr>
                <w:ilvl w:val="0"/>
                <w:numId w:val="10"/>
              </w:numPr>
              <w:spacing w:before="40" w:after="40" w:line="240" w:lineRule="auto"/>
              <w:ind w:left="360"/>
              <w:jc w:val="center"/>
              <w:rPr>
                <w:rFonts w:asciiTheme="minorHAnsi" w:eastAsia="Times New Roman" w:hAnsiTheme="minorHAnsi" w:cstheme="minorHAnsi"/>
                <w:b/>
                <w:sz w:val="22"/>
              </w:rPr>
            </w:pPr>
            <w:r w:rsidRPr="00CF5E1E">
              <w:rPr>
                <w:rFonts w:asciiTheme="minorHAnsi" w:eastAsia="Times New Roman" w:hAnsiTheme="minorHAnsi" w:cstheme="minorHAnsi"/>
                <w:b/>
                <w:sz w:val="22"/>
              </w:rPr>
              <w:t>Pessimistic</w:t>
            </w:r>
          </w:p>
        </w:tc>
      </w:tr>
      <w:tr w:rsidR="000440F3" w:rsidRPr="00CF5E1E" w14:paraId="65C68D78" w14:textId="77777777" w:rsidTr="00EB0274">
        <w:trPr>
          <w:trHeight w:val="310"/>
          <w:jc w:val="center"/>
        </w:trPr>
        <w:tc>
          <w:tcPr>
            <w:tcW w:w="8358" w:type="dxa"/>
            <w:gridSpan w:val="5"/>
            <w:shd w:val="clear" w:color="auto" w:fill="B8CCE4"/>
            <w:noWrap/>
            <w:hideMark/>
          </w:tcPr>
          <w:p w14:paraId="388F1FDF" w14:textId="4BACDB92" w:rsidR="000440F3" w:rsidRPr="00CF5E1E" w:rsidRDefault="000440F3" w:rsidP="00FB32A7">
            <w:pPr>
              <w:spacing w:before="20" w:after="20" w:line="240" w:lineRule="auto"/>
              <w:jc w:val="left"/>
              <w:rPr>
                <w:rFonts w:asciiTheme="minorHAnsi" w:eastAsia="Times New Roman" w:hAnsiTheme="minorHAnsi" w:cstheme="minorHAnsi"/>
                <w:b/>
                <w:bCs/>
                <w:color w:val="000000"/>
                <w:sz w:val="22"/>
              </w:rPr>
            </w:pPr>
            <w:r w:rsidRPr="00CF5E1E">
              <w:rPr>
                <w:rFonts w:asciiTheme="minorHAnsi" w:eastAsia="Times New Roman" w:hAnsiTheme="minorHAnsi" w:cstheme="minorHAnsi"/>
                <w:b/>
                <w:bCs/>
                <w:color w:val="000000"/>
                <w:sz w:val="22"/>
              </w:rPr>
              <w:t xml:space="preserve">Productivity </w:t>
            </w:r>
            <w:r w:rsidR="00EB0274" w:rsidRPr="00CF5E1E">
              <w:rPr>
                <w:rFonts w:asciiTheme="minorHAnsi" w:eastAsia="Times New Roman" w:hAnsiTheme="minorHAnsi" w:cstheme="minorHAnsi"/>
                <w:b/>
                <w:bCs/>
                <w:color w:val="000000"/>
                <w:sz w:val="22"/>
              </w:rPr>
              <w:t xml:space="preserve">shocks </w:t>
            </w:r>
            <w:r w:rsidR="00EB0274" w:rsidRPr="00CF5E1E">
              <w:rPr>
                <w:rFonts w:asciiTheme="minorHAnsi" w:eastAsia="Times New Roman" w:hAnsiTheme="minorHAnsi" w:cstheme="minorHAnsi"/>
                <w:color w:val="000000"/>
                <w:sz w:val="22"/>
              </w:rPr>
              <w:t>(w</w:t>
            </w:r>
            <w:r w:rsidRPr="00CF5E1E">
              <w:rPr>
                <w:rFonts w:asciiTheme="minorHAnsi" w:eastAsia="Times New Roman" w:hAnsiTheme="minorHAnsi" w:cstheme="minorHAnsi"/>
                <w:color w:val="000000"/>
                <w:sz w:val="22"/>
              </w:rPr>
              <w:t>ith respect to the baseline scenario)</w:t>
            </w:r>
          </w:p>
        </w:tc>
      </w:tr>
      <w:tr w:rsidR="00345096" w:rsidRPr="00CF5E1E" w14:paraId="45EDB81E" w14:textId="77777777" w:rsidTr="00EB0274">
        <w:trPr>
          <w:trHeight w:val="310"/>
          <w:jc w:val="center"/>
        </w:trPr>
        <w:tc>
          <w:tcPr>
            <w:tcW w:w="2170" w:type="dxa"/>
            <w:shd w:val="clear" w:color="auto" w:fill="B8CCE4"/>
            <w:noWrap/>
            <w:hideMark/>
          </w:tcPr>
          <w:p w14:paraId="0D2E1E2C" w14:textId="77777777" w:rsidR="00182D35" w:rsidRPr="00CF5E1E" w:rsidRDefault="00182D35" w:rsidP="00FB32A7">
            <w:pPr>
              <w:spacing w:before="20" w:after="20" w:line="240" w:lineRule="auto"/>
              <w:jc w:val="left"/>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Rice</w:t>
            </w:r>
          </w:p>
        </w:tc>
        <w:tc>
          <w:tcPr>
            <w:tcW w:w="1517" w:type="dxa"/>
            <w:shd w:val="clear" w:color="auto" w:fill="auto"/>
            <w:noWrap/>
            <w:hideMark/>
          </w:tcPr>
          <w:p w14:paraId="3D482ED7" w14:textId="32F620AD"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1.53</w:t>
            </w:r>
          </w:p>
        </w:tc>
        <w:tc>
          <w:tcPr>
            <w:tcW w:w="1577" w:type="dxa"/>
            <w:shd w:val="clear" w:color="auto" w:fill="auto"/>
            <w:noWrap/>
            <w:hideMark/>
          </w:tcPr>
          <w:p w14:paraId="1539B212" w14:textId="27506B2F"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4.59</w:t>
            </w:r>
          </w:p>
        </w:tc>
        <w:tc>
          <w:tcPr>
            <w:tcW w:w="1517" w:type="dxa"/>
            <w:shd w:val="clear" w:color="auto" w:fill="auto"/>
            <w:noWrap/>
            <w:hideMark/>
          </w:tcPr>
          <w:p w14:paraId="61710659" w14:textId="532CB7D9"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3.53</w:t>
            </w:r>
          </w:p>
        </w:tc>
        <w:tc>
          <w:tcPr>
            <w:tcW w:w="1577" w:type="dxa"/>
            <w:shd w:val="clear" w:color="auto" w:fill="auto"/>
            <w:noWrap/>
            <w:hideMark/>
          </w:tcPr>
          <w:p w14:paraId="480D6BCF" w14:textId="7595EE80"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10.59</w:t>
            </w:r>
          </w:p>
        </w:tc>
      </w:tr>
      <w:tr w:rsidR="00345096" w:rsidRPr="00CF5E1E" w14:paraId="623D6B05" w14:textId="77777777" w:rsidTr="00EB0274">
        <w:trPr>
          <w:trHeight w:val="310"/>
          <w:jc w:val="center"/>
        </w:trPr>
        <w:tc>
          <w:tcPr>
            <w:tcW w:w="2170" w:type="dxa"/>
            <w:shd w:val="clear" w:color="auto" w:fill="B8CCE4"/>
            <w:noWrap/>
            <w:hideMark/>
          </w:tcPr>
          <w:p w14:paraId="4BBD4185" w14:textId="77777777" w:rsidR="00182D35" w:rsidRPr="00CF5E1E" w:rsidRDefault="00182D35" w:rsidP="00FB32A7">
            <w:pPr>
              <w:spacing w:before="20" w:after="20" w:line="240" w:lineRule="auto"/>
              <w:jc w:val="left"/>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Wheat</w:t>
            </w:r>
          </w:p>
        </w:tc>
        <w:tc>
          <w:tcPr>
            <w:tcW w:w="1517" w:type="dxa"/>
            <w:shd w:val="clear" w:color="auto" w:fill="auto"/>
            <w:noWrap/>
            <w:hideMark/>
          </w:tcPr>
          <w:p w14:paraId="3687775D" w14:textId="13EB8935"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3.065</w:t>
            </w:r>
          </w:p>
        </w:tc>
        <w:tc>
          <w:tcPr>
            <w:tcW w:w="1577" w:type="dxa"/>
            <w:shd w:val="clear" w:color="auto" w:fill="auto"/>
            <w:noWrap/>
            <w:hideMark/>
          </w:tcPr>
          <w:p w14:paraId="05FB01C8" w14:textId="4DFB6E86"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9.195</w:t>
            </w:r>
          </w:p>
        </w:tc>
        <w:tc>
          <w:tcPr>
            <w:tcW w:w="1517" w:type="dxa"/>
            <w:shd w:val="clear" w:color="auto" w:fill="auto"/>
            <w:noWrap/>
            <w:hideMark/>
          </w:tcPr>
          <w:p w14:paraId="098004B7" w14:textId="41CBF454"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3.19</w:t>
            </w:r>
          </w:p>
        </w:tc>
        <w:tc>
          <w:tcPr>
            <w:tcW w:w="1577" w:type="dxa"/>
            <w:shd w:val="clear" w:color="auto" w:fill="auto"/>
            <w:noWrap/>
            <w:hideMark/>
          </w:tcPr>
          <w:p w14:paraId="0F4196A8" w14:textId="486918B3"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9.57</w:t>
            </w:r>
          </w:p>
        </w:tc>
      </w:tr>
      <w:tr w:rsidR="00345096" w:rsidRPr="00CF5E1E" w14:paraId="1CAE3CBD" w14:textId="77777777" w:rsidTr="00EB0274">
        <w:trPr>
          <w:trHeight w:val="310"/>
          <w:jc w:val="center"/>
        </w:trPr>
        <w:tc>
          <w:tcPr>
            <w:tcW w:w="2170" w:type="dxa"/>
            <w:shd w:val="clear" w:color="auto" w:fill="B8CCE4"/>
            <w:noWrap/>
            <w:hideMark/>
          </w:tcPr>
          <w:p w14:paraId="693F7D4C" w14:textId="60B7B4F0" w:rsidR="00182D35" w:rsidRPr="00CF5E1E" w:rsidRDefault="00182D35" w:rsidP="00FB32A7">
            <w:pPr>
              <w:spacing w:before="20" w:after="20" w:line="240" w:lineRule="auto"/>
              <w:jc w:val="left"/>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 xml:space="preserve">Other </w:t>
            </w:r>
            <w:r w:rsidR="00EB0274" w:rsidRPr="00CF5E1E">
              <w:rPr>
                <w:rFonts w:asciiTheme="minorHAnsi" w:eastAsia="Times New Roman" w:hAnsiTheme="minorHAnsi" w:cstheme="minorHAnsi"/>
                <w:color w:val="000000"/>
                <w:sz w:val="22"/>
              </w:rPr>
              <w:t>grains</w:t>
            </w:r>
          </w:p>
        </w:tc>
        <w:tc>
          <w:tcPr>
            <w:tcW w:w="1517" w:type="dxa"/>
            <w:shd w:val="clear" w:color="auto" w:fill="auto"/>
            <w:noWrap/>
            <w:hideMark/>
          </w:tcPr>
          <w:p w14:paraId="43B6CEAF" w14:textId="02E5713C"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1.345</w:t>
            </w:r>
          </w:p>
        </w:tc>
        <w:tc>
          <w:tcPr>
            <w:tcW w:w="1577" w:type="dxa"/>
            <w:shd w:val="clear" w:color="auto" w:fill="auto"/>
            <w:noWrap/>
            <w:hideMark/>
          </w:tcPr>
          <w:p w14:paraId="5723F600" w14:textId="3735B4FB"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4.035</w:t>
            </w:r>
          </w:p>
        </w:tc>
        <w:tc>
          <w:tcPr>
            <w:tcW w:w="1517" w:type="dxa"/>
            <w:shd w:val="clear" w:color="auto" w:fill="auto"/>
            <w:noWrap/>
            <w:hideMark/>
          </w:tcPr>
          <w:p w14:paraId="19A14375" w14:textId="226CE524"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3.345</w:t>
            </w:r>
          </w:p>
        </w:tc>
        <w:tc>
          <w:tcPr>
            <w:tcW w:w="1577" w:type="dxa"/>
            <w:shd w:val="clear" w:color="auto" w:fill="auto"/>
            <w:noWrap/>
            <w:hideMark/>
          </w:tcPr>
          <w:p w14:paraId="5AA590BB" w14:textId="469F6C65"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10.035</w:t>
            </w:r>
          </w:p>
        </w:tc>
      </w:tr>
      <w:tr w:rsidR="000440F3" w:rsidRPr="00CF5E1E" w14:paraId="34D0D732" w14:textId="77777777" w:rsidTr="00EB0274">
        <w:trPr>
          <w:trHeight w:val="310"/>
          <w:jc w:val="center"/>
        </w:trPr>
        <w:tc>
          <w:tcPr>
            <w:tcW w:w="8358" w:type="dxa"/>
            <w:gridSpan w:val="5"/>
            <w:shd w:val="clear" w:color="auto" w:fill="B8CCE4"/>
            <w:noWrap/>
            <w:hideMark/>
          </w:tcPr>
          <w:p w14:paraId="0165AE00" w14:textId="11518A25" w:rsidR="000440F3" w:rsidRPr="00CF5E1E" w:rsidRDefault="000440F3" w:rsidP="00FB32A7">
            <w:pPr>
              <w:spacing w:before="20" w:after="20" w:line="240" w:lineRule="auto"/>
              <w:jc w:val="left"/>
              <w:rPr>
                <w:rFonts w:asciiTheme="minorHAnsi" w:eastAsia="Times New Roman" w:hAnsiTheme="minorHAnsi" w:cstheme="minorHAnsi"/>
                <w:b/>
                <w:bCs/>
                <w:color w:val="000000"/>
                <w:sz w:val="22"/>
              </w:rPr>
            </w:pPr>
            <w:r w:rsidRPr="00CF5E1E">
              <w:rPr>
                <w:rFonts w:asciiTheme="minorHAnsi" w:eastAsia="Times New Roman" w:hAnsiTheme="minorHAnsi" w:cstheme="minorHAnsi"/>
                <w:b/>
                <w:bCs/>
                <w:color w:val="000000"/>
                <w:sz w:val="22"/>
              </w:rPr>
              <w:t xml:space="preserve">Energy </w:t>
            </w:r>
            <w:r w:rsidR="00EB0274" w:rsidRPr="00CF5E1E">
              <w:rPr>
                <w:rFonts w:asciiTheme="minorHAnsi" w:eastAsia="Times New Roman" w:hAnsiTheme="minorHAnsi" w:cstheme="minorHAnsi"/>
                <w:b/>
                <w:bCs/>
                <w:color w:val="000000"/>
                <w:sz w:val="22"/>
              </w:rPr>
              <w:t>demand shocks</w:t>
            </w:r>
          </w:p>
        </w:tc>
      </w:tr>
      <w:tr w:rsidR="00345096" w:rsidRPr="00CF5E1E" w14:paraId="05119317" w14:textId="77777777" w:rsidTr="00EB0274">
        <w:trPr>
          <w:trHeight w:val="310"/>
          <w:jc w:val="center"/>
        </w:trPr>
        <w:tc>
          <w:tcPr>
            <w:tcW w:w="2170" w:type="dxa"/>
            <w:shd w:val="clear" w:color="auto" w:fill="B8CCE4"/>
            <w:noWrap/>
            <w:hideMark/>
          </w:tcPr>
          <w:p w14:paraId="4ADC5E8C" w14:textId="77777777" w:rsidR="00182D35" w:rsidRPr="00CF5E1E" w:rsidRDefault="00182D35" w:rsidP="00FB32A7">
            <w:pPr>
              <w:spacing w:before="20" w:after="20" w:line="240" w:lineRule="auto"/>
              <w:jc w:val="left"/>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 xml:space="preserve">Electricity </w:t>
            </w:r>
          </w:p>
        </w:tc>
        <w:tc>
          <w:tcPr>
            <w:tcW w:w="1517" w:type="dxa"/>
            <w:shd w:val="clear" w:color="auto" w:fill="auto"/>
            <w:noWrap/>
            <w:hideMark/>
          </w:tcPr>
          <w:p w14:paraId="03240DD9" w14:textId="6D0E421E"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0.05</w:t>
            </w:r>
          </w:p>
        </w:tc>
        <w:tc>
          <w:tcPr>
            <w:tcW w:w="1577" w:type="dxa"/>
            <w:shd w:val="clear" w:color="auto" w:fill="auto"/>
            <w:noWrap/>
            <w:hideMark/>
          </w:tcPr>
          <w:p w14:paraId="1933E5B2" w14:textId="570B7A86"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0.15</w:t>
            </w:r>
          </w:p>
        </w:tc>
        <w:tc>
          <w:tcPr>
            <w:tcW w:w="1517" w:type="dxa"/>
            <w:shd w:val="clear" w:color="auto" w:fill="auto"/>
            <w:noWrap/>
            <w:hideMark/>
          </w:tcPr>
          <w:p w14:paraId="76FFA96A" w14:textId="6E6849CF"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0.09</w:t>
            </w:r>
          </w:p>
        </w:tc>
        <w:tc>
          <w:tcPr>
            <w:tcW w:w="1577" w:type="dxa"/>
            <w:shd w:val="clear" w:color="auto" w:fill="auto"/>
            <w:noWrap/>
            <w:hideMark/>
          </w:tcPr>
          <w:p w14:paraId="491350DA" w14:textId="31E46FF4"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0.27</w:t>
            </w:r>
          </w:p>
        </w:tc>
      </w:tr>
      <w:tr w:rsidR="00345096" w:rsidRPr="00CF5E1E" w14:paraId="69C035E3" w14:textId="77777777" w:rsidTr="00EB0274">
        <w:trPr>
          <w:trHeight w:val="310"/>
          <w:jc w:val="center"/>
        </w:trPr>
        <w:tc>
          <w:tcPr>
            <w:tcW w:w="2170" w:type="dxa"/>
            <w:shd w:val="clear" w:color="auto" w:fill="B8CCE4"/>
            <w:noWrap/>
            <w:hideMark/>
          </w:tcPr>
          <w:p w14:paraId="0E448F4F" w14:textId="77777777" w:rsidR="00182D35" w:rsidRPr="00CF5E1E" w:rsidRDefault="00182D35" w:rsidP="00FB32A7">
            <w:pPr>
              <w:spacing w:before="20" w:after="20" w:line="240" w:lineRule="auto"/>
              <w:jc w:val="left"/>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 xml:space="preserve">Gas </w:t>
            </w:r>
          </w:p>
        </w:tc>
        <w:tc>
          <w:tcPr>
            <w:tcW w:w="1517" w:type="dxa"/>
            <w:shd w:val="clear" w:color="auto" w:fill="auto"/>
            <w:noWrap/>
            <w:hideMark/>
          </w:tcPr>
          <w:p w14:paraId="773A74C8" w14:textId="23A7B0E5"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0.05</w:t>
            </w:r>
          </w:p>
        </w:tc>
        <w:tc>
          <w:tcPr>
            <w:tcW w:w="1577" w:type="dxa"/>
            <w:shd w:val="clear" w:color="auto" w:fill="auto"/>
            <w:noWrap/>
            <w:hideMark/>
          </w:tcPr>
          <w:p w14:paraId="189F0782" w14:textId="7339FF14"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0.15</w:t>
            </w:r>
          </w:p>
        </w:tc>
        <w:tc>
          <w:tcPr>
            <w:tcW w:w="1517" w:type="dxa"/>
            <w:shd w:val="clear" w:color="auto" w:fill="auto"/>
            <w:noWrap/>
            <w:hideMark/>
          </w:tcPr>
          <w:p w14:paraId="27EFBA9A" w14:textId="12FBA3D2"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0.08</w:t>
            </w:r>
          </w:p>
        </w:tc>
        <w:tc>
          <w:tcPr>
            <w:tcW w:w="1577" w:type="dxa"/>
            <w:shd w:val="clear" w:color="auto" w:fill="auto"/>
            <w:noWrap/>
            <w:hideMark/>
          </w:tcPr>
          <w:p w14:paraId="32D67E83" w14:textId="5AC86503"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0.24</w:t>
            </w:r>
          </w:p>
        </w:tc>
      </w:tr>
      <w:tr w:rsidR="00345096" w:rsidRPr="00CF5E1E" w14:paraId="2CFA07FC" w14:textId="77777777" w:rsidTr="00EB0274">
        <w:trPr>
          <w:trHeight w:val="310"/>
          <w:jc w:val="center"/>
        </w:trPr>
        <w:tc>
          <w:tcPr>
            <w:tcW w:w="2170" w:type="dxa"/>
            <w:shd w:val="clear" w:color="auto" w:fill="B8CCE4"/>
            <w:noWrap/>
            <w:hideMark/>
          </w:tcPr>
          <w:p w14:paraId="0DE03E8D" w14:textId="7877690E" w:rsidR="00182D35" w:rsidRPr="00CF5E1E" w:rsidRDefault="00182D35" w:rsidP="00FB32A7">
            <w:pPr>
              <w:spacing w:before="20" w:after="20" w:line="240" w:lineRule="auto"/>
              <w:jc w:val="left"/>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Petroleum products</w:t>
            </w:r>
            <w:r w:rsidR="00CB62AC" w:rsidRPr="00CF5E1E">
              <w:rPr>
                <w:rFonts w:asciiTheme="minorHAnsi" w:eastAsia="Times New Roman" w:hAnsiTheme="minorHAnsi" w:cstheme="minorHAnsi"/>
                <w:color w:val="000000"/>
                <w:sz w:val="22"/>
              </w:rPr>
              <w:t xml:space="preserve"> </w:t>
            </w:r>
          </w:p>
        </w:tc>
        <w:tc>
          <w:tcPr>
            <w:tcW w:w="1517" w:type="dxa"/>
            <w:shd w:val="clear" w:color="auto" w:fill="auto"/>
            <w:noWrap/>
            <w:hideMark/>
          </w:tcPr>
          <w:p w14:paraId="6ECC6F14" w14:textId="54D806FF"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5.15</w:t>
            </w:r>
          </w:p>
        </w:tc>
        <w:tc>
          <w:tcPr>
            <w:tcW w:w="1577" w:type="dxa"/>
            <w:shd w:val="clear" w:color="auto" w:fill="auto"/>
            <w:noWrap/>
            <w:hideMark/>
          </w:tcPr>
          <w:p w14:paraId="33CE3386" w14:textId="7E91357B"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15.45</w:t>
            </w:r>
          </w:p>
        </w:tc>
        <w:tc>
          <w:tcPr>
            <w:tcW w:w="1517" w:type="dxa"/>
            <w:shd w:val="clear" w:color="auto" w:fill="auto"/>
            <w:noWrap/>
            <w:hideMark/>
          </w:tcPr>
          <w:p w14:paraId="089B6CD5" w14:textId="23BDAF83"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9.93</w:t>
            </w:r>
          </w:p>
        </w:tc>
        <w:tc>
          <w:tcPr>
            <w:tcW w:w="1577" w:type="dxa"/>
            <w:shd w:val="clear" w:color="auto" w:fill="auto"/>
            <w:noWrap/>
            <w:hideMark/>
          </w:tcPr>
          <w:p w14:paraId="4DAACFFD" w14:textId="3F0309EF" w:rsidR="00182D35" w:rsidRPr="00CF5E1E" w:rsidRDefault="00EB0274"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29.79</w:t>
            </w:r>
          </w:p>
        </w:tc>
      </w:tr>
      <w:tr w:rsidR="000440F3" w:rsidRPr="00CF5E1E" w14:paraId="6F1CC485" w14:textId="77777777" w:rsidTr="00EB0274">
        <w:trPr>
          <w:trHeight w:val="310"/>
          <w:jc w:val="center"/>
        </w:trPr>
        <w:tc>
          <w:tcPr>
            <w:tcW w:w="8358" w:type="dxa"/>
            <w:gridSpan w:val="5"/>
            <w:shd w:val="clear" w:color="auto" w:fill="B8CCE4"/>
            <w:noWrap/>
            <w:hideMark/>
          </w:tcPr>
          <w:p w14:paraId="145A813D" w14:textId="227345CE" w:rsidR="000440F3" w:rsidRPr="00CF5E1E" w:rsidRDefault="00C365E7" w:rsidP="00FB32A7">
            <w:pPr>
              <w:spacing w:before="20" w:after="20" w:line="240" w:lineRule="auto"/>
              <w:jc w:val="left"/>
              <w:rPr>
                <w:rFonts w:asciiTheme="minorHAnsi" w:eastAsia="Times New Roman" w:hAnsiTheme="minorHAnsi" w:cstheme="minorHAnsi"/>
                <w:b/>
                <w:bCs/>
                <w:color w:val="000000"/>
                <w:sz w:val="22"/>
              </w:rPr>
            </w:pPr>
            <w:r w:rsidRPr="00CF5E1E">
              <w:rPr>
                <w:rFonts w:asciiTheme="minorHAnsi" w:eastAsia="Times New Roman" w:hAnsiTheme="minorHAnsi" w:cstheme="minorHAnsi"/>
                <w:b/>
                <w:bCs/>
                <w:color w:val="000000"/>
                <w:sz w:val="22"/>
              </w:rPr>
              <w:t>SLR</w:t>
            </w:r>
            <w:r w:rsidR="00EB0274" w:rsidRPr="00CF5E1E">
              <w:rPr>
                <w:rFonts w:asciiTheme="minorHAnsi" w:eastAsia="Times New Roman" w:hAnsiTheme="minorHAnsi" w:cstheme="minorHAnsi"/>
                <w:b/>
                <w:bCs/>
                <w:color w:val="000000"/>
                <w:sz w:val="22"/>
              </w:rPr>
              <w:t xml:space="preserve"> </w:t>
            </w:r>
            <w:r w:rsidR="000440F3" w:rsidRPr="00CF5E1E">
              <w:rPr>
                <w:rFonts w:asciiTheme="minorHAnsi" w:eastAsia="Times New Roman" w:hAnsiTheme="minorHAnsi" w:cstheme="minorHAnsi"/>
                <w:b/>
                <w:bCs/>
                <w:color w:val="000000"/>
                <w:sz w:val="22"/>
              </w:rPr>
              <w:t>shocks</w:t>
            </w:r>
          </w:p>
        </w:tc>
      </w:tr>
      <w:tr w:rsidR="00345096" w:rsidRPr="00CF5E1E" w14:paraId="0F84EBA6" w14:textId="77777777" w:rsidTr="00EB0274">
        <w:trPr>
          <w:trHeight w:val="310"/>
          <w:jc w:val="center"/>
        </w:trPr>
        <w:tc>
          <w:tcPr>
            <w:tcW w:w="2170" w:type="dxa"/>
            <w:shd w:val="clear" w:color="auto" w:fill="B8CCE4"/>
            <w:noWrap/>
            <w:hideMark/>
          </w:tcPr>
          <w:p w14:paraId="3DAC0778" w14:textId="77777777" w:rsidR="00182D35" w:rsidRPr="00CF5E1E" w:rsidRDefault="00182D35" w:rsidP="00FB32A7">
            <w:pPr>
              <w:spacing w:before="20" w:after="20" w:line="240" w:lineRule="auto"/>
              <w:jc w:val="left"/>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 xml:space="preserve">Land </w:t>
            </w:r>
          </w:p>
        </w:tc>
        <w:tc>
          <w:tcPr>
            <w:tcW w:w="1517" w:type="dxa"/>
            <w:shd w:val="clear" w:color="auto" w:fill="auto"/>
            <w:noWrap/>
            <w:hideMark/>
          </w:tcPr>
          <w:p w14:paraId="0BA768D4" w14:textId="3B49A7A8" w:rsidR="00182D35" w:rsidRPr="00CF5E1E" w:rsidRDefault="003405D0"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0.0002</w:t>
            </w:r>
          </w:p>
        </w:tc>
        <w:tc>
          <w:tcPr>
            <w:tcW w:w="1577" w:type="dxa"/>
            <w:shd w:val="clear" w:color="auto" w:fill="auto"/>
            <w:noWrap/>
            <w:hideMark/>
          </w:tcPr>
          <w:p w14:paraId="306D4583" w14:textId="13B1BE3D" w:rsidR="00182D35" w:rsidRPr="00CF5E1E" w:rsidRDefault="003405D0"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0.0006</w:t>
            </w:r>
          </w:p>
        </w:tc>
        <w:tc>
          <w:tcPr>
            <w:tcW w:w="1517" w:type="dxa"/>
            <w:shd w:val="clear" w:color="auto" w:fill="auto"/>
            <w:noWrap/>
            <w:hideMark/>
          </w:tcPr>
          <w:p w14:paraId="6B108AC7" w14:textId="24DBD459" w:rsidR="00182D35" w:rsidRPr="00CF5E1E" w:rsidRDefault="003405D0"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0.00037</w:t>
            </w:r>
          </w:p>
        </w:tc>
        <w:tc>
          <w:tcPr>
            <w:tcW w:w="1577" w:type="dxa"/>
            <w:shd w:val="clear" w:color="auto" w:fill="auto"/>
            <w:noWrap/>
            <w:hideMark/>
          </w:tcPr>
          <w:p w14:paraId="74A8EC7A" w14:textId="206E17ED" w:rsidR="00182D35" w:rsidRPr="00CF5E1E" w:rsidRDefault="003405D0"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0.00111</w:t>
            </w:r>
          </w:p>
        </w:tc>
      </w:tr>
      <w:tr w:rsidR="00345096" w:rsidRPr="00CF5E1E" w14:paraId="1531095E" w14:textId="77777777" w:rsidTr="00EB0274">
        <w:trPr>
          <w:trHeight w:val="310"/>
          <w:jc w:val="center"/>
        </w:trPr>
        <w:tc>
          <w:tcPr>
            <w:tcW w:w="2170" w:type="dxa"/>
            <w:shd w:val="clear" w:color="auto" w:fill="B8CCE4"/>
            <w:noWrap/>
            <w:hideMark/>
          </w:tcPr>
          <w:p w14:paraId="7951055C" w14:textId="77777777" w:rsidR="00182D35" w:rsidRPr="00CF5E1E" w:rsidRDefault="00182D35" w:rsidP="00FB32A7">
            <w:pPr>
              <w:spacing w:before="20" w:after="20" w:line="240" w:lineRule="auto"/>
              <w:jc w:val="left"/>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 xml:space="preserve">Capital </w:t>
            </w:r>
          </w:p>
        </w:tc>
        <w:tc>
          <w:tcPr>
            <w:tcW w:w="1517" w:type="dxa"/>
            <w:shd w:val="clear" w:color="auto" w:fill="auto"/>
            <w:noWrap/>
            <w:hideMark/>
          </w:tcPr>
          <w:p w14:paraId="34479442" w14:textId="3A989E6A" w:rsidR="00182D35" w:rsidRPr="00CF5E1E" w:rsidRDefault="003405D0"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0.0002</w:t>
            </w:r>
          </w:p>
        </w:tc>
        <w:tc>
          <w:tcPr>
            <w:tcW w:w="1577" w:type="dxa"/>
            <w:shd w:val="clear" w:color="auto" w:fill="auto"/>
            <w:noWrap/>
            <w:hideMark/>
          </w:tcPr>
          <w:p w14:paraId="390F68F1" w14:textId="0C020EA5" w:rsidR="00182D35" w:rsidRPr="00CF5E1E" w:rsidRDefault="003405D0"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0.0006</w:t>
            </w:r>
          </w:p>
        </w:tc>
        <w:tc>
          <w:tcPr>
            <w:tcW w:w="1517" w:type="dxa"/>
            <w:shd w:val="clear" w:color="auto" w:fill="auto"/>
            <w:noWrap/>
            <w:hideMark/>
          </w:tcPr>
          <w:p w14:paraId="1F39AB89" w14:textId="45F88404" w:rsidR="00182D35" w:rsidRPr="00CF5E1E" w:rsidRDefault="003405D0"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0.00037</w:t>
            </w:r>
          </w:p>
        </w:tc>
        <w:tc>
          <w:tcPr>
            <w:tcW w:w="1577" w:type="dxa"/>
            <w:shd w:val="clear" w:color="auto" w:fill="auto"/>
            <w:noWrap/>
            <w:hideMark/>
          </w:tcPr>
          <w:p w14:paraId="02767347" w14:textId="69ED7082" w:rsidR="00182D35" w:rsidRPr="00CF5E1E" w:rsidRDefault="003405D0"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w:t>
            </w:r>
            <w:r w:rsidR="00182D35" w:rsidRPr="00CF5E1E">
              <w:rPr>
                <w:rFonts w:asciiTheme="minorHAnsi" w:eastAsia="Times New Roman" w:hAnsiTheme="minorHAnsi" w:cstheme="minorHAnsi"/>
                <w:color w:val="000000"/>
                <w:sz w:val="22"/>
              </w:rPr>
              <w:t>0.00111</w:t>
            </w:r>
          </w:p>
        </w:tc>
      </w:tr>
      <w:tr w:rsidR="000440F3" w:rsidRPr="00CF5E1E" w14:paraId="2B54E82C" w14:textId="77777777" w:rsidTr="00EB0274">
        <w:trPr>
          <w:trHeight w:val="310"/>
          <w:jc w:val="center"/>
        </w:trPr>
        <w:tc>
          <w:tcPr>
            <w:tcW w:w="8358" w:type="dxa"/>
            <w:gridSpan w:val="5"/>
            <w:shd w:val="clear" w:color="auto" w:fill="B8CCE4"/>
            <w:noWrap/>
            <w:hideMark/>
          </w:tcPr>
          <w:p w14:paraId="3306EA3D" w14:textId="33662D92" w:rsidR="000440F3" w:rsidRPr="00CF5E1E" w:rsidRDefault="000440F3" w:rsidP="00FB32A7">
            <w:pPr>
              <w:spacing w:before="20" w:after="20" w:line="240" w:lineRule="auto"/>
              <w:jc w:val="left"/>
              <w:rPr>
                <w:rFonts w:asciiTheme="minorHAnsi" w:eastAsia="Times New Roman" w:hAnsiTheme="minorHAnsi" w:cstheme="minorHAnsi"/>
                <w:b/>
                <w:bCs/>
                <w:color w:val="000000"/>
                <w:sz w:val="22"/>
              </w:rPr>
            </w:pPr>
            <w:r w:rsidRPr="00CF5E1E">
              <w:rPr>
                <w:rFonts w:asciiTheme="minorHAnsi" w:eastAsia="Times New Roman" w:hAnsiTheme="minorHAnsi" w:cstheme="minorHAnsi"/>
                <w:b/>
                <w:bCs/>
                <w:color w:val="000000"/>
                <w:sz w:val="22"/>
              </w:rPr>
              <w:t xml:space="preserve">Tourism </w:t>
            </w:r>
            <w:r w:rsidR="00EB0274" w:rsidRPr="00CF5E1E">
              <w:rPr>
                <w:rFonts w:asciiTheme="minorHAnsi" w:eastAsia="Times New Roman" w:hAnsiTheme="minorHAnsi" w:cstheme="minorHAnsi"/>
                <w:b/>
                <w:bCs/>
                <w:color w:val="000000"/>
                <w:sz w:val="22"/>
              </w:rPr>
              <w:t>shocks</w:t>
            </w:r>
          </w:p>
        </w:tc>
      </w:tr>
      <w:tr w:rsidR="00345096" w:rsidRPr="00CF5E1E" w14:paraId="16AB6726" w14:textId="77777777" w:rsidTr="00EB0274">
        <w:trPr>
          <w:trHeight w:val="310"/>
          <w:jc w:val="center"/>
        </w:trPr>
        <w:tc>
          <w:tcPr>
            <w:tcW w:w="2170" w:type="dxa"/>
            <w:shd w:val="clear" w:color="auto" w:fill="B8CCE4"/>
            <w:noWrap/>
            <w:hideMark/>
          </w:tcPr>
          <w:p w14:paraId="735BBACB" w14:textId="4384C390" w:rsidR="00182D35" w:rsidRPr="00CF5E1E" w:rsidRDefault="00A03997" w:rsidP="00FB32A7">
            <w:pPr>
              <w:spacing w:before="20" w:after="20" w:line="240" w:lineRule="auto"/>
              <w:jc w:val="left"/>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Demand for h</w:t>
            </w:r>
            <w:r w:rsidR="00182D35" w:rsidRPr="00CF5E1E">
              <w:rPr>
                <w:rFonts w:asciiTheme="minorHAnsi" w:eastAsia="Times New Roman" w:hAnsiTheme="minorHAnsi" w:cstheme="minorHAnsi"/>
                <w:color w:val="000000"/>
                <w:sz w:val="22"/>
              </w:rPr>
              <w:t xml:space="preserve">otel and </w:t>
            </w:r>
            <w:r w:rsidRPr="00CF5E1E">
              <w:rPr>
                <w:rFonts w:asciiTheme="minorHAnsi" w:eastAsia="Times New Roman" w:hAnsiTheme="minorHAnsi" w:cstheme="minorHAnsi"/>
                <w:color w:val="000000"/>
                <w:sz w:val="22"/>
              </w:rPr>
              <w:t xml:space="preserve">tourism </w:t>
            </w:r>
            <w:r w:rsidR="00182D35" w:rsidRPr="00CF5E1E">
              <w:rPr>
                <w:rFonts w:asciiTheme="minorHAnsi" w:eastAsia="Times New Roman" w:hAnsiTheme="minorHAnsi" w:cstheme="minorHAnsi"/>
                <w:color w:val="000000"/>
                <w:sz w:val="22"/>
              </w:rPr>
              <w:t>service</w:t>
            </w:r>
            <w:r w:rsidRPr="00CF5E1E">
              <w:rPr>
                <w:rFonts w:asciiTheme="minorHAnsi" w:eastAsia="Times New Roman" w:hAnsiTheme="minorHAnsi" w:cstheme="minorHAnsi"/>
                <w:color w:val="000000"/>
                <w:sz w:val="22"/>
              </w:rPr>
              <w:t>s</w:t>
            </w:r>
            <w:r w:rsidR="00CB62AC" w:rsidRPr="00CF5E1E">
              <w:rPr>
                <w:rFonts w:asciiTheme="minorHAnsi" w:eastAsia="Times New Roman" w:hAnsiTheme="minorHAnsi" w:cstheme="minorHAnsi"/>
                <w:color w:val="000000"/>
                <w:sz w:val="22"/>
              </w:rPr>
              <w:t xml:space="preserve"> </w:t>
            </w:r>
          </w:p>
        </w:tc>
        <w:tc>
          <w:tcPr>
            <w:tcW w:w="1517" w:type="dxa"/>
            <w:shd w:val="clear" w:color="auto" w:fill="auto"/>
            <w:noWrap/>
            <w:hideMark/>
          </w:tcPr>
          <w:p w14:paraId="211A03A5" w14:textId="77777777" w:rsidR="00182D35" w:rsidRPr="00CF5E1E" w:rsidRDefault="00182D35"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0.178</w:t>
            </w:r>
          </w:p>
        </w:tc>
        <w:tc>
          <w:tcPr>
            <w:tcW w:w="1577" w:type="dxa"/>
            <w:shd w:val="clear" w:color="auto" w:fill="auto"/>
            <w:noWrap/>
            <w:hideMark/>
          </w:tcPr>
          <w:p w14:paraId="7E0A9B31" w14:textId="77777777" w:rsidR="00182D35" w:rsidRPr="00CF5E1E" w:rsidRDefault="00182D35"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0.534</w:t>
            </w:r>
          </w:p>
        </w:tc>
        <w:tc>
          <w:tcPr>
            <w:tcW w:w="1517" w:type="dxa"/>
            <w:shd w:val="clear" w:color="auto" w:fill="auto"/>
            <w:noWrap/>
            <w:hideMark/>
          </w:tcPr>
          <w:p w14:paraId="77F0A73A" w14:textId="77777777" w:rsidR="00182D35" w:rsidRPr="00CF5E1E" w:rsidRDefault="00182D35"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0.356</w:t>
            </w:r>
          </w:p>
        </w:tc>
        <w:tc>
          <w:tcPr>
            <w:tcW w:w="1577" w:type="dxa"/>
            <w:shd w:val="clear" w:color="auto" w:fill="auto"/>
            <w:noWrap/>
            <w:hideMark/>
          </w:tcPr>
          <w:p w14:paraId="664C42CC" w14:textId="77777777" w:rsidR="00182D35" w:rsidRPr="00CF5E1E" w:rsidRDefault="00182D35" w:rsidP="00FB32A7">
            <w:pPr>
              <w:spacing w:before="20" w:after="20" w:line="240" w:lineRule="auto"/>
              <w:jc w:val="center"/>
              <w:rPr>
                <w:rFonts w:asciiTheme="minorHAnsi" w:eastAsia="Times New Roman" w:hAnsiTheme="minorHAnsi" w:cstheme="minorHAnsi"/>
                <w:color w:val="000000"/>
                <w:sz w:val="22"/>
              </w:rPr>
            </w:pPr>
            <w:r w:rsidRPr="00CF5E1E">
              <w:rPr>
                <w:rFonts w:asciiTheme="minorHAnsi" w:eastAsia="Times New Roman" w:hAnsiTheme="minorHAnsi" w:cstheme="minorHAnsi"/>
                <w:color w:val="000000"/>
                <w:sz w:val="22"/>
              </w:rPr>
              <w:t>1.068</w:t>
            </w:r>
          </w:p>
        </w:tc>
      </w:tr>
    </w:tbl>
    <w:p w14:paraId="419E91F5" w14:textId="4F1BCEEE" w:rsidR="00DE1C78" w:rsidRPr="001C3EDC" w:rsidRDefault="00DE1C78" w:rsidP="00166A66">
      <w:pPr>
        <w:pStyle w:val="BodyText"/>
        <w:tabs>
          <w:tab w:val="left" w:pos="720"/>
        </w:tabs>
        <w:spacing w:before="200"/>
        <w:ind w:left="0" w:firstLine="0"/>
        <w:rPr>
          <w:rFonts w:eastAsiaTheme="minorHAnsi"/>
          <w:lang w:eastAsia="en-US"/>
        </w:rPr>
      </w:pPr>
      <w:r w:rsidRPr="001C3EDC">
        <w:rPr>
          <w:rFonts w:eastAsiaTheme="minorHAnsi"/>
          <w:lang w:eastAsia="en-US"/>
        </w:rPr>
        <w:t>This analytical framework developed for Bulgaria integrate</w:t>
      </w:r>
      <w:r w:rsidR="00F47251" w:rsidRPr="001C3EDC">
        <w:rPr>
          <w:rFonts w:eastAsiaTheme="minorHAnsi"/>
          <w:lang w:eastAsia="en-US"/>
        </w:rPr>
        <w:t>d</w:t>
      </w:r>
      <w:r w:rsidRPr="001C3EDC">
        <w:rPr>
          <w:rFonts w:eastAsiaTheme="minorHAnsi"/>
          <w:lang w:eastAsia="en-US"/>
        </w:rPr>
        <w:t xml:space="preserve"> </w:t>
      </w:r>
      <w:r w:rsidR="00F47251" w:rsidRPr="001C3EDC">
        <w:rPr>
          <w:rFonts w:eastAsiaTheme="minorHAnsi"/>
          <w:lang w:eastAsia="en-US"/>
        </w:rPr>
        <w:t xml:space="preserve">a </w:t>
      </w:r>
      <w:r w:rsidRPr="001C3EDC">
        <w:rPr>
          <w:rFonts w:eastAsiaTheme="minorHAnsi"/>
          <w:lang w:eastAsia="en-US"/>
        </w:rPr>
        <w:t xml:space="preserve">socioeconomic </w:t>
      </w:r>
      <w:r w:rsidR="00F47251" w:rsidRPr="001C3EDC">
        <w:rPr>
          <w:rFonts w:eastAsiaTheme="minorHAnsi"/>
          <w:lang w:eastAsia="en-US"/>
        </w:rPr>
        <w:t xml:space="preserve">approach </w:t>
      </w:r>
      <w:r w:rsidRPr="001C3EDC">
        <w:rPr>
          <w:rFonts w:eastAsiaTheme="minorHAnsi"/>
          <w:lang w:eastAsia="en-US"/>
        </w:rPr>
        <w:t xml:space="preserve">with </w:t>
      </w:r>
      <w:r w:rsidR="00F47251" w:rsidRPr="001C3EDC">
        <w:rPr>
          <w:rFonts w:eastAsiaTheme="minorHAnsi"/>
          <w:lang w:eastAsia="en-US"/>
        </w:rPr>
        <w:t xml:space="preserve">the </w:t>
      </w:r>
      <w:r w:rsidRPr="001C3EDC">
        <w:rPr>
          <w:rFonts w:eastAsiaTheme="minorHAnsi"/>
          <w:lang w:eastAsia="en-US"/>
        </w:rPr>
        <w:t>state</w:t>
      </w:r>
      <w:r w:rsidR="001837B6" w:rsidRPr="001C3EDC">
        <w:rPr>
          <w:rFonts w:eastAsiaTheme="minorHAnsi"/>
          <w:lang w:eastAsia="en-US"/>
        </w:rPr>
        <w:t>-</w:t>
      </w:r>
      <w:r w:rsidRPr="001C3EDC">
        <w:rPr>
          <w:rFonts w:eastAsiaTheme="minorHAnsi"/>
          <w:lang w:eastAsia="en-US"/>
        </w:rPr>
        <w:t>of</w:t>
      </w:r>
      <w:r w:rsidR="001837B6" w:rsidRPr="001C3EDC">
        <w:rPr>
          <w:rFonts w:eastAsiaTheme="minorHAnsi"/>
          <w:lang w:eastAsia="en-US"/>
        </w:rPr>
        <w:t>-</w:t>
      </w:r>
      <w:r w:rsidRPr="001C3EDC">
        <w:rPr>
          <w:rFonts w:eastAsiaTheme="minorHAnsi"/>
          <w:lang w:eastAsia="en-US"/>
        </w:rPr>
        <w:t>art climate and land/water use models.</w:t>
      </w:r>
      <w:r w:rsidR="00CB62AC" w:rsidRPr="001C3EDC">
        <w:rPr>
          <w:rFonts w:eastAsiaTheme="minorHAnsi"/>
          <w:lang w:eastAsia="en-US"/>
        </w:rPr>
        <w:t xml:space="preserve"> </w:t>
      </w:r>
      <w:r w:rsidRPr="001C3EDC">
        <w:rPr>
          <w:rFonts w:eastAsiaTheme="minorHAnsi"/>
          <w:lang w:eastAsia="en-US"/>
        </w:rPr>
        <w:t>However, the extent of the analysis is still limited by the frontiers of climate science.</w:t>
      </w:r>
      <w:r w:rsidR="00CB62AC" w:rsidRPr="001C3EDC">
        <w:rPr>
          <w:rFonts w:eastAsiaTheme="minorHAnsi"/>
          <w:lang w:eastAsia="en-US"/>
        </w:rPr>
        <w:t xml:space="preserve"> </w:t>
      </w:r>
      <w:r w:rsidRPr="001C3EDC">
        <w:rPr>
          <w:rFonts w:eastAsiaTheme="minorHAnsi"/>
          <w:lang w:eastAsia="en-US"/>
        </w:rPr>
        <w:t xml:space="preserve">The projections about direct or indirect impacts </w:t>
      </w:r>
      <w:r w:rsidR="00692F53" w:rsidRPr="001C3EDC">
        <w:rPr>
          <w:rFonts w:eastAsiaTheme="minorHAnsi"/>
          <w:lang w:eastAsia="en-US"/>
        </w:rPr>
        <w:t>of</w:t>
      </w:r>
      <w:r w:rsidRPr="001C3EDC">
        <w:rPr>
          <w:rFonts w:eastAsiaTheme="minorHAnsi"/>
          <w:lang w:eastAsia="en-US"/>
        </w:rPr>
        <w:t xml:space="preserve"> climate change on a broad range of economic activities are still incomplete.</w:t>
      </w:r>
      <w:r w:rsidR="00CB62AC" w:rsidRPr="001C3EDC">
        <w:rPr>
          <w:rFonts w:eastAsiaTheme="minorHAnsi"/>
          <w:lang w:eastAsia="en-US"/>
        </w:rPr>
        <w:t xml:space="preserve"> </w:t>
      </w:r>
      <w:r w:rsidRPr="001C3EDC">
        <w:rPr>
          <w:rFonts w:eastAsiaTheme="minorHAnsi"/>
          <w:lang w:eastAsia="en-US"/>
        </w:rPr>
        <w:t xml:space="preserve">For example, the current analysis does not consider the nonmarket impacts of climate change such as changes in species </w:t>
      </w:r>
      <w:r w:rsidRPr="001C3EDC">
        <w:t>distributions</w:t>
      </w:r>
      <w:r w:rsidRPr="001C3EDC">
        <w:rPr>
          <w:rFonts w:eastAsiaTheme="minorHAnsi"/>
          <w:lang w:eastAsia="en-US"/>
        </w:rPr>
        <w:t>, reductions in biodiversity, or losses of ecosystem goods and services.</w:t>
      </w:r>
      <w:r w:rsidR="00CB62AC" w:rsidRPr="001C3EDC">
        <w:rPr>
          <w:rFonts w:eastAsiaTheme="minorHAnsi"/>
          <w:lang w:eastAsia="en-US"/>
        </w:rPr>
        <w:t xml:space="preserve"> </w:t>
      </w:r>
      <w:r w:rsidRPr="001C3EDC">
        <w:rPr>
          <w:rFonts w:eastAsiaTheme="minorHAnsi"/>
          <w:lang w:eastAsia="en-US"/>
        </w:rPr>
        <w:t xml:space="preserve">Regarding agriculture and energy, climate impact assessments are relatively advanced. These are the economic sectors that were the focus on developing the adaptation scenarios for Bulgaria. </w:t>
      </w:r>
    </w:p>
    <w:p w14:paraId="7B523C31" w14:textId="67643813" w:rsidR="00DE1C78" w:rsidRPr="001C3EDC" w:rsidRDefault="00DE1C78" w:rsidP="00CA5CD0">
      <w:pPr>
        <w:pStyle w:val="BodyText"/>
        <w:tabs>
          <w:tab w:val="left" w:pos="720"/>
        </w:tabs>
        <w:ind w:left="0" w:firstLine="0"/>
        <w:rPr>
          <w:rFonts w:eastAsiaTheme="minorHAnsi"/>
          <w:lang w:eastAsia="en-US"/>
        </w:rPr>
      </w:pPr>
      <w:r w:rsidRPr="001C3EDC">
        <w:rPr>
          <w:rFonts w:eastAsiaTheme="minorHAnsi"/>
          <w:lang w:eastAsia="en-US"/>
        </w:rPr>
        <w:t>While integrating socioeconomic and physical models, it is</w:t>
      </w:r>
      <w:r w:rsidR="00F47251" w:rsidRPr="001C3EDC">
        <w:rPr>
          <w:rFonts w:eastAsiaTheme="minorHAnsi"/>
          <w:lang w:eastAsia="en-US"/>
        </w:rPr>
        <w:t>,</w:t>
      </w:r>
      <w:r w:rsidRPr="001C3EDC">
        <w:rPr>
          <w:rFonts w:eastAsiaTheme="minorHAnsi"/>
          <w:lang w:eastAsia="en-US"/>
        </w:rPr>
        <w:t xml:space="preserve"> </w:t>
      </w:r>
      <w:r w:rsidR="00F47251" w:rsidRPr="001C3EDC">
        <w:rPr>
          <w:rFonts w:eastAsiaTheme="minorHAnsi"/>
          <w:lang w:eastAsia="en-US"/>
        </w:rPr>
        <w:t xml:space="preserve">therefore, </w:t>
      </w:r>
      <w:r w:rsidRPr="001C3EDC">
        <w:rPr>
          <w:rFonts w:eastAsiaTheme="minorHAnsi"/>
          <w:lang w:eastAsia="en-US"/>
        </w:rPr>
        <w:t>primordial to address the underlying uncertainties in the climate impact assessments.</w:t>
      </w:r>
      <w:r w:rsidR="00CB62AC" w:rsidRPr="001C3EDC">
        <w:rPr>
          <w:rFonts w:eastAsiaTheme="minorHAnsi"/>
          <w:lang w:eastAsia="en-US"/>
        </w:rPr>
        <w:t xml:space="preserve"> </w:t>
      </w:r>
      <w:r w:rsidRPr="001C3EDC">
        <w:rPr>
          <w:rFonts w:eastAsiaTheme="minorHAnsi"/>
          <w:lang w:eastAsia="en-US"/>
        </w:rPr>
        <w:t xml:space="preserve">To overcome the risk of </w:t>
      </w:r>
      <w:r w:rsidRPr="001C3EDC">
        <w:t>cumulating</w:t>
      </w:r>
      <w:r w:rsidRPr="001C3EDC">
        <w:rPr>
          <w:rFonts w:eastAsiaTheme="minorHAnsi"/>
          <w:lang w:eastAsia="en-US"/>
        </w:rPr>
        <w:t xml:space="preserve"> uncertainties at different estimation levels, the study developed the macroeconomic </w:t>
      </w:r>
      <w:r w:rsidRPr="001C3EDC">
        <w:t>analysis</w:t>
      </w:r>
      <w:r w:rsidRPr="001C3EDC">
        <w:rPr>
          <w:rFonts w:eastAsiaTheme="minorHAnsi"/>
          <w:lang w:eastAsia="en-US"/>
        </w:rPr>
        <w:t xml:space="preserve"> </w:t>
      </w:r>
      <w:r w:rsidR="00395B63" w:rsidRPr="001C3EDC">
        <w:rPr>
          <w:rFonts w:eastAsiaTheme="minorHAnsi"/>
          <w:lang w:eastAsia="en-US"/>
        </w:rPr>
        <w:t>based on</w:t>
      </w:r>
      <w:r w:rsidRPr="001C3EDC">
        <w:rPr>
          <w:rFonts w:eastAsiaTheme="minorHAnsi"/>
          <w:lang w:eastAsia="en-US"/>
        </w:rPr>
        <w:t xml:space="preserve"> two climate scenarios: </w:t>
      </w:r>
      <w:r w:rsidR="00F24F5F" w:rsidRPr="001C3EDC">
        <w:rPr>
          <w:rFonts w:eastAsiaTheme="minorHAnsi"/>
          <w:lang w:eastAsia="en-US"/>
        </w:rPr>
        <w:t xml:space="preserve">optimistic </w:t>
      </w:r>
      <w:r w:rsidRPr="001C3EDC">
        <w:rPr>
          <w:rFonts w:eastAsiaTheme="minorHAnsi"/>
          <w:lang w:eastAsia="en-US"/>
        </w:rPr>
        <w:t>and pessimistic outlooks. Each scenario incorporates different assumptions about the magnitude of climate change by 2050 and about the direction and extent of likely impacts in the market sectors analyzed.</w:t>
      </w:r>
      <w:r w:rsidR="00CB62AC" w:rsidRPr="001C3EDC">
        <w:rPr>
          <w:rFonts w:eastAsiaTheme="minorHAnsi"/>
          <w:lang w:eastAsia="en-US"/>
        </w:rPr>
        <w:t xml:space="preserve"> </w:t>
      </w:r>
      <w:r w:rsidRPr="001C3EDC">
        <w:rPr>
          <w:rFonts w:eastAsiaTheme="minorHAnsi"/>
          <w:lang w:eastAsia="en-US"/>
        </w:rPr>
        <w:t>In scenario development, the optimistic and pessimistic climate outlooks were tested for high and low vulnerability assumptions for each sector (in terms of its sensitivity to climate change and its ability to adapt).</w:t>
      </w:r>
      <w:r w:rsidR="00CB62AC" w:rsidRPr="001C3EDC">
        <w:rPr>
          <w:rFonts w:eastAsiaTheme="minorHAnsi"/>
          <w:lang w:eastAsia="en-US"/>
        </w:rPr>
        <w:t xml:space="preserve"> </w:t>
      </w:r>
    </w:p>
    <w:p w14:paraId="793EBC72" w14:textId="77777777" w:rsidR="00527521" w:rsidRPr="001C3EDC" w:rsidRDefault="00324492" w:rsidP="00166A66">
      <w:pPr>
        <w:pStyle w:val="BodyText"/>
        <w:numPr>
          <w:ilvl w:val="0"/>
          <w:numId w:val="0"/>
        </w:numPr>
        <w:tabs>
          <w:tab w:val="left" w:pos="720"/>
        </w:tabs>
        <w:rPr>
          <w:rFonts w:eastAsiaTheme="minorHAnsi"/>
          <w:lang w:eastAsia="en-US"/>
        </w:rPr>
      </w:pPr>
      <w:r w:rsidRPr="001C3EDC">
        <w:rPr>
          <w:rFonts w:eastAsiaTheme="minorHAnsi"/>
          <w:lang w:eastAsia="en-US"/>
        </w:rPr>
        <w:br w:type="page"/>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27521" w:rsidRPr="001C3EDC" w14:paraId="17A0548C" w14:textId="77777777" w:rsidTr="00F84F84">
        <w:trPr>
          <w:jc w:val="center"/>
        </w:trPr>
        <w:tc>
          <w:tcPr>
            <w:tcW w:w="8545" w:type="dxa"/>
            <w:shd w:val="clear" w:color="auto" w:fill="B8CCE4"/>
          </w:tcPr>
          <w:p w14:paraId="76D04896" w14:textId="427BFC93" w:rsidR="00527521" w:rsidRPr="001C3EDC" w:rsidRDefault="00527521" w:rsidP="00527521">
            <w:pPr>
              <w:pStyle w:val="TablesFigures"/>
              <w:rPr>
                <w:lang w:val="en-US"/>
              </w:rPr>
            </w:pPr>
            <w:bookmarkStart w:id="79" w:name="_Toc511743522"/>
            <w:bookmarkStart w:id="80" w:name="_Toc514272984"/>
            <w:bookmarkStart w:id="81" w:name="_Toc522036526"/>
            <w:bookmarkStart w:id="82" w:name="_Toc510103005"/>
            <w:r w:rsidRPr="001C3EDC">
              <w:rPr>
                <w:lang w:val="en-US"/>
              </w:rPr>
              <w:lastRenderedPageBreak/>
              <w:t xml:space="preserve">Box </w:t>
            </w:r>
            <w:r w:rsidRPr="001C3EDC">
              <w:rPr>
                <w:lang w:val="en-US"/>
              </w:rPr>
              <w:fldChar w:fldCharType="begin"/>
            </w:r>
            <w:r w:rsidRPr="001C3EDC">
              <w:rPr>
                <w:lang w:val="en-US"/>
              </w:rPr>
              <w:instrText xml:space="preserve"> SEQ Box \* ARABIC </w:instrText>
            </w:r>
            <w:r w:rsidRPr="001C3EDC">
              <w:rPr>
                <w:lang w:val="en-US"/>
              </w:rPr>
              <w:fldChar w:fldCharType="separate"/>
            </w:r>
            <w:r w:rsidRPr="001C3EDC">
              <w:rPr>
                <w:noProof/>
                <w:lang w:val="en-US"/>
              </w:rPr>
              <w:t>1</w:t>
            </w:r>
            <w:r w:rsidRPr="001C3EDC">
              <w:rPr>
                <w:lang w:val="en-US"/>
              </w:rPr>
              <w:fldChar w:fldCharType="end"/>
            </w:r>
            <w:r w:rsidRPr="001C3EDC">
              <w:rPr>
                <w:lang w:val="en-US"/>
              </w:rPr>
              <w:t>. Limitations of the CGE approach</w:t>
            </w:r>
            <w:bookmarkEnd w:id="79"/>
            <w:bookmarkEnd w:id="80"/>
            <w:bookmarkEnd w:id="81"/>
          </w:p>
          <w:p w14:paraId="2F7DA757" w14:textId="79750942" w:rsidR="00527521" w:rsidRPr="001C3EDC" w:rsidRDefault="00527521" w:rsidP="00F84F84">
            <w:pPr>
              <w:spacing w:before="40" w:after="40"/>
              <w:rPr>
                <w:rFonts w:asciiTheme="minorHAnsi" w:hAnsiTheme="minorHAnsi" w:cs="Times New Roman"/>
                <w:sz w:val="22"/>
              </w:rPr>
            </w:pPr>
            <w:r w:rsidRPr="001C3EDC">
              <w:rPr>
                <w:rFonts w:asciiTheme="minorHAnsi" w:hAnsiTheme="minorHAnsi" w:cs="Times New Roman"/>
                <w:sz w:val="22"/>
              </w:rPr>
              <w:t>Despite the increase in the use of applied general equilibrium modelling for climate policy analysis over the last few years, the methodology is not without limitations. The main problem stems from the endemic difficulty of combining theory and reality. Applied general equilibrium models need an empirical basis for their calculation. A list of main modelling problems follows.</w:t>
            </w:r>
          </w:p>
          <w:p w14:paraId="20154167" w14:textId="3A7C924C" w:rsidR="00527521" w:rsidRPr="001C3EDC" w:rsidRDefault="00527521" w:rsidP="00527521">
            <w:pPr>
              <w:pStyle w:val="ListParagraph"/>
              <w:numPr>
                <w:ilvl w:val="0"/>
                <w:numId w:val="11"/>
              </w:numPr>
              <w:spacing w:before="40" w:after="40" w:line="259" w:lineRule="auto"/>
              <w:ind w:left="360" w:firstLine="0"/>
              <w:contextualSpacing w:val="0"/>
              <w:rPr>
                <w:rFonts w:asciiTheme="minorHAnsi" w:hAnsiTheme="minorHAnsi" w:cs="Times New Roman"/>
                <w:sz w:val="22"/>
              </w:rPr>
            </w:pPr>
            <w:r w:rsidRPr="001C3EDC">
              <w:rPr>
                <w:rFonts w:asciiTheme="minorHAnsi" w:hAnsiTheme="minorHAnsi" w:cs="Times New Roman"/>
                <w:b/>
                <w:sz w:val="22"/>
              </w:rPr>
              <w:t>The model structure.</w:t>
            </w:r>
            <w:r w:rsidRPr="001C3EDC">
              <w:rPr>
                <w:rFonts w:asciiTheme="minorHAnsi" w:hAnsiTheme="minorHAnsi" w:cs="Times New Roman"/>
                <w:sz w:val="22"/>
              </w:rPr>
              <w:t xml:space="preserve"> Choosing the model’s functional forms, elasticity type, tax treatment, and so on, is the first obstacle the researchers face when modelling a specific economy. As an example, the GTAP model used here applies the same functional forms across households in different regions of the world. How realistic this happens to be for policy work is always debatable.</w:t>
            </w:r>
          </w:p>
          <w:p w14:paraId="6A7AC1C4" w14:textId="68FCA3AD" w:rsidR="00527521" w:rsidRPr="001C3EDC" w:rsidRDefault="00527521" w:rsidP="00527521">
            <w:pPr>
              <w:pStyle w:val="ListParagraph"/>
              <w:numPr>
                <w:ilvl w:val="0"/>
                <w:numId w:val="11"/>
              </w:numPr>
              <w:spacing w:before="40" w:after="40" w:line="259" w:lineRule="auto"/>
              <w:ind w:left="360" w:firstLine="0"/>
              <w:contextualSpacing w:val="0"/>
              <w:rPr>
                <w:rFonts w:asciiTheme="minorHAnsi" w:hAnsiTheme="minorHAnsi" w:cs="Times New Roman"/>
                <w:sz w:val="22"/>
              </w:rPr>
            </w:pPr>
            <w:r w:rsidRPr="001C3EDC">
              <w:rPr>
                <w:rFonts w:asciiTheme="minorHAnsi" w:hAnsiTheme="minorHAnsi" w:cs="Times New Roman"/>
                <w:b/>
                <w:sz w:val="22"/>
              </w:rPr>
              <w:t>Data and parameter values.</w:t>
            </w:r>
            <w:r w:rsidRPr="001C3EDC">
              <w:rPr>
                <w:rFonts w:asciiTheme="minorHAnsi" w:hAnsiTheme="minorHAnsi" w:cs="Times New Roman"/>
                <w:sz w:val="22"/>
              </w:rPr>
              <w:t xml:space="preserve"> CGE models rely on SAM to approximate the workings of an economy. However, the construction of a SAM is by no means a simple exercise. Adding to this complexity is combining SAMs from a wide range of countries to develop a global SAM and a global CGE model which further amplifies the problem. In addition, the different functional forms defined in the model require estimation of parameters. It is not possible to econometrically estimate all these functional parameters and some sort of approximation or expert estimate must be made. This further drives a wedge between reality</w:t>
            </w:r>
            <w:r w:rsidR="006B380C">
              <w:rPr>
                <w:rFonts w:asciiTheme="minorHAnsi" w:hAnsiTheme="minorHAnsi" w:cs="Times New Roman"/>
                <w:sz w:val="22"/>
              </w:rPr>
              <w:t xml:space="preserve"> and the model mentioned above.</w:t>
            </w:r>
          </w:p>
          <w:p w14:paraId="026862A2" w14:textId="3D83C695" w:rsidR="00527521" w:rsidRPr="001C3EDC" w:rsidRDefault="00527521" w:rsidP="00527521">
            <w:pPr>
              <w:pStyle w:val="ListParagraph"/>
              <w:numPr>
                <w:ilvl w:val="0"/>
                <w:numId w:val="11"/>
              </w:numPr>
              <w:spacing w:before="40" w:after="40" w:line="259" w:lineRule="auto"/>
              <w:ind w:left="360" w:firstLine="0"/>
              <w:contextualSpacing w:val="0"/>
              <w:rPr>
                <w:rFonts w:asciiTheme="minorHAnsi" w:hAnsiTheme="minorHAnsi" w:cs="Times New Roman"/>
                <w:sz w:val="22"/>
              </w:rPr>
            </w:pPr>
            <w:r w:rsidRPr="001C3EDC">
              <w:rPr>
                <w:rFonts w:asciiTheme="minorHAnsi" w:hAnsiTheme="minorHAnsi" w:cs="Times New Roman"/>
                <w:b/>
                <w:sz w:val="22"/>
              </w:rPr>
              <w:t>Model verification and validation.</w:t>
            </w:r>
            <w:r w:rsidRPr="001C3EDC">
              <w:rPr>
                <w:rFonts w:asciiTheme="minorHAnsi" w:hAnsiTheme="minorHAnsi" w:cs="Times New Roman"/>
                <w:sz w:val="22"/>
              </w:rPr>
              <w:t xml:space="preserve"> Another important problem associated with this methodology is the lack of statistical tests to confirm the validity of the model specifications. Most general equilibrium models are calibrated from a database for a specific year. For this reason, except for simple tests to analyze the sensitivity of certain parameters included in the model, econometric procedures cannot be use</w:t>
            </w:r>
            <w:r w:rsidR="006B380C">
              <w:rPr>
                <w:rFonts w:asciiTheme="minorHAnsi" w:hAnsiTheme="minorHAnsi" w:cs="Times New Roman"/>
                <w:sz w:val="22"/>
              </w:rPr>
              <w:t>d to test the model’s validity.</w:t>
            </w:r>
          </w:p>
          <w:p w14:paraId="799C9FF0" w14:textId="2EDAFBEA" w:rsidR="00527521" w:rsidRPr="001C3EDC" w:rsidRDefault="00527521" w:rsidP="00527521">
            <w:pPr>
              <w:pStyle w:val="ListParagraph"/>
              <w:numPr>
                <w:ilvl w:val="0"/>
                <w:numId w:val="11"/>
              </w:numPr>
              <w:spacing w:before="40" w:after="40" w:line="259" w:lineRule="auto"/>
              <w:ind w:left="360" w:firstLine="0"/>
              <w:contextualSpacing w:val="0"/>
              <w:rPr>
                <w:rFonts w:asciiTheme="minorHAnsi" w:hAnsiTheme="minorHAnsi" w:cs="Times New Roman"/>
                <w:sz w:val="22"/>
              </w:rPr>
            </w:pPr>
            <w:bookmarkStart w:id="83" w:name="_Hlk513732156"/>
            <w:r w:rsidRPr="001C3EDC">
              <w:rPr>
                <w:rFonts w:asciiTheme="minorHAnsi" w:hAnsiTheme="minorHAnsi" w:cs="Times New Roman"/>
                <w:b/>
                <w:sz w:val="22"/>
              </w:rPr>
              <w:t>Feedback mechanisms and vulnerability.</w:t>
            </w:r>
            <w:r w:rsidRPr="001C3EDC">
              <w:rPr>
                <w:rFonts w:asciiTheme="minorHAnsi" w:hAnsiTheme="minorHAnsi" w:cs="Times New Roman"/>
                <w:sz w:val="22"/>
              </w:rPr>
              <w:t xml:space="preserve"> The impacts of climate change on the society and economy depend largely on the interplay with the new climate as well as on the vulnerability to extreme weather events. The degree of vulnerability is determined by factors such as technical and financial capability, demographic, socioeconomic, and behavioral constraints, and organization of the society. As these factors vary over time, vulnerability should vary as well (Tol and Fankhauser 1998). The model and approach used in this analysis does not explicitly take changing vulnerability into account. Also, because the GTAP model used here is somewhat aggregate in nature (sector and sub regions, time step), there is only limited room for feedback loops and adjustment mechanisms.  Agriculture is among the sectors most vulnerable to climate change in Bulgaria and the model is reasonably well equipped to analyze the link between natural assets such as land and water that are vulnerable to climate change, and primary production factors in agriculture. Based on policy interest and available micro-economic and technical information at sectoral level, the model could be further enhanced to similarly improve the representation of climate vulnerability and adaptation potential in other sectors or to analyze mitigation issues. Those are potential directions for further research.</w:t>
            </w:r>
          </w:p>
          <w:bookmarkEnd w:id="83"/>
          <w:p w14:paraId="71F9CFA8" w14:textId="08B0B826" w:rsidR="00527521" w:rsidRPr="001C3EDC" w:rsidRDefault="00527521" w:rsidP="00527521">
            <w:pPr>
              <w:pStyle w:val="ListParagraph"/>
              <w:numPr>
                <w:ilvl w:val="0"/>
                <w:numId w:val="11"/>
              </w:numPr>
              <w:spacing w:before="40" w:after="40" w:line="259" w:lineRule="auto"/>
              <w:ind w:left="360" w:firstLine="0"/>
              <w:contextualSpacing w:val="0"/>
              <w:rPr>
                <w:rFonts w:asciiTheme="minorHAnsi" w:hAnsiTheme="minorHAnsi"/>
                <w:sz w:val="22"/>
              </w:rPr>
            </w:pPr>
            <w:r w:rsidRPr="001C3EDC">
              <w:rPr>
                <w:rFonts w:asciiTheme="minorHAnsi" w:hAnsiTheme="minorHAnsi" w:cs="Times New Roman"/>
                <w:b/>
                <w:sz w:val="22"/>
              </w:rPr>
              <w:t>To overcome these limitations of the Bulgaria CGE,</w:t>
            </w:r>
            <w:r w:rsidRPr="001C3EDC">
              <w:rPr>
                <w:rFonts w:asciiTheme="minorHAnsi" w:hAnsiTheme="minorHAnsi" w:cs="Times New Roman"/>
                <w:sz w:val="22"/>
              </w:rPr>
              <w:t xml:space="preserve"> climate parameters were borrowed from a global dynamic CGE model developed by Roson and Sartori (2016), with a sensitivity analysis (high and low vulnerability), for two climate change scenarios.</w:t>
            </w:r>
            <w:bookmarkEnd w:id="82"/>
          </w:p>
        </w:tc>
      </w:tr>
    </w:tbl>
    <w:p w14:paraId="1CBC2F81" w14:textId="0D9DC943" w:rsidR="00324492" w:rsidRPr="001C3EDC" w:rsidRDefault="00324492" w:rsidP="00324492">
      <w:pPr>
        <w:pStyle w:val="BodyText"/>
        <w:numPr>
          <w:ilvl w:val="0"/>
          <w:numId w:val="0"/>
        </w:numPr>
        <w:tabs>
          <w:tab w:val="left" w:pos="720"/>
        </w:tabs>
        <w:ind w:left="360" w:hanging="360"/>
        <w:rPr>
          <w:rFonts w:eastAsiaTheme="minorHAnsi"/>
          <w:lang w:eastAsia="en-US"/>
        </w:rPr>
      </w:pPr>
    </w:p>
    <w:p w14:paraId="178F59C9" w14:textId="77777777" w:rsidR="00324492" w:rsidRPr="001C3EDC" w:rsidRDefault="00324492" w:rsidP="00324492">
      <w:pPr>
        <w:pStyle w:val="BodyText"/>
        <w:numPr>
          <w:ilvl w:val="0"/>
          <w:numId w:val="0"/>
        </w:numPr>
        <w:tabs>
          <w:tab w:val="left" w:pos="720"/>
        </w:tabs>
        <w:ind w:left="360" w:hanging="360"/>
        <w:rPr>
          <w:rFonts w:eastAsiaTheme="minorHAnsi"/>
          <w:lang w:eastAsia="en-US"/>
        </w:rPr>
      </w:pPr>
    </w:p>
    <w:p w14:paraId="715CC8B8" w14:textId="693818D0" w:rsidR="00EE0F1B" w:rsidRPr="001C3EDC" w:rsidRDefault="005E4694" w:rsidP="002B6EE2">
      <w:pPr>
        <w:pStyle w:val="Heading1"/>
      </w:pPr>
      <w:bookmarkStart w:id="84" w:name="_Toc510004093"/>
      <w:bookmarkStart w:id="85" w:name="_Toc522036461"/>
      <w:r w:rsidRPr="001C3EDC">
        <w:t xml:space="preserve">3. </w:t>
      </w:r>
      <w:r w:rsidRPr="001C3EDC">
        <w:tab/>
      </w:r>
      <w:r w:rsidR="00EE0F1B" w:rsidRPr="001C3EDC">
        <w:t xml:space="preserve">Model </w:t>
      </w:r>
      <w:bookmarkEnd w:id="74"/>
      <w:r w:rsidR="00EE0F1B" w:rsidRPr="001C3EDC">
        <w:t>Baseline</w:t>
      </w:r>
      <w:bookmarkEnd w:id="75"/>
      <w:bookmarkEnd w:id="84"/>
      <w:r w:rsidR="003B16FB" w:rsidRPr="001C3EDC">
        <w:t>: Growth toward</w:t>
      </w:r>
      <w:r w:rsidR="00E05DD5" w:rsidRPr="001C3EDC">
        <w:t xml:space="preserve"> 2050</w:t>
      </w:r>
      <w:bookmarkEnd w:id="85"/>
    </w:p>
    <w:p w14:paraId="19BCB9D8" w14:textId="6CB1BDDD" w:rsidR="006255FB" w:rsidRPr="001C3EDC" w:rsidRDefault="00EE0F1B" w:rsidP="00914BE5">
      <w:pPr>
        <w:pStyle w:val="BodyText"/>
        <w:tabs>
          <w:tab w:val="left" w:pos="720"/>
        </w:tabs>
        <w:ind w:left="0" w:firstLine="0"/>
        <w:rPr>
          <w:rFonts w:eastAsia="Calibri"/>
        </w:rPr>
      </w:pPr>
      <w:r w:rsidRPr="001C3EDC">
        <w:rPr>
          <w:rFonts w:eastAsia="Calibri"/>
        </w:rPr>
        <w:t>The CGE model simulations refer</w:t>
      </w:r>
      <w:r w:rsidR="002764A5" w:rsidRPr="001C3EDC">
        <w:rPr>
          <w:rFonts w:eastAsia="Calibri"/>
        </w:rPr>
        <w:t>,</w:t>
      </w:r>
      <w:r w:rsidRPr="001C3EDC">
        <w:rPr>
          <w:rFonts w:eastAsia="Calibri"/>
        </w:rPr>
        <w:t xml:space="preserve"> first</w:t>
      </w:r>
      <w:r w:rsidR="002764A5" w:rsidRPr="001C3EDC">
        <w:rPr>
          <w:rFonts w:eastAsia="Calibri"/>
        </w:rPr>
        <w:t>,</w:t>
      </w:r>
      <w:r w:rsidRPr="001C3EDC">
        <w:rPr>
          <w:rFonts w:eastAsia="Calibri"/>
        </w:rPr>
        <w:t xml:space="preserve"> to the development of an economic baseline </w:t>
      </w:r>
      <w:r w:rsidR="0088445E" w:rsidRPr="001C3EDC">
        <w:rPr>
          <w:rFonts w:eastAsia="Calibri"/>
        </w:rPr>
        <w:t xml:space="preserve">that does not account for </w:t>
      </w:r>
      <w:r w:rsidRPr="001C3EDC">
        <w:rPr>
          <w:rFonts w:eastAsia="Calibri"/>
        </w:rPr>
        <w:t xml:space="preserve">climate change </w:t>
      </w:r>
      <w:r w:rsidR="0088445E" w:rsidRPr="001C3EDC">
        <w:rPr>
          <w:rFonts w:eastAsia="Calibri"/>
        </w:rPr>
        <w:t xml:space="preserve">and its </w:t>
      </w:r>
      <w:r w:rsidRPr="001C3EDC">
        <w:rPr>
          <w:rFonts w:eastAsia="Calibri"/>
        </w:rPr>
        <w:t xml:space="preserve">impacts. Second, the economic projections in the baseline are adjusted for the estimated impacts of climate change. For Bulgaria, </w:t>
      </w:r>
      <w:r w:rsidR="00FC61A1">
        <w:rPr>
          <w:rFonts w:eastAsia="Calibri"/>
        </w:rPr>
        <w:t>t</w:t>
      </w:r>
      <w:r w:rsidR="00FC61A1" w:rsidRPr="00FC61A1">
        <w:rPr>
          <w:rFonts w:eastAsia="Calibri"/>
        </w:rPr>
        <w:t>he model simulations indicate that climate change could result in a much slower economic growth</w:t>
      </w:r>
      <w:r w:rsidR="00FC61A1">
        <w:rPr>
          <w:rFonts w:eastAsia="Calibri"/>
        </w:rPr>
        <w:t xml:space="preserve">, with the growth rate </w:t>
      </w:r>
      <w:r w:rsidR="00E5151E">
        <w:rPr>
          <w:rFonts w:eastAsia="Calibri"/>
        </w:rPr>
        <w:t xml:space="preserve">in 2050 </w:t>
      </w:r>
      <w:r w:rsidR="00FC61A1">
        <w:rPr>
          <w:rFonts w:eastAsia="Calibri"/>
        </w:rPr>
        <w:t>lower by</w:t>
      </w:r>
      <w:r w:rsidR="00E5151E">
        <w:rPr>
          <w:rFonts w:eastAsia="Calibri"/>
        </w:rPr>
        <w:t xml:space="preserve"> about 1 to 4 percent per year</w:t>
      </w:r>
      <w:r w:rsidR="00731B46" w:rsidRPr="001C3EDC">
        <w:rPr>
          <w:rFonts w:eastAsia="Calibri"/>
        </w:rPr>
        <w:t>.</w:t>
      </w:r>
      <w:r w:rsidRPr="001C3EDC">
        <w:rPr>
          <w:rStyle w:val="FootnoteReference"/>
          <w:rFonts w:eastAsia="Calibri"/>
          <w:sz w:val="24"/>
        </w:rPr>
        <w:footnoteReference w:id="7"/>
      </w:r>
      <w:r w:rsidRPr="001C3EDC">
        <w:rPr>
          <w:rFonts w:eastAsia="Calibri"/>
        </w:rPr>
        <w:t xml:space="preserve"> Third, an additional scenario </w:t>
      </w:r>
      <w:r w:rsidR="006255FB" w:rsidRPr="001C3EDC">
        <w:rPr>
          <w:rFonts w:eastAsia="Calibri"/>
        </w:rPr>
        <w:t xml:space="preserve">is </w:t>
      </w:r>
      <w:r w:rsidRPr="001C3EDC">
        <w:rPr>
          <w:rFonts w:eastAsia="Calibri"/>
        </w:rPr>
        <w:t xml:space="preserve">developed </w:t>
      </w:r>
      <w:r w:rsidR="00A647E4" w:rsidRPr="001C3EDC">
        <w:rPr>
          <w:rFonts w:eastAsia="Calibri"/>
        </w:rPr>
        <w:t>to</w:t>
      </w:r>
      <w:r w:rsidRPr="001C3EDC">
        <w:rPr>
          <w:rFonts w:eastAsia="Calibri"/>
        </w:rPr>
        <w:t xml:space="preserve"> illustrate potential net gains from climate change adaptation</w:t>
      </w:r>
      <w:r w:rsidR="0033543A" w:rsidRPr="001C3EDC">
        <w:rPr>
          <w:rFonts w:eastAsia="Calibri"/>
        </w:rPr>
        <w:t xml:space="preserve"> (discusse</w:t>
      </w:r>
      <w:r w:rsidR="0088445E" w:rsidRPr="001C3EDC">
        <w:rPr>
          <w:rFonts w:eastAsia="Calibri"/>
        </w:rPr>
        <w:t>d</w:t>
      </w:r>
      <w:r w:rsidR="0033543A" w:rsidRPr="001C3EDC">
        <w:rPr>
          <w:rFonts w:eastAsia="Calibri"/>
        </w:rPr>
        <w:t xml:space="preserve"> </w:t>
      </w:r>
      <w:r w:rsidR="0088445E" w:rsidRPr="001C3EDC">
        <w:rPr>
          <w:rFonts w:eastAsia="Calibri"/>
        </w:rPr>
        <w:t xml:space="preserve">in </w:t>
      </w:r>
      <w:r w:rsidR="0088445E" w:rsidRPr="001C3EDC">
        <w:rPr>
          <w:rFonts w:eastAsia="Calibri"/>
          <w:b/>
          <w:bCs/>
          <w:i/>
          <w:iCs/>
        </w:rPr>
        <w:t>Section 4</w:t>
      </w:r>
      <w:r w:rsidR="0088445E" w:rsidRPr="001C3EDC">
        <w:rPr>
          <w:rFonts w:eastAsia="Calibri"/>
        </w:rPr>
        <w:t>)</w:t>
      </w:r>
      <w:r w:rsidRPr="001C3EDC">
        <w:rPr>
          <w:rFonts w:eastAsia="Calibri"/>
        </w:rPr>
        <w:t xml:space="preserve">. </w:t>
      </w:r>
    </w:p>
    <w:p w14:paraId="79E8ED07" w14:textId="60FFAB0E" w:rsidR="00EE0F1B" w:rsidRPr="001C3EDC" w:rsidRDefault="00603E67" w:rsidP="00FB32A7">
      <w:pPr>
        <w:pStyle w:val="Heading2"/>
        <w:spacing w:after="60"/>
      </w:pPr>
      <w:bookmarkStart w:id="86" w:name="_Toc510004094"/>
      <w:bookmarkStart w:id="87" w:name="_Toc522036462"/>
      <w:bookmarkStart w:id="88" w:name="_Toc486875418"/>
      <w:bookmarkStart w:id="89" w:name="_Toc505600281"/>
      <w:r w:rsidRPr="001C3EDC">
        <w:t xml:space="preserve">3.1. </w:t>
      </w:r>
      <w:r w:rsidRPr="001C3EDC">
        <w:tab/>
      </w:r>
      <w:r w:rsidR="003B16FB" w:rsidRPr="001C3EDC">
        <w:t>Baseline</w:t>
      </w:r>
      <w:r w:rsidR="00EE0F1B" w:rsidRPr="001C3EDC">
        <w:t xml:space="preserve"> </w:t>
      </w:r>
      <w:r w:rsidR="0088445E" w:rsidRPr="001C3EDC">
        <w:t xml:space="preserve">without </w:t>
      </w:r>
      <w:r w:rsidR="00EE0F1B" w:rsidRPr="001C3EDC">
        <w:t>climate change</w:t>
      </w:r>
      <w:bookmarkEnd w:id="86"/>
      <w:bookmarkEnd w:id="87"/>
      <w:r w:rsidR="00EE0F1B" w:rsidRPr="001C3EDC">
        <w:t xml:space="preserve"> </w:t>
      </w:r>
      <w:bookmarkEnd w:id="88"/>
      <w:bookmarkEnd w:id="89"/>
    </w:p>
    <w:p w14:paraId="77DA188E" w14:textId="62FFC68D" w:rsidR="00EE0F1B" w:rsidRPr="001C3EDC" w:rsidRDefault="00EE0F1B" w:rsidP="00CA5CD0">
      <w:pPr>
        <w:pStyle w:val="BodyText"/>
        <w:tabs>
          <w:tab w:val="left" w:pos="720"/>
        </w:tabs>
        <w:ind w:left="0" w:firstLine="0"/>
        <w:rPr>
          <w:rFonts w:eastAsia="Calibri"/>
        </w:rPr>
      </w:pPr>
      <w:bookmarkStart w:id="90" w:name="_Toc486592272"/>
      <w:bookmarkStart w:id="91" w:name="_Toc486592589"/>
      <w:bookmarkStart w:id="92" w:name="_Toc486865374"/>
      <w:bookmarkStart w:id="93" w:name="_Toc486865470"/>
      <w:bookmarkEnd w:id="90"/>
      <w:bookmarkEnd w:id="91"/>
      <w:bookmarkEnd w:id="92"/>
      <w:bookmarkEnd w:id="93"/>
      <w:r w:rsidRPr="001C3EDC">
        <w:rPr>
          <w:rFonts w:eastAsia="Calibri"/>
        </w:rPr>
        <w:t xml:space="preserve">The </w:t>
      </w:r>
      <w:r w:rsidRPr="001C3EDC">
        <w:t>economic</w:t>
      </w:r>
      <w:r w:rsidRPr="001C3EDC">
        <w:rPr>
          <w:rFonts w:eastAsia="Calibri"/>
        </w:rPr>
        <w:t xml:space="preserve"> </w:t>
      </w:r>
      <w:r w:rsidR="002764A5" w:rsidRPr="001C3EDC">
        <w:rPr>
          <w:rFonts w:eastAsia="Calibri"/>
        </w:rPr>
        <w:t xml:space="preserve">baseline </w:t>
      </w:r>
      <w:r w:rsidR="003F346B" w:rsidRPr="001C3EDC">
        <w:rPr>
          <w:rFonts w:eastAsia="Calibri"/>
        </w:rPr>
        <w:t>to 2050</w:t>
      </w:r>
      <w:r w:rsidRPr="001C3EDC">
        <w:rPr>
          <w:rFonts w:eastAsia="Calibri"/>
        </w:rPr>
        <w:t xml:space="preserve"> is</w:t>
      </w:r>
      <w:r w:rsidR="002764A5" w:rsidRPr="001C3EDC">
        <w:rPr>
          <w:rFonts w:eastAsia="Calibri"/>
        </w:rPr>
        <w:t xml:space="preserve"> the</w:t>
      </w:r>
      <w:r w:rsidRPr="001C3EDC">
        <w:rPr>
          <w:rFonts w:eastAsia="Calibri"/>
        </w:rPr>
        <w:t xml:space="preserve"> </w:t>
      </w:r>
      <w:r w:rsidR="002764A5" w:rsidRPr="001C3EDC">
        <w:rPr>
          <w:rFonts w:eastAsia="Calibri"/>
        </w:rPr>
        <w:t xml:space="preserve">growth path that Bulgaria is </w:t>
      </w:r>
      <w:r w:rsidRPr="001C3EDC">
        <w:rPr>
          <w:rFonts w:eastAsia="Calibri"/>
        </w:rPr>
        <w:t>likely to follow</w:t>
      </w:r>
      <w:r w:rsidR="002764A5" w:rsidRPr="001C3EDC">
        <w:rPr>
          <w:rFonts w:eastAsia="Calibri"/>
        </w:rPr>
        <w:t>.</w:t>
      </w:r>
      <w:r w:rsidR="0088445E" w:rsidRPr="001C3EDC">
        <w:rPr>
          <w:rFonts w:eastAsia="Calibri"/>
        </w:rPr>
        <w:t xml:space="preserve"> </w:t>
      </w:r>
      <w:r w:rsidR="002764A5" w:rsidRPr="001C3EDC">
        <w:rPr>
          <w:rFonts w:eastAsia="Calibri"/>
        </w:rPr>
        <w:t>It</w:t>
      </w:r>
      <w:r w:rsidRPr="001C3EDC">
        <w:rPr>
          <w:rFonts w:eastAsia="Calibri"/>
        </w:rPr>
        <w:t xml:space="preserve"> is developed based on the </w:t>
      </w:r>
      <w:r w:rsidR="00317E83" w:rsidRPr="001C3EDC">
        <w:rPr>
          <w:rFonts w:eastAsia="Calibri"/>
        </w:rPr>
        <w:t xml:space="preserve">observed </w:t>
      </w:r>
      <w:r w:rsidRPr="001C3EDC">
        <w:rPr>
          <w:rFonts w:eastAsia="Calibri"/>
        </w:rPr>
        <w:t xml:space="preserve">economic trends for the country </w:t>
      </w:r>
      <w:r w:rsidR="009C327F" w:rsidRPr="001C3EDC">
        <w:rPr>
          <w:rFonts w:eastAsia="Calibri"/>
        </w:rPr>
        <w:t xml:space="preserve">over </w:t>
      </w:r>
      <w:r w:rsidRPr="001C3EDC">
        <w:rPr>
          <w:rFonts w:eastAsia="Calibri"/>
        </w:rPr>
        <w:t>2011</w:t>
      </w:r>
      <w:r w:rsidR="005059DF" w:rsidRPr="001C3EDC">
        <w:rPr>
          <w:rFonts w:eastAsia="Calibri"/>
        </w:rPr>
        <w:t>–</w:t>
      </w:r>
      <w:r w:rsidR="00491E00" w:rsidRPr="001C3EDC">
        <w:rPr>
          <w:rFonts w:eastAsia="Calibri"/>
        </w:rPr>
        <w:t>2015</w:t>
      </w:r>
      <w:r w:rsidR="0077116C" w:rsidRPr="001C3EDC">
        <w:rPr>
          <w:rFonts w:eastAsia="Calibri"/>
        </w:rPr>
        <w:t xml:space="preserve"> and</w:t>
      </w:r>
      <w:r w:rsidRPr="001C3EDC">
        <w:rPr>
          <w:rFonts w:eastAsia="Calibri"/>
        </w:rPr>
        <w:t xml:space="preserve"> demographic projections (developed by </w:t>
      </w:r>
      <w:r w:rsidR="0088445E" w:rsidRPr="001C3EDC">
        <w:rPr>
          <w:rFonts w:eastAsia="Calibri"/>
        </w:rPr>
        <w:t xml:space="preserve">the </w:t>
      </w:r>
      <w:r w:rsidRPr="001C3EDC">
        <w:rPr>
          <w:rFonts w:eastAsia="Calibri"/>
        </w:rPr>
        <w:t xml:space="preserve">United Nations) </w:t>
      </w:r>
      <w:r w:rsidRPr="001C3EDC">
        <w:t>that</w:t>
      </w:r>
      <w:r w:rsidRPr="001C3EDC">
        <w:rPr>
          <w:rFonts w:eastAsia="Calibri"/>
        </w:rPr>
        <w:t xml:space="preserve"> assume </w:t>
      </w:r>
      <w:r w:rsidR="00342E44" w:rsidRPr="001C3EDC">
        <w:rPr>
          <w:rFonts w:eastAsia="Calibri"/>
        </w:rPr>
        <w:t xml:space="preserve">a </w:t>
      </w:r>
      <w:r w:rsidRPr="001C3EDC">
        <w:rPr>
          <w:rFonts w:eastAsia="Calibri"/>
        </w:rPr>
        <w:t xml:space="preserve">constant fertility rate and constant migration trends </w:t>
      </w:r>
      <w:r w:rsidR="00897D35" w:rsidRPr="001C3EDC">
        <w:rPr>
          <w:rFonts w:eastAsia="Calibri"/>
        </w:rPr>
        <w:t>over 2011</w:t>
      </w:r>
      <w:r w:rsidR="005059DF" w:rsidRPr="001C3EDC">
        <w:rPr>
          <w:rFonts w:eastAsia="Calibri"/>
        </w:rPr>
        <w:t>–</w:t>
      </w:r>
      <w:r w:rsidR="00491E00" w:rsidRPr="001C3EDC">
        <w:rPr>
          <w:rFonts w:eastAsia="Calibri"/>
        </w:rPr>
        <w:t>2015</w:t>
      </w:r>
      <w:r w:rsidRPr="001C3EDC">
        <w:rPr>
          <w:rFonts w:eastAsia="Calibri"/>
        </w:rPr>
        <w:t>. These statistics and IMF projections to 2022</w:t>
      </w:r>
      <w:r w:rsidR="003F346B" w:rsidRPr="001C3EDC">
        <w:rPr>
          <w:rFonts w:eastAsia="Calibri"/>
        </w:rPr>
        <w:t xml:space="preserve"> used in baseline development</w:t>
      </w:r>
      <w:r w:rsidRPr="001C3EDC">
        <w:rPr>
          <w:rFonts w:eastAsia="Calibri"/>
        </w:rPr>
        <w:t xml:space="preserve"> are presented in</w:t>
      </w:r>
      <w:r w:rsidR="00E160F7" w:rsidRPr="001C3EDC">
        <w:rPr>
          <w:rFonts w:eastAsia="Calibri"/>
        </w:rPr>
        <w:t xml:space="preserve"> </w:t>
      </w:r>
      <w:r w:rsidR="00E160F7" w:rsidRPr="001C3EDC">
        <w:rPr>
          <w:rFonts w:eastAsia="Calibri"/>
          <w:b/>
          <w:i/>
        </w:rPr>
        <w:t xml:space="preserve">Table </w:t>
      </w:r>
      <w:r w:rsidR="000440F3" w:rsidRPr="001C3EDC">
        <w:rPr>
          <w:rFonts w:eastAsia="Calibri"/>
          <w:b/>
          <w:i/>
        </w:rPr>
        <w:t>5</w:t>
      </w:r>
      <w:r w:rsidRPr="001C3EDC">
        <w:rPr>
          <w:rFonts w:eastAsia="Calibri"/>
        </w:rPr>
        <w:t>.</w:t>
      </w:r>
    </w:p>
    <w:p w14:paraId="01A84563" w14:textId="21694E66" w:rsidR="00EE0F1B" w:rsidRPr="001C3EDC" w:rsidRDefault="00EE0F1B" w:rsidP="00CA5CD0">
      <w:pPr>
        <w:pStyle w:val="BodyText"/>
        <w:tabs>
          <w:tab w:val="left" w:pos="720"/>
        </w:tabs>
        <w:ind w:left="0" w:firstLine="0"/>
        <w:rPr>
          <w:rFonts w:eastAsia="Calibri"/>
        </w:rPr>
      </w:pPr>
      <w:r w:rsidRPr="001C3EDC">
        <w:rPr>
          <w:rFonts w:eastAsia="Calibri"/>
        </w:rPr>
        <w:t xml:space="preserve">The </w:t>
      </w:r>
      <w:r w:rsidR="00113649" w:rsidRPr="001C3EDC">
        <w:rPr>
          <w:rFonts w:eastAsia="Calibri"/>
        </w:rPr>
        <w:t xml:space="preserve">economic </w:t>
      </w:r>
      <w:r w:rsidR="00897D35" w:rsidRPr="001C3EDC">
        <w:rPr>
          <w:rFonts w:eastAsia="Calibri"/>
        </w:rPr>
        <w:t>drivers, meaning</w:t>
      </w:r>
      <w:r w:rsidR="00113649" w:rsidRPr="001C3EDC">
        <w:rPr>
          <w:rFonts w:eastAsia="Calibri"/>
        </w:rPr>
        <w:t xml:space="preserve"> </w:t>
      </w:r>
      <w:r w:rsidRPr="001C3EDC">
        <w:rPr>
          <w:rFonts w:eastAsia="Calibri"/>
        </w:rPr>
        <w:t>demographic trends, investment,</w:t>
      </w:r>
      <w:r w:rsidR="00F438A4" w:rsidRPr="001C3EDC">
        <w:rPr>
          <w:rFonts w:eastAsia="Calibri"/>
        </w:rPr>
        <w:t xml:space="preserve"> international trade </w:t>
      </w:r>
      <w:r w:rsidR="00EF06A2" w:rsidRPr="001C3EDC">
        <w:rPr>
          <w:rFonts w:eastAsia="Calibri"/>
        </w:rPr>
        <w:t>over</w:t>
      </w:r>
      <w:r w:rsidR="00F926FB" w:rsidRPr="001C3EDC">
        <w:rPr>
          <w:rFonts w:eastAsia="Calibri"/>
        </w:rPr>
        <w:t xml:space="preserve"> 201</w:t>
      </w:r>
      <w:r w:rsidR="00293A87" w:rsidRPr="001C3EDC">
        <w:rPr>
          <w:rFonts w:eastAsia="Calibri"/>
        </w:rPr>
        <w:t>5</w:t>
      </w:r>
      <w:r w:rsidR="005059DF" w:rsidRPr="001C3EDC">
        <w:rPr>
          <w:rFonts w:eastAsia="Calibri"/>
        </w:rPr>
        <w:t>–20</w:t>
      </w:r>
      <w:r w:rsidR="00491E00" w:rsidRPr="001C3EDC">
        <w:rPr>
          <w:rFonts w:eastAsia="Calibri"/>
        </w:rPr>
        <w:t>22 a</w:t>
      </w:r>
      <w:r w:rsidR="00F926FB" w:rsidRPr="001C3EDC">
        <w:rPr>
          <w:rFonts w:eastAsia="Calibri"/>
        </w:rPr>
        <w:t>s</w:t>
      </w:r>
      <w:r w:rsidR="00491E00" w:rsidRPr="001C3EDC">
        <w:rPr>
          <w:rFonts w:eastAsia="Calibri"/>
        </w:rPr>
        <w:t xml:space="preserve"> published</w:t>
      </w:r>
      <w:r w:rsidR="00F926FB" w:rsidRPr="001C3EDC">
        <w:rPr>
          <w:rFonts w:eastAsia="Calibri"/>
        </w:rPr>
        <w:t xml:space="preserve"> by the IMF</w:t>
      </w:r>
      <w:r w:rsidR="00EF06A2" w:rsidRPr="001C3EDC">
        <w:rPr>
          <w:rFonts w:eastAsia="Calibri"/>
        </w:rPr>
        <w:t>,</w:t>
      </w:r>
      <w:r w:rsidR="00F926FB" w:rsidRPr="001C3EDC">
        <w:rPr>
          <w:rFonts w:eastAsia="Calibri"/>
        </w:rPr>
        <w:t xml:space="preserve"> are shown in </w:t>
      </w:r>
      <w:r w:rsidR="00F926FB" w:rsidRPr="001C3EDC">
        <w:rPr>
          <w:rFonts w:eastAsia="Calibri"/>
          <w:b/>
          <w:bCs/>
          <w:i/>
          <w:iCs/>
        </w:rPr>
        <w:t xml:space="preserve">Table </w:t>
      </w:r>
      <w:r w:rsidR="000440F3" w:rsidRPr="001C3EDC">
        <w:rPr>
          <w:rFonts w:eastAsia="Calibri"/>
          <w:b/>
          <w:bCs/>
          <w:i/>
          <w:iCs/>
        </w:rPr>
        <w:t>5</w:t>
      </w:r>
      <w:r w:rsidR="000440F3" w:rsidRPr="001C3EDC">
        <w:rPr>
          <w:rFonts w:eastAsia="Calibri"/>
        </w:rPr>
        <w:t>.</w:t>
      </w:r>
      <w:r w:rsidRPr="001C3EDC">
        <w:rPr>
          <w:rFonts w:eastAsia="Calibri"/>
        </w:rPr>
        <w:t xml:space="preserve"> Based on </w:t>
      </w:r>
      <w:r w:rsidR="00A837A0" w:rsidRPr="001C3EDC">
        <w:rPr>
          <w:rFonts w:eastAsia="Calibri"/>
        </w:rPr>
        <w:t xml:space="preserve">the past </w:t>
      </w:r>
      <w:r w:rsidRPr="001C3EDC">
        <w:rPr>
          <w:rFonts w:eastAsia="Calibri"/>
        </w:rPr>
        <w:t xml:space="preserve">official statistics on these </w:t>
      </w:r>
      <w:r w:rsidRPr="001C3EDC">
        <w:t>parameters</w:t>
      </w:r>
      <w:r w:rsidR="00A837A0" w:rsidRPr="001C3EDC">
        <w:rPr>
          <w:rFonts w:eastAsia="Calibri"/>
        </w:rPr>
        <w:t xml:space="preserve">, it was </w:t>
      </w:r>
      <w:r w:rsidRPr="001C3EDC">
        <w:rPr>
          <w:rFonts w:eastAsia="Calibri"/>
        </w:rPr>
        <w:t>assum</w:t>
      </w:r>
      <w:r w:rsidR="00A837A0" w:rsidRPr="001C3EDC">
        <w:rPr>
          <w:rFonts w:eastAsia="Calibri"/>
        </w:rPr>
        <w:t>ed that</w:t>
      </w:r>
      <w:r w:rsidRPr="001C3EDC">
        <w:rPr>
          <w:rFonts w:eastAsia="Calibri"/>
        </w:rPr>
        <w:t xml:space="preserve"> investment would </w:t>
      </w:r>
      <w:r w:rsidRPr="001C3EDC">
        <w:t>represent</w:t>
      </w:r>
      <w:r w:rsidRPr="001C3EDC">
        <w:rPr>
          <w:rFonts w:eastAsia="Calibri"/>
        </w:rPr>
        <w:t xml:space="preserve"> around 23</w:t>
      </w:r>
      <w:r w:rsidR="00CB0CB7" w:rsidRPr="001C3EDC">
        <w:rPr>
          <w:rFonts w:eastAsia="Calibri"/>
        </w:rPr>
        <w:t xml:space="preserve"> percent</w:t>
      </w:r>
      <w:r w:rsidRPr="001C3EDC">
        <w:rPr>
          <w:rFonts w:eastAsia="Calibri"/>
        </w:rPr>
        <w:t xml:space="preserve"> </w:t>
      </w:r>
      <w:r w:rsidR="004D1479" w:rsidRPr="001C3EDC">
        <w:rPr>
          <w:rFonts w:eastAsia="Calibri"/>
        </w:rPr>
        <w:t xml:space="preserve">of </w:t>
      </w:r>
      <w:r w:rsidRPr="001C3EDC">
        <w:rPr>
          <w:rFonts w:eastAsia="Calibri"/>
        </w:rPr>
        <w:t xml:space="preserve">GDP for the </w:t>
      </w:r>
      <w:r w:rsidR="00897D35" w:rsidRPr="001C3EDC">
        <w:rPr>
          <w:rFonts w:eastAsia="Calibri"/>
        </w:rPr>
        <w:t>next years</w:t>
      </w:r>
      <w:r w:rsidRPr="001C3EDC">
        <w:rPr>
          <w:rFonts w:eastAsia="Calibri"/>
        </w:rPr>
        <w:t xml:space="preserve"> </w:t>
      </w:r>
      <w:r w:rsidR="00EF06A2" w:rsidRPr="001C3EDC">
        <w:rPr>
          <w:rFonts w:eastAsia="Calibri"/>
        </w:rPr>
        <w:t>and that</w:t>
      </w:r>
      <w:r w:rsidRPr="001C3EDC">
        <w:rPr>
          <w:rFonts w:eastAsia="Calibri"/>
        </w:rPr>
        <w:t xml:space="preserve"> the Bulgarian economy </w:t>
      </w:r>
      <w:r w:rsidR="00603E67" w:rsidRPr="001C3EDC">
        <w:rPr>
          <w:rFonts w:eastAsia="Calibri"/>
        </w:rPr>
        <w:t>would grow</w:t>
      </w:r>
      <w:r w:rsidRPr="001C3EDC">
        <w:rPr>
          <w:rFonts w:eastAsia="Calibri"/>
        </w:rPr>
        <w:t xml:space="preserve"> 1.3 times by 2050, an annual average growth rate of around 1.7</w:t>
      </w:r>
      <w:r w:rsidR="00CB0CB7" w:rsidRPr="001C3EDC">
        <w:rPr>
          <w:rFonts w:eastAsia="Calibri"/>
        </w:rPr>
        <w:t xml:space="preserve"> percent per</w:t>
      </w:r>
      <w:r w:rsidRPr="001C3EDC">
        <w:rPr>
          <w:rFonts w:eastAsia="Calibri"/>
        </w:rPr>
        <w:t xml:space="preserve"> year.</w:t>
      </w:r>
      <w:r w:rsidR="001D4DF4" w:rsidRPr="001C3EDC">
        <w:rPr>
          <w:rFonts w:eastAsia="Calibri"/>
        </w:rPr>
        <w:t xml:space="preserve"> Improvement in investment productivity is one of the main drivers of growth.</w:t>
      </w:r>
    </w:p>
    <w:p w14:paraId="2F7A890F" w14:textId="44EB8FF3" w:rsidR="00EE0F1B" w:rsidRPr="001C3EDC" w:rsidRDefault="000440F3" w:rsidP="004F7F4A">
      <w:pPr>
        <w:pStyle w:val="Caption"/>
        <w:spacing w:before="200"/>
        <w:rPr>
          <w:rFonts w:ascii="Calibri" w:hAnsi="Calibri"/>
          <w:i/>
          <w:color w:val="44546A"/>
          <w:sz w:val="22"/>
          <w:szCs w:val="18"/>
        </w:rPr>
      </w:pPr>
      <w:bookmarkStart w:id="94" w:name="_Toc486875547"/>
      <w:bookmarkStart w:id="95" w:name="_Toc505612608"/>
      <w:bookmarkStart w:id="96" w:name="_Toc522036518"/>
      <w:r w:rsidRPr="001C3EDC">
        <w:rPr>
          <w:rFonts w:ascii="Calibri" w:hAnsi="Calibri"/>
          <w:i/>
          <w:color w:val="44546A"/>
          <w:sz w:val="22"/>
          <w:szCs w:val="18"/>
        </w:rPr>
        <w:t xml:space="preserve">Table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Table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5</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EE0F1B" w:rsidRPr="001C3EDC">
        <w:rPr>
          <w:rFonts w:ascii="Calibri" w:hAnsi="Calibri"/>
          <w:i/>
          <w:color w:val="44546A"/>
          <w:sz w:val="22"/>
          <w:szCs w:val="18"/>
        </w:rPr>
        <w:t xml:space="preserve">Statistics used in the development of the </w:t>
      </w:r>
      <w:r w:rsidR="008B1B9E" w:rsidRPr="001C3EDC">
        <w:rPr>
          <w:rFonts w:ascii="Calibri" w:hAnsi="Calibri"/>
          <w:i/>
          <w:color w:val="44546A"/>
          <w:sz w:val="22"/>
          <w:szCs w:val="18"/>
        </w:rPr>
        <w:t>baseline</w:t>
      </w:r>
      <w:r w:rsidR="001B7905" w:rsidRPr="001C3EDC">
        <w:rPr>
          <w:rFonts w:ascii="Calibri" w:hAnsi="Calibri"/>
          <w:i/>
          <w:color w:val="44546A"/>
          <w:sz w:val="22"/>
          <w:szCs w:val="18"/>
        </w:rPr>
        <w:t xml:space="preserve"> </w:t>
      </w:r>
      <w:r w:rsidR="005E2488" w:rsidRPr="001C3EDC">
        <w:rPr>
          <w:rFonts w:ascii="Calibri" w:hAnsi="Calibri"/>
          <w:i/>
          <w:color w:val="44546A"/>
          <w:sz w:val="22"/>
          <w:szCs w:val="18"/>
        </w:rPr>
        <w:t>s</w:t>
      </w:r>
      <w:r w:rsidR="00EE0F1B" w:rsidRPr="001C3EDC">
        <w:rPr>
          <w:rFonts w:ascii="Calibri" w:hAnsi="Calibri"/>
          <w:i/>
          <w:color w:val="44546A"/>
          <w:sz w:val="22"/>
          <w:szCs w:val="18"/>
        </w:rPr>
        <w:t>cenario</w:t>
      </w:r>
      <w:bookmarkEnd w:id="94"/>
      <w:bookmarkEnd w:id="95"/>
      <w:bookmarkEnd w:id="96"/>
    </w:p>
    <w:tbl>
      <w:tblPr>
        <w:tblStyle w:val="GridTable4Accent1"/>
        <w:tblW w:w="5304"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886"/>
        <w:gridCol w:w="620"/>
        <w:gridCol w:w="670"/>
        <w:gridCol w:w="670"/>
        <w:gridCol w:w="670"/>
        <w:gridCol w:w="671"/>
        <w:gridCol w:w="671"/>
        <w:gridCol w:w="673"/>
        <w:gridCol w:w="621"/>
        <w:gridCol w:w="621"/>
        <w:gridCol w:w="621"/>
        <w:gridCol w:w="621"/>
        <w:gridCol w:w="621"/>
      </w:tblGrid>
      <w:tr w:rsidR="00FB32A7" w:rsidRPr="00FB32A7" w14:paraId="6746B4FF" w14:textId="77777777" w:rsidTr="00FB32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9" w:type="pct"/>
            <w:tcBorders>
              <w:right w:val="single" w:sz="4" w:space="0" w:color="4F81BD" w:themeColor="accent1"/>
            </w:tcBorders>
            <w:shd w:val="clear" w:color="auto" w:fill="365F91"/>
            <w:tcMar>
              <w:left w:w="29" w:type="dxa"/>
              <w:right w:w="29" w:type="dxa"/>
            </w:tcMar>
            <w:vAlign w:val="center"/>
            <w:hideMark/>
          </w:tcPr>
          <w:p w14:paraId="0AE8D0BB" w14:textId="77777777" w:rsidR="00EE0F1B" w:rsidRPr="00FB32A7" w:rsidRDefault="00EE0F1B" w:rsidP="00FB32A7">
            <w:pPr>
              <w:spacing w:before="60" w:line="240" w:lineRule="auto"/>
              <w:jc w:val="center"/>
              <w:rPr>
                <w:rFonts w:asciiTheme="minorHAnsi" w:eastAsia="Times New Roman" w:hAnsiTheme="minorHAnsi" w:cstheme="minorHAnsi"/>
                <w:sz w:val="20"/>
                <w:szCs w:val="20"/>
              </w:rPr>
            </w:pPr>
            <w:r w:rsidRPr="00FB32A7">
              <w:rPr>
                <w:rFonts w:asciiTheme="minorHAnsi" w:eastAsia="Times New Roman" w:hAnsiTheme="minorHAnsi" w:cstheme="minorHAnsi"/>
                <w:sz w:val="20"/>
                <w:szCs w:val="20"/>
              </w:rPr>
              <w:t>Bulgaria</w:t>
            </w:r>
          </w:p>
        </w:tc>
        <w:tc>
          <w:tcPr>
            <w:tcW w:w="322" w:type="pct"/>
            <w:tcBorders>
              <w:left w:val="single" w:sz="4" w:space="0" w:color="4F81BD" w:themeColor="accent1"/>
              <w:right w:val="single" w:sz="4" w:space="0" w:color="4F81BD" w:themeColor="accent1"/>
            </w:tcBorders>
            <w:shd w:val="clear" w:color="auto" w:fill="365F91"/>
            <w:tcMar>
              <w:left w:w="29" w:type="dxa"/>
              <w:right w:w="29" w:type="dxa"/>
            </w:tcMar>
            <w:vAlign w:val="center"/>
            <w:hideMark/>
          </w:tcPr>
          <w:p w14:paraId="209C5177" w14:textId="77777777" w:rsidR="00EE0F1B" w:rsidRPr="00FB32A7" w:rsidRDefault="00EE0F1B" w:rsidP="00FB32A7">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B32A7">
              <w:rPr>
                <w:rFonts w:asciiTheme="minorHAnsi" w:eastAsia="Times New Roman" w:hAnsiTheme="minorHAnsi" w:cstheme="minorHAnsi"/>
                <w:sz w:val="20"/>
                <w:szCs w:val="20"/>
              </w:rPr>
              <w:t>2011</w:t>
            </w:r>
          </w:p>
        </w:tc>
        <w:tc>
          <w:tcPr>
            <w:tcW w:w="348" w:type="pct"/>
            <w:tcBorders>
              <w:left w:val="single" w:sz="4" w:space="0" w:color="4F81BD" w:themeColor="accent1"/>
              <w:right w:val="single" w:sz="4" w:space="0" w:color="4F81BD" w:themeColor="accent1"/>
            </w:tcBorders>
            <w:shd w:val="clear" w:color="auto" w:fill="365F91"/>
            <w:tcMar>
              <w:left w:w="29" w:type="dxa"/>
              <w:right w:w="29" w:type="dxa"/>
            </w:tcMar>
            <w:vAlign w:val="center"/>
            <w:hideMark/>
          </w:tcPr>
          <w:p w14:paraId="27EE14EA" w14:textId="77777777" w:rsidR="00EE0F1B" w:rsidRPr="00FB32A7" w:rsidRDefault="00EE0F1B" w:rsidP="00FB32A7">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B32A7">
              <w:rPr>
                <w:rFonts w:asciiTheme="minorHAnsi" w:eastAsia="Times New Roman" w:hAnsiTheme="minorHAnsi" w:cstheme="minorHAnsi"/>
                <w:sz w:val="20"/>
                <w:szCs w:val="20"/>
              </w:rPr>
              <w:t>2012</w:t>
            </w:r>
          </w:p>
        </w:tc>
        <w:tc>
          <w:tcPr>
            <w:tcW w:w="348" w:type="pct"/>
            <w:tcBorders>
              <w:left w:val="single" w:sz="4" w:space="0" w:color="4F81BD" w:themeColor="accent1"/>
              <w:right w:val="single" w:sz="4" w:space="0" w:color="4F81BD" w:themeColor="accent1"/>
            </w:tcBorders>
            <w:shd w:val="clear" w:color="auto" w:fill="365F91"/>
            <w:tcMar>
              <w:left w:w="29" w:type="dxa"/>
              <w:right w:w="29" w:type="dxa"/>
            </w:tcMar>
            <w:vAlign w:val="center"/>
            <w:hideMark/>
          </w:tcPr>
          <w:p w14:paraId="73A52C8F" w14:textId="77777777" w:rsidR="00EE0F1B" w:rsidRPr="00FB32A7" w:rsidRDefault="00EE0F1B" w:rsidP="00FB32A7">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B32A7">
              <w:rPr>
                <w:rFonts w:asciiTheme="minorHAnsi" w:eastAsia="Times New Roman" w:hAnsiTheme="minorHAnsi" w:cstheme="minorHAnsi"/>
                <w:sz w:val="20"/>
                <w:szCs w:val="20"/>
              </w:rPr>
              <w:t>2013</w:t>
            </w:r>
          </w:p>
        </w:tc>
        <w:tc>
          <w:tcPr>
            <w:tcW w:w="348" w:type="pct"/>
            <w:tcBorders>
              <w:left w:val="single" w:sz="4" w:space="0" w:color="4F81BD" w:themeColor="accent1"/>
              <w:right w:val="single" w:sz="4" w:space="0" w:color="4F81BD" w:themeColor="accent1"/>
            </w:tcBorders>
            <w:shd w:val="clear" w:color="auto" w:fill="365F91"/>
            <w:tcMar>
              <w:left w:w="29" w:type="dxa"/>
              <w:right w:w="29" w:type="dxa"/>
            </w:tcMar>
            <w:vAlign w:val="center"/>
            <w:hideMark/>
          </w:tcPr>
          <w:p w14:paraId="22AB6073" w14:textId="77777777" w:rsidR="00EE0F1B" w:rsidRPr="00FB32A7" w:rsidRDefault="00EE0F1B" w:rsidP="00FB32A7">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B32A7">
              <w:rPr>
                <w:rFonts w:asciiTheme="minorHAnsi" w:eastAsia="Times New Roman" w:hAnsiTheme="minorHAnsi" w:cstheme="minorHAnsi"/>
                <w:sz w:val="20"/>
                <w:szCs w:val="20"/>
              </w:rPr>
              <w:t>2014</w:t>
            </w:r>
          </w:p>
        </w:tc>
        <w:tc>
          <w:tcPr>
            <w:tcW w:w="348" w:type="pct"/>
            <w:tcBorders>
              <w:left w:val="single" w:sz="4" w:space="0" w:color="4F81BD" w:themeColor="accent1"/>
              <w:right w:val="single" w:sz="4" w:space="0" w:color="4F81BD" w:themeColor="accent1"/>
            </w:tcBorders>
            <w:shd w:val="clear" w:color="auto" w:fill="365F91"/>
            <w:tcMar>
              <w:left w:w="29" w:type="dxa"/>
              <w:right w:w="29" w:type="dxa"/>
            </w:tcMar>
            <w:vAlign w:val="center"/>
            <w:hideMark/>
          </w:tcPr>
          <w:p w14:paraId="239FECA1" w14:textId="77777777" w:rsidR="00EE0F1B" w:rsidRPr="00FB32A7" w:rsidRDefault="00EE0F1B" w:rsidP="00FB32A7">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B32A7">
              <w:rPr>
                <w:rFonts w:asciiTheme="minorHAnsi" w:eastAsia="Times New Roman" w:hAnsiTheme="minorHAnsi" w:cstheme="minorHAnsi"/>
                <w:sz w:val="20"/>
                <w:szCs w:val="20"/>
              </w:rPr>
              <w:t>2015</w:t>
            </w:r>
          </w:p>
        </w:tc>
        <w:tc>
          <w:tcPr>
            <w:tcW w:w="348" w:type="pct"/>
            <w:tcBorders>
              <w:left w:val="single" w:sz="4" w:space="0" w:color="4F81BD" w:themeColor="accent1"/>
              <w:right w:val="single" w:sz="4" w:space="0" w:color="4F81BD" w:themeColor="accent1"/>
            </w:tcBorders>
            <w:shd w:val="clear" w:color="auto" w:fill="365F91"/>
            <w:tcMar>
              <w:left w:w="29" w:type="dxa"/>
              <w:right w:w="29" w:type="dxa"/>
            </w:tcMar>
            <w:vAlign w:val="center"/>
            <w:hideMark/>
          </w:tcPr>
          <w:p w14:paraId="49458F97" w14:textId="77777777" w:rsidR="00EE0F1B" w:rsidRPr="00FB32A7" w:rsidRDefault="00EE0F1B" w:rsidP="00FB32A7">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B32A7">
              <w:rPr>
                <w:rFonts w:asciiTheme="minorHAnsi" w:eastAsia="Times New Roman" w:hAnsiTheme="minorHAnsi" w:cstheme="minorHAnsi"/>
                <w:sz w:val="20"/>
                <w:szCs w:val="20"/>
              </w:rPr>
              <w:t>2016</w:t>
            </w:r>
          </w:p>
        </w:tc>
        <w:tc>
          <w:tcPr>
            <w:tcW w:w="349" w:type="pct"/>
            <w:tcBorders>
              <w:left w:val="single" w:sz="4" w:space="0" w:color="4F81BD" w:themeColor="accent1"/>
              <w:right w:val="single" w:sz="4" w:space="0" w:color="4F81BD" w:themeColor="accent1"/>
            </w:tcBorders>
            <w:shd w:val="clear" w:color="auto" w:fill="365F91"/>
            <w:tcMar>
              <w:left w:w="29" w:type="dxa"/>
              <w:right w:w="29" w:type="dxa"/>
            </w:tcMar>
            <w:vAlign w:val="center"/>
            <w:hideMark/>
          </w:tcPr>
          <w:p w14:paraId="0CA2690D" w14:textId="77777777" w:rsidR="00EE0F1B" w:rsidRPr="00FB32A7" w:rsidRDefault="00EE0F1B" w:rsidP="00FB32A7">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B32A7">
              <w:rPr>
                <w:rFonts w:asciiTheme="minorHAnsi" w:eastAsia="Times New Roman" w:hAnsiTheme="minorHAnsi" w:cstheme="minorHAnsi"/>
                <w:sz w:val="20"/>
                <w:szCs w:val="20"/>
              </w:rPr>
              <w:t>2017</w:t>
            </w:r>
          </w:p>
        </w:tc>
        <w:tc>
          <w:tcPr>
            <w:tcW w:w="322" w:type="pct"/>
            <w:tcBorders>
              <w:left w:val="single" w:sz="4" w:space="0" w:color="4F81BD" w:themeColor="accent1"/>
              <w:right w:val="single" w:sz="4" w:space="0" w:color="4F81BD" w:themeColor="accent1"/>
            </w:tcBorders>
            <w:shd w:val="clear" w:color="auto" w:fill="365F91"/>
            <w:tcMar>
              <w:left w:w="29" w:type="dxa"/>
              <w:right w:w="29" w:type="dxa"/>
            </w:tcMar>
            <w:vAlign w:val="center"/>
            <w:hideMark/>
          </w:tcPr>
          <w:p w14:paraId="4DA4DF5B" w14:textId="77777777" w:rsidR="00EE0F1B" w:rsidRPr="00FB32A7" w:rsidRDefault="00EE0F1B" w:rsidP="00FB32A7">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B32A7">
              <w:rPr>
                <w:rFonts w:asciiTheme="minorHAnsi" w:eastAsia="Times New Roman" w:hAnsiTheme="minorHAnsi" w:cstheme="minorHAnsi"/>
                <w:sz w:val="20"/>
                <w:szCs w:val="20"/>
              </w:rPr>
              <w:t>2018</w:t>
            </w:r>
          </w:p>
        </w:tc>
        <w:tc>
          <w:tcPr>
            <w:tcW w:w="322" w:type="pct"/>
            <w:tcBorders>
              <w:left w:val="single" w:sz="4" w:space="0" w:color="4F81BD" w:themeColor="accent1"/>
              <w:right w:val="single" w:sz="4" w:space="0" w:color="4F81BD" w:themeColor="accent1"/>
            </w:tcBorders>
            <w:shd w:val="clear" w:color="auto" w:fill="365F91"/>
            <w:tcMar>
              <w:left w:w="29" w:type="dxa"/>
              <w:right w:w="29" w:type="dxa"/>
            </w:tcMar>
            <w:vAlign w:val="center"/>
            <w:hideMark/>
          </w:tcPr>
          <w:p w14:paraId="49197269" w14:textId="77777777" w:rsidR="00EE0F1B" w:rsidRPr="00FB32A7" w:rsidRDefault="00EE0F1B" w:rsidP="00FB32A7">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B32A7">
              <w:rPr>
                <w:rFonts w:asciiTheme="minorHAnsi" w:eastAsia="Times New Roman" w:hAnsiTheme="minorHAnsi" w:cstheme="minorHAnsi"/>
                <w:sz w:val="20"/>
                <w:szCs w:val="20"/>
              </w:rPr>
              <w:t>2019</w:t>
            </w:r>
          </w:p>
        </w:tc>
        <w:tc>
          <w:tcPr>
            <w:tcW w:w="322" w:type="pct"/>
            <w:tcBorders>
              <w:left w:val="single" w:sz="4" w:space="0" w:color="4F81BD" w:themeColor="accent1"/>
              <w:right w:val="single" w:sz="4" w:space="0" w:color="4F81BD" w:themeColor="accent1"/>
            </w:tcBorders>
            <w:shd w:val="clear" w:color="auto" w:fill="365F91"/>
            <w:tcMar>
              <w:left w:w="29" w:type="dxa"/>
              <w:right w:w="29" w:type="dxa"/>
            </w:tcMar>
            <w:vAlign w:val="center"/>
            <w:hideMark/>
          </w:tcPr>
          <w:p w14:paraId="70470381" w14:textId="77777777" w:rsidR="00EE0F1B" w:rsidRPr="00FB32A7" w:rsidRDefault="00EE0F1B" w:rsidP="00FB32A7">
            <w:pPr>
              <w:spacing w:before="60" w:line="240" w:lineRule="auto"/>
              <w:ind w:right="-87"/>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B32A7">
              <w:rPr>
                <w:rFonts w:asciiTheme="minorHAnsi" w:eastAsia="Times New Roman" w:hAnsiTheme="minorHAnsi" w:cstheme="minorHAnsi"/>
                <w:sz w:val="20"/>
                <w:szCs w:val="20"/>
              </w:rPr>
              <w:t>2020</w:t>
            </w:r>
          </w:p>
        </w:tc>
        <w:tc>
          <w:tcPr>
            <w:tcW w:w="322" w:type="pct"/>
            <w:tcBorders>
              <w:left w:val="single" w:sz="4" w:space="0" w:color="4F81BD" w:themeColor="accent1"/>
              <w:right w:val="single" w:sz="4" w:space="0" w:color="4F81BD" w:themeColor="accent1"/>
            </w:tcBorders>
            <w:shd w:val="clear" w:color="auto" w:fill="365F91"/>
            <w:tcMar>
              <w:left w:w="29" w:type="dxa"/>
              <w:right w:w="29" w:type="dxa"/>
            </w:tcMar>
            <w:vAlign w:val="center"/>
            <w:hideMark/>
          </w:tcPr>
          <w:p w14:paraId="6F5E5223" w14:textId="77777777" w:rsidR="00EE0F1B" w:rsidRPr="00FB32A7" w:rsidRDefault="00EE0F1B" w:rsidP="00FB32A7">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B32A7">
              <w:rPr>
                <w:rFonts w:asciiTheme="minorHAnsi" w:eastAsia="Times New Roman" w:hAnsiTheme="minorHAnsi" w:cstheme="minorHAnsi"/>
                <w:sz w:val="20"/>
                <w:szCs w:val="20"/>
              </w:rPr>
              <w:t>2021</w:t>
            </w:r>
          </w:p>
        </w:tc>
        <w:tc>
          <w:tcPr>
            <w:tcW w:w="322" w:type="pct"/>
            <w:tcBorders>
              <w:left w:val="single" w:sz="4" w:space="0" w:color="4F81BD" w:themeColor="accent1"/>
            </w:tcBorders>
            <w:shd w:val="clear" w:color="auto" w:fill="365F91"/>
            <w:tcMar>
              <w:left w:w="29" w:type="dxa"/>
              <w:right w:w="29" w:type="dxa"/>
            </w:tcMar>
            <w:vAlign w:val="center"/>
            <w:hideMark/>
          </w:tcPr>
          <w:p w14:paraId="108206AC" w14:textId="77777777" w:rsidR="00EE0F1B" w:rsidRPr="00FB32A7" w:rsidRDefault="00EE0F1B" w:rsidP="00FB32A7">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FB32A7">
              <w:rPr>
                <w:rFonts w:asciiTheme="minorHAnsi" w:eastAsia="Times New Roman" w:hAnsiTheme="minorHAnsi" w:cstheme="minorHAnsi"/>
                <w:sz w:val="20"/>
                <w:szCs w:val="20"/>
              </w:rPr>
              <w:t>2022</w:t>
            </w:r>
          </w:p>
        </w:tc>
      </w:tr>
      <w:tr w:rsidR="00FB32A7" w:rsidRPr="00FB32A7" w14:paraId="28D2A9B0" w14:textId="77777777" w:rsidTr="00FB32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9" w:type="pct"/>
            <w:shd w:val="clear" w:color="auto" w:fill="B8CCE4"/>
            <w:tcMar>
              <w:left w:w="72" w:type="dxa"/>
              <w:right w:w="72" w:type="dxa"/>
            </w:tcMar>
            <w:hideMark/>
          </w:tcPr>
          <w:p w14:paraId="1E9A838A" w14:textId="6BDC416F" w:rsidR="00EE0F1B" w:rsidRPr="00FB32A7" w:rsidRDefault="001B7905" w:rsidP="00FB32A7">
            <w:pPr>
              <w:spacing w:before="20" w:after="20" w:line="240" w:lineRule="auto"/>
              <w:jc w:val="left"/>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GDP</w:t>
            </w:r>
            <w:r w:rsidR="00EE0F1B" w:rsidRPr="00FB32A7">
              <w:rPr>
                <w:rFonts w:asciiTheme="minorHAnsi" w:eastAsia="Times New Roman" w:hAnsiTheme="minorHAnsi" w:cstheme="minorHAnsi"/>
                <w:color w:val="000000"/>
                <w:sz w:val="20"/>
                <w:szCs w:val="20"/>
              </w:rPr>
              <w:t>, constant prices</w:t>
            </w:r>
            <w:r w:rsidR="00EE0F1B" w:rsidRPr="00FB32A7">
              <w:rPr>
                <w:rFonts w:asciiTheme="minorHAnsi" w:eastAsia="Times New Roman" w:hAnsiTheme="minorHAnsi" w:cstheme="minorHAnsi"/>
                <w:color w:val="000000"/>
                <w:sz w:val="20"/>
                <w:szCs w:val="20"/>
              </w:rPr>
              <w:br/>
              <w:t>(</w:t>
            </w:r>
            <w:r w:rsidR="005E2488" w:rsidRPr="00FB32A7">
              <w:rPr>
                <w:rFonts w:asciiTheme="minorHAnsi" w:eastAsia="Times New Roman" w:hAnsiTheme="minorHAnsi" w:cstheme="minorHAnsi"/>
                <w:color w:val="000000"/>
                <w:sz w:val="20"/>
                <w:szCs w:val="20"/>
              </w:rPr>
              <w:t xml:space="preserve">national </w:t>
            </w:r>
            <w:r w:rsidR="00EE0F1B" w:rsidRPr="00FB32A7">
              <w:rPr>
                <w:rFonts w:asciiTheme="minorHAnsi" w:eastAsia="Times New Roman" w:hAnsiTheme="minorHAnsi" w:cstheme="minorHAnsi"/>
                <w:color w:val="000000"/>
                <w:sz w:val="20"/>
                <w:szCs w:val="20"/>
              </w:rPr>
              <w:t>currency)</w:t>
            </w:r>
          </w:p>
        </w:tc>
        <w:tc>
          <w:tcPr>
            <w:tcW w:w="322" w:type="pct"/>
            <w:tcBorders>
              <w:top w:val="single" w:sz="4" w:space="0" w:color="4F81BD" w:themeColor="accent1"/>
            </w:tcBorders>
            <w:shd w:val="clear" w:color="auto" w:fill="FFFFFF" w:themeFill="background1"/>
            <w:tcMar>
              <w:left w:w="29" w:type="dxa"/>
              <w:right w:w="29" w:type="dxa"/>
            </w:tcMar>
            <w:vAlign w:val="center"/>
            <w:hideMark/>
          </w:tcPr>
          <w:p w14:paraId="28B50400"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76.203</w:t>
            </w:r>
          </w:p>
        </w:tc>
        <w:tc>
          <w:tcPr>
            <w:tcW w:w="348" w:type="pct"/>
            <w:tcBorders>
              <w:top w:val="single" w:sz="4" w:space="0" w:color="4F81BD" w:themeColor="accent1"/>
            </w:tcBorders>
            <w:shd w:val="clear" w:color="auto" w:fill="FFFFFF" w:themeFill="background1"/>
            <w:tcMar>
              <w:left w:w="29" w:type="dxa"/>
              <w:right w:w="29" w:type="dxa"/>
            </w:tcMar>
            <w:vAlign w:val="center"/>
            <w:hideMark/>
          </w:tcPr>
          <w:p w14:paraId="436736B0"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76.227</w:t>
            </w:r>
          </w:p>
        </w:tc>
        <w:tc>
          <w:tcPr>
            <w:tcW w:w="348" w:type="pct"/>
            <w:tcBorders>
              <w:top w:val="single" w:sz="4" w:space="0" w:color="4F81BD" w:themeColor="accent1"/>
            </w:tcBorders>
            <w:shd w:val="clear" w:color="auto" w:fill="FFFFFF" w:themeFill="background1"/>
            <w:tcMar>
              <w:left w:w="29" w:type="dxa"/>
              <w:right w:w="29" w:type="dxa"/>
            </w:tcMar>
            <w:vAlign w:val="center"/>
            <w:hideMark/>
          </w:tcPr>
          <w:p w14:paraId="69A9CABD"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76.884</w:t>
            </w:r>
          </w:p>
        </w:tc>
        <w:tc>
          <w:tcPr>
            <w:tcW w:w="348" w:type="pct"/>
            <w:tcBorders>
              <w:top w:val="single" w:sz="4" w:space="0" w:color="4F81BD" w:themeColor="accent1"/>
            </w:tcBorders>
            <w:shd w:val="clear" w:color="auto" w:fill="FFFFFF" w:themeFill="background1"/>
            <w:tcMar>
              <w:left w:w="29" w:type="dxa"/>
              <w:right w:w="29" w:type="dxa"/>
            </w:tcMar>
            <w:vAlign w:val="center"/>
            <w:hideMark/>
          </w:tcPr>
          <w:p w14:paraId="31D39578"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77.906</w:t>
            </w:r>
          </w:p>
        </w:tc>
        <w:tc>
          <w:tcPr>
            <w:tcW w:w="348" w:type="pct"/>
            <w:tcBorders>
              <w:top w:val="single" w:sz="4" w:space="0" w:color="4F81BD" w:themeColor="accent1"/>
            </w:tcBorders>
            <w:shd w:val="clear" w:color="auto" w:fill="FFFFFF" w:themeFill="background1"/>
            <w:tcMar>
              <w:left w:w="29" w:type="dxa"/>
              <w:right w:w="29" w:type="dxa"/>
            </w:tcMar>
            <w:vAlign w:val="center"/>
            <w:hideMark/>
          </w:tcPr>
          <w:p w14:paraId="1D19EA26"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80.724</w:t>
            </w:r>
          </w:p>
        </w:tc>
        <w:tc>
          <w:tcPr>
            <w:tcW w:w="348" w:type="pct"/>
            <w:tcBorders>
              <w:top w:val="single" w:sz="4" w:space="0" w:color="4F81BD" w:themeColor="accent1"/>
            </w:tcBorders>
            <w:shd w:val="clear" w:color="auto" w:fill="FFFFFF" w:themeFill="background1"/>
            <w:tcMar>
              <w:left w:w="29" w:type="dxa"/>
              <w:right w:w="29" w:type="dxa"/>
            </w:tcMar>
            <w:vAlign w:val="center"/>
            <w:hideMark/>
          </w:tcPr>
          <w:p w14:paraId="06386736"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83.503</w:t>
            </w:r>
          </w:p>
        </w:tc>
        <w:tc>
          <w:tcPr>
            <w:tcW w:w="349" w:type="pct"/>
            <w:tcBorders>
              <w:top w:val="single" w:sz="4" w:space="0" w:color="4F81BD" w:themeColor="accent1"/>
            </w:tcBorders>
            <w:shd w:val="clear" w:color="auto" w:fill="FFFFFF" w:themeFill="background1"/>
            <w:tcMar>
              <w:left w:w="29" w:type="dxa"/>
              <w:right w:w="29" w:type="dxa"/>
            </w:tcMar>
            <w:vAlign w:val="center"/>
            <w:hideMark/>
          </w:tcPr>
          <w:p w14:paraId="3CDC26F5"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85.924</w:t>
            </w:r>
          </w:p>
        </w:tc>
        <w:tc>
          <w:tcPr>
            <w:tcW w:w="322" w:type="pct"/>
            <w:tcBorders>
              <w:top w:val="single" w:sz="4" w:space="0" w:color="4F81BD" w:themeColor="accent1"/>
            </w:tcBorders>
            <w:shd w:val="clear" w:color="auto" w:fill="FFFFFF" w:themeFill="background1"/>
            <w:tcMar>
              <w:left w:w="29" w:type="dxa"/>
              <w:right w:w="29" w:type="dxa"/>
            </w:tcMar>
            <w:vAlign w:val="center"/>
            <w:hideMark/>
          </w:tcPr>
          <w:p w14:paraId="64CF6283"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88.244</w:t>
            </w:r>
          </w:p>
        </w:tc>
        <w:tc>
          <w:tcPr>
            <w:tcW w:w="322" w:type="pct"/>
            <w:tcBorders>
              <w:top w:val="single" w:sz="4" w:space="0" w:color="4F81BD" w:themeColor="accent1"/>
            </w:tcBorders>
            <w:shd w:val="clear" w:color="auto" w:fill="FFFFFF" w:themeFill="background1"/>
            <w:tcMar>
              <w:left w:w="29" w:type="dxa"/>
              <w:right w:w="29" w:type="dxa"/>
            </w:tcMar>
            <w:vAlign w:val="center"/>
            <w:hideMark/>
          </w:tcPr>
          <w:p w14:paraId="03032FCF"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90.45</w:t>
            </w:r>
          </w:p>
        </w:tc>
        <w:tc>
          <w:tcPr>
            <w:tcW w:w="322" w:type="pct"/>
            <w:tcBorders>
              <w:top w:val="single" w:sz="4" w:space="0" w:color="4F81BD" w:themeColor="accent1"/>
            </w:tcBorders>
            <w:shd w:val="clear" w:color="auto" w:fill="FFFFFF" w:themeFill="background1"/>
            <w:tcMar>
              <w:left w:w="29" w:type="dxa"/>
              <w:right w:w="29" w:type="dxa"/>
            </w:tcMar>
            <w:vAlign w:val="center"/>
            <w:hideMark/>
          </w:tcPr>
          <w:p w14:paraId="2C4DC11D"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92.712</w:t>
            </w:r>
          </w:p>
        </w:tc>
        <w:tc>
          <w:tcPr>
            <w:tcW w:w="322" w:type="pct"/>
            <w:tcBorders>
              <w:top w:val="single" w:sz="4" w:space="0" w:color="4F81BD" w:themeColor="accent1"/>
            </w:tcBorders>
            <w:shd w:val="clear" w:color="auto" w:fill="FFFFFF" w:themeFill="background1"/>
            <w:tcMar>
              <w:left w:w="29" w:type="dxa"/>
              <w:right w:w="29" w:type="dxa"/>
            </w:tcMar>
            <w:vAlign w:val="center"/>
            <w:hideMark/>
          </w:tcPr>
          <w:p w14:paraId="3DF62FC2"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95.029</w:t>
            </w:r>
          </w:p>
        </w:tc>
        <w:tc>
          <w:tcPr>
            <w:tcW w:w="322" w:type="pct"/>
            <w:tcBorders>
              <w:top w:val="single" w:sz="4" w:space="0" w:color="4F81BD" w:themeColor="accent1"/>
            </w:tcBorders>
            <w:shd w:val="clear" w:color="auto" w:fill="FFFFFF" w:themeFill="background1"/>
            <w:tcMar>
              <w:left w:w="29" w:type="dxa"/>
              <w:right w:w="29" w:type="dxa"/>
            </w:tcMar>
            <w:vAlign w:val="center"/>
            <w:hideMark/>
          </w:tcPr>
          <w:p w14:paraId="2892F521"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97.405</w:t>
            </w:r>
          </w:p>
        </w:tc>
      </w:tr>
      <w:tr w:rsidR="00FB32A7" w:rsidRPr="00FB32A7" w14:paraId="30FF8B2A" w14:textId="77777777" w:rsidTr="00FB32A7">
        <w:trPr>
          <w:jc w:val="center"/>
        </w:trPr>
        <w:tc>
          <w:tcPr>
            <w:cnfStyle w:val="001000000000" w:firstRow="0" w:lastRow="0" w:firstColumn="1" w:lastColumn="0" w:oddVBand="0" w:evenVBand="0" w:oddHBand="0" w:evenHBand="0" w:firstRowFirstColumn="0" w:firstRowLastColumn="0" w:lastRowFirstColumn="0" w:lastRowLastColumn="0"/>
            <w:tcW w:w="979" w:type="pct"/>
            <w:shd w:val="clear" w:color="auto" w:fill="B8CCE4"/>
            <w:tcMar>
              <w:left w:w="72" w:type="dxa"/>
              <w:right w:w="72" w:type="dxa"/>
            </w:tcMar>
            <w:hideMark/>
          </w:tcPr>
          <w:p w14:paraId="34C48F58" w14:textId="15D92EF8" w:rsidR="00EE0F1B" w:rsidRPr="003B27CD" w:rsidRDefault="001B7905" w:rsidP="00FB32A7">
            <w:pPr>
              <w:spacing w:before="20" w:after="20" w:line="240" w:lineRule="auto"/>
              <w:jc w:val="left"/>
              <w:rPr>
                <w:rFonts w:asciiTheme="minorHAnsi" w:eastAsia="Times New Roman" w:hAnsiTheme="minorHAnsi" w:cstheme="minorHAnsi"/>
                <w:color w:val="000000"/>
                <w:sz w:val="20"/>
                <w:szCs w:val="20"/>
                <w:lang w:val="fr-FR"/>
              </w:rPr>
            </w:pPr>
            <w:r w:rsidRPr="003B27CD">
              <w:rPr>
                <w:rFonts w:asciiTheme="minorHAnsi" w:eastAsia="Times New Roman" w:hAnsiTheme="minorHAnsi" w:cstheme="minorHAnsi"/>
                <w:color w:val="000000"/>
                <w:sz w:val="20"/>
                <w:szCs w:val="20"/>
                <w:lang w:val="fr-FR"/>
              </w:rPr>
              <w:t>GDP</w:t>
            </w:r>
            <w:r w:rsidR="00EE0F1B" w:rsidRPr="003B27CD">
              <w:rPr>
                <w:rFonts w:asciiTheme="minorHAnsi" w:eastAsia="Times New Roman" w:hAnsiTheme="minorHAnsi" w:cstheme="minorHAnsi"/>
                <w:color w:val="000000"/>
                <w:sz w:val="20"/>
                <w:szCs w:val="20"/>
                <w:lang w:val="fr-FR"/>
              </w:rPr>
              <w:t xml:space="preserve">, </w:t>
            </w:r>
            <w:r w:rsidR="00EE0F1B" w:rsidRPr="00395B63">
              <w:rPr>
                <w:rFonts w:asciiTheme="minorHAnsi" w:eastAsia="Times New Roman" w:hAnsiTheme="minorHAnsi" w:cstheme="minorHAnsi"/>
                <w:color w:val="000000"/>
                <w:sz w:val="20"/>
                <w:szCs w:val="20"/>
              </w:rPr>
              <w:t xml:space="preserve">constant </w:t>
            </w:r>
            <w:r w:rsidR="006A01DC" w:rsidRPr="00395B63">
              <w:rPr>
                <w:rFonts w:asciiTheme="minorHAnsi" w:eastAsia="Times New Roman" w:hAnsiTheme="minorHAnsi" w:cstheme="minorHAnsi"/>
                <w:color w:val="000000"/>
                <w:sz w:val="20"/>
                <w:szCs w:val="20"/>
              </w:rPr>
              <w:t>prices</w:t>
            </w:r>
            <w:r w:rsidR="00EE0F1B" w:rsidRPr="003B27CD">
              <w:rPr>
                <w:rFonts w:asciiTheme="minorHAnsi" w:eastAsia="Times New Roman" w:hAnsiTheme="minorHAnsi" w:cstheme="minorHAnsi"/>
                <w:color w:val="000000"/>
                <w:sz w:val="20"/>
                <w:szCs w:val="20"/>
                <w:lang w:val="fr-FR"/>
              </w:rPr>
              <w:br/>
              <w:t>(</w:t>
            </w:r>
            <w:r w:rsidR="005E2488" w:rsidRPr="003B27CD">
              <w:rPr>
                <w:rFonts w:asciiTheme="minorHAnsi" w:eastAsia="Times New Roman" w:hAnsiTheme="minorHAnsi" w:cstheme="minorHAnsi"/>
                <w:color w:val="000000"/>
                <w:sz w:val="20"/>
                <w:szCs w:val="20"/>
                <w:lang w:val="fr-FR"/>
              </w:rPr>
              <w:t xml:space="preserve">percentage </w:t>
            </w:r>
            <w:r w:rsidR="00EE0F1B" w:rsidRPr="003B27CD">
              <w:rPr>
                <w:rFonts w:asciiTheme="minorHAnsi" w:eastAsia="Times New Roman" w:hAnsiTheme="minorHAnsi" w:cstheme="minorHAnsi"/>
                <w:color w:val="000000"/>
                <w:sz w:val="20"/>
                <w:szCs w:val="20"/>
                <w:lang w:val="fr-FR"/>
              </w:rPr>
              <w:t>change)</w:t>
            </w:r>
          </w:p>
        </w:tc>
        <w:tc>
          <w:tcPr>
            <w:tcW w:w="322" w:type="pct"/>
            <w:shd w:val="clear" w:color="auto" w:fill="F2F2F2" w:themeFill="background1" w:themeFillShade="F2"/>
            <w:tcMar>
              <w:left w:w="29" w:type="dxa"/>
              <w:right w:w="29" w:type="dxa"/>
            </w:tcMar>
            <w:vAlign w:val="center"/>
            <w:hideMark/>
          </w:tcPr>
          <w:p w14:paraId="73BBE49A"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1.915</w:t>
            </w:r>
          </w:p>
        </w:tc>
        <w:tc>
          <w:tcPr>
            <w:tcW w:w="348" w:type="pct"/>
            <w:shd w:val="clear" w:color="auto" w:fill="F2F2F2" w:themeFill="background1" w:themeFillShade="F2"/>
            <w:tcMar>
              <w:left w:w="29" w:type="dxa"/>
              <w:right w:w="29" w:type="dxa"/>
            </w:tcMar>
            <w:vAlign w:val="center"/>
            <w:hideMark/>
          </w:tcPr>
          <w:p w14:paraId="0A3DECA6"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0.031</w:t>
            </w:r>
          </w:p>
        </w:tc>
        <w:tc>
          <w:tcPr>
            <w:tcW w:w="348" w:type="pct"/>
            <w:shd w:val="clear" w:color="auto" w:fill="F2F2F2" w:themeFill="background1" w:themeFillShade="F2"/>
            <w:tcMar>
              <w:left w:w="29" w:type="dxa"/>
              <w:right w:w="29" w:type="dxa"/>
            </w:tcMar>
            <w:vAlign w:val="center"/>
            <w:hideMark/>
          </w:tcPr>
          <w:p w14:paraId="04AC43CC"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0.862</w:t>
            </w:r>
          </w:p>
        </w:tc>
        <w:tc>
          <w:tcPr>
            <w:tcW w:w="348" w:type="pct"/>
            <w:shd w:val="clear" w:color="auto" w:fill="F2F2F2" w:themeFill="background1" w:themeFillShade="F2"/>
            <w:tcMar>
              <w:left w:w="29" w:type="dxa"/>
              <w:right w:w="29" w:type="dxa"/>
            </w:tcMar>
            <w:vAlign w:val="center"/>
            <w:hideMark/>
          </w:tcPr>
          <w:p w14:paraId="5FB19205"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1.329</w:t>
            </w:r>
          </w:p>
        </w:tc>
        <w:tc>
          <w:tcPr>
            <w:tcW w:w="348" w:type="pct"/>
            <w:shd w:val="clear" w:color="auto" w:fill="F2F2F2" w:themeFill="background1" w:themeFillShade="F2"/>
            <w:tcMar>
              <w:left w:w="29" w:type="dxa"/>
              <w:right w:w="29" w:type="dxa"/>
            </w:tcMar>
            <w:vAlign w:val="center"/>
            <w:hideMark/>
          </w:tcPr>
          <w:p w14:paraId="3A3BAA66"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3.617</w:t>
            </w:r>
          </w:p>
        </w:tc>
        <w:tc>
          <w:tcPr>
            <w:tcW w:w="348" w:type="pct"/>
            <w:shd w:val="clear" w:color="auto" w:fill="F2F2F2" w:themeFill="background1" w:themeFillShade="F2"/>
            <w:tcMar>
              <w:left w:w="29" w:type="dxa"/>
              <w:right w:w="29" w:type="dxa"/>
            </w:tcMar>
            <w:vAlign w:val="center"/>
            <w:hideMark/>
          </w:tcPr>
          <w:p w14:paraId="1E04EA11"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3.443</w:t>
            </w:r>
          </w:p>
        </w:tc>
        <w:tc>
          <w:tcPr>
            <w:tcW w:w="349" w:type="pct"/>
            <w:shd w:val="clear" w:color="auto" w:fill="F2F2F2" w:themeFill="background1" w:themeFillShade="F2"/>
            <w:tcMar>
              <w:left w:w="29" w:type="dxa"/>
              <w:right w:w="29" w:type="dxa"/>
            </w:tcMar>
            <w:vAlign w:val="center"/>
            <w:hideMark/>
          </w:tcPr>
          <w:p w14:paraId="3D944DF1"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2.9</w:t>
            </w:r>
          </w:p>
        </w:tc>
        <w:tc>
          <w:tcPr>
            <w:tcW w:w="322" w:type="pct"/>
            <w:shd w:val="clear" w:color="auto" w:fill="F2F2F2" w:themeFill="background1" w:themeFillShade="F2"/>
            <w:tcMar>
              <w:left w:w="29" w:type="dxa"/>
              <w:right w:w="29" w:type="dxa"/>
            </w:tcMar>
            <w:vAlign w:val="center"/>
            <w:hideMark/>
          </w:tcPr>
          <w:p w14:paraId="7D7EE020"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2.7</w:t>
            </w:r>
          </w:p>
        </w:tc>
        <w:tc>
          <w:tcPr>
            <w:tcW w:w="322" w:type="pct"/>
            <w:shd w:val="clear" w:color="auto" w:fill="F2F2F2" w:themeFill="background1" w:themeFillShade="F2"/>
            <w:tcMar>
              <w:left w:w="29" w:type="dxa"/>
              <w:right w:w="29" w:type="dxa"/>
            </w:tcMar>
            <w:vAlign w:val="center"/>
            <w:hideMark/>
          </w:tcPr>
          <w:p w14:paraId="07693A11"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2.5</w:t>
            </w:r>
          </w:p>
        </w:tc>
        <w:tc>
          <w:tcPr>
            <w:tcW w:w="322" w:type="pct"/>
            <w:shd w:val="clear" w:color="auto" w:fill="F2F2F2" w:themeFill="background1" w:themeFillShade="F2"/>
            <w:tcMar>
              <w:left w:w="29" w:type="dxa"/>
              <w:right w:w="29" w:type="dxa"/>
            </w:tcMar>
            <w:vAlign w:val="center"/>
            <w:hideMark/>
          </w:tcPr>
          <w:p w14:paraId="6AE55D30"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2.5</w:t>
            </w:r>
          </w:p>
        </w:tc>
        <w:tc>
          <w:tcPr>
            <w:tcW w:w="322" w:type="pct"/>
            <w:shd w:val="clear" w:color="auto" w:fill="F2F2F2" w:themeFill="background1" w:themeFillShade="F2"/>
            <w:tcMar>
              <w:left w:w="29" w:type="dxa"/>
              <w:right w:w="29" w:type="dxa"/>
            </w:tcMar>
            <w:vAlign w:val="center"/>
            <w:hideMark/>
          </w:tcPr>
          <w:p w14:paraId="7C34F16C"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2.5</w:t>
            </w:r>
          </w:p>
        </w:tc>
        <w:tc>
          <w:tcPr>
            <w:tcW w:w="322" w:type="pct"/>
            <w:shd w:val="clear" w:color="auto" w:fill="F2F2F2" w:themeFill="background1" w:themeFillShade="F2"/>
            <w:tcMar>
              <w:left w:w="29" w:type="dxa"/>
              <w:right w:w="29" w:type="dxa"/>
            </w:tcMar>
            <w:vAlign w:val="center"/>
            <w:hideMark/>
          </w:tcPr>
          <w:p w14:paraId="161EA729"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2.5</w:t>
            </w:r>
          </w:p>
        </w:tc>
      </w:tr>
      <w:tr w:rsidR="00FB32A7" w:rsidRPr="00FB32A7" w14:paraId="7BF55B18" w14:textId="77777777" w:rsidTr="00FB32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9" w:type="pct"/>
            <w:shd w:val="clear" w:color="auto" w:fill="B8CCE4"/>
            <w:tcMar>
              <w:left w:w="72" w:type="dxa"/>
              <w:right w:w="72" w:type="dxa"/>
            </w:tcMar>
            <w:hideMark/>
          </w:tcPr>
          <w:p w14:paraId="568A97BC" w14:textId="2F3F5532" w:rsidR="00EE0F1B" w:rsidRPr="00FB32A7" w:rsidRDefault="005E2488" w:rsidP="00FB32A7">
            <w:pPr>
              <w:spacing w:before="20" w:after="20" w:line="240" w:lineRule="auto"/>
              <w:jc w:val="left"/>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Total investment</w:t>
            </w:r>
            <w:r w:rsidRPr="00FB32A7">
              <w:rPr>
                <w:rFonts w:asciiTheme="minorHAnsi" w:eastAsia="Times New Roman" w:hAnsiTheme="minorHAnsi" w:cstheme="minorHAnsi"/>
                <w:color w:val="000000"/>
                <w:sz w:val="20"/>
                <w:szCs w:val="20"/>
              </w:rPr>
              <w:br/>
              <w:t>(percentage of GDP)</w:t>
            </w:r>
          </w:p>
        </w:tc>
        <w:tc>
          <w:tcPr>
            <w:tcW w:w="322" w:type="pct"/>
            <w:shd w:val="clear" w:color="auto" w:fill="FFFFFF" w:themeFill="background1"/>
            <w:tcMar>
              <w:left w:w="29" w:type="dxa"/>
              <w:right w:w="29" w:type="dxa"/>
            </w:tcMar>
            <w:vAlign w:val="center"/>
            <w:hideMark/>
          </w:tcPr>
          <w:p w14:paraId="1DEBDA18"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21.47</w:t>
            </w:r>
          </w:p>
        </w:tc>
        <w:tc>
          <w:tcPr>
            <w:tcW w:w="348" w:type="pct"/>
            <w:shd w:val="clear" w:color="auto" w:fill="FFFFFF" w:themeFill="background1"/>
            <w:tcMar>
              <w:left w:w="29" w:type="dxa"/>
              <w:right w:w="29" w:type="dxa"/>
            </w:tcMar>
            <w:vAlign w:val="center"/>
            <w:hideMark/>
          </w:tcPr>
          <w:p w14:paraId="7C1A998A"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21.942</w:t>
            </w:r>
          </w:p>
        </w:tc>
        <w:tc>
          <w:tcPr>
            <w:tcW w:w="348" w:type="pct"/>
            <w:shd w:val="clear" w:color="auto" w:fill="FFFFFF" w:themeFill="background1"/>
            <w:tcMar>
              <w:left w:w="29" w:type="dxa"/>
              <w:right w:w="29" w:type="dxa"/>
            </w:tcMar>
            <w:vAlign w:val="center"/>
            <w:hideMark/>
          </w:tcPr>
          <w:p w14:paraId="238146A2"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21.34</w:t>
            </w:r>
          </w:p>
        </w:tc>
        <w:tc>
          <w:tcPr>
            <w:tcW w:w="348" w:type="pct"/>
            <w:shd w:val="clear" w:color="auto" w:fill="FFFFFF" w:themeFill="background1"/>
            <w:tcMar>
              <w:left w:w="29" w:type="dxa"/>
              <w:right w:w="29" w:type="dxa"/>
            </w:tcMar>
            <w:vAlign w:val="center"/>
            <w:hideMark/>
          </w:tcPr>
          <w:p w14:paraId="317F864D"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21.436</w:t>
            </w:r>
          </w:p>
        </w:tc>
        <w:tc>
          <w:tcPr>
            <w:tcW w:w="348" w:type="pct"/>
            <w:shd w:val="clear" w:color="auto" w:fill="FFFFFF" w:themeFill="background1"/>
            <w:tcMar>
              <w:left w:w="29" w:type="dxa"/>
              <w:right w:w="29" w:type="dxa"/>
            </w:tcMar>
            <w:vAlign w:val="center"/>
            <w:hideMark/>
          </w:tcPr>
          <w:p w14:paraId="044FFC76"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21.19</w:t>
            </w:r>
          </w:p>
        </w:tc>
        <w:tc>
          <w:tcPr>
            <w:tcW w:w="348" w:type="pct"/>
            <w:shd w:val="clear" w:color="auto" w:fill="FFFFFF" w:themeFill="background1"/>
            <w:tcMar>
              <w:left w:w="29" w:type="dxa"/>
              <w:right w:w="29" w:type="dxa"/>
            </w:tcMar>
            <w:vAlign w:val="center"/>
            <w:hideMark/>
          </w:tcPr>
          <w:p w14:paraId="0B94EF19"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20.307</w:t>
            </w:r>
          </w:p>
        </w:tc>
        <w:tc>
          <w:tcPr>
            <w:tcW w:w="349" w:type="pct"/>
            <w:shd w:val="clear" w:color="auto" w:fill="FFFFFF" w:themeFill="background1"/>
            <w:tcMar>
              <w:left w:w="29" w:type="dxa"/>
              <w:right w:w="29" w:type="dxa"/>
            </w:tcMar>
            <w:vAlign w:val="center"/>
            <w:hideMark/>
          </w:tcPr>
          <w:p w14:paraId="6BA53658"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20.83</w:t>
            </w:r>
          </w:p>
        </w:tc>
        <w:tc>
          <w:tcPr>
            <w:tcW w:w="322" w:type="pct"/>
            <w:shd w:val="clear" w:color="auto" w:fill="FFFFFF" w:themeFill="background1"/>
            <w:tcMar>
              <w:left w:w="29" w:type="dxa"/>
              <w:right w:w="29" w:type="dxa"/>
            </w:tcMar>
            <w:vAlign w:val="center"/>
            <w:hideMark/>
          </w:tcPr>
          <w:p w14:paraId="3C22CAE0"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20.98</w:t>
            </w:r>
          </w:p>
        </w:tc>
        <w:tc>
          <w:tcPr>
            <w:tcW w:w="322" w:type="pct"/>
            <w:shd w:val="clear" w:color="auto" w:fill="FFFFFF" w:themeFill="background1"/>
            <w:tcMar>
              <w:left w:w="29" w:type="dxa"/>
              <w:right w:w="29" w:type="dxa"/>
            </w:tcMar>
            <w:vAlign w:val="center"/>
            <w:hideMark/>
          </w:tcPr>
          <w:p w14:paraId="1DCDC56D"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21.443</w:t>
            </w:r>
          </w:p>
        </w:tc>
        <w:tc>
          <w:tcPr>
            <w:tcW w:w="322" w:type="pct"/>
            <w:shd w:val="clear" w:color="auto" w:fill="FFFFFF" w:themeFill="background1"/>
            <w:tcMar>
              <w:left w:w="29" w:type="dxa"/>
              <w:right w:w="29" w:type="dxa"/>
            </w:tcMar>
            <w:vAlign w:val="center"/>
            <w:hideMark/>
          </w:tcPr>
          <w:p w14:paraId="7A1B9619"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22.227</w:t>
            </w:r>
          </w:p>
        </w:tc>
        <w:tc>
          <w:tcPr>
            <w:tcW w:w="322" w:type="pct"/>
            <w:shd w:val="clear" w:color="auto" w:fill="FFFFFF" w:themeFill="background1"/>
            <w:tcMar>
              <w:left w:w="29" w:type="dxa"/>
              <w:right w:w="29" w:type="dxa"/>
            </w:tcMar>
            <w:vAlign w:val="center"/>
            <w:hideMark/>
          </w:tcPr>
          <w:p w14:paraId="0F5A436F"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23.1</w:t>
            </w:r>
          </w:p>
        </w:tc>
        <w:tc>
          <w:tcPr>
            <w:tcW w:w="322" w:type="pct"/>
            <w:shd w:val="clear" w:color="auto" w:fill="FFFFFF" w:themeFill="background1"/>
            <w:tcMar>
              <w:left w:w="29" w:type="dxa"/>
              <w:right w:w="29" w:type="dxa"/>
            </w:tcMar>
            <w:vAlign w:val="center"/>
            <w:hideMark/>
          </w:tcPr>
          <w:p w14:paraId="14D9A0AA" w14:textId="77777777"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23.986</w:t>
            </w:r>
          </w:p>
        </w:tc>
      </w:tr>
      <w:tr w:rsidR="00FB32A7" w:rsidRPr="00FB32A7" w14:paraId="40293D94" w14:textId="77777777" w:rsidTr="00FB32A7">
        <w:trPr>
          <w:jc w:val="center"/>
        </w:trPr>
        <w:tc>
          <w:tcPr>
            <w:cnfStyle w:val="001000000000" w:firstRow="0" w:lastRow="0" w:firstColumn="1" w:lastColumn="0" w:oddVBand="0" w:evenVBand="0" w:oddHBand="0" w:evenHBand="0" w:firstRowFirstColumn="0" w:firstRowLastColumn="0" w:lastRowFirstColumn="0" w:lastRowLastColumn="0"/>
            <w:tcW w:w="979" w:type="pct"/>
            <w:shd w:val="clear" w:color="auto" w:fill="B8CCE4"/>
            <w:tcMar>
              <w:left w:w="72" w:type="dxa"/>
              <w:right w:w="72" w:type="dxa"/>
            </w:tcMar>
            <w:hideMark/>
          </w:tcPr>
          <w:p w14:paraId="0EB4908C" w14:textId="756AD8E0" w:rsidR="00EE0F1B" w:rsidRPr="00FB32A7" w:rsidRDefault="00EE0F1B" w:rsidP="00FB32A7">
            <w:pPr>
              <w:spacing w:before="20" w:after="20" w:line="240" w:lineRule="auto"/>
              <w:jc w:val="left"/>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Current account balance (</w:t>
            </w:r>
            <w:r w:rsidR="005E2488" w:rsidRPr="00FB32A7">
              <w:rPr>
                <w:rFonts w:asciiTheme="minorHAnsi" w:eastAsia="Times New Roman" w:hAnsiTheme="minorHAnsi" w:cstheme="minorHAnsi"/>
                <w:color w:val="000000"/>
                <w:sz w:val="20"/>
                <w:szCs w:val="20"/>
              </w:rPr>
              <w:t xml:space="preserve">percentage </w:t>
            </w:r>
            <w:r w:rsidRPr="00FB32A7">
              <w:rPr>
                <w:rFonts w:asciiTheme="minorHAnsi" w:eastAsia="Times New Roman" w:hAnsiTheme="minorHAnsi" w:cstheme="minorHAnsi"/>
                <w:color w:val="000000"/>
                <w:sz w:val="20"/>
                <w:szCs w:val="20"/>
              </w:rPr>
              <w:t>of GDP)</w:t>
            </w:r>
          </w:p>
        </w:tc>
        <w:tc>
          <w:tcPr>
            <w:tcW w:w="322" w:type="pct"/>
            <w:shd w:val="clear" w:color="auto" w:fill="F2F2F2" w:themeFill="background1" w:themeFillShade="F2"/>
            <w:tcMar>
              <w:left w:w="29" w:type="dxa"/>
              <w:right w:w="29" w:type="dxa"/>
            </w:tcMar>
            <w:vAlign w:val="center"/>
            <w:hideMark/>
          </w:tcPr>
          <w:p w14:paraId="401A02D5"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0.33</w:t>
            </w:r>
          </w:p>
        </w:tc>
        <w:tc>
          <w:tcPr>
            <w:tcW w:w="348" w:type="pct"/>
            <w:shd w:val="clear" w:color="auto" w:fill="F2F2F2" w:themeFill="background1" w:themeFillShade="F2"/>
            <w:tcMar>
              <w:left w:w="29" w:type="dxa"/>
              <w:right w:w="29" w:type="dxa"/>
            </w:tcMar>
            <w:vAlign w:val="center"/>
            <w:hideMark/>
          </w:tcPr>
          <w:p w14:paraId="40EB7328" w14:textId="23D78712" w:rsidR="00EE0F1B" w:rsidRPr="00FB32A7" w:rsidRDefault="00632EF9"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w:t>
            </w:r>
            <w:r w:rsidR="00EE0F1B" w:rsidRPr="00FB32A7">
              <w:rPr>
                <w:rFonts w:asciiTheme="minorHAnsi" w:eastAsia="Times New Roman" w:hAnsiTheme="minorHAnsi" w:cstheme="minorHAnsi"/>
                <w:color w:val="000000"/>
                <w:sz w:val="20"/>
                <w:szCs w:val="20"/>
              </w:rPr>
              <w:t>0.853</w:t>
            </w:r>
          </w:p>
        </w:tc>
        <w:tc>
          <w:tcPr>
            <w:tcW w:w="348" w:type="pct"/>
            <w:shd w:val="clear" w:color="auto" w:fill="F2F2F2" w:themeFill="background1" w:themeFillShade="F2"/>
            <w:tcMar>
              <w:left w:w="29" w:type="dxa"/>
              <w:right w:w="29" w:type="dxa"/>
            </w:tcMar>
            <w:vAlign w:val="center"/>
            <w:hideMark/>
          </w:tcPr>
          <w:p w14:paraId="23AD8DD7"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1.276</w:t>
            </w:r>
          </w:p>
        </w:tc>
        <w:tc>
          <w:tcPr>
            <w:tcW w:w="348" w:type="pct"/>
            <w:shd w:val="clear" w:color="auto" w:fill="F2F2F2" w:themeFill="background1" w:themeFillShade="F2"/>
            <w:tcMar>
              <w:left w:w="29" w:type="dxa"/>
              <w:right w:w="29" w:type="dxa"/>
            </w:tcMar>
            <w:vAlign w:val="center"/>
            <w:hideMark/>
          </w:tcPr>
          <w:p w14:paraId="54272F72"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0.082</w:t>
            </w:r>
          </w:p>
        </w:tc>
        <w:tc>
          <w:tcPr>
            <w:tcW w:w="348" w:type="pct"/>
            <w:shd w:val="clear" w:color="auto" w:fill="F2F2F2" w:themeFill="background1" w:themeFillShade="F2"/>
            <w:tcMar>
              <w:left w:w="29" w:type="dxa"/>
              <w:right w:w="29" w:type="dxa"/>
            </w:tcMar>
            <w:vAlign w:val="center"/>
            <w:hideMark/>
          </w:tcPr>
          <w:p w14:paraId="7E54070C" w14:textId="1E658480" w:rsidR="00EE0F1B" w:rsidRPr="00FB32A7" w:rsidRDefault="00632EF9"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w:t>
            </w:r>
            <w:r w:rsidR="00EE0F1B" w:rsidRPr="00FB32A7">
              <w:rPr>
                <w:rFonts w:asciiTheme="minorHAnsi" w:eastAsia="Times New Roman" w:hAnsiTheme="minorHAnsi" w:cstheme="minorHAnsi"/>
                <w:color w:val="000000"/>
                <w:sz w:val="20"/>
                <w:szCs w:val="20"/>
              </w:rPr>
              <w:t>0.134</w:t>
            </w:r>
          </w:p>
        </w:tc>
        <w:tc>
          <w:tcPr>
            <w:tcW w:w="348" w:type="pct"/>
            <w:shd w:val="clear" w:color="auto" w:fill="F2F2F2" w:themeFill="background1" w:themeFillShade="F2"/>
            <w:tcMar>
              <w:left w:w="29" w:type="dxa"/>
              <w:right w:w="29" w:type="dxa"/>
            </w:tcMar>
            <w:vAlign w:val="center"/>
            <w:hideMark/>
          </w:tcPr>
          <w:p w14:paraId="789F4101"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4.198</w:t>
            </w:r>
          </w:p>
        </w:tc>
        <w:tc>
          <w:tcPr>
            <w:tcW w:w="349" w:type="pct"/>
            <w:shd w:val="clear" w:color="auto" w:fill="F2F2F2" w:themeFill="background1" w:themeFillShade="F2"/>
            <w:tcMar>
              <w:left w:w="29" w:type="dxa"/>
              <w:right w:w="29" w:type="dxa"/>
            </w:tcMar>
            <w:vAlign w:val="center"/>
            <w:hideMark/>
          </w:tcPr>
          <w:p w14:paraId="108DC811"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2.258</w:t>
            </w:r>
          </w:p>
        </w:tc>
        <w:tc>
          <w:tcPr>
            <w:tcW w:w="322" w:type="pct"/>
            <w:shd w:val="clear" w:color="auto" w:fill="F2F2F2" w:themeFill="background1" w:themeFillShade="F2"/>
            <w:tcMar>
              <w:left w:w="29" w:type="dxa"/>
              <w:right w:w="29" w:type="dxa"/>
            </w:tcMar>
            <w:vAlign w:val="center"/>
            <w:hideMark/>
          </w:tcPr>
          <w:p w14:paraId="2A40DBAA"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2.034</w:t>
            </w:r>
          </w:p>
        </w:tc>
        <w:tc>
          <w:tcPr>
            <w:tcW w:w="322" w:type="pct"/>
            <w:shd w:val="clear" w:color="auto" w:fill="F2F2F2" w:themeFill="background1" w:themeFillShade="F2"/>
            <w:tcMar>
              <w:left w:w="29" w:type="dxa"/>
              <w:right w:w="29" w:type="dxa"/>
            </w:tcMar>
            <w:vAlign w:val="center"/>
            <w:hideMark/>
          </w:tcPr>
          <w:p w14:paraId="1537D809"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1.731</w:t>
            </w:r>
          </w:p>
        </w:tc>
        <w:tc>
          <w:tcPr>
            <w:tcW w:w="322" w:type="pct"/>
            <w:shd w:val="clear" w:color="auto" w:fill="F2F2F2" w:themeFill="background1" w:themeFillShade="F2"/>
            <w:tcMar>
              <w:left w:w="29" w:type="dxa"/>
              <w:right w:w="29" w:type="dxa"/>
            </w:tcMar>
            <w:vAlign w:val="center"/>
            <w:hideMark/>
          </w:tcPr>
          <w:p w14:paraId="1A678B7E"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0.946</w:t>
            </w:r>
          </w:p>
        </w:tc>
        <w:tc>
          <w:tcPr>
            <w:tcW w:w="322" w:type="pct"/>
            <w:shd w:val="clear" w:color="auto" w:fill="F2F2F2" w:themeFill="background1" w:themeFillShade="F2"/>
            <w:tcMar>
              <w:left w:w="29" w:type="dxa"/>
              <w:right w:w="29" w:type="dxa"/>
            </w:tcMar>
            <w:vAlign w:val="center"/>
            <w:hideMark/>
          </w:tcPr>
          <w:p w14:paraId="115F196C" w14:textId="77777777" w:rsidR="00EE0F1B" w:rsidRPr="00FB32A7" w:rsidRDefault="00EE0F1B"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0.105</w:t>
            </w:r>
          </w:p>
        </w:tc>
        <w:tc>
          <w:tcPr>
            <w:tcW w:w="322" w:type="pct"/>
            <w:shd w:val="clear" w:color="auto" w:fill="F2F2F2" w:themeFill="background1" w:themeFillShade="F2"/>
            <w:tcMar>
              <w:left w:w="0" w:type="dxa"/>
              <w:right w:w="0" w:type="dxa"/>
            </w:tcMar>
            <w:vAlign w:val="center"/>
            <w:hideMark/>
          </w:tcPr>
          <w:p w14:paraId="085F0401" w14:textId="3798D680" w:rsidR="00EE0F1B" w:rsidRPr="00FB32A7" w:rsidRDefault="00632EF9" w:rsidP="00FB32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w:t>
            </w:r>
            <w:r w:rsidR="00EE0F1B" w:rsidRPr="00FB32A7">
              <w:rPr>
                <w:rFonts w:asciiTheme="minorHAnsi" w:eastAsia="Times New Roman" w:hAnsiTheme="minorHAnsi" w:cstheme="minorHAnsi"/>
                <w:color w:val="000000"/>
                <w:sz w:val="20"/>
                <w:szCs w:val="20"/>
              </w:rPr>
              <w:t>0.825</w:t>
            </w:r>
          </w:p>
        </w:tc>
      </w:tr>
      <w:tr w:rsidR="00FB32A7" w:rsidRPr="00FB32A7" w14:paraId="449842E3" w14:textId="77777777" w:rsidTr="00FB32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9" w:type="pct"/>
            <w:shd w:val="clear" w:color="auto" w:fill="B8CCE4"/>
            <w:tcMar>
              <w:left w:w="72" w:type="dxa"/>
              <w:right w:w="72" w:type="dxa"/>
            </w:tcMar>
            <w:hideMark/>
          </w:tcPr>
          <w:p w14:paraId="092C3ED8" w14:textId="7D69C895" w:rsidR="00EE0F1B" w:rsidRPr="00FB32A7" w:rsidRDefault="00EE0F1B" w:rsidP="00FB32A7">
            <w:pPr>
              <w:spacing w:before="20" w:after="20" w:line="240" w:lineRule="auto"/>
              <w:jc w:val="left"/>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Population, total</w:t>
            </w:r>
            <w:r w:rsidR="00BB48C2" w:rsidRPr="00FB32A7">
              <w:rPr>
                <w:rFonts w:asciiTheme="minorHAnsi" w:eastAsia="Times New Roman" w:hAnsiTheme="minorHAnsi" w:cstheme="minorHAnsi"/>
                <w:color w:val="000000"/>
                <w:sz w:val="20"/>
                <w:szCs w:val="20"/>
              </w:rPr>
              <w:t xml:space="preserve"> </w:t>
            </w:r>
            <w:r w:rsidRPr="00FB32A7">
              <w:rPr>
                <w:rFonts w:asciiTheme="minorHAnsi" w:eastAsia="Times New Roman" w:hAnsiTheme="minorHAnsi" w:cstheme="minorHAnsi"/>
                <w:color w:val="000000"/>
                <w:sz w:val="20"/>
                <w:szCs w:val="20"/>
              </w:rPr>
              <w:t>(</w:t>
            </w:r>
            <w:r w:rsidR="005E2488" w:rsidRPr="00FB32A7">
              <w:rPr>
                <w:rFonts w:asciiTheme="minorHAnsi" w:eastAsia="Times New Roman" w:hAnsiTheme="minorHAnsi" w:cstheme="minorHAnsi"/>
                <w:color w:val="000000"/>
                <w:sz w:val="20"/>
                <w:szCs w:val="20"/>
              </w:rPr>
              <w:t xml:space="preserve">number </w:t>
            </w:r>
            <w:r w:rsidRPr="00FB32A7">
              <w:rPr>
                <w:rFonts w:asciiTheme="minorHAnsi" w:eastAsia="Times New Roman" w:hAnsiTheme="minorHAnsi" w:cstheme="minorHAnsi"/>
                <w:color w:val="000000"/>
                <w:sz w:val="20"/>
                <w:szCs w:val="20"/>
              </w:rPr>
              <w:t>of people</w:t>
            </w:r>
            <w:r w:rsidR="0082784B" w:rsidRPr="00FB32A7">
              <w:rPr>
                <w:rFonts w:asciiTheme="minorHAnsi" w:eastAsia="Times New Roman" w:hAnsiTheme="minorHAnsi" w:cstheme="minorHAnsi"/>
                <w:color w:val="000000"/>
                <w:sz w:val="20"/>
                <w:szCs w:val="20"/>
              </w:rPr>
              <w:t xml:space="preserve"> </w:t>
            </w:r>
            <w:r w:rsidR="005E2488" w:rsidRPr="00FB32A7">
              <w:rPr>
                <w:rFonts w:asciiTheme="minorHAnsi" w:eastAsia="Times New Roman" w:hAnsiTheme="minorHAnsi" w:cstheme="minorHAnsi"/>
                <w:color w:val="000000"/>
                <w:sz w:val="20"/>
                <w:szCs w:val="20"/>
              </w:rPr>
              <w:t>×</w:t>
            </w:r>
            <w:r w:rsidR="0082784B" w:rsidRPr="00FB32A7">
              <w:rPr>
                <w:rFonts w:asciiTheme="minorHAnsi" w:eastAsia="Times New Roman" w:hAnsiTheme="minorHAnsi" w:cstheme="minorHAnsi"/>
                <w:color w:val="000000"/>
                <w:sz w:val="20"/>
                <w:szCs w:val="20"/>
              </w:rPr>
              <w:t xml:space="preserve"> 1,000</w:t>
            </w:r>
            <w:r w:rsidRPr="00FB32A7">
              <w:rPr>
                <w:rFonts w:asciiTheme="minorHAnsi" w:eastAsia="Times New Roman" w:hAnsiTheme="minorHAnsi" w:cstheme="minorHAnsi"/>
                <w:color w:val="000000"/>
                <w:sz w:val="20"/>
                <w:szCs w:val="20"/>
              </w:rPr>
              <w:t>)</w:t>
            </w:r>
          </w:p>
        </w:tc>
        <w:tc>
          <w:tcPr>
            <w:tcW w:w="322" w:type="pct"/>
            <w:shd w:val="clear" w:color="auto" w:fill="FFFFFF" w:themeFill="background1"/>
            <w:tcMar>
              <w:left w:w="29" w:type="dxa"/>
              <w:right w:w="29" w:type="dxa"/>
            </w:tcMar>
            <w:vAlign w:val="center"/>
            <w:hideMark/>
          </w:tcPr>
          <w:p w14:paraId="0173A36A" w14:textId="42F7B63F"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348" w:type="pct"/>
            <w:shd w:val="clear" w:color="auto" w:fill="FFFFFF" w:themeFill="background1"/>
            <w:tcMar>
              <w:left w:w="29" w:type="dxa"/>
              <w:right w:w="29" w:type="dxa"/>
            </w:tcMar>
            <w:vAlign w:val="center"/>
            <w:hideMark/>
          </w:tcPr>
          <w:p w14:paraId="4C50BCCC" w14:textId="521680E3"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7,395</w:t>
            </w:r>
            <w:r w:rsidR="0082784B" w:rsidRPr="00FB32A7">
              <w:rPr>
                <w:rFonts w:asciiTheme="minorHAnsi" w:eastAsia="Times New Roman" w:hAnsiTheme="minorHAnsi" w:cstheme="minorHAnsi"/>
                <w:color w:val="000000"/>
                <w:sz w:val="20"/>
                <w:szCs w:val="20"/>
              </w:rPr>
              <w:t>.6</w:t>
            </w:r>
          </w:p>
        </w:tc>
        <w:tc>
          <w:tcPr>
            <w:tcW w:w="348" w:type="pct"/>
            <w:shd w:val="clear" w:color="auto" w:fill="FFFFFF" w:themeFill="background1"/>
            <w:tcMar>
              <w:left w:w="29" w:type="dxa"/>
              <w:right w:w="29" w:type="dxa"/>
            </w:tcMar>
            <w:vAlign w:val="center"/>
            <w:hideMark/>
          </w:tcPr>
          <w:p w14:paraId="5067CD27" w14:textId="64A6B530"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7,348</w:t>
            </w:r>
            <w:r w:rsidR="0082784B" w:rsidRPr="00FB32A7">
              <w:rPr>
                <w:rFonts w:asciiTheme="minorHAnsi" w:eastAsia="Times New Roman" w:hAnsiTheme="minorHAnsi" w:cstheme="minorHAnsi"/>
                <w:color w:val="000000"/>
                <w:sz w:val="20"/>
                <w:szCs w:val="20"/>
              </w:rPr>
              <w:t>.</w:t>
            </w:r>
            <w:r w:rsidRPr="00FB32A7">
              <w:rPr>
                <w:rFonts w:asciiTheme="minorHAnsi" w:eastAsia="Times New Roman" w:hAnsiTheme="minorHAnsi" w:cstheme="minorHAnsi"/>
                <w:color w:val="000000"/>
                <w:sz w:val="20"/>
                <w:szCs w:val="20"/>
              </w:rPr>
              <w:t>3</w:t>
            </w:r>
          </w:p>
        </w:tc>
        <w:tc>
          <w:tcPr>
            <w:tcW w:w="348" w:type="pct"/>
            <w:shd w:val="clear" w:color="auto" w:fill="FFFFFF" w:themeFill="background1"/>
            <w:tcMar>
              <w:left w:w="29" w:type="dxa"/>
              <w:right w:w="29" w:type="dxa"/>
            </w:tcMar>
            <w:vAlign w:val="center"/>
            <w:hideMark/>
          </w:tcPr>
          <w:p w14:paraId="39363DD1" w14:textId="05A22C52"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7,305</w:t>
            </w:r>
            <w:r w:rsidR="0082784B" w:rsidRPr="00FB32A7">
              <w:rPr>
                <w:rFonts w:asciiTheme="minorHAnsi" w:eastAsia="Times New Roman" w:hAnsiTheme="minorHAnsi" w:cstheme="minorHAnsi"/>
                <w:color w:val="000000"/>
                <w:sz w:val="20"/>
                <w:szCs w:val="20"/>
              </w:rPr>
              <w:t>.9</w:t>
            </w:r>
          </w:p>
        </w:tc>
        <w:tc>
          <w:tcPr>
            <w:tcW w:w="348" w:type="pct"/>
            <w:shd w:val="clear" w:color="auto" w:fill="FFFFFF" w:themeFill="background1"/>
            <w:tcMar>
              <w:left w:w="29" w:type="dxa"/>
              <w:right w:w="29" w:type="dxa"/>
            </w:tcMar>
            <w:vAlign w:val="center"/>
            <w:hideMark/>
          </w:tcPr>
          <w:p w14:paraId="70EE3CEF" w14:textId="79868209"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7,265</w:t>
            </w:r>
            <w:r w:rsidR="0082784B" w:rsidRPr="00FB32A7">
              <w:rPr>
                <w:rFonts w:asciiTheme="minorHAnsi" w:eastAsia="Times New Roman" w:hAnsiTheme="minorHAnsi" w:cstheme="minorHAnsi"/>
                <w:color w:val="000000"/>
                <w:sz w:val="20"/>
                <w:szCs w:val="20"/>
              </w:rPr>
              <w:t>.1</w:t>
            </w:r>
          </w:p>
        </w:tc>
        <w:tc>
          <w:tcPr>
            <w:tcW w:w="348" w:type="pct"/>
            <w:shd w:val="clear" w:color="auto" w:fill="FFFFFF" w:themeFill="background1"/>
            <w:tcMar>
              <w:left w:w="29" w:type="dxa"/>
              <w:right w:w="29" w:type="dxa"/>
            </w:tcMar>
            <w:vAlign w:val="center"/>
            <w:hideMark/>
          </w:tcPr>
          <w:p w14:paraId="7EA49DFF" w14:textId="3B0452A4"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7,223</w:t>
            </w:r>
            <w:r w:rsidR="0082784B" w:rsidRPr="00FB32A7">
              <w:rPr>
                <w:rFonts w:asciiTheme="minorHAnsi" w:eastAsia="Times New Roman" w:hAnsiTheme="minorHAnsi" w:cstheme="minorHAnsi"/>
                <w:color w:val="000000"/>
                <w:sz w:val="20"/>
                <w:szCs w:val="20"/>
              </w:rPr>
              <w:t>.9</w:t>
            </w:r>
          </w:p>
        </w:tc>
        <w:tc>
          <w:tcPr>
            <w:tcW w:w="349" w:type="pct"/>
            <w:shd w:val="clear" w:color="auto" w:fill="FFFFFF" w:themeFill="background1"/>
            <w:tcMar>
              <w:left w:w="29" w:type="dxa"/>
              <w:right w:w="29" w:type="dxa"/>
            </w:tcMar>
            <w:vAlign w:val="center"/>
            <w:hideMark/>
          </w:tcPr>
          <w:p w14:paraId="0C4E4589" w14:textId="30B85B9F"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FB32A7">
              <w:rPr>
                <w:rFonts w:asciiTheme="minorHAnsi" w:eastAsia="Times New Roman" w:hAnsiTheme="minorHAnsi" w:cstheme="minorHAnsi"/>
                <w:color w:val="000000"/>
                <w:sz w:val="20"/>
                <w:szCs w:val="20"/>
              </w:rPr>
              <w:t>7,17</w:t>
            </w:r>
            <w:r w:rsidR="0082784B" w:rsidRPr="00FB32A7">
              <w:rPr>
                <w:rFonts w:asciiTheme="minorHAnsi" w:eastAsia="Times New Roman" w:hAnsiTheme="minorHAnsi" w:cstheme="minorHAnsi"/>
                <w:color w:val="000000"/>
                <w:sz w:val="20"/>
                <w:szCs w:val="20"/>
              </w:rPr>
              <w:t>8.0</w:t>
            </w:r>
          </w:p>
        </w:tc>
        <w:tc>
          <w:tcPr>
            <w:tcW w:w="322" w:type="pct"/>
            <w:shd w:val="clear" w:color="auto" w:fill="FFFFFF" w:themeFill="background1"/>
            <w:tcMar>
              <w:left w:w="29" w:type="dxa"/>
              <w:right w:w="29" w:type="dxa"/>
            </w:tcMar>
            <w:vAlign w:val="center"/>
            <w:hideMark/>
          </w:tcPr>
          <w:p w14:paraId="31CE6306" w14:textId="341778C3"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322" w:type="pct"/>
            <w:shd w:val="clear" w:color="auto" w:fill="FFFFFF" w:themeFill="background1"/>
            <w:tcMar>
              <w:left w:w="29" w:type="dxa"/>
              <w:right w:w="29" w:type="dxa"/>
            </w:tcMar>
            <w:vAlign w:val="center"/>
            <w:hideMark/>
          </w:tcPr>
          <w:p w14:paraId="55B9B73E" w14:textId="03809D92"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322" w:type="pct"/>
            <w:shd w:val="clear" w:color="auto" w:fill="FFFFFF" w:themeFill="background1"/>
            <w:tcMar>
              <w:left w:w="29" w:type="dxa"/>
              <w:right w:w="29" w:type="dxa"/>
            </w:tcMar>
            <w:vAlign w:val="center"/>
            <w:hideMark/>
          </w:tcPr>
          <w:p w14:paraId="50B7AC19" w14:textId="78299D83"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322" w:type="pct"/>
            <w:shd w:val="clear" w:color="auto" w:fill="FFFFFF" w:themeFill="background1"/>
            <w:tcMar>
              <w:left w:w="29" w:type="dxa"/>
              <w:right w:w="29" w:type="dxa"/>
            </w:tcMar>
            <w:vAlign w:val="center"/>
            <w:hideMark/>
          </w:tcPr>
          <w:p w14:paraId="31522E79" w14:textId="6F8CA29F"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322" w:type="pct"/>
            <w:shd w:val="clear" w:color="auto" w:fill="FFFFFF" w:themeFill="background1"/>
            <w:tcMar>
              <w:left w:w="29" w:type="dxa"/>
              <w:right w:w="29" w:type="dxa"/>
            </w:tcMar>
            <w:vAlign w:val="center"/>
            <w:hideMark/>
          </w:tcPr>
          <w:p w14:paraId="38CDA74F" w14:textId="0147ADAB" w:rsidR="00EE0F1B" w:rsidRPr="00FB32A7" w:rsidRDefault="00EE0F1B" w:rsidP="00FB32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r>
    </w:tbl>
    <w:p w14:paraId="204AD95B" w14:textId="7A009018" w:rsidR="00EE0F1B" w:rsidRPr="001C3EDC" w:rsidRDefault="00342E44" w:rsidP="00BA2083">
      <w:pPr>
        <w:pStyle w:val="Source"/>
      </w:pPr>
      <w:r w:rsidRPr="001C3EDC">
        <w:t>Source: IMF</w:t>
      </w:r>
      <w:r w:rsidR="00B52379" w:rsidRPr="001C3EDC">
        <w:t>.</w:t>
      </w:r>
    </w:p>
    <w:p w14:paraId="5F532A0A" w14:textId="3485FED4" w:rsidR="00EE0F1B" w:rsidRPr="001C3EDC" w:rsidRDefault="00C14FD1" w:rsidP="004F7F4A">
      <w:pPr>
        <w:pStyle w:val="Caption"/>
        <w:spacing w:before="200"/>
        <w:rPr>
          <w:rFonts w:ascii="Calibri" w:hAnsi="Calibri"/>
          <w:i/>
          <w:color w:val="44546A"/>
          <w:sz w:val="22"/>
          <w:szCs w:val="18"/>
        </w:rPr>
      </w:pPr>
      <w:bookmarkStart w:id="97" w:name="_Toc486875540"/>
      <w:bookmarkStart w:id="98" w:name="_Toc505612588"/>
      <w:bookmarkStart w:id="99" w:name="_Toc522036487"/>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16</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EE0F1B" w:rsidRPr="001C3EDC">
        <w:rPr>
          <w:rFonts w:ascii="Calibri" w:hAnsi="Calibri"/>
          <w:i/>
          <w:color w:val="44546A"/>
          <w:sz w:val="22"/>
          <w:szCs w:val="18"/>
        </w:rPr>
        <w:t>Population projections for Bulgaria</w:t>
      </w:r>
      <w:r w:rsidR="004F7F4A" w:rsidRPr="001C3EDC">
        <w:rPr>
          <w:rFonts w:ascii="Calibri" w:hAnsi="Calibri"/>
          <w:i/>
          <w:color w:val="44546A"/>
          <w:sz w:val="22"/>
          <w:szCs w:val="18"/>
        </w:rPr>
        <w:br/>
      </w:r>
      <w:r w:rsidR="00EE0F1B" w:rsidRPr="001C3EDC">
        <w:rPr>
          <w:rFonts w:ascii="Calibri" w:hAnsi="Calibri"/>
          <w:i/>
          <w:color w:val="44546A"/>
          <w:sz w:val="22"/>
          <w:szCs w:val="18"/>
        </w:rPr>
        <w:t>(total population, constant fertility and migration rate)</w:t>
      </w:r>
      <w:bookmarkEnd w:id="97"/>
      <w:bookmarkEnd w:id="98"/>
      <w:bookmarkEnd w:id="99"/>
    </w:p>
    <w:p w14:paraId="1480BB52" w14:textId="77777777" w:rsidR="00EE0F1B" w:rsidRPr="001C3EDC" w:rsidRDefault="00EE0F1B" w:rsidP="005E2488">
      <w:pPr>
        <w:spacing w:after="0" w:line="240" w:lineRule="auto"/>
        <w:jc w:val="center"/>
      </w:pPr>
      <w:r w:rsidRPr="001C3EDC">
        <w:rPr>
          <w:noProof/>
        </w:rPr>
        <w:drawing>
          <wp:inline distT="0" distB="0" distL="0" distR="0" wp14:anchorId="2A1A0148" wp14:editId="7C61E66A">
            <wp:extent cx="4208683" cy="2164466"/>
            <wp:effectExtent l="19050" t="19050" r="20955"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153" t="10443" r="2074" b="2811"/>
                    <a:stretch/>
                  </pic:blipFill>
                  <pic:spPr bwMode="auto">
                    <a:xfrm>
                      <a:off x="0" y="0"/>
                      <a:ext cx="4355581" cy="2240013"/>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51EA9229" w14:textId="77777777" w:rsidR="00BA2083" w:rsidRPr="001C3EDC" w:rsidRDefault="00BA2083" w:rsidP="00BA2083">
      <w:pPr>
        <w:pStyle w:val="Source"/>
        <w:spacing w:after="60"/>
      </w:pPr>
      <w:r w:rsidRPr="001C3EDC">
        <w:t>Note: Index 2011 (start year) = 100.</w:t>
      </w:r>
    </w:p>
    <w:p w14:paraId="299EEBAB" w14:textId="340CC302" w:rsidR="00EE0F1B" w:rsidRPr="001C3EDC" w:rsidRDefault="00EE0F1B" w:rsidP="00BA2083">
      <w:pPr>
        <w:pStyle w:val="Source"/>
      </w:pPr>
      <w:r w:rsidRPr="001C3EDC">
        <w:t>Source: UN Statistics.</w:t>
      </w:r>
    </w:p>
    <w:p w14:paraId="50C3BF69" w14:textId="167F686A" w:rsidR="001D4DF4" w:rsidRPr="001C3EDC" w:rsidRDefault="00EE0F1B" w:rsidP="00CA5CD0">
      <w:pPr>
        <w:pStyle w:val="BodyText"/>
        <w:tabs>
          <w:tab w:val="left" w:pos="720"/>
        </w:tabs>
        <w:spacing w:before="120"/>
        <w:ind w:left="0" w:firstLine="0"/>
        <w:rPr>
          <w:rFonts w:cstheme="minorHAnsi"/>
        </w:rPr>
      </w:pPr>
      <w:r w:rsidRPr="001C3EDC">
        <w:rPr>
          <w:rFonts w:cstheme="minorHAnsi"/>
        </w:rPr>
        <w:t>As shown in</w:t>
      </w:r>
      <w:r w:rsidR="00B52379" w:rsidRPr="001C3EDC">
        <w:rPr>
          <w:rFonts w:cstheme="minorHAnsi"/>
          <w:bCs/>
          <w:iCs/>
        </w:rPr>
        <w:t xml:space="preserve"> </w:t>
      </w:r>
      <w:r w:rsidR="00B52379" w:rsidRPr="001C3EDC">
        <w:rPr>
          <w:rFonts w:cstheme="minorHAnsi"/>
          <w:b/>
          <w:i/>
        </w:rPr>
        <w:t xml:space="preserve">Figure </w:t>
      </w:r>
      <w:r w:rsidR="00C14FD1" w:rsidRPr="001C3EDC">
        <w:rPr>
          <w:rFonts w:cstheme="minorHAnsi"/>
          <w:b/>
          <w:i/>
        </w:rPr>
        <w:t>1</w:t>
      </w:r>
      <w:r w:rsidR="00435296" w:rsidRPr="001C3EDC">
        <w:rPr>
          <w:rFonts w:cstheme="minorHAnsi"/>
          <w:b/>
          <w:i/>
        </w:rPr>
        <w:t>6</w:t>
      </w:r>
      <w:r w:rsidRPr="001C3EDC">
        <w:rPr>
          <w:rFonts w:cstheme="minorHAnsi"/>
        </w:rPr>
        <w:t>, population is expected to decrease by 36</w:t>
      </w:r>
      <w:r w:rsidR="00CB0CB7" w:rsidRPr="001C3EDC">
        <w:rPr>
          <w:rFonts w:cstheme="minorHAnsi"/>
        </w:rPr>
        <w:t xml:space="preserve"> percent</w:t>
      </w:r>
      <w:r w:rsidRPr="001C3EDC">
        <w:rPr>
          <w:rFonts w:cstheme="minorHAnsi"/>
        </w:rPr>
        <w:t xml:space="preserve"> (from 7.39 million to 4.73 million) between 2011 and 2050. Decreasing population affects two parameters in the CGE model: </w:t>
      </w:r>
      <w:r w:rsidRPr="001C3EDC">
        <w:t>decreasing</w:t>
      </w:r>
      <w:r w:rsidRPr="001C3EDC">
        <w:rPr>
          <w:rFonts w:cstheme="minorHAnsi"/>
        </w:rPr>
        <w:t xml:space="preserve"> demand for goods and services (that leads to decrease</w:t>
      </w:r>
      <w:r w:rsidR="005857D0" w:rsidRPr="001C3EDC">
        <w:rPr>
          <w:rFonts w:cstheme="minorHAnsi"/>
        </w:rPr>
        <w:t>d</w:t>
      </w:r>
      <w:r w:rsidRPr="001C3EDC">
        <w:rPr>
          <w:rFonts w:cstheme="minorHAnsi"/>
        </w:rPr>
        <w:t xml:space="preserve"> </w:t>
      </w:r>
      <w:r w:rsidR="000D4C0B" w:rsidRPr="001C3EDC">
        <w:rPr>
          <w:rFonts w:cstheme="minorHAnsi"/>
        </w:rPr>
        <w:t xml:space="preserve">firm </w:t>
      </w:r>
      <w:r w:rsidRPr="001C3EDC">
        <w:rPr>
          <w:rFonts w:cstheme="minorHAnsi"/>
        </w:rPr>
        <w:t xml:space="preserve">supply) and shrinking </w:t>
      </w:r>
      <w:r w:rsidRPr="001C3EDC">
        <w:t>labor</w:t>
      </w:r>
      <w:r w:rsidRPr="001C3EDC">
        <w:rPr>
          <w:rFonts w:cstheme="minorHAnsi"/>
        </w:rPr>
        <w:t xml:space="preserve"> </w:t>
      </w:r>
      <w:r w:rsidR="000D4C0B" w:rsidRPr="001C3EDC">
        <w:rPr>
          <w:rFonts w:cstheme="minorHAnsi"/>
        </w:rPr>
        <w:t>supply</w:t>
      </w:r>
      <w:r w:rsidRPr="001C3EDC">
        <w:rPr>
          <w:rFonts w:cstheme="minorHAnsi"/>
        </w:rPr>
        <w:t>.</w:t>
      </w:r>
      <w:r w:rsidR="00CB62AC" w:rsidRPr="001C3EDC">
        <w:rPr>
          <w:rFonts w:cstheme="minorHAnsi"/>
        </w:rPr>
        <w:t xml:space="preserve"> </w:t>
      </w:r>
      <w:r w:rsidRPr="001C3EDC">
        <w:rPr>
          <w:rFonts w:cstheme="minorHAnsi"/>
        </w:rPr>
        <w:t>Decreasing domestic demand can be compensated by exports with a boost in competitiveness.</w:t>
      </w:r>
      <w:r w:rsidR="00CB62AC" w:rsidRPr="001C3EDC">
        <w:rPr>
          <w:rFonts w:cstheme="minorHAnsi"/>
        </w:rPr>
        <w:t xml:space="preserve"> </w:t>
      </w:r>
      <w:r w:rsidRPr="001C3EDC">
        <w:rPr>
          <w:rFonts w:cstheme="minorHAnsi"/>
        </w:rPr>
        <w:t xml:space="preserve">Decrease in labor supply </w:t>
      </w:r>
      <w:r w:rsidR="000D4C0B" w:rsidRPr="001C3EDC">
        <w:rPr>
          <w:rFonts w:cstheme="minorHAnsi"/>
        </w:rPr>
        <w:t>may</w:t>
      </w:r>
      <w:r w:rsidRPr="001C3EDC">
        <w:rPr>
          <w:rFonts w:cstheme="minorHAnsi"/>
        </w:rPr>
        <w:t xml:space="preserve"> lead to higher wages</w:t>
      </w:r>
      <w:r w:rsidR="000D4C0B" w:rsidRPr="001C3EDC">
        <w:rPr>
          <w:rFonts w:cstheme="minorHAnsi"/>
        </w:rPr>
        <w:t xml:space="preserve"> due to unavailability of labor</w:t>
      </w:r>
      <w:r w:rsidRPr="001C3EDC">
        <w:rPr>
          <w:rFonts w:cstheme="minorHAnsi"/>
        </w:rPr>
        <w:t xml:space="preserve">, hence </w:t>
      </w:r>
      <w:r w:rsidR="000D4C0B" w:rsidRPr="001C3EDC">
        <w:rPr>
          <w:rFonts w:cstheme="minorHAnsi"/>
        </w:rPr>
        <w:t>increase</w:t>
      </w:r>
      <w:r w:rsidR="006B603E" w:rsidRPr="001C3EDC">
        <w:rPr>
          <w:rFonts w:cstheme="minorHAnsi"/>
        </w:rPr>
        <w:t>d</w:t>
      </w:r>
      <w:r w:rsidR="000D4C0B" w:rsidRPr="001C3EDC">
        <w:rPr>
          <w:rFonts w:cstheme="minorHAnsi"/>
        </w:rPr>
        <w:t xml:space="preserve"> </w:t>
      </w:r>
      <w:r w:rsidRPr="001C3EDC">
        <w:rPr>
          <w:rFonts w:cstheme="minorHAnsi"/>
        </w:rPr>
        <w:t xml:space="preserve">production </w:t>
      </w:r>
      <w:r w:rsidRPr="001C3EDC">
        <w:t>cost</w:t>
      </w:r>
      <w:r w:rsidR="006B603E" w:rsidRPr="001C3EDC">
        <w:t>,</w:t>
      </w:r>
      <w:r w:rsidR="000D4C0B" w:rsidRPr="001C3EDC">
        <w:t xml:space="preserve"> and generate an adverse effect on competitiveness depending on the production and trade elasticities</w:t>
      </w:r>
      <w:r w:rsidRPr="001C3EDC">
        <w:rPr>
          <w:rFonts w:cstheme="minorHAnsi"/>
        </w:rPr>
        <w:t>.</w:t>
      </w:r>
      <w:r w:rsidR="00CB62AC" w:rsidRPr="001C3EDC">
        <w:rPr>
          <w:rFonts w:cstheme="minorHAnsi"/>
        </w:rPr>
        <w:t xml:space="preserve"> </w:t>
      </w:r>
      <w:r w:rsidRPr="001C3EDC">
        <w:rPr>
          <w:rFonts w:cstheme="minorHAnsi"/>
        </w:rPr>
        <w:t>Thus, labor</w:t>
      </w:r>
      <w:r w:rsidR="005E2488" w:rsidRPr="001C3EDC">
        <w:rPr>
          <w:rFonts w:cstheme="minorHAnsi"/>
        </w:rPr>
        <w:t>-</w:t>
      </w:r>
      <w:r w:rsidRPr="001C3EDC">
        <w:rPr>
          <w:rFonts w:cstheme="minorHAnsi"/>
        </w:rPr>
        <w:t>intensive sectors are likely to decline while less labor-intensive ones would expand</w:t>
      </w:r>
      <w:r w:rsidR="000D4C0B" w:rsidRPr="001C3EDC">
        <w:rPr>
          <w:rFonts w:cstheme="minorHAnsi"/>
        </w:rPr>
        <w:t xml:space="preserve"> in Bulgaria in the next decades</w:t>
      </w:r>
      <w:r w:rsidRPr="001C3EDC">
        <w:rPr>
          <w:rFonts w:cstheme="minorHAnsi"/>
        </w:rPr>
        <w:t>.</w:t>
      </w:r>
      <w:r w:rsidR="00CB62AC" w:rsidRPr="001C3EDC">
        <w:rPr>
          <w:rFonts w:cstheme="minorHAnsi"/>
        </w:rPr>
        <w:t xml:space="preserve"> </w:t>
      </w:r>
      <w:r w:rsidR="00566619" w:rsidRPr="001C3EDC">
        <w:rPr>
          <w:rFonts w:cstheme="minorHAnsi"/>
        </w:rPr>
        <w:t xml:space="preserve">Among the sectors in Bulgaria, </w:t>
      </w:r>
      <w:r w:rsidR="00EF06A2" w:rsidRPr="001C3EDC">
        <w:rPr>
          <w:rFonts w:cstheme="minorHAnsi"/>
        </w:rPr>
        <w:t xml:space="preserve">the </w:t>
      </w:r>
      <w:r w:rsidR="00566619" w:rsidRPr="001C3EDC">
        <w:rPr>
          <w:rFonts w:cstheme="minorHAnsi"/>
        </w:rPr>
        <w:t xml:space="preserve">agricultural sector </w:t>
      </w:r>
      <w:r w:rsidR="00EF06A2" w:rsidRPr="001C3EDC">
        <w:rPr>
          <w:rFonts w:cstheme="minorHAnsi"/>
        </w:rPr>
        <w:t>is</w:t>
      </w:r>
      <w:r w:rsidR="00566619" w:rsidRPr="001C3EDC">
        <w:rPr>
          <w:rFonts w:cstheme="minorHAnsi"/>
        </w:rPr>
        <w:t xml:space="preserve"> highly labor intensive</w:t>
      </w:r>
      <w:r w:rsidR="00EF06A2" w:rsidRPr="001C3EDC">
        <w:rPr>
          <w:rFonts w:cstheme="minorHAnsi"/>
        </w:rPr>
        <w:t xml:space="preserve">: </w:t>
      </w:r>
      <w:r w:rsidR="00C81CC9" w:rsidRPr="001C3EDC">
        <w:rPr>
          <w:rFonts w:cstheme="minorHAnsi"/>
        </w:rPr>
        <w:t>labor forms 46</w:t>
      </w:r>
      <w:r w:rsidR="006A01DC" w:rsidRPr="001C3EDC">
        <w:rPr>
          <w:rFonts w:cstheme="minorHAnsi"/>
        </w:rPr>
        <w:t xml:space="preserve"> to</w:t>
      </w:r>
      <w:r w:rsidR="00C81CC9" w:rsidRPr="001C3EDC">
        <w:rPr>
          <w:rFonts w:cstheme="minorHAnsi"/>
        </w:rPr>
        <w:t>71</w:t>
      </w:r>
      <w:r w:rsidR="009C7654" w:rsidRPr="001C3EDC">
        <w:rPr>
          <w:rFonts w:cstheme="minorHAnsi"/>
        </w:rPr>
        <w:t xml:space="preserve"> percent</w:t>
      </w:r>
      <w:r w:rsidR="00C81CC9" w:rsidRPr="001C3EDC">
        <w:rPr>
          <w:rFonts w:cstheme="minorHAnsi"/>
        </w:rPr>
        <w:t xml:space="preserve"> of the total factor input costs.</w:t>
      </w:r>
      <w:r w:rsidR="00CB62AC" w:rsidRPr="001C3EDC">
        <w:rPr>
          <w:rFonts w:cstheme="minorHAnsi"/>
        </w:rPr>
        <w:t xml:space="preserve"> </w:t>
      </w:r>
      <w:r w:rsidR="00C81CC9" w:rsidRPr="001C3EDC">
        <w:rPr>
          <w:rFonts w:cstheme="minorHAnsi"/>
        </w:rPr>
        <w:t>Manufacturing sectors are highly capital intensive, with capital forming 50</w:t>
      </w:r>
      <w:r w:rsidR="006A01DC" w:rsidRPr="001C3EDC">
        <w:rPr>
          <w:rFonts w:cstheme="minorHAnsi"/>
        </w:rPr>
        <w:t xml:space="preserve"> to </w:t>
      </w:r>
      <w:r w:rsidR="00C81CC9" w:rsidRPr="001C3EDC">
        <w:rPr>
          <w:rFonts w:cstheme="minorHAnsi"/>
        </w:rPr>
        <w:t>75</w:t>
      </w:r>
      <w:r w:rsidR="00126F8B" w:rsidRPr="001C3EDC">
        <w:rPr>
          <w:rFonts w:cstheme="minorHAnsi"/>
        </w:rPr>
        <w:t xml:space="preserve"> percent</w:t>
      </w:r>
      <w:r w:rsidR="00C81CC9" w:rsidRPr="001C3EDC">
        <w:rPr>
          <w:rFonts w:cstheme="minorHAnsi"/>
        </w:rPr>
        <w:t xml:space="preserve"> of the total factor input costs.</w:t>
      </w:r>
      <w:r w:rsidR="00CB62AC" w:rsidRPr="001C3EDC">
        <w:rPr>
          <w:rFonts w:cstheme="minorHAnsi"/>
        </w:rPr>
        <w:t xml:space="preserve"> </w:t>
      </w:r>
      <w:r w:rsidR="009A5A02" w:rsidRPr="001C3EDC">
        <w:rPr>
          <w:rFonts w:cstheme="minorHAnsi"/>
        </w:rPr>
        <w:t>Services sectors are slightly more heterogenous, with labor cost shares vary</w:t>
      </w:r>
      <w:r w:rsidR="00B60CBB" w:rsidRPr="001C3EDC">
        <w:rPr>
          <w:rFonts w:cstheme="minorHAnsi"/>
        </w:rPr>
        <w:t>ing</w:t>
      </w:r>
      <w:r w:rsidR="009A5A02" w:rsidRPr="001C3EDC">
        <w:rPr>
          <w:rFonts w:cstheme="minorHAnsi"/>
        </w:rPr>
        <w:t xml:space="preserve"> between 40</w:t>
      </w:r>
      <w:r w:rsidR="00B60CBB" w:rsidRPr="001C3EDC">
        <w:rPr>
          <w:rFonts w:cstheme="minorHAnsi"/>
        </w:rPr>
        <w:t xml:space="preserve"> percent</w:t>
      </w:r>
      <w:r w:rsidR="009A5A02" w:rsidRPr="001C3EDC">
        <w:rPr>
          <w:rFonts w:cstheme="minorHAnsi"/>
        </w:rPr>
        <w:t xml:space="preserve"> and 70</w:t>
      </w:r>
      <w:r w:rsidR="00B60CBB" w:rsidRPr="001C3EDC">
        <w:rPr>
          <w:rFonts w:cstheme="minorHAnsi"/>
        </w:rPr>
        <w:t xml:space="preserve"> percent</w:t>
      </w:r>
      <w:r w:rsidR="009A5A02" w:rsidRPr="001C3EDC">
        <w:rPr>
          <w:rFonts w:cstheme="minorHAnsi"/>
        </w:rPr>
        <w:t>; nevertheless, they are more labor intensive than manufacturing sectors.</w:t>
      </w:r>
    </w:p>
    <w:p w14:paraId="619BD343" w14:textId="09BB9DED" w:rsidR="00EE0F1B" w:rsidRPr="001C3EDC" w:rsidRDefault="00C14FD1" w:rsidP="004F7F4A">
      <w:pPr>
        <w:pStyle w:val="Caption"/>
        <w:spacing w:before="200"/>
        <w:rPr>
          <w:rFonts w:ascii="Calibri" w:hAnsi="Calibri"/>
          <w:i/>
          <w:color w:val="44546A"/>
          <w:sz w:val="22"/>
          <w:szCs w:val="18"/>
        </w:rPr>
      </w:pPr>
      <w:bookmarkStart w:id="100" w:name="_Toc486875541"/>
      <w:bookmarkStart w:id="101" w:name="_Toc505612589"/>
      <w:bookmarkStart w:id="102" w:name="_Toc522036488"/>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17</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EE0F1B" w:rsidRPr="001C3EDC">
        <w:rPr>
          <w:rFonts w:ascii="Calibri" w:hAnsi="Calibri"/>
          <w:i/>
          <w:color w:val="44546A"/>
          <w:sz w:val="22"/>
          <w:szCs w:val="18"/>
        </w:rPr>
        <w:t xml:space="preserve">GDP composition in 2011 (inner circle) </w:t>
      </w:r>
      <w:r w:rsidR="00370171" w:rsidRPr="001C3EDC">
        <w:rPr>
          <w:rFonts w:ascii="Calibri" w:hAnsi="Calibri"/>
          <w:i/>
          <w:color w:val="44546A"/>
          <w:sz w:val="22"/>
          <w:szCs w:val="18"/>
        </w:rPr>
        <w:t>and</w:t>
      </w:r>
      <w:r w:rsidR="0082784B" w:rsidRPr="001C3EDC">
        <w:rPr>
          <w:rFonts w:ascii="Calibri" w:hAnsi="Calibri"/>
          <w:i/>
          <w:color w:val="44546A"/>
          <w:sz w:val="22"/>
          <w:szCs w:val="18"/>
        </w:rPr>
        <w:t xml:space="preserve"> 2050 </w:t>
      </w:r>
      <w:r w:rsidR="00EE0F1B" w:rsidRPr="001C3EDC">
        <w:rPr>
          <w:rFonts w:ascii="Calibri" w:hAnsi="Calibri"/>
          <w:i/>
          <w:color w:val="44546A"/>
          <w:sz w:val="22"/>
          <w:szCs w:val="18"/>
        </w:rPr>
        <w:t>(outer circle)</w:t>
      </w:r>
      <w:bookmarkEnd w:id="100"/>
      <w:bookmarkEnd w:id="101"/>
      <w:r w:rsidR="00DE4DCE" w:rsidRPr="001C3EDC">
        <w:rPr>
          <w:rFonts w:ascii="Calibri" w:hAnsi="Calibri"/>
          <w:i/>
          <w:color w:val="44546A"/>
          <w:sz w:val="22"/>
          <w:szCs w:val="18"/>
        </w:rPr>
        <w:t>, without climate change</w:t>
      </w:r>
      <w:bookmarkEnd w:id="102"/>
      <w:r w:rsidR="00DE4DCE" w:rsidRPr="001C3EDC">
        <w:rPr>
          <w:rFonts w:ascii="Calibri" w:hAnsi="Calibri"/>
          <w:i/>
          <w:color w:val="44546A"/>
          <w:sz w:val="22"/>
          <w:szCs w:val="18"/>
        </w:rPr>
        <w:t xml:space="preserve"> </w:t>
      </w:r>
    </w:p>
    <w:p w14:paraId="32049435" w14:textId="185F0256" w:rsidR="00EE0F1B" w:rsidRPr="001C3EDC" w:rsidRDefault="0093068B" w:rsidP="006C7123">
      <w:pPr>
        <w:spacing w:before="120" w:after="0" w:line="240" w:lineRule="auto"/>
        <w:jc w:val="center"/>
        <w:rPr>
          <w:rFonts w:cstheme="minorHAnsi"/>
          <w:b/>
        </w:rPr>
      </w:pPr>
      <w:r w:rsidRPr="001C3EDC">
        <w:rPr>
          <w:noProof/>
        </w:rPr>
        <w:drawing>
          <wp:inline distT="0" distB="0" distL="0" distR="0" wp14:anchorId="0FE9615B" wp14:editId="3EF296DB">
            <wp:extent cx="3560287" cy="2491105"/>
            <wp:effectExtent l="19050" t="19050" r="21590" b="23495"/>
            <wp:docPr id="1030"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32">
                      <a:extLst>
                        <a:ext uri="{28A0092B-C50C-407E-A947-70E740481C1C}">
                          <a14:useLocalDpi xmlns:a14="http://schemas.microsoft.com/office/drawing/2010/main" val="0"/>
                        </a:ext>
                      </a:extLst>
                    </a:blip>
                    <a:srcRect l="7353" t="15442" r="23181" b="1553"/>
                    <a:stretch/>
                  </pic:blipFill>
                  <pic:spPr bwMode="auto">
                    <a:xfrm>
                      <a:off x="0" y="0"/>
                      <a:ext cx="3589464" cy="2511520"/>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74B695C2" w14:textId="77777777" w:rsidR="00EE0F1B" w:rsidRPr="001C3EDC" w:rsidRDefault="00EE0F1B" w:rsidP="00BA2083">
      <w:pPr>
        <w:pStyle w:val="Source"/>
      </w:pPr>
      <w:r w:rsidRPr="001C3EDC">
        <w:t>Source: Bulgaria CGE model results.</w:t>
      </w:r>
    </w:p>
    <w:p w14:paraId="1B9C31E2" w14:textId="5EA1D19A" w:rsidR="00EE0F1B" w:rsidRPr="001C3EDC" w:rsidRDefault="00EE0F1B" w:rsidP="00CA5CD0">
      <w:pPr>
        <w:pStyle w:val="BodyText"/>
        <w:tabs>
          <w:tab w:val="left" w:pos="720"/>
        </w:tabs>
        <w:ind w:left="0" w:firstLine="0"/>
        <w:rPr>
          <w:rFonts w:cstheme="minorHAnsi"/>
        </w:rPr>
      </w:pPr>
      <w:r w:rsidRPr="001C3EDC">
        <w:rPr>
          <w:rFonts w:cstheme="minorHAnsi"/>
        </w:rPr>
        <w:t>Based on the model projections toward 2050, investment and government expenses will grow at a moderate rate while consumption and imports are likely to grow faster than the rest of the macroeconomic accounts (</w:t>
      </w:r>
      <w:r w:rsidR="00B52379" w:rsidRPr="001C3EDC">
        <w:rPr>
          <w:rFonts w:cstheme="minorHAnsi"/>
          <w:b/>
          <w:i/>
        </w:rPr>
        <w:t xml:space="preserve">Figure </w:t>
      </w:r>
      <w:r w:rsidR="00C14FD1" w:rsidRPr="001C3EDC">
        <w:rPr>
          <w:rFonts w:cstheme="minorHAnsi"/>
          <w:b/>
          <w:i/>
        </w:rPr>
        <w:t>1</w:t>
      </w:r>
      <w:r w:rsidR="00435296" w:rsidRPr="001C3EDC">
        <w:rPr>
          <w:rFonts w:cstheme="minorHAnsi"/>
          <w:b/>
          <w:i/>
        </w:rPr>
        <w:t>7</w:t>
      </w:r>
      <w:r w:rsidRPr="001C3EDC">
        <w:rPr>
          <w:rFonts w:cstheme="minorHAnsi"/>
        </w:rPr>
        <w:t xml:space="preserve">). </w:t>
      </w:r>
      <w:r w:rsidR="001D4DF4" w:rsidRPr="001C3EDC">
        <w:rPr>
          <w:rFonts w:cstheme="minorHAnsi"/>
        </w:rPr>
        <w:t xml:space="preserve">In the end, growth is mostly consumption driven. </w:t>
      </w:r>
      <w:r w:rsidRPr="001C3EDC">
        <w:rPr>
          <w:rFonts w:cstheme="minorHAnsi"/>
        </w:rPr>
        <w:t xml:space="preserve">Overall, the trade deficit is likely to persist till 2050. While the </w:t>
      </w:r>
      <w:r w:rsidRPr="001C3EDC">
        <w:t>share</w:t>
      </w:r>
      <w:r w:rsidRPr="001C3EDC">
        <w:rPr>
          <w:rFonts w:cstheme="minorHAnsi"/>
        </w:rPr>
        <w:t xml:space="preserve"> of agriculture in trade is likely to stay constant, net exports of manufactured products (mainly machine and equipment) are likely to increase. </w:t>
      </w:r>
    </w:p>
    <w:p w14:paraId="52326F10" w14:textId="3EFBE3A1" w:rsidR="00EE0F1B" w:rsidRPr="001C3EDC" w:rsidRDefault="00EE0F1B" w:rsidP="00CA5CD0">
      <w:pPr>
        <w:pStyle w:val="BodyText"/>
        <w:tabs>
          <w:tab w:val="left" w:pos="720"/>
        </w:tabs>
        <w:ind w:left="0" w:firstLine="0"/>
        <w:rPr>
          <w:rFonts w:cstheme="minorHAnsi"/>
        </w:rPr>
      </w:pPr>
      <w:r w:rsidRPr="001C3EDC">
        <w:rPr>
          <w:rFonts w:cstheme="minorHAnsi"/>
        </w:rPr>
        <w:t>Sectoral value creation is expected to vary by sub</w:t>
      </w:r>
      <w:r w:rsidR="00B81B02" w:rsidRPr="001C3EDC">
        <w:rPr>
          <w:rFonts w:cstheme="minorHAnsi"/>
        </w:rPr>
        <w:t xml:space="preserve"> </w:t>
      </w:r>
      <w:r w:rsidRPr="001C3EDC">
        <w:rPr>
          <w:rFonts w:cstheme="minorHAnsi"/>
        </w:rPr>
        <w:t>region even without considering climate change.</w:t>
      </w:r>
      <w:r w:rsidR="00CB62AC" w:rsidRPr="001C3EDC">
        <w:rPr>
          <w:rFonts w:cstheme="minorHAnsi"/>
        </w:rPr>
        <w:t xml:space="preserve"> </w:t>
      </w:r>
      <w:r w:rsidR="00435296" w:rsidRPr="001C3EDC">
        <w:rPr>
          <w:rFonts w:cstheme="minorHAnsi"/>
        </w:rPr>
        <w:t>T</w:t>
      </w:r>
      <w:r w:rsidR="00C05535" w:rsidRPr="001C3EDC">
        <w:rPr>
          <w:rFonts w:cstheme="minorHAnsi"/>
        </w:rPr>
        <w:t xml:space="preserve">he </w:t>
      </w:r>
      <w:r w:rsidR="009C327F" w:rsidRPr="001C3EDC">
        <w:t>largest changes</w:t>
      </w:r>
      <w:r w:rsidR="00C05535" w:rsidRPr="001C3EDC">
        <w:rPr>
          <w:rFonts w:cstheme="minorHAnsi"/>
        </w:rPr>
        <w:t xml:space="preserve"> are</w:t>
      </w:r>
      <w:r w:rsidR="009C327F" w:rsidRPr="001C3EDC">
        <w:rPr>
          <w:rFonts w:cstheme="minorHAnsi"/>
        </w:rPr>
        <w:t xml:space="preserve"> observed</w:t>
      </w:r>
      <w:r w:rsidR="00C05535" w:rsidRPr="001C3EDC">
        <w:rPr>
          <w:rFonts w:cstheme="minorHAnsi"/>
        </w:rPr>
        <w:t xml:space="preserve"> in </w:t>
      </w:r>
      <w:r w:rsidR="009C327F" w:rsidRPr="001C3EDC">
        <w:rPr>
          <w:rFonts w:cstheme="minorHAnsi"/>
        </w:rPr>
        <w:t xml:space="preserve">the </w:t>
      </w:r>
      <w:r w:rsidR="00C05535" w:rsidRPr="001C3EDC">
        <w:rPr>
          <w:rFonts w:cstheme="minorHAnsi"/>
        </w:rPr>
        <w:t>agricultur</w:t>
      </w:r>
      <w:r w:rsidR="009C327F" w:rsidRPr="001C3EDC">
        <w:rPr>
          <w:rFonts w:cstheme="minorHAnsi"/>
        </w:rPr>
        <w:t>e</w:t>
      </w:r>
      <w:r w:rsidR="00C05535" w:rsidRPr="001C3EDC">
        <w:rPr>
          <w:rFonts w:cstheme="minorHAnsi"/>
        </w:rPr>
        <w:t xml:space="preserve"> sector. </w:t>
      </w:r>
      <w:r w:rsidRPr="001C3EDC">
        <w:rPr>
          <w:rFonts w:cstheme="minorHAnsi"/>
        </w:rPr>
        <w:t xml:space="preserve">As shown </w:t>
      </w:r>
      <w:r w:rsidR="00B60CBB" w:rsidRPr="001C3EDC">
        <w:rPr>
          <w:rFonts w:cstheme="minorHAnsi"/>
        </w:rPr>
        <w:t>i</w:t>
      </w:r>
      <w:r w:rsidRPr="001C3EDC">
        <w:rPr>
          <w:rFonts w:cstheme="minorHAnsi"/>
        </w:rPr>
        <w:t>n</w:t>
      </w:r>
      <w:r w:rsidR="00B52379" w:rsidRPr="001C3EDC">
        <w:rPr>
          <w:rFonts w:cstheme="minorHAnsi"/>
          <w:bCs/>
          <w:i/>
          <w:iCs/>
        </w:rPr>
        <w:t xml:space="preserve"> </w:t>
      </w:r>
      <w:r w:rsidR="00B52379" w:rsidRPr="001C3EDC">
        <w:rPr>
          <w:rFonts w:cstheme="minorHAnsi"/>
          <w:b/>
          <w:i/>
        </w:rPr>
        <w:t xml:space="preserve">Figure </w:t>
      </w:r>
      <w:r w:rsidR="008F50D2" w:rsidRPr="001C3EDC">
        <w:rPr>
          <w:rFonts w:cstheme="minorHAnsi"/>
          <w:b/>
          <w:i/>
        </w:rPr>
        <w:t>1</w:t>
      </w:r>
      <w:r w:rsidR="00435296" w:rsidRPr="001C3EDC">
        <w:rPr>
          <w:rFonts w:cstheme="minorHAnsi"/>
          <w:b/>
          <w:i/>
        </w:rPr>
        <w:t>8</w:t>
      </w:r>
      <w:r w:rsidRPr="001C3EDC">
        <w:rPr>
          <w:rFonts w:cstheme="minorHAnsi"/>
        </w:rPr>
        <w:t xml:space="preserve">, </w:t>
      </w:r>
      <w:r w:rsidR="007334F1" w:rsidRPr="001C3EDC">
        <w:rPr>
          <w:rFonts w:cstheme="minorHAnsi"/>
        </w:rPr>
        <w:t xml:space="preserve">among the three temperate climate AEZs, </w:t>
      </w:r>
      <w:r w:rsidR="00435296" w:rsidRPr="001C3EDC">
        <w:rPr>
          <w:rFonts w:cstheme="minorHAnsi"/>
        </w:rPr>
        <w:t xml:space="preserve">agricultural production in </w:t>
      </w:r>
      <w:r w:rsidR="0023471D" w:rsidRPr="001C3EDC">
        <w:rPr>
          <w:rFonts w:cstheme="minorHAnsi"/>
        </w:rPr>
        <w:t>AEZ9 (Western region)</w:t>
      </w:r>
      <w:r w:rsidR="006B603E" w:rsidRPr="001C3EDC">
        <w:rPr>
          <w:rFonts w:cstheme="minorHAnsi"/>
        </w:rPr>
        <w:t>,</w:t>
      </w:r>
      <w:r w:rsidRPr="001C3EDC">
        <w:rPr>
          <w:rFonts w:cstheme="minorHAnsi"/>
        </w:rPr>
        <w:t xml:space="preserve"> </w:t>
      </w:r>
      <w:r w:rsidR="007334F1" w:rsidRPr="001C3EDC">
        <w:rPr>
          <w:rFonts w:cstheme="minorHAnsi"/>
        </w:rPr>
        <w:t>the most humid region</w:t>
      </w:r>
      <w:r w:rsidR="006B603E" w:rsidRPr="001C3EDC">
        <w:rPr>
          <w:rFonts w:cstheme="minorHAnsi"/>
        </w:rPr>
        <w:t>,</w:t>
      </w:r>
      <w:r w:rsidR="007334F1" w:rsidRPr="001C3EDC">
        <w:rPr>
          <w:rFonts w:cstheme="minorHAnsi"/>
        </w:rPr>
        <w:t xml:space="preserve"> </w:t>
      </w:r>
      <w:r w:rsidRPr="001C3EDC">
        <w:rPr>
          <w:rFonts w:cstheme="minorHAnsi"/>
        </w:rPr>
        <w:t>is likely to grow faster than</w:t>
      </w:r>
      <w:r w:rsidR="00435296" w:rsidRPr="001C3EDC">
        <w:rPr>
          <w:rFonts w:cstheme="minorHAnsi"/>
        </w:rPr>
        <w:t xml:space="preserve"> in</w:t>
      </w:r>
      <w:r w:rsidRPr="001C3EDC">
        <w:rPr>
          <w:rFonts w:cstheme="minorHAnsi"/>
        </w:rPr>
        <w:t xml:space="preserve"> </w:t>
      </w:r>
      <w:r w:rsidR="0023471D" w:rsidRPr="001C3EDC">
        <w:rPr>
          <w:rFonts w:cstheme="minorHAnsi"/>
        </w:rPr>
        <w:t>AEZ10 (Eastern region)</w:t>
      </w:r>
      <w:r w:rsidRPr="001C3EDC">
        <w:rPr>
          <w:rFonts w:cstheme="minorHAnsi"/>
        </w:rPr>
        <w:t xml:space="preserve">. The highest value creation is expected from raw milk in AEZ9 (Western </w:t>
      </w:r>
      <w:r w:rsidR="00214C9F" w:rsidRPr="001C3EDC">
        <w:rPr>
          <w:rFonts w:cstheme="minorHAnsi"/>
        </w:rPr>
        <w:t>r</w:t>
      </w:r>
      <w:r w:rsidRPr="001C3EDC">
        <w:rPr>
          <w:rFonts w:cstheme="minorHAnsi"/>
        </w:rPr>
        <w:t xml:space="preserve">egion) and forest/forest products in </w:t>
      </w:r>
      <w:r w:rsidRPr="001C3EDC">
        <w:t>AEZ</w:t>
      </w:r>
      <w:r w:rsidRPr="001C3EDC">
        <w:rPr>
          <w:rFonts w:cstheme="minorHAnsi"/>
        </w:rPr>
        <w:t xml:space="preserve">10 (Eastern </w:t>
      </w:r>
      <w:r w:rsidR="00B60CBB" w:rsidRPr="001C3EDC">
        <w:rPr>
          <w:rFonts w:cstheme="minorHAnsi"/>
        </w:rPr>
        <w:t>r</w:t>
      </w:r>
      <w:r w:rsidRPr="001C3EDC">
        <w:rPr>
          <w:rFonts w:cstheme="minorHAnsi"/>
        </w:rPr>
        <w:t xml:space="preserve">egion). </w:t>
      </w:r>
      <w:r w:rsidR="000440F3" w:rsidRPr="001C3EDC">
        <w:rPr>
          <w:rFonts w:cstheme="minorHAnsi"/>
        </w:rPr>
        <w:t>(</w:t>
      </w:r>
      <w:r w:rsidR="00B60CBB" w:rsidRPr="001C3EDC">
        <w:rPr>
          <w:rFonts w:cstheme="minorHAnsi"/>
        </w:rPr>
        <w:t>S</w:t>
      </w:r>
      <w:r w:rsidRPr="001C3EDC">
        <w:rPr>
          <w:rFonts w:cstheme="minorHAnsi"/>
        </w:rPr>
        <w:t xml:space="preserve">ee </w:t>
      </w:r>
      <w:r w:rsidR="008F50D2" w:rsidRPr="001C3EDC">
        <w:rPr>
          <w:rFonts w:cstheme="minorHAnsi"/>
          <w:b/>
          <w:bCs/>
          <w:i/>
          <w:iCs/>
        </w:rPr>
        <w:t xml:space="preserve">Table </w:t>
      </w:r>
      <w:r w:rsidR="00137C7D" w:rsidRPr="001C3EDC">
        <w:rPr>
          <w:rFonts w:cstheme="minorHAnsi"/>
          <w:b/>
          <w:bCs/>
          <w:i/>
          <w:iCs/>
        </w:rPr>
        <w:t>1.1</w:t>
      </w:r>
      <w:r w:rsidR="00435296" w:rsidRPr="001C3EDC">
        <w:rPr>
          <w:rFonts w:cstheme="minorHAnsi"/>
        </w:rPr>
        <w:t xml:space="preserve"> in Annex</w:t>
      </w:r>
      <w:r w:rsidR="008F50D2" w:rsidRPr="001C3EDC">
        <w:rPr>
          <w:rFonts w:cstheme="minorHAnsi"/>
        </w:rPr>
        <w:t xml:space="preserve"> for </w:t>
      </w:r>
      <w:r w:rsidRPr="001C3EDC">
        <w:rPr>
          <w:rFonts w:cstheme="minorHAnsi"/>
        </w:rPr>
        <w:t>definition of crops in GTAP).</w:t>
      </w:r>
    </w:p>
    <w:p w14:paraId="73DB88FC" w14:textId="69A68CF8" w:rsidR="00EE0F1B" w:rsidRPr="001C3EDC" w:rsidRDefault="00EE0F1B" w:rsidP="00CA5CD0">
      <w:pPr>
        <w:pStyle w:val="BodyText"/>
        <w:tabs>
          <w:tab w:val="left" w:pos="720"/>
        </w:tabs>
        <w:ind w:left="0" w:firstLine="0"/>
        <w:rPr>
          <w:rFonts w:eastAsia="Calibri" w:cstheme="minorHAnsi"/>
        </w:rPr>
      </w:pPr>
      <w:r w:rsidRPr="001C3EDC">
        <w:rPr>
          <w:rFonts w:eastAsia="Calibri" w:cstheme="minorHAnsi"/>
        </w:rPr>
        <w:t xml:space="preserve">It is important to underscore that the economic baseline </w:t>
      </w:r>
      <w:r w:rsidR="003D1BA4" w:rsidRPr="001C3EDC">
        <w:rPr>
          <w:rFonts w:eastAsia="Calibri" w:cstheme="minorHAnsi"/>
        </w:rPr>
        <w:t>does</w:t>
      </w:r>
      <w:r w:rsidR="00ED55F9" w:rsidRPr="001C3EDC">
        <w:rPr>
          <w:rFonts w:eastAsia="Calibri" w:cstheme="minorHAnsi"/>
        </w:rPr>
        <w:t xml:space="preserve"> not integrate </w:t>
      </w:r>
      <w:r w:rsidRPr="001C3EDC">
        <w:rPr>
          <w:rFonts w:eastAsia="Calibri" w:cstheme="minorHAnsi"/>
        </w:rPr>
        <w:t xml:space="preserve">existing or planned sectoral strategies or reforms; it simply translates the growth potential based on the demand and supply projections for </w:t>
      </w:r>
      <w:r w:rsidRPr="001C3EDC">
        <w:t>various</w:t>
      </w:r>
      <w:r w:rsidRPr="001C3EDC">
        <w:rPr>
          <w:rFonts w:eastAsia="Calibri" w:cstheme="minorHAnsi"/>
        </w:rPr>
        <w:t xml:space="preserve"> sectors and AEZs. Demand for products comes from households, </w:t>
      </w:r>
      <w:r w:rsidR="009C327F" w:rsidRPr="001C3EDC">
        <w:rPr>
          <w:rFonts w:eastAsia="Calibri" w:cstheme="minorHAnsi"/>
        </w:rPr>
        <w:t xml:space="preserve">the </w:t>
      </w:r>
      <w:r w:rsidR="00435296" w:rsidRPr="001C3EDC">
        <w:rPr>
          <w:rFonts w:eastAsia="Calibri" w:cstheme="minorHAnsi"/>
        </w:rPr>
        <w:t>g</w:t>
      </w:r>
      <w:r w:rsidRPr="001C3EDC">
        <w:rPr>
          <w:rFonts w:eastAsia="Calibri" w:cstheme="minorHAnsi"/>
        </w:rPr>
        <w:t xml:space="preserve">overnment, </w:t>
      </w:r>
      <w:r w:rsidRPr="001C3EDC">
        <w:t>industry</w:t>
      </w:r>
      <w:r w:rsidR="000C6C82" w:rsidRPr="001C3EDC">
        <w:t>,</w:t>
      </w:r>
      <w:r w:rsidRPr="001C3EDC">
        <w:rPr>
          <w:rFonts w:eastAsia="Calibri" w:cstheme="minorHAnsi"/>
        </w:rPr>
        <w:t xml:space="preserve"> and trade partners while supply of goods relies on domestic production and imports. The market mechanisms lead to increasing prices if demand exceeds supply and vice versa. </w:t>
      </w:r>
    </w:p>
    <w:p w14:paraId="049DA12E" w14:textId="550611CC" w:rsidR="00EE0F1B" w:rsidRPr="001C3EDC" w:rsidRDefault="008F50D2" w:rsidP="004F7F4A">
      <w:pPr>
        <w:pStyle w:val="Caption"/>
        <w:spacing w:before="200"/>
        <w:rPr>
          <w:rFonts w:ascii="Calibri" w:hAnsi="Calibri"/>
          <w:i/>
          <w:color w:val="44546A"/>
          <w:sz w:val="22"/>
          <w:szCs w:val="18"/>
        </w:rPr>
      </w:pPr>
      <w:bookmarkStart w:id="103" w:name="_Toc486875542"/>
      <w:bookmarkStart w:id="104" w:name="_Toc505612590"/>
      <w:bookmarkStart w:id="105" w:name="_Toc522036489"/>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18</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EE0F1B" w:rsidRPr="001C3EDC">
        <w:rPr>
          <w:rFonts w:ascii="Calibri" w:hAnsi="Calibri"/>
          <w:i/>
          <w:color w:val="44546A"/>
          <w:sz w:val="22"/>
          <w:szCs w:val="18"/>
        </w:rPr>
        <w:t>Household revenues from agricultural activities (2020</w:t>
      </w:r>
      <w:r w:rsidR="00D33815" w:rsidRPr="001C3EDC">
        <w:rPr>
          <w:rFonts w:ascii="Calibri" w:hAnsi="Calibri"/>
          <w:i/>
          <w:color w:val="44546A"/>
          <w:sz w:val="22"/>
          <w:szCs w:val="18"/>
        </w:rPr>
        <w:t>–2050</w:t>
      </w:r>
      <w:r w:rsidR="00EE0F1B" w:rsidRPr="001C3EDC">
        <w:rPr>
          <w:rFonts w:ascii="Calibri" w:hAnsi="Calibri"/>
          <w:i/>
          <w:color w:val="44546A"/>
          <w:sz w:val="22"/>
          <w:szCs w:val="18"/>
        </w:rPr>
        <w:t>)</w:t>
      </w:r>
      <w:bookmarkEnd w:id="103"/>
      <w:bookmarkEnd w:id="104"/>
      <w:r w:rsidR="003F346B" w:rsidRPr="001C3EDC">
        <w:rPr>
          <w:rFonts w:ascii="Calibri" w:hAnsi="Calibri"/>
          <w:i/>
          <w:color w:val="44546A"/>
          <w:sz w:val="22"/>
          <w:szCs w:val="18"/>
        </w:rPr>
        <w:t xml:space="preserve"> without climate change</w:t>
      </w:r>
      <w:r w:rsidR="00B07D40" w:rsidRPr="001C3EDC">
        <w:rPr>
          <w:rFonts w:ascii="Calibri" w:hAnsi="Calibri"/>
          <w:i/>
          <w:color w:val="44546A"/>
          <w:sz w:val="22"/>
          <w:szCs w:val="18"/>
        </w:rPr>
        <w:t>,</w:t>
      </w:r>
      <w:r w:rsidR="00C7027E" w:rsidRPr="001C3EDC">
        <w:rPr>
          <w:rFonts w:ascii="Calibri" w:hAnsi="Calibri"/>
          <w:i/>
          <w:color w:val="44546A"/>
          <w:sz w:val="22"/>
          <w:szCs w:val="18"/>
        </w:rPr>
        <w:t xml:space="preserve"> compared to </w:t>
      </w:r>
      <w:r w:rsidR="00707298" w:rsidRPr="001C3EDC">
        <w:rPr>
          <w:rFonts w:ascii="Calibri" w:hAnsi="Calibri"/>
          <w:i/>
          <w:color w:val="44546A"/>
          <w:sz w:val="22"/>
          <w:szCs w:val="18"/>
        </w:rPr>
        <w:t xml:space="preserve">the </w:t>
      </w:r>
      <w:r w:rsidR="0023471D" w:rsidRPr="001C3EDC">
        <w:rPr>
          <w:rFonts w:ascii="Calibri" w:hAnsi="Calibri"/>
          <w:i/>
          <w:color w:val="44546A"/>
          <w:sz w:val="22"/>
          <w:szCs w:val="18"/>
        </w:rPr>
        <w:t xml:space="preserve">year </w:t>
      </w:r>
      <w:r w:rsidR="008B1B9E" w:rsidRPr="001C3EDC">
        <w:rPr>
          <w:rFonts w:ascii="Calibri" w:hAnsi="Calibri"/>
          <w:i/>
          <w:color w:val="44546A"/>
          <w:sz w:val="22"/>
          <w:szCs w:val="18"/>
        </w:rPr>
        <w:t>2011</w:t>
      </w:r>
      <w:bookmarkEnd w:id="105"/>
      <w:r w:rsidR="008B1B9E" w:rsidRPr="001C3EDC">
        <w:rPr>
          <w:rFonts w:ascii="Calibri" w:hAnsi="Calibri"/>
          <w:i/>
          <w:color w:val="44546A"/>
          <w:sz w:val="22"/>
          <w:szCs w:val="18"/>
        </w:rPr>
        <w:t xml:space="preserve"> </w:t>
      </w:r>
    </w:p>
    <w:p w14:paraId="2E3D0694" w14:textId="3EC6E065" w:rsidR="00EE0F1B" w:rsidRPr="001C3EDC" w:rsidRDefault="00FD20EB" w:rsidP="00862E87">
      <w:pPr>
        <w:spacing w:after="0" w:line="240" w:lineRule="auto"/>
        <w:jc w:val="center"/>
        <w:rPr>
          <w:rFonts w:eastAsia="Calibri" w:cs="Times New Roman"/>
          <w:szCs w:val="24"/>
        </w:rPr>
      </w:pPr>
      <w:r w:rsidRPr="001C3EDC">
        <w:rPr>
          <w:noProof/>
        </w:rPr>
        <w:drawing>
          <wp:inline distT="0" distB="0" distL="0" distR="0" wp14:anchorId="6E9B5FAD" wp14:editId="1EDA4204">
            <wp:extent cx="5768340" cy="2688590"/>
            <wp:effectExtent l="0" t="0" r="3810" b="16510"/>
            <wp:docPr id="31" name="Chart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88832F8-AA2F-4264-A0F1-CF3E2ECA10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D87DE5" w14:textId="77777777" w:rsidR="00BA2083" w:rsidRPr="001C3EDC" w:rsidRDefault="00BA2083" w:rsidP="00BA2083">
      <w:pPr>
        <w:pStyle w:val="Source"/>
        <w:spacing w:after="60"/>
      </w:pPr>
      <w:r w:rsidRPr="001C3EDC">
        <w:t>Key: PDR: Paddy rice; WHT: Wheat; GRO: Cereal grains; V_F: Vegetables, fruit, nuts; OSD: Oil seeds; C_B: Sugarcane, sugar beet; PFB: Plant-based fibers; OCR: Crops; VOL: Vegetable oils and fats; MIL: Dairy products; PCR: Processed rice; SGR: Sugar; OFD: Food products.</w:t>
      </w:r>
    </w:p>
    <w:p w14:paraId="76321D53" w14:textId="73722C0D" w:rsidR="00EE0F1B" w:rsidRPr="001C3EDC" w:rsidRDefault="00EE0F1B" w:rsidP="00BA2083">
      <w:pPr>
        <w:pStyle w:val="Source"/>
      </w:pPr>
      <w:r w:rsidRPr="001C3EDC">
        <w:t>Source: Bulgaria CGE model results.</w:t>
      </w:r>
    </w:p>
    <w:p w14:paraId="1A033B88" w14:textId="2E678DCC" w:rsidR="00C736C2" w:rsidRPr="001C3EDC" w:rsidRDefault="00C736C2" w:rsidP="00CA5CD0">
      <w:pPr>
        <w:pStyle w:val="BodyText"/>
        <w:tabs>
          <w:tab w:val="left" w:pos="720"/>
        </w:tabs>
        <w:spacing w:before="120"/>
        <w:ind w:left="0" w:firstLine="0"/>
        <w:rPr>
          <w:rFonts w:cstheme="minorHAnsi"/>
        </w:rPr>
      </w:pPr>
      <w:r w:rsidRPr="001C3EDC">
        <w:rPr>
          <w:rFonts w:cstheme="minorHAnsi"/>
        </w:rPr>
        <w:t>Main expense item</w:t>
      </w:r>
      <w:r w:rsidR="00862E87" w:rsidRPr="001C3EDC">
        <w:rPr>
          <w:rFonts w:cstheme="minorHAnsi"/>
        </w:rPr>
        <w:t>s</w:t>
      </w:r>
      <w:r w:rsidRPr="001C3EDC">
        <w:rPr>
          <w:rFonts w:cstheme="minorHAnsi"/>
        </w:rPr>
        <w:t xml:space="preserve"> in </w:t>
      </w:r>
      <w:r w:rsidR="006B603E" w:rsidRPr="001C3EDC">
        <w:rPr>
          <w:rFonts w:cstheme="minorHAnsi"/>
        </w:rPr>
        <w:t xml:space="preserve">a </w:t>
      </w:r>
      <w:r w:rsidRPr="001C3EDC">
        <w:rPr>
          <w:rFonts w:cstheme="minorHAnsi"/>
        </w:rPr>
        <w:t>household budget were housing, transport, electricity</w:t>
      </w:r>
      <w:r w:rsidR="00862E87" w:rsidRPr="001C3EDC">
        <w:rPr>
          <w:rFonts w:cstheme="minorHAnsi"/>
        </w:rPr>
        <w:t>,</w:t>
      </w:r>
      <w:r w:rsidRPr="001C3EDC">
        <w:rPr>
          <w:rFonts w:cstheme="minorHAnsi"/>
        </w:rPr>
        <w:t xml:space="preserve"> and food in 2015. The structure of the household consumption basket is expected to stay the same, except with a decrease in food </w:t>
      </w:r>
      <w:r w:rsidRPr="001C3EDC">
        <w:t>expenses</w:t>
      </w:r>
      <w:r w:rsidRPr="001C3EDC">
        <w:rPr>
          <w:rFonts w:cstheme="minorHAnsi"/>
        </w:rPr>
        <w:t xml:space="preserve"> due to decreasing food prices</w:t>
      </w:r>
      <w:r w:rsidR="00044B14" w:rsidRPr="001C3EDC">
        <w:rPr>
          <w:rFonts w:cstheme="minorHAnsi"/>
        </w:rPr>
        <w:t xml:space="preserve"> in the baseline that </w:t>
      </w:r>
      <w:r w:rsidR="00ED55F9" w:rsidRPr="001C3EDC">
        <w:rPr>
          <w:rFonts w:cstheme="minorHAnsi"/>
        </w:rPr>
        <w:t>does not take into account climate change and its impacts</w:t>
      </w:r>
      <w:r w:rsidRPr="001C3EDC">
        <w:rPr>
          <w:rFonts w:cstheme="minorHAnsi"/>
        </w:rPr>
        <w:t xml:space="preserve">. </w:t>
      </w:r>
    </w:p>
    <w:p w14:paraId="2FE56322" w14:textId="1D3AFB7D" w:rsidR="001E3127" w:rsidRPr="001C3EDC" w:rsidRDefault="00523CB6" w:rsidP="00FB32A7">
      <w:pPr>
        <w:pStyle w:val="Heading2"/>
        <w:spacing w:after="60"/>
      </w:pPr>
      <w:bookmarkStart w:id="106" w:name="_Toc505600282"/>
      <w:bookmarkStart w:id="107" w:name="_Toc510004095"/>
      <w:bookmarkStart w:id="108" w:name="_Toc522036463"/>
      <w:r w:rsidRPr="001C3EDC">
        <w:t>3.2.</w:t>
      </w:r>
      <w:r w:rsidR="00603E67" w:rsidRPr="001C3EDC">
        <w:t xml:space="preserve"> </w:t>
      </w:r>
      <w:r w:rsidR="00603E67" w:rsidRPr="001C3EDC">
        <w:tab/>
      </w:r>
      <w:r w:rsidR="003B16FB" w:rsidRPr="001C3EDC">
        <w:t xml:space="preserve">Baseline </w:t>
      </w:r>
      <w:r w:rsidR="00061E23" w:rsidRPr="001C3EDC">
        <w:t>with climate change impacts</w:t>
      </w:r>
      <w:bookmarkEnd w:id="106"/>
      <w:bookmarkEnd w:id="107"/>
      <w:bookmarkEnd w:id="108"/>
      <w:r w:rsidR="001E3127" w:rsidRPr="001C3EDC">
        <w:t xml:space="preserve"> </w:t>
      </w:r>
    </w:p>
    <w:p w14:paraId="557B5D6D" w14:textId="2F053209" w:rsidR="00AA63BD" w:rsidRPr="001C3EDC" w:rsidRDefault="00AA63BD" w:rsidP="00324492">
      <w:pPr>
        <w:pStyle w:val="BodyText"/>
        <w:tabs>
          <w:tab w:val="left" w:pos="720"/>
        </w:tabs>
        <w:ind w:left="0" w:firstLine="0"/>
      </w:pPr>
      <w:r w:rsidRPr="001C3EDC">
        <w:t xml:space="preserve">Climate change can directly </w:t>
      </w:r>
      <w:r w:rsidR="00ED55F9" w:rsidRPr="001C3EDC">
        <w:t xml:space="preserve">(or indirectly) </w:t>
      </w:r>
      <w:r w:rsidRPr="001C3EDC">
        <w:t xml:space="preserve">affect the cost and </w:t>
      </w:r>
      <w:r w:rsidR="00ED55F9" w:rsidRPr="001C3EDC">
        <w:t xml:space="preserve">availability </w:t>
      </w:r>
      <w:r w:rsidRPr="001C3EDC">
        <w:t>of economic outputs and inputs alike.</w:t>
      </w:r>
      <w:r w:rsidR="00CB62AC" w:rsidRPr="001C3EDC">
        <w:t xml:space="preserve"> </w:t>
      </w:r>
      <w:r w:rsidRPr="001C3EDC">
        <w:t>In turn, these changes both directly and indirectly influence the level and structure of overall economic activity.</w:t>
      </w:r>
      <w:r w:rsidR="00CB62AC" w:rsidRPr="001C3EDC">
        <w:t xml:space="preserve"> </w:t>
      </w:r>
    </w:p>
    <w:p w14:paraId="78BC0ED6" w14:textId="7137DE28" w:rsidR="00602D01" w:rsidRPr="001C3EDC" w:rsidRDefault="00AA63BD" w:rsidP="00CA5CD0">
      <w:pPr>
        <w:pStyle w:val="BodyText"/>
        <w:tabs>
          <w:tab w:val="left" w:pos="720"/>
        </w:tabs>
        <w:ind w:left="0" w:firstLine="0"/>
      </w:pPr>
      <w:bookmarkStart w:id="109" w:name="_Hlk511900412"/>
      <w:r w:rsidRPr="001C3EDC">
        <w:t>GDP is projected to grow annually by about 1.7 percent by 2050. This growth rate is completely wiped out if Bulgaria faces the full impact of a 2</w:t>
      </w:r>
      <w:r w:rsidR="00D94B62" w:rsidRPr="001C3EDC">
        <w:t xml:space="preserve">°C </w:t>
      </w:r>
      <w:r w:rsidRPr="001C3EDC">
        <w:t>rise in temperature by 2050.</w:t>
      </w:r>
      <w:r w:rsidR="00CB62AC" w:rsidRPr="001C3EDC">
        <w:t xml:space="preserve"> </w:t>
      </w:r>
      <w:r w:rsidRPr="001C3EDC">
        <w:t xml:space="preserve">The negative impact of climate change outweighs economic growth by more than </w:t>
      </w:r>
      <w:r w:rsidR="00D22D9C" w:rsidRPr="001C3EDC">
        <w:t xml:space="preserve">1 </w:t>
      </w:r>
      <w:r w:rsidRPr="001C3EDC">
        <w:t>percent if all the pessimistic 2</w:t>
      </w:r>
      <w:r w:rsidR="00D94B62" w:rsidRPr="001C3EDC">
        <w:t>°C</w:t>
      </w:r>
      <w:r w:rsidRPr="001C3EDC">
        <w:t xml:space="preserve"> and 4</w:t>
      </w:r>
      <w:r w:rsidR="00D94B62" w:rsidRPr="001C3EDC">
        <w:t>°C</w:t>
      </w:r>
      <w:r w:rsidRPr="001C3EDC">
        <w:t xml:space="preserve"> scenarios we</w:t>
      </w:r>
      <w:r w:rsidR="009522AE" w:rsidRPr="001C3EDC">
        <w:t>re</w:t>
      </w:r>
      <w:r w:rsidRPr="001C3EDC">
        <w:t xml:space="preserve"> considered.</w:t>
      </w:r>
      <w:r w:rsidR="00CB62AC" w:rsidRPr="001C3EDC">
        <w:t xml:space="preserve"> </w:t>
      </w:r>
      <w:r w:rsidRPr="001C3EDC">
        <w:rPr>
          <w:bCs/>
        </w:rPr>
        <w:t>In general, it is safe to say that climate change presents an existential threat to the prospect of future economic growth in Bulgaria</w:t>
      </w:r>
      <w:r w:rsidR="00ED55F9" w:rsidRPr="001C3EDC">
        <w:rPr>
          <w:bCs/>
        </w:rPr>
        <w:t xml:space="preserve"> (especially </w:t>
      </w:r>
      <w:r w:rsidR="00D22D9C" w:rsidRPr="001C3EDC">
        <w:rPr>
          <w:bCs/>
        </w:rPr>
        <w:t>because</w:t>
      </w:r>
      <w:r w:rsidR="00ED55F9" w:rsidRPr="001C3EDC">
        <w:rPr>
          <w:bCs/>
        </w:rPr>
        <w:t xml:space="preserve"> each and every impact</w:t>
      </w:r>
      <w:r w:rsidR="00BB1B8F" w:rsidRPr="001C3EDC">
        <w:rPr>
          <w:bCs/>
        </w:rPr>
        <w:t xml:space="preserve"> is not accounted for</w:t>
      </w:r>
      <w:r w:rsidR="009C327F" w:rsidRPr="001C3EDC">
        <w:rPr>
          <w:bCs/>
        </w:rPr>
        <w:t xml:space="preserve"> in the model, given knowledge gaps and uncertainties</w:t>
      </w:r>
      <w:r w:rsidR="00ED55F9" w:rsidRPr="001C3EDC">
        <w:rPr>
          <w:bCs/>
        </w:rPr>
        <w:t>)</w:t>
      </w:r>
      <w:r w:rsidRPr="001C3EDC">
        <w:t xml:space="preserve">. </w:t>
      </w:r>
      <w:r w:rsidR="00D42E3B" w:rsidRPr="001C3EDC">
        <w:rPr>
          <w:b/>
          <w:bCs/>
          <w:i/>
          <w:iCs/>
        </w:rPr>
        <w:t xml:space="preserve">Figure </w:t>
      </w:r>
      <w:r w:rsidR="00602D01" w:rsidRPr="001C3EDC">
        <w:rPr>
          <w:b/>
          <w:bCs/>
          <w:i/>
          <w:iCs/>
        </w:rPr>
        <w:t>19</w:t>
      </w:r>
      <w:r w:rsidR="00D42E3B" w:rsidRPr="001C3EDC">
        <w:t xml:space="preserve"> displays these points. </w:t>
      </w:r>
    </w:p>
    <w:p w14:paraId="0E766D48" w14:textId="11E3EAF6" w:rsidR="009E0604" w:rsidRPr="001C3EDC" w:rsidRDefault="008F50D2" w:rsidP="004F7F4A">
      <w:pPr>
        <w:pStyle w:val="Caption"/>
        <w:spacing w:before="200"/>
        <w:rPr>
          <w:rFonts w:ascii="Calibri" w:hAnsi="Calibri"/>
          <w:i/>
          <w:color w:val="44546A"/>
          <w:sz w:val="22"/>
          <w:szCs w:val="18"/>
        </w:rPr>
      </w:pPr>
      <w:bookmarkStart w:id="110" w:name="_Toc522036490"/>
      <w:bookmarkEnd w:id="109"/>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19</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9E0604" w:rsidRPr="001C3EDC">
        <w:rPr>
          <w:rFonts w:ascii="Calibri" w:hAnsi="Calibri"/>
          <w:i/>
          <w:color w:val="44546A"/>
          <w:sz w:val="22"/>
          <w:szCs w:val="18"/>
        </w:rPr>
        <w:t xml:space="preserve">Impact of climate change on real GDP </w:t>
      </w:r>
      <w:r w:rsidR="001D4DF4" w:rsidRPr="001C3EDC">
        <w:rPr>
          <w:rFonts w:ascii="Calibri" w:hAnsi="Calibri"/>
          <w:i/>
          <w:color w:val="44546A"/>
          <w:sz w:val="22"/>
          <w:szCs w:val="18"/>
        </w:rPr>
        <w:t xml:space="preserve">growth </w:t>
      </w:r>
      <w:r w:rsidR="004F7F4A" w:rsidRPr="001C3EDC">
        <w:rPr>
          <w:rFonts w:ascii="Calibri" w:hAnsi="Calibri"/>
          <w:i/>
          <w:color w:val="44546A"/>
          <w:sz w:val="22"/>
          <w:szCs w:val="18"/>
        </w:rPr>
        <w:t>by 2050</w:t>
      </w:r>
      <w:r w:rsidR="004F7F4A" w:rsidRPr="001C3EDC">
        <w:rPr>
          <w:rFonts w:ascii="Calibri" w:hAnsi="Calibri"/>
          <w:i/>
          <w:color w:val="44546A"/>
          <w:sz w:val="22"/>
          <w:szCs w:val="18"/>
        </w:rPr>
        <w:br/>
      </w:r>
      <w:r w:rsidR="00B07D40" w:rsidRPr="001C3EDC">
        <w:rPr>
          <w:rFonts w:ascii="Calibri" w:hAnsi="Calibri"/>
          <w:i/>
          <w:color w:val="44546A"/>
          <w:sz w:val="22"/>
          <w:szCs w:val="18"/>
        </w:rPr>
        <w:t>(</w:t>
      </w:r>
      <w:r w:rsidR="005572EB" w:rsidRPr="001C3EDC">
        <w:rPr>
          <w:rFonts w:ascii="Calibri" w:hAnsi="Calibri"/>
          <w:i/>
          <w:color w:val="44546A"/>
          <w:sz w:val="22"/>
          <w:szCs w:val="18"/>
        </w:rPr>
        <w:t>percent</w:t>
      </w:r>
      <w:r w:rsidR="00707298" w:rsidRPr="001C3EDC">
        <w:rPr>
          <w:rFonts w:ascii="Calibri" w:hAnsi="Calibri"/>
          <w:i/>
          <w:color w:val="44546A"/>
          <w:sz w:val="22"/>
          <w:szCs w:val="18"/>
        </w:rPr>
        <w:t>age of</w:t>
      </w:r>
      <w:r w:rsidR="00B07D40" w:rsidRPr="001C3EDC">
        <w:rPr>
          <w:rFonts w:ascii="Calibri" w:hAnsi="Calibri"/>
          <w:i/>
          <w:color w:val="44546A"/>
          <w:sz w:val="22"/>
          <w:szCs w:val="18"/>
        </w:rPr>
        <w:t xml:space="preserve"> change compared to the </w:t>
      </w:r>
      <w:r w:rsidR="000963FD" w:rsidRPr="001C3EDC">
        <w:rPr>
          <w:rFonts w:ascii="Calibri" w:hAnsi="Calibri"/>
          <w:i/>
          <w:color w:val="44546A"/>
          <w:sz w:val="22"/>
          <w:szCs w:val="18"/>
        </w:rPr>
        <w:t>baseline</w:t>
      </w:r>
      <w:r w:rsidR="008B1B9E" w:rsidRPr="001C3EDC">
        <w:rPr>
          <w:rFonts w:ascii="Calibri" w:hAnsi="Calibri"/>
          <w:i/>
          <w:color w:val="44546A"/>
          <w:sz w:val="22"/>
          <w:szCs w:val="18"/>
        </w:rPr>
        <w:t xml:space="preserve"> without climate change</w:t>
      </w:r>
      <w:r w:rsidR="00B07D40" w:rsidRPr="001C3EDC">
        <w:rPr>
          <w:rFonts w:ascii="Calibri" w:hAnsi="Calibri"/>
          <w:i/>
          <w:color w:val="44546A"/>
          <w:sz w:val="22"/>
          <w:szCs w:val="18"/>
        </w:rPr>
        <w:t>)</w:t>
      </w:r>
      <w:bookmarkEnd w:id="110"/>
    </w:p>
    <w:p w14:paraId="6FF3C483" w14:textId="2F876BA7" w:rsidR="007A35DA" w:rsidRPr="001C3EDC" w:rsidRDefault="007A35DA" w:rsidP="006C7123">
      <w:pPr>
        <w:jc w:val="center"/>
        <w:rPr>
          <w:rFonts w:cs="Times New Roman"/>
          <w:szCs w:val="24"/>
        </w:rPr>
      </w:pPr>
      <w:r w:rsidRPr="001C3EDC">
        <w:rPr>
          <w:noProof/>
        </w:rPr>
        <w:drawing>
          <wp:inline distT="0" distB="0" distL="0" distR="0" wp14:anchorId="7939AE58" wp14:editId="4E6FBFF7">
            <wp:extent cx="5731510" cy="2621902"/>
            <wp:effectExtent l="0" t="0" r="2540" b="7620"/>
            <wp:docPr id="26" name="Chart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1ECB9CE" w14:textId="46081467" w:rsidR="00EB74A8" w:rsidRPr="001C3EDC" w:rsidRDefault="00EB74A8" w:rsidP="00BA2083">
      <w:pPr>
        <w:pStyle w:val="Source"/>
      </w:pPr>
      <w:r w:rsidRPr="001C3EDC">
        <w:t>Source: Model simulations</w:t>
      </w:r>
      <w:r w:rsidR="00A8202C">
        <w:t>.</w:t>
      </w:r>
    </w:p>
    <w:p w14:paraId="2510D2B1" w14:textId="272A547D" w:rsidR="00B00D72" w:rsidRDefault="00602D01" w:rsidP="00FB32A7">
      <w:pPr>
        <w:pStyle w:val="BodyText"/>
        <w:tabs>
          <w:tab w:val="left" w:pos="720"/>
        </w:tabs>
        <w:spacing w:after="0"/>
        <w:ind w:left="0" w:firstLine="0"/>
      </w:pPr>
      <w:bookmarkStart w:id="111" w:name="_Hlk511900583"/>
      <w:r w:rsidRPr="001C3EDC">
        <w:t>These results fall between the range of the findings from available studies on the economic impacts of 2°C change in Southern Europe</w:t>
      </w:r>
      <w:r w:rsidR="00B00D72" w:rsidRPr="001C3EDC">
        <w:t xml:space="preserve"> (see </w:t>
      </w:r>
      <w:r w:rsidR="00527521" w:rsidRPr="001C3EDC">
        <w:rPr>
          <w:b/>
          <w:bCs/>
          <w:i/>
          <w:iCs/>
        </w:rPr>
        <w:t xml:space="preserve">Box 2 </w:t>
      </w:r>
      <w:r w:rsidR="00B00D72" w:rsidRPr="001C3EDC">
        <w:t>for a review of summary findings)</w:t>
      </w:r>
      <w:r w:rsidRPr="001C3EDC">
        <w:t>: the PESETA project (2014) estimates the overall macro-economic impact of climate change around 2.8 percent GDP in 2080; the TopDad project estimates a 0.15 percent slowdown in Southern European economic growth; and the Climate Cost project estimates 0.5-1 percent GDP loss by 2100.</w:t>
      </w:r>
      <w:r w:rsidRPr="001C3EDC">
        <w:rPr>
          <w:rStyle w:val="FootnoteReference"/>
        </w:rPr>
        <w:footnoteReference w:id="8"/>
      </w:r>
      <w:r w:rsidRPr="001C3EDC">
        <w:t xml:space="preserve">  These studies date from a few years back and unfortunately there are no updates yet regarding the potential macroeconomic impact of a 4°C temperature change. </w:t>
      </w:r>
    </w:p>
    <w:p w14:paraId="1DF807F1" w14:textId="088C4318" w:rsidR="00914BE5" w:rsidRDefault="00914BE5" w:rsidP="008E0DFF">
      <w:pPr>
        <w:pStyle w:val="BodyText"/>
        <w:numPr>
          <w:ilvl w:val="0"/>
          <w:numId w:val="0"/>
        </w:numPr>
        <w:tabs>
          <w:tab w:val="left" w:pos="720"/>
        </w:tabs>
        <w:spacing w:after="0"/>
        <w:ind w:left="360" w:hanging="360"/>
      </w:pPr>
    </w:p>
    <w:p w14:paraId="07F6A17A" w14:textId="2132CB7C" w:rsidR="00914BE5" w:rsidRDefault="00914BE5" w:rsidP="008E0DFF">
      <w:pPr>
        <w:pStyle w:val="BodyText"/>
        <w:numPr>
          <w:ilvl w:val="0"/>
          <w:numId w:val="0"/>
        </w:numPr>
        <w:tabs>
          <w:tab w:val="left" w:pos="720"/>
        </w:tabs>
        <w:spacing w:after="0"/>
        <w:ind w:left="360" w:hanging="360"/>
      </w:pPr>
    </w:p>
    <w:p w14:paraId="34B51E74" w14:textId="77777777" w:rsidR="00914BE5" w:rsidRPr="001C3EDC" w:rsidRDefault="00914BE5" w:rsidP="008E0DFF">
      <w:pPr>
        <w:pStyle w:val="BodyText"/>
        <w:numPr>
          <w:ilvl w:val="0"/>
          <w:numId w:val="0"/>
        </w:numPr>
        <w:tabs>
          <w:tab w:val="left" w:pos="720"/>
        </w:tabs>
        <w:spacing w:after="0"/>
        <w:ind w:left="360" w:hanging="360"/>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27521" w:rsidRPr="001C3EDC" w14:paraId="6A644500" w14:textId="77777777" w:rsidTr="000D4D9B">
        <w:trPr>
          <w:jc w:val="center"/>
        </w:trPr>
        <w:tc>
          <w:tcPr>
            <w:tcW w:w="8545" w:type="dxa"/>
            <w:shd w:val="clear" w:color="auto" w:fill="B8CCE4"/>
            <w:tcMar>
              <w:left w:w="115" w:type="dxa"/>
              <w:right w:w="115" w:type="dxa"/>
            </w:tcMar>
          </w:tcPr>
          <w:p w14:paraId="3870DCCF" w14:textId="076298F7" w:rsidR="00527521" w:rsidRPr="001C3EDC" w:rsidRDefault="00527521" w:rsidP="00527521">
            <w:pPr>
              <w:pStyle w:val="TablesFigures"/>
              <w:rPr>
                <w:iCs/>
                <w:lang w:val="en-US"/>
              </w:rPr>
            </w:pPr>
            <w:bookmarkStart w:id="112" w:name="_Ref514076626"/>
            <w:bookmarkStart w:id="113" w:name="_Toc514272985"/>
            <w:bookmarkStart w:id="114" w:name="_Toc522036527"/>
            <w:r w:rsidRPr="001C3EDC">
              <w:rPr>
                <w:iCs/>
                <w:lang w:val="en-US"/>
              </w:rPr>
              <w:t xml:space="preserve">Box </w:t>
            </w:r>
            <w:r w:rsidRPr="001C3EDC">
              <w:rPr>
                <w:iCs/>
                <w:lang w:val="en-US"/>
              </w:rPr>
              <w:fldChar w:fldCharType="begin"/>
            </w:r>
            <w:r w:rsidRPr="001C3EDC">
              <w:rPr>
                <w:iCs/>
                <w:lang w:val="en-US"/>
              </w:rPr>
              <w:instrText xml:space="preserve"> SEQ Box \* ARABIC </w:instrText>
            </w:r>
            <w:r w:rsidRPr="001C3EDC">
              <w:rPr>
                <w:iCs/>
                <w:lang w:val="en-US"/>
              </w:rPr>
              <w:fldChar w:fldCharType="separate"/>
            </w:r>
            <w:r w:rsidR="00F84F84">
              <w:rPr>
                <w:iCs/>
                <w:noProof/>
                <w:lang w:val="en-US"/>
              </w:rPr>
              <w:t>2</w:t>
            </w:r>
            <w:r w:rsidRPr="001C3EDC">
              <w:rPr>
                <w:lang w:val="en-US"/>
              </w:rPr>
              <w:fldChar w:fldCharType="end"/>
            </w:r>
            <w:bookmarkEnd w:id="112"/>
            <w:r w:rsidRPr="001C3EDC">
              <w:rPr>
                <w:iCs/>
                <w:lang w:val="en-US"/>
              </w:rPr>
              <w:t>. The macro-economic impacts of a 2°C temperature change over Europe: findings from previous studies</w:t>
            </w:r>
            <w:bookmarkEnd w:id="113"/>
            <w:bookmarkEnd w:id="114"/>
          </w:p>
          <w:p w14:paraId="2D8F784A" w14:textId="77777777" w:rsidR="001C3EDC" w:rsidRPr="001C3EDC" w:rsidRDefault="001C3EDC" w:rsidP="000D4D9B">
            <w:pPr>
              <w:spacing w:before="40" w:after="40" w:line="252" w:lineRule="auto"/>
              <w:rPr>
                <w:rFonts w:asciiTheme="minorHAnsi" w:hAnsiTheme="minorHAnsi" w:cs="Times New Roman"/>
                <w:sz w:val="22"/>
              </w:rPr>
            </w:pPr>
            <w:r w:rsidRPr="001C3EDC">
              <w:rPr>
                <w:rFonts w:asciiTheme="minorHAnsi" w:hAnsiTheme="minorHAnsi" w:cs="Times New Roman"/>
                <w:sz w:val="22"/>
              </w:rPr>
              <w:t xml:space="preserve">The Climate Cost project estimated substantial costs from climate change in the absence of adaptation policies.  More specifically, in a 2°C scenario, the project reported the following results for EU: (i) 80,000 additional people that will be directly affected by coastal flooding each year by the 2080s with expected annual damage costs of €17 billion per year; (ii) Over 35 percent of EU wetlands could be lost by 2080s unless protective measures are undertaken; (iii) Climate change will have positive and negative effects on energy demand levels, reducing winter heating demand but increasing summer cooling demand.  The total supply side analysis implies annual European energy costs could be as high as US$95 billion by 2100; (iv) Deaths related to extreme heat are estimated around 74 thousand deaths per year by the 2050s; (v) Impacts of climate change on Salmonellosis (the leading cause of food-borne illness in Europe) may reach around €68 and €89 million per year in the 2050s; and (vi) One hundred thirty fatalities per year can be expected from sea level rise and storm surge by </w:t>
            </w:r>
            <w:r w:rsidRPr="001C3EDC">
              <w:rPr>
                <w:rFonts w:asciiTheme="minorHAnsi" w:hAnsiTheme="minorHAnsi" w:cs="Times New Roman"/>
                <w:sz w:val="22"/>
              </w:rPr>
              <w:lastRenderedPageBreak/>
              <w:t>mid-century, with two-thirds in Western Europe.</w:t>
            </w:r>
          </w:p>
          <w:p w14:paraId="74067D8E" w14:textId="6E1D25C9" w:rsidR="001C3EDC" w:rsidRPr="001C3EDC" w:rsidRDefault="001C3EDC" w:rsidP="000D4D9B">
            <w:pPr>
              <w:spacing w:before="40" w:after="40" w:line="252" w:lineRule="auto"/>
              <w:rPr>
                <w:rFonts w:asciiTheme="minorHAnsi" w:hAnsiTheme="minorHAnsi" w:cs="Times New Roman"/>
                <w:sz w:val="22"/>
              </w:rPr>
            </w:pPr>
            <w:r w:rsidRPr="001C3EDC">
              <w:rPr>
                <w:rFonts w:asciiTheme="minorHAnsi" w:hAnsiTheme="minorHAnsi" w:cs="Times New Roman"/>
                <w:sz w:val="22"/>
              </w:rPr>
              <w:t>The PESETA II project provided estimates of climate change impacts by 2080 for Europe. Main results from the study for Central Southern Europe (2°C scenario) are as follows: (i) while EU agriculture yields will fall by 2 percent, Central Southern European yields (including Bulgaria) are expected to increase by 2 percent; (ii) Central Southern Europe’s energy demand is expected to fall by 9 percent compared to the respective control period (1961–1990); (iii) Damages from river floods could raise up to €5.2 billion per year compares (about current damage level for the entire EU: €4.4 billion in annual damage reported over 1998–2009); (iv) cropland area affected by droughts is projected to increase substantially to around 242,000 km</w:t>
            </w:r>
            <w:r w:rsidRPr="001C3EDC">
              <w:rPr>
                <w:rFonts w:asciiTheme="minorHAnsi" w:hAnsiTheme="minorHAnsi" w:cs="Times New Roman"/>
                <w:sz w:val="22"/>
                <w:vertAlign w:val="superscript"/>
              </w:rPr>
              <w:t>2</w:t>
            </w:r>
            <w:r w:rsidRPr="001C3EDC">
              <w:rPr>
                <w:rFonts w:asciiTheme="minorHAnsi" w:hAnsiTheme="minorHAnsi" w:cs="Times New Roman"/>
                <w:sz w:val="22"/>
              </w:rPr>
              <w:t xml:space="preserve"> per year and 642 million people per year; (v) Additional flood-induced damages to road infrastructure for the period 2070–2100 is estimated around €40 million per year; (vi) Impact from sea floods damage may reach €100 million per year; (vi) Climate change translates into expected variation in tourists´ expenditures (and thus expected revenue loss for the tourism industry) of around €5 million per year; (viii) Impact on habitat suitability index is to increase by 6 percent (compared to 1961–1990); (ix) Heat-related events are estimated around 129 deaths per year.</w:t>
            </w:r>
          </w:p>
          <w:p w14:paraId="380BA626" w14:textId="77777777" w:rsidR="001C3EDC" w:rsidRPr="001C3EDC" w:rsidRDefault="001C3EDC" w:rsidP="000D4D9B">
            <w:pPr>
              <w:spacing w:before="40" w:after="40" w:line="252" w:lineRule="auto"/>
              <w:rPr>
                <w:rFonts w:asciiTheme="minorHAnsi" w:hAnsiTheme="minorHAnsi" w:cs="Times New Roman"/>
                <w:sz w:val="22"/>
              </w:rPr>
            </w:pPr>
            <w:r w:rsidRPr="001C3EDC">
              <w:rPr>
                <w:rFonts w:asciiTheme="minorHAnsi" w:hAnsiTheme="minorHAnsi" w:cs="Times New Roman"/>
                <w:sz w:val="22"/>
              </w:rPr>
              <w:t>The TopDad study developed economic assessment of climate change under “high emissions-high growth” and “low emissions-low growth” scenarios.  The study does not provide a detailed assessment by region and concludes overall that due climate change, income per capita by 2050 will already be one third lower than the level anticipated at the end of this century under the “low emissions-low growth” scenario.  The economic impacts under the “high emissions – high growth” pathway will also grow incrementally: from a 0.15 percent reduction in growth rate in Europe between 2010 and 2050 to a reduction of 0.2 percent per year in the second half of the century.  This means that there will be fewer resources available for adaptation, while at the same time the impacts of climate change and the need for adaptation will be considerably higher.  The study also highlights energy demand, tourism and extreme events as the main drivers of adverse impacts from climate change and concludes that challenges to adaptation cannot be mitigated only by high economic growth.</w:t>
            </w:r>
          </w:p>
          <w:p w14:paraId="4AC7B47F" w14:textId="7988D3CD" w:rsidR="00527521" w:rsidRPr="001C3EDC" w:rsidRDefault="001C3EDC" w:rsidP="000D4D9B">
            <w:pPr>
              <w:spacing w:before="40" w:after="0" w:line="252" w:lineRule="auto"/>
              <w:rPr>
                <w:rFonts w:asciiTheme="minorHAnsi" w:hAnsiTheme="minorHAnsi"/>
                <w:sz w:val="22"/>
              </w:rPr>
            </w:pPr>
            <w:r w:rsidRPr="001C3EDC">
              <w:rPr>
                <w:rFonts w:asciiTheme="minorHAnsi" w:hAnsiTheme="minorHAnsi" w:cs="Times New Roman"/>
                <w:sz w:val="22"/>
              </w:rPr>
              <w:t>This literature review highlights several gaps in the integrated assessment of climate change economic impacts, notably (i) agriculture, where none of the above-mentioned studies has explicitly modelled the use of land and water under a changing, and (ii) focus on a 2°C scenario, while climate change might be more intense, as soon as 2050, absent collective and ambitious action. The model developed for Bulgaria in this study is thus an attempt to address these gaps. The simulation results from the model developed for this study are described below.</w:t>
            </w:r>
          </w:p>
        </w:tc>
      </w:tr>
    </w:tbl>
    <w:bookmarkEnd w:id="111"/>
    <w:p w14:paraId="6A652249" w14:textId="75E868CC" w:rsidR="00AA63BD" w:rsidRPr="001C3EDC" w:rsidRDefault="00AA63BD" w:rsidP="00CA5CD0">
      <w:pPr>
        <w:pStyle w:val="BodyText"/>
        <w:tabs>
          <w:tab w:val="left" w:pos="720"/>
        </w:tabs>
        <w:spacing w:before="120"/>
        <w:ind w:left="0" w:firstLine="0"/>
      </w:pPr>
      <w:r w:rsidRPr="001C3EDC">
        <w:rPr>
          <w:b/>
          <w:i/>
        </w:rPr>
        <w:lastRenderedPageBreak/>
        <w:t xml:space="preserve">Figure </w:t>
      </w:r>
      <w:r w:rsidR="008F50D2" w:rsidRPr="001C3EDC">
        <w:rPr>
          <w:b/>
          <w:i/>
        </w:rPr>
        <w:t>2</w:t>
      </w:r>
      <w:r w:rsidR="00B00D72" w:rsidRPr="001C3EDC">
        <w:rPr>
          <w:b/>
          <w:i/>
        </w:rPr>
        <w:t>0</w:t>
      </w:r>
      <w:r w:rsidRPr="001C3EDC">
        <w:t xml:space="preserve"> presents </w:t>
      </w:r>
      <w:r w:rsidR="00A74E1D" w:rsidRPr="001C3EDC">
        <w:t>sector wide</w:t>
      </w:r>
      <w:r w:rsidRPr="001C3EDC">
        <w:t xml:space="preserve"> impacts of the alternative </w:t>
      </w:r>
      <w:r w:rsidR="00600C36" w:rsidRPr="001C3EDC">
        <w:t xml:space="preserve">climate change </w:t>
      </w:r>
      <w:r w:rsidRPr="001C3EDC">
        <w:t xml:space="preserve">scenarios in Bulgaria by 2050. </w:t>
      </w:r>
      <w:r w:rsidR="009522AE" w:rsidRPr="001C3EDC">
        <w:t xml:space="preserve">There are </w:t>
      </w:r>
      <w:r w:rsidRPr="001C3EDC">
        <w:t xml:space="preserve">57 sectors in the </w:t>
      </w:r>
      <w:r w:rsidR="00A74E1D" w:rsidRPr="001C3EDC">
        <w:t>model,</w:t>
      </w:r>
      <w:r w:rsidRPr="001C3EDC">
        <w:t xml:space="preserve"> </w:t>
      </w:r>
      <w:r w:rsidR="00EB74A8" w:rsidRPr="001C3EDC">
        <w:t>but</w:t>
      </w:r>
      <w:r w:rsidRPr="001C3EDC">
        <w:t xml:space="preserve"> the presentation and discussion here will aggregate those </w:t>
      </w:r>
      <w:r w:rsidR="002C2858" w:rsidRPr="001C3EDC">
        <w:t>in</w:t>
      </w:r>
      <w:r w:rsidRPr="001C3EDC">
        <w:t xml:space="preserve">to </w:t>
      </w:r>
      <w:r w:rsidR="00EB74A8" w:rsidRPr="001C3EDC">
        <w:t xml:space="preserve">13 </w:t>
      </w:r>
      <w:r w:rsidRPr="001C3EDC">
        <w:t>broad sector</w:t>
      </w:r>
      <w:r w:rsidR="002C2858" w:rsidRPr="001C3EDC">
        <w:t xml:space="preserve"> cluster</w:t>
      </w:r>
      <w:r w:rsidRPr="001C3EDC">
        <w:t>s to give a more general perspective of the results.</w:t>
      </w:r>
      <w:r w:rsidR="00CB62AC" w:rsidRPr="001C3EDC">
        <w:t xml:space="preserve"> </w:t>
      </w:r>
      <w:r w:rsidRPr="001C3EDC">
        <w:t xml:space="preserve">The sectoral mapping used for aggregation </w:t>
      </w:r>
      <w:r w:rsidR="000144DC" w:rsidRPr="001C3EDC">
        <w:t>is</w:t>
      </w:r>
      <w:r w:rsidR="008F6D79" w:rsidRPr="001C3EDC">
        <w:t xml:space="preserve"> available in </w:t>
      </w:r>
      <w:r w:rsidRPr="001C3EDC">
        <w:rPr>
          <w:b/>
          <w:bCs/>
          <w:i/>
          <w:iCs/>
        </w:rPr>
        <w:t>Annex</w:t>
      </w:r>
      <w:r w:rsidR="008F6D79" w:rsidRPr="001C3EDC">
        <w:rPr>
          <w:b/>
          <w:bCs/>
          <w:i/>
          <w:iCs/>
        </w:rPr>
        <w:t xml:space="preserve"> 1</w:t>
      </w:r>
      <w:r w:rsidR="00D22D9C" w:rsidRPr="001C3EDC">
        <w:t>.</w:t>
      </w:r>
      <w:r w:rsidRPr="001C3EDC">
        <w:t xml:space="preserve"> </w:t>
      </w:r>
      <w:r w:rsidR="009522AE" w:rsidRPr="001C3EDC">
        <w:t xml:space="preserve">The main conclusions are as </w:t>
      </w:r>
      <w:r w:rsidRPr="001C3EDC">
        <w:t>follows</w:t>
      </w:r>
      <w:r w:rsidR="009522AE" w:rsidRPr="001C3EDC">
        <w:t>:</w:t>
      </w:r>
      <w:r w:rsidRPr="001C3EDC">
        <w:t xml:space="preserve"> </w:t>
      </w:r>
    </w:p>
    <w:p w14:paraId="44E1275B" w14:textId="3A9FA257" w:rsidR="00AA63BD" w:rsidRPr="001C3EDC" w:rsidRDefault="00AA63BD" w:rsidP="000D4D9B">
      <w:pPr>
        <w:pStyle w:val="BodyText"/>
        <w:numPr>
          <w:ilvl w:val="0"/>
          <w:numId w:val="14"/>
        </w:numPr>
        <w:tabs>
          <w:tab w:val="left" w:pos="720"/>
        </w:tabs>
        <w:ind w:firstLine="0"/>
      </w:pPr>
      <w:r w:rsidRPr="001C3EDC">
        <w:t>First, climate change leads to decline in output of the agricultural sector</w:t>
      </w:r>
      <w:r w:rsidR="00600C36" w:rsidRPr="001C3EDC">
        <w:t>, particularly Grains,</w:t>
      </w:r>
      <w:r w:rsidR="00496461" w:rsidRPr="001C3EDC">
        <w:t xml:space="preserve"> as shown </w:t>
      </w:r>
      <w:r w:rsidR="00600C36" w:rsidRPr="001C3EDC">
        <w:t>o</w:t>
      </w:r>
      <w:r w:rsidR="00496461" w:rsidRPr="001C3EDC">
        <w:t xml:space="preserve">n </w:t>
      </w:r>
      <w:r w:rsidR="00496461" w:rsidRPr="001C3EDC">
        <w:rPr>
          <w:b/>
          <w:bCs/>
          <w:i/>
          <w:iCs/>
        </w:rPr>
        <w:t xml:space="preserve">Figure </w:t>
      </w:r>
      <w:r w:rsidR="00EE0AC3" w:rsidRPr="001C3EDC">
        <w:rPr>
          <w:b/>
          <w:bCs/>
          <w:i/>
          <w:iCs/>
        </w:rPr>
        <w:t>2</w:t>
      </w:r>
      <w:r w:rsidR="00600C36" w:rsidRPr="001C3EDC">
        <w:rPr>
          <w:b/>
          <w:bCs/>
          <w:i/>
          <w:iCs/>
        </w:rPr>
        <w:t>0</w:t>
      </w:r>
      <w:r w:rsidRPr="001C3EDC">
        <w:t xml:space="preserve">. </w:t>
      </w:r>
      <w:r w:rsidR="00600C36" w:rsidRPr="001C3EDC">
        <w:t xml:space="preserve"> </w:t>
      </w:r>
    </w:p>
    <w:p w14:paraId="33AB66E0" w14:textId="0CBA2A42" w:rsidR="009D572F" w:rsidRPr="001C3EDC" w:rsidRDefault="00AA63BD" w:rsidP="000D4D9B">
      <w:pPr>
        <w:pStyle w:val="BodyText"/>
        <w:numPr>
          <w:ilvl w:val="0"/>
          <w:numId w:val="14"/>
        </w:numPr>
        <w:tabs>
          <w:tab w:val="left" w:pos="720"/>
        </w:tabs>
        <w:ind w:firstLine="0"/>
      </w:pPr>
      <w:r w:rsidRPr="001C3EDC">
        <w:t xml:space="preserve">Second, there is </w:t>
      </w:r>
      <w:r w:rsidR="00826387" w:rsidRPr="001C3EDC">
        <w:t xml:space="preserve">a </w:t>
      </w:r>
      <w:r w:rsidRPr="001C3EDC">
        <w:t>decline in output of the energy sector in all the scenarios that were considered</w:t>
      </w:r>
      <w:r w:rsidR="009456BB" w:rsidRPr="001C3EDC">
        <w:t xml:space="preserve">, consistent with the assumption of overall reduced energy demand in response to warming temperature. </w:t>
      </w:r>
      <w:r w:rsidR="00A9640D" w:rsidRPr="001C3EDC">
        <w:rPr>
          <w:color w:val="000000"/>
          <w:shd w:val="clear" w:color="auto" w:fill="FFFFFF"/>
        </w:rPr>
        <w:t xml:space="preserve">The negative demand shocks to electricity and gas are much </w:t>
      </w:r>
      <w:r w:rsidR="00A9640D" w:rsidRPr="001C3EDC">
        <w:rPr>
          <w:color w:val="000000"/>
          <w:shd w:val="clear" w:color="auto" w:fill="FFFFFF"/>
        </w:rPr>
        <w:lastRenderedPageBreak/>
        <w:t>smaller (0.05</w:t>
      </w:r>
      <w:r w:rsidR="00B81B02" w:rsidRPr="001C3EDC">
        <w:rPr>
          <w:color w:val="000000"/>
          <w:shd w:val="clear" w:color="auto" w:fill="FFFFFF"/>
        </w:rPr>
        <w:t xml:space="preserve"> to </w:t>
      </w:r>
      <w:r w:rsidR="00A9640D" w:rsidRPr="001C3EDC">
        <w:rPr>
          <w:color w:val="000000"/>
          <w:shd w:val="clear" w:color="auto" w:fill="FFFFFF"/>
        </w:rPr>
        <w:t>0.27 percent) than those in petroleum and coal products (5</w:t>
      </w:r>
      <w:r w:rsidR="00B81B02" w:rsidRPr="001C3EDC">
        <w:rPr>
          <w:color w:val="000000"/>
          <w:shd w:val="clear" w:color="auto" w:fill="FFFFFF"/>
        </w:rPr>
        <w:t xml:space="preserve"> to </w:t>
      </w:r>
      <w:r w:rsidR="00A9640D" w:rsidRPr="001C3EDC">
        <w:rPr>
          <w:color w:val="000000"/>
          <w:shd w:val="clear" w:color="auto" w:fill="FFFFFF"/>
        </w:rPr>
        <w:t xml:space="preserve">29.8 percent reduction). This does not necessarily mean that the production in these sectors would also go down by that extent, because exports may increase, leading to a relatively lower reduction in output.  The relative size of these sectors also matters, to understand the change in energy output.  </w:t>
      </w:r>
      <w:r w:rsidR="00A9640D" w:rsidRPr="001C3EDC">
        <w:rPr>
          <w:color w:val="000000"/>
        </w:rPr>
        <w:t>Electricity is the largest among the energy sectors (53 percent in production), while coal is the third largest (5 percent) after petroleum and coal products (35 percent).  Coal (as distinct from coal products) actually expands since there is no negative shock on it as described above; this explains why the extraction sector is expanding as a whole in terms of production despite the reduction in the petroleum and coal products sector domestically. In the meantime, electricity hardly declines in production.  Exports from Bulgaria are significant for electricity (US$1.1 billion), petroleum and coal products (US$2.5 billion) and coal (US$6 million), leaving some scope to expand exports in these sectors. As for gas, exports of gas extraction and distribution are negligible; therefore, changes in gas exports are almost zero, and have no effect on the sector as a whole. In other words, most of the changes to the gas sector are explained by changes in domestic demand, while most of the positive changes in the other energy sectors happen on the export front.</w:t>
      </w:r>
    </w:p>
    <w:p w14:paraId="4A1690BC" w14:textId="5CF3CE5D" w:rsidR="00AA63BD" w:rsidRPr="001C3EDC" w:rsidRDefault="00AA63BD" w:rsidP="000D4D9B">
      <w:pPr>
        <w:pStyle w:val="BodyText"/>
        <w:numPr>
          <w:ilvl w:val="0"/>
          <w:numId w:val="14"/>
        </w:numPr>
        <w:tabs>
          <w:tab w:val="left" w:pos="720"/>
        </w:tabs>
        <w:ind w:firstLine="0"/>
      </w:pPr>
      <w:r w:rsidRPr="001C3EDC">
        <w:t>Third, the other block of sectors experiencing a negative outcome is transport and communication. The overall decline in economic activity (as shown above by GDP changes) accounts for the decline in demand for output for these sectors.</w:t>
      </w:r>
    </w:p>
    <w:p w14:paraId="5EBB5982" w14:textId="5ACD2927" w:rsidR="00AA63BD" w:rsidRPr="001C3EDC" w:rsidRDefault="00AA63BD" w:rsidP="000D4D9B">
      <w:pPr>
        <w:pStyle w:val="BodyText"/>
        <w:numPr>
          <w:ilvl w:val="0"/>
          <w:numId w:val="14"/>
        </w:numPr>
        <w:tabs>
          <w:tab w:val="left" w:pos="720"/>
        </w:tabs>
        <w:ind w:firstLine="0"/>
      </w:pPr>
      <w:r w:rsidRPr="001C3EDC">
        <w:t>Fourth, the positive output response</w:t>
      </w:r>
      <w:r w:rsidR="000E020A" w:rsidRPr="001C3EDC">
        <w:t xml:space="preserve"> is observed</w:t>
      </w:r>
      <w:r w:rsidRPr="001C3EDC">
        <w:t xml:space="preserve"> in what is called the energy</w:t>
      </w:r>
      <w:r w:rsidR="00917C97" w:rsidRPr="001C3EDC">
        <w:t>-</w:t>
      </w:r>
      <w:r w:rsidRPr="001C3EDC">
        <w:t>intensive trade exposed sectors, which includes sectors such as chemicals, steel, aluminum, cement, and ceramics. The positive response following climate change is driven by p</w:t>
      </w:r>
      <w:r w:rsidR="00EE0AC3" w:rsidRPr="001C3EDC">
        <w:t xml:space="preserve">ositive terms of trade </w:t>
      </w:r>
      <w:r w:rsidR="00964BC5" w:rsidRPr="001C3EDC">
        <w:t xml:space="preserve">(ToT) </w:t>
      </w:r>
      <w:r w:rsidR="00EE0AC3" w:rsidRPr="001C3EDC">
        <w:t>change (</w:t>
      </w:r>
      <w:r w:rsidR="00917C97" w:rsidRPr="001C3EDC">
        <w:t>s</w:t>
      </w:r>
      <w:r w:rsidRPr="001C3EDC">
        <w:t xml:space="preserve">ee </w:t>
      </w:r>
      <w:r w:rsidRPr="001C3EDC">
        <w:rPr>
          <w:b/>
          <w:bCs/>
          <w:i/>
          <w:iCs/>
        </w:rPr>
        <w:t>Figure</w:t>
      </w:r>
      <w:r w:rsidR="00EE0AC3" w:rsidRPr="001C3EDC">
        <w:rPr>
          <w:b/>
          <w:bCs/>
          <w:i/>
          <w:iCs/>
        </w:rPr>
        <w:t xml:space="preserve"> 2</w:t>
      </w:r>
      <w:r w:rsidR="00B00D72" w:rsidRPr="001C3EDC">
        <w:rPr>
          <w:b/>
          <w:bCs/>
          <w:i/>
          <w:iCs/>
        </w:rPr>
        <w:t>2</w:t>
      </w:r>
      <w:r w:rsidRPr="001C3EDC">
        <w:t xml:space="preserve">) that helps drive up export demand </w:t>
      </w:r>
      <w:r w:rsidR="00B00D72" w:rsidRPr="001C3EDC">
        <w:t>and</w:t>
      </w:r>
      <w:r w:rsidRPr="001C3EDC">
        <w:t xml:space="preserve"> mitigate declining domestic demand. </w:t>
      </w:r>
      <w:r w:rsidR="00374BD0" w:rsidRPr="001C3EDC">
        <w:t>In a general equilibrium model, prices and quantities are co-determined based on interactions among different markets, simultaneously.</w:t>
      </w:r>
      <w:r w:rsidR="00CB62AC" w:rsidRPr="001C3EDC">
        <w:t xml:space="preserve"> </w:t>
      </w:r>
      <w:r w:rsidR="00374BD0" w:rsidRPr="001C3EDC">
        <w:t xml:space="preserve">In this case, </w:t>
      </w:r>
      <w:r w:rsidR="002C4B38" w:rsidRPr="001C3EDC">
        <w:t>reduced domestic demand tends to push the prices down, but then export demand increases due to such a tendency; this results in a positive push from exports and negative push from domestic demand on output.</w:t>
      </w:r>
      <w:r w:rsidR="00CB62AC" w:rsidRPr="001C3EDC">
        <w:t xml:space="preserve"> </w:t>
      </w:r>
      <w:r w:rsidR="002C4B38" w:rsidRPr="001C3EDC">
        <w:t>The net effect is positive, with the result that energy prices also go up, due to greater overall demand for these sectors, largely driven by exports.</w:t>
      </w:r>
    </w:p>
    <w:p w14:paraId="5465A891" w14:textId="0C1AAE28" w:rsidR="00AA63BD" w:rsidRPr="001C3EDC" w:rsidRDefault="008F50D2" w:rsidP="004F7F4A">
      <w:pPr>
        <w:pStyle w:val="Caption"/>
        <w:spacing w:before="200"/>
        <w:rPr>
          <w:rFonts w:ascii="Calibri" w:hAnsi="Calibri"/>
          <w:i/>
          <w:color w:val="44546A"/>
          <w:sz w:val="22"/>
          <w:szCs w:val="18"/>
        </w:rPr>
      </w:pPr>
      <w:bookmarkStart w:id="115" w:name="_Toc522036491"/>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20</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AA63BD" w:rsidRPr="001C3EDC">
        <w:rPr>
          <w:rFonts w:ascii="Calibri" w:hAnsi="Calibri"/>
          <w:i/>
          <w:color w:val="44546A"/>
          <w:sz w:val="22"/>
          <w:szCs w:val="18"/>
        </w:rPr>
        <w:t>Impact of climate change on domestic output</w:t>
      </w:r>
      <w:r w:rsidR="004F7F4A" w:rsidRPr="001C3EDC">
        <w:rPr>
          <w:rFonts w:ascii="Calibri" w:hAnsi="Calibri"/>
          <w:i/>
          <w:color w:val="44546A"/>
          <w:sz w:val="22"/>
          <w:szCs w:val="18"/>
        </w:rPr>
        <w:br/>
      </w:r>
      <w:r w:rsidR="00316E2D" w:rsidRPr="001C3EDC">
        <w:rPr>
          <w:rFonts w:ascii="Calibri" w:hAnsi="Calibri"/>
          <w:i/>
          <w:color w:val="44546A"/>
          <w:sz w:val="22"/>
          <w:szCs w:val="18"/>
        </w:rPr>
        <w:t>(</w:t>
      </w:r>
      <w:r w:rsidR="009456BB" w:rsidRPr="001C3EDC">
        <w:rPr>
          <w:rFonts w:ascii="Calibri" w:hAnsi="Calibri"/>
          <w:i/>
          <w:color w:val="44546A"/>
          <w:sz w:val="22"/>
          <w:szCs w:val="18"/>
        </w:rPr>
        <w:t>percent</w:t>
      </w:r>
      <w:r w:rsidR="00100473" w:rsidRPr="001C3EDC">
        <w:rPr>
          <w:rFonts w:ascii="Calibri" w:hAnsi="Calibri"/>
          <w:i/>
          <w:color w:val="44546A"/>
          <w:sz w:val="22"/>
          <w:szCs w:val="18"/>
        </w:rPr>
        <w:t>age of</w:t>
      </w:r>
      <w:r w:rsidR="00316E2D" w:rsidRPr="001C3EDC">
        <w:rPr>
          <w:rFonts w:ascii="Calibri" w:hAnsi="Calibri"/>
          <w:i/>
          <w:color w:val="44546A"/>
          <w:sz w:val="22"/>
          <w:szCs w:val="18"/>
        </w:rPr>
        <w:t xml:space="preserve"> change compared to the baseline</w:t>
      </w:r>
      <w:r w:rsidR="008B1B9E" w:rsidRPr="001C3EDC">
        <w:rPr>
          <w:rFonts w:ascii="Calibri" w:hAnsi="Calibri"/>
          <w:i/>
          <w:color w:val="44546A"/>
          <w:sz w:val="22"/>
          <w:szCs w:val="18"/>
        </w:rPr>
        <w:t xml:space="preserve"> without climate change</w:t>
      </w:r>
      <w:r w:rsidR="00316E2D" w:rsidRPr="001C3EDC">
        <w:rPr>
          <w:rFonts w:ascii="Calibri" w:hAnsi="Calibri"/>
          <w:i/>
          <w:color w:val="44546A"/>
          <w:sz w:val="22"/>
          <w:szCs w:val="18"/>
        </w:rPr>
        <w:t>)</w:t>
      </w:r>
      <w:bookmarkEnd w:id="115"/>
    </w:p>
    <w:p w14:paraId="5B00A26F" w14:textId="77777777" w:rsidR="00AA63BD" w:rsidRPr="001C3EDC" w:rsidRDefault="00AA63BD" w:rsidP="00AA63BD">
      <w:pPr>
        <w:rPr>
          <w:rFonts w:cs="Times New Roman"/>
          <w:szCs w:val="24"/>
        </w:rPr>
      </w:pPr>
      <w:r w:rsidRPr="001C3EDC">
        <w:rPr>
          <w:noProof/>
        </w:rPr>
        <w:drawing>
          <wp:inline distT="0" distB="0" distL="0" distR="0" wp14:anchorId="327E17B9" wp14:editId="350DA019">
            <wp:extent cx="5745480" cy="3501737"/>
            <wp:effectExtent l="0" t="0" r="7620" b="38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645B69" w14:textId="116527AC" w:rsidR="00AA63BD" w:rsidRPr="001C3EDC" w:rsidRDefault="00AA63BD" w:rsidP="00BA2083">
      <w:pPr>
        <w:pStyle w:val="Source"/>
      </w:pPr>
      <w:r w:rsidRPr="001C3EDC">
        <w:t xml:space="preserve">Source: Model simulations. See Annex </w:t>
      </w:r>
      <w:r w:rsidR="008F6D79" w:rsidRPr="001C3EDC">
        <w:t xml:space="preserve">1 </w:t>
      </w:r>
      <w:r w:rsidRPr="001C3EDC">
        <w:t>for sector description</w:t>
      </w:r>
      <w:r w:rsidR="00897D35" w:rsidRPr="001C3EDC">
        <w:t>.</w:t>
      </w:r>
    </w:p>
    <w:p w14:paraId="4CD02A32" w14:textId="6B5A9F54" w:rsidR="00AA63BD" w:rsidRPr="001C3EDC" w:rsidRDefault="00AA63BD" w:rsidP="00CA5CD0">
      <w:pPr>
        <w:pStyle w:val="BodyText"/>
        <w:tabs>
          <w:tab w:val="left" w:pos="720"/>
        </w:tabs>
        <w:ind w:left="0" w:firstLine="0"/>
      </w:pPr>
      <w:r w:rsidRPr="001C3EDC">
        <w:t>The overall pattern of price change</w:t>
      </w:r>
      <w:r w:rsidR="009E0604" w:rsidRPr="001C3EDC">
        <w:t xml:space="preserve"> follows</w:t>
      </w:r>
      <w:r w:rsidRPr="001C3EDC">
        <w:t xml:space="preserve"> the output storyline. That is, decline in output in the face of preexisting demand leads to rationing and higher prices are required to clear the market. Hence, sectors that are in </w:t>
      </w:r>
      <w:r w:rsidR="00025F99" w:rsidRPr="001C3EDC">
        <w:t xml:space="preserve">the </w:t>
      </w:r>
      <w:r w:rsidRPr="001C3EDC">
        <w:t xml:space="preserve">direct line of climate change see </w:t>
      </w:r>
      <w:r w:rsidR="00025F99" w:rsidRPr="001C3EDC">
        <w:t xml:space="preserve">a </w:t>
      </w:r>
      <w:r w:rsidRPr="001C3EDC">
        <w:t xml:space="preserve">decline in output and rising prices as a result. </w:t>
      </w:r>
    </w:p>
    <w:p w14:paraId="4A4EF28C" w14:textId="751EF228" w:rsidR="00D52845" w:rsidRPr="001C3EDC" w:rsidRDefault="00AA63BD" w:rsidP="00CA5CD0">
      <w:pPr>
        <w:pStyle w:val="BodyText"/>
        <w:tabs>
          <w:tab w:val="left" w:pos="720"/>
        </w:tabs>
        <w:ind w:left="0" w:firstLine="0"/>
      </w:pPr>
      <w:r w:rsidRPr="001C3EDC">
        <w:t xml:space="preserve">In the economic model </w:t>
      </w:r>
      <w:r w:rsidR="000F493E" w:rsidRPr="001C3EDC">
        <w:t xml:space="preserve">developed for </w:t>
      </w:r>
      <w:r w:rsidRPr="001C3EDC">
        <w:t xml:space="preserve">this analysis, labor moves across sectors to equalize the wages paid to </w:t>
      </w:r>
      <w:r w:rsidR="00EB74A8" w:rsidRPr="001C3EDC">
        <w:t>workers</w:t>
      </w:r>
      <w:r w:rsidRPr="001C3EDC">
        <w:t xml:space="preserve">. That is, labor moves to the sectors with the highest demand. </w:t>
      </w:r>
      <w:r w:rsidR="009E0604" w:rsidRPr="001C3EDC">
        <w:t>I</w:t>
      </w:r>
      <w:r w:rsidRPr="001C3EDC">
        <w:t>f a sector expands following a</w:t>
      </w:r>
      <w:r w:rsidR="00EB74A8" w:rsidRPr="001C3EDC">
        <w:t>n exogeneous</w:t>
      </w:r>
      <w:r w:rsidRPr="001C3EDC">
        <w:t xml:space="preserve"> shock, then there will be higher demand </w:t>
      </w:r>
      <w:r w:rsidR="00CA6F3E" w:rsidRPr="001C3EDC">
        <w:t xml:space="preserve">for </w:t>
      </w:r>
      <w:r w:rsidR="00EB74A8" w:rsidRPr="001C3EDC">
        <w:t xml:space="preserve">production </w:t>
      </w:r>
      <w:r w:rsidRPr="001C3EDC">
        <w:t>factors.</w:t>
      </w:r>
      <w:r w:rsidR="009E0604" w:rsidRPr="001C3EDC">
        <w:t xml:space="preserve"> However, the</w:t>
      </w:r>
      <w:r w:rsidRPr="001C3EDC">
        <w:t xml:space="preserve"> demand for a factor depends on the initial intensity of factor use. For example, the extraction sector uses more capital than labor while the </w:t>
      </w:r>
      <w:r w:rsidR="00EF06A2" w:rsidRPr="001C3EDC">
        <w:t>converse</w:t>
      </w:r>
      <w:r w:rsidR="002C2858" w:rsidRPr="001C3EDC">
        <w:t xml:space="preserve"> </w:t>
      </w:r>
      <w:r w:rsidRPr="001C3EDC">
        <w:t xml:space="preserve">is true for the agricultural sector. Therefore, </w:t>
      </w:r>
      <w:r w:rsidRPr="001C3EDC">
        <w:rPr>
          <w:b/>
          <w:bCs/>
          <w:i/>
          <w:iCs/>
        </w:rPr>
        <w:t xml:space="preserve">Figure </w:t>
      </w:r>
      <w:r w:rsidR="008F50D2" w:rsidRPr="001C3EDC">
        <w:rPr>
          <w:b/>
          <w:bCs/>
          <w:i/>
          <w:iCs/>
        </w:rPr>
        <w:t>2</w:t>
      </w:r>
      <w:r w:rsidR="00B00D72" w:rsidRPr="001C3EDC">
        <w:rPr>
          <w:b/>
          <w:bCs/>
          <w:i/>
          <w:iCs/>
        </w:rPr>
        <w:t>1</w:t>
      </w:r>
      <w:r w:rsidRPr="001C3EDC">
        <w:t xml:space="preserve"> shows that following the impact of climate change in Bulgaria, jobs move out of sectors that are negatively </w:t>
      </w:r>
      <w:r w:rsidR="00BF2495" w:rsidRPr="001C3EDC">
        <w:t>affected</w:t>
      </w:r>
      <w:r w:rsidRPr="001C3EDC">
        <w:t xml:space="preserve">. For example, there is substantial decline in labor demand </w:t>
      </w:r>
      <w:r w:rsidR="00D52845" w:rsidRPr="001C3EDC">
        <w:t xml:space="preserve">from </w:t>
      </w:r>
      <w:r w:rsidRPr="001C3EDC">
        <w:t>the petroleum and other chemical producing sectors</w:t>
      </w:r>
      <w:r w:rsidR="00D52845" w:rsidRPr="001C3EDC">
        <w:t xml:space="preserve"> toward service</w:t>
      </w:r>
      <w:r w:rsidR="00BF2495" w:rsidRPr="001C3EDC">
        <w:t>s</w:t>
      </w:r>
      <w:r w:rsidR="00D52845" w:rsidRPr="001C3EDC">
        <w:t xml:space="preserve"> sectors and construction</w:t>
      </w:r>
      <w:r w:rsidRPr="001C3EDC">
        <w:t xml:space="preserve">. </w:t>
      </w:r>
    </w:p>
    <w:p w14:paraId="4D2470D1" w14:textId="5E3C3231" w:rsidR="00AA63BD" w:rsidRPr="001C3EDC" w:rsidRDefault="008F50D2" w:rsidP="004F7F4A">
      <w:pPr>
        <w:pStyle w:val="Caption"/>
        <w:spacing w:before="200"/>
        <w:rPr>
          <w:rFonts w:ascii="Calibri" w:hAnsi="Calibri"/>
          <w:i/>
          <w:color w:val="44546A"/>
          <w:sz w:val="22"/>
          <w:szCs w:val="18"/>
        </w:rPr>
      </w:pPr>
      <w:bookmarkStart w:id="116" w:name="_Toc522036492"/>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21</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AA63BD" w:rsidRPr="001C3EDC">
        <w:rPr>
          <w:rFonts w:ascii="Calibri" w:hAnsi="Calibri"/>
          <w:i/>
          <w:color w:val="44546A"/>
          <w:sz w:val="22"/>
          <w:szCs w:val="18"/>
        </w:rPr>
        <w:t xml:space="preserve">Climate change impact on </w:t>
      </w:r>
      <w:r w:rsidR="002250E6" w:rsidRPr="001C3EDC">
        <w:rPr>
          <w:rFonts w:ascii="Calibri" w:hAnsi="Calibri"/>
          <w:i/>
          <w:color w:val="44546A"/>
          <w:sz w:val="22"/>
          <w:szCs w:val="18"/>
        </w:rPr>
        <w:t xml:space="preserve">sectoral allocation </w:t>
      </w:r>
      <w:r w:rsidR="004F7F4A" w:rsidRPr="001C3EDC">
        <w:rPr>
          <w:rFonts w:ascii="Calibri" w:hAnsi="Calibri"/>
          <w:i/>
          <w:color w:val="44546A"/>
          <w:sz w:val="22"/>
          <w:szCs w:val="18"/>
        </w:rPr>
        <w:t>of labor</w:t>
      </w:r>
      <w:r w:rsidR="004F7F4A" w:rsidRPr="001C3EDC">
        <w:rPr>
          <w:rFonts w:ascii="Calibri" w:hAnsi="Calibri"/>
          <w:i/>
          <w:color w:val="44546A"/>
          <w:sz w:val="22"/>
          <w:szCs w:val="18"/>
        </w:rPr>
        <w:br/>
      </w:r>
      <w:r w:rsidR="00AA63BD" w:rsidRPr="001C3EDC">
        <w:rPr>
          <w:rFonts w:ascii="Calibri" w:hAnsi="Calibri"/>
          <w:i/>
          <w:color w:val="44546A"/>
          <w:sz w:val="22"/>
          <w:szCs w:val="18"/>
        </w:rPr>
        <w:t>(</w:t>
      </w:r>
      <w:r w:rsidR="009456BB" w:rsidRPr="001C3EDC">
        <w:rPr>
          <w:rFonts w:ascii="Calibri" w:hAnsi="Calibri"/>
          <w:i/>
          <w:color w:val="44546A"/>
          <w:sz w:val="22"/>
          <w:szCs w:val="18"/>
        </w:rPr>
        <w:t>percent</w:t>
      </w:r>
      <w:r w:rsidR="00100473" w:rsidRPr="001C3EDC">
        <w:rPr>
          <w:rFonts w:ascii="Calibri" w:hAnsi="Calibri"/>
          <w:i/>
          <w:color w:val="44546A"/>
          <w:sz w:val="22"/>
          <w:szCs w:val="18"/>
        </w:rPr>
        <w:t>age of</w:t>
      </w:r>
      <w:r w:rsidR="00AA63BD" w:rsidRPr="001C3EDC">
        <w:rPr>
          <w:rFonts w:ascii="Calibri" w:hAnsi="Calibri"/>
          <w:i/>
          <w:color w:val="44546A"/>
          <w:sz w:val="22"/>
          <w:szCs w:val="18"/>
        </w:rPr>
        <w:t xml:space="preserve"> </w:t>
      </w:r>
      <w:r w:rsidR="00AB1F39" w:rsidRPr="001C3EDC">
        <w:rPr>
          <w:rFonts w:ascii="Calibri" w:hAnsi="Calibri"/>
          <w:i/>
          <w:color w:val="44546A"/>
          <w:sz w:val="22"/>
          <w:szCs w:val="18"/>
        </w:rPr>
        <w:t>c</w:t>
      </w:r>
      <w:r w:rsidR="00AA63BD" w:rsidRPr="001C3EDC">
        <w:rPr>
          <w:rFonts w:ascii="Calibri" w:hAnsi="Calibri"/>
          <w:i/>
          <w:color w:val="44546A"/>
          <w:sz w:val="22"/>
          <w:szCs w:val="18"/>
        </w:rPr>
        <w:t>hange</w:t>
      </w:r>
      <w:r w:rsidR="00316E2D" w:rsidRPr="001C3EDC">
        <w:rPr>
          <w:rFonts w:ascii="Calibri" w:hAnsi="Calibri"/>
          <w:i/>
          <w:color w:val="44546A"/>
          <w:sz w:val="22"/>
          <w:szCs w:val="18"/>
        </w:rPr>
        <w:t xml:space="preserve"> compared to the baseline</w:t>
      </w:r>
      <w:r w:rsidR="008B1B9E" w:rsidRPr="001C3EDC">
        <w:rPr>
          <w:rFonts w:ascii="Calibri" w:hAnsi="Calibri"/>
          <w:i/>
          <w:color w:val="44546A"/>
          <w:sz w:val="22"/>
          <w:szCs w:val="18"/>
        </w:rPr>
        <w:t xml:space="preserve"> without climate change</w:t>
      </w:r>
      <w:r w:rsidR="00AA63BD" w:rsidRPr="001C3EDC">
        <w:rPr>
          <w:rFonts w:ascii="Calibri" w:hAnsi="Calibri"/>
          <w:i/>
          <w:color w:val="44546A"/>
          <w:sz w:val="22"/>
          <w:szCs w:val="18"/>
        </w:rPr>
        <w:t>)</w:t>
      </w:r>
      <w:bookmarkEnd w:id="116"/>
    </w:p>
    <w:p w14:paraId="0A08DD58" w14:textId="77777777" w:rsidR="00AA63BD" w:rsidRPr="001C3EDC" w:rsidRDefault="00AA63BD" w:rsidP="00DE6A02">
      <w:pPr>
        <w:spacing w:line="240" w:lineRule="auto"/>
        <w:jc w:val="center"/>
      </w:pPr>
      <w:r w:rsidRPr="001C3EDC">
        <w:rPr>
          <w:noProof/>
        </w:rPr>
        <w:drawing>
          <wp:inline distT="0" distB="0" distL="0" distR="0" wp14:anchorId="6317B9D9" wp14:editId="53FB8ECA">
            <wp:extent cx="5718175" cy="3048000"/>
            <wp:effectExtent l="0" t="0" r="15875" b="1079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201D2A" w14:textId="32DBADD3" w:rsidR="00AA63BD" w:rsidRPr="001C3EDC" w:rsidRDefault="00AA63BD" w:rsidP="00BA2083">
      <w:pPr>
        <w:pStyle w:val="Source"/>
      </w:pPr>
      <w:r w:rsidRPr="001C3EDC">
        <w:t>Source: Model simulations</w:t>
      </w:r>
      <w:r w:rsidR="00137C7D" w:rsidRPr="001C3EDC">
        <w:t>.</w:t>
      </w:r>
    </w:p>
    <w:p w14:paraId="180B7D79" w14:textId="6C12BD56" w:rsidR="00AA63BD" w:rsidRPr="001C3EDC" w:rsidRDefault="00AA63BD" w:rsidP="00CA5CD0">
      <w:pPr>
        <w:pStyle w:val="BodyText"/>
        <w:tabs>
          <w:tab w:val="left" w:pos="720"/>
        </w:tabs>
        <w:ind w:left="0" w:firstLine="0"/>
        <w:rPr>
          <w:color w:val="000000"/>
        </w:rPr>
      </w:pPr>
      <w:r w:rsidRPr="001C3EDC">
        <w:rPr>
          <w:b/>
          <w:bCs/>
          <w:i/>
          <w:iCs/>
          <w:color w:val="000000"/>
        </w:rPr>
        <w:t xml:space="preserve">Figure </w:t>
      </w:r>
      <w:r w:rsidR="008F50D2" w:rsidRPr="001C3EDC">
        <w:rPr>
          <w:b/>
          <w:bCs/>
          <w:i/>
          <w:iCs/>
          <w:color w:val="000000"/>
        </w:rPr>
        <w:t>2</w:t>
      </w:r>
      <w:r w:rsidR="00B00D72" w:rsidRPr="001C3EDC">
        <w:rPr>
          <w:b/>
          <w:bCs/>
          <w:i/>
          <w:iCs/>
          <w:color w:val="000000"/>
        </w:rPr>
        <w:t>2</w:t>
      </w:r>
      <w:r w:rsidRPr="001C3EDC">
        <w:rPr>
          <w:color w:val="000000"/>
        </w:rPr>
        <w:t xml:space="preserve"> represents the overall trade structure of Bulgaria following 2°C and 4°C rise</w:t>
      </w:r>
      <w:r w:rsidR="005A4098" w:rsidRPr="001C3EDC">
        <w:rPr>
          <w:color w:val="000000"/>
        </w:rPr>
        <w:t>s</w:t>
      </w:r>
      <w:r w:rsidRPr="001C3EDC">
        <w:rPr>
          <w:color w:val="000000"/>
        </w:rPr>
        <w:t xml:space="preserve"> in global temperature. </w:t>
      </w:r>
      <w:r w:rsidR="005A4098" w:rsidRPr="001C3EDC">
        <w:rPr>
          <w:color w:val="000000"/>
        </w:rPr>
        <w:t>It</w:t>
      </w:r>
      <w:r w:rsidRPr="001C3EDC">
        <w:rPr>
          <w:color w:val="000000"/>
        </w:rPr>
        <w:t xml:space="preserve"> show</w:t>
      </w:r>
      <w:r w:rsidR="00DB47EB" w:rsidRPr="001C3EDC">
        <w:rPr>
          <w:color w:val="000000"/>
        </w:rPr>
        <w:t>s</w:t>
      </w:r>
      <w:r w:rsidRPr="001C3EDC">
        <w:rPr>
          <w:color w:val="000000"/>
        </w:rPr>
        <w:t xml:space="preserve"> the total change in output </w:t>
      </w:r>
      <w:r w:rsidR="00A40F80" w:rsidRPr="001C3EDC">
        <w:rPr>
          <w:color w:val="000000"/>
        </w:rPr>
        <w:t xml:space="preserve">as </w:t>
      </w:r>
      <w:r w:rsidRPr="001C3EDC">
        <w:rPr>
          <w:color w:val="000000"/>
        </w:rPr>
        <w:t>follows</w:t>
      </w:r>
      <w:r w:rsidR="00A40F80" w:rsidRPr="001C3EDC">
        <w:rPr>
          <w:color w:val="000000"/>
        </w:rPr>
        <w:t>:</w:t>
      </w:r>
      <w:r w:rsidRPr="001C3EDC">
        <w:rPr>
          <w:color w:val="000000"/>
        </w:rPr>
        <w:t xml:space="preserve"> First, the </w:t>
      </w:r>
      <w:r w:rsidRPr="001C3EDC">
        <w:t>change</w:t>
      </w:r>
      <w:r w:rsidRPr="001C3EDC">
        <w:rPr>
          <w:color w:val="000000"/>
        </w:rPr>
        <w:t xml:space="preserve"> in </w:t>
      </w:r>
      <w:r w:rsidRPr="001C3EDC">
        <w:t>overall</w:t>
      </w:r>
      <w:r w:rsidRPr="001C3EDC">
        <w:rPr>
          <w:color w:val="000000"/>
        </w:rPr>
        <w:t xml:space="preserve"> output structure that is shown in </w:t>
      </w:r>
      <w:r w:rsidRPr="001C3EDC">
        <w:rPr>
          <w:b/>
          <w:bCs/>
          <w:i/>
          <w:iCs/>
          <w:color w:val="000000"/>
        </w:rPr>
        <w:t xml:space="preserve">Figure </w:t>
      </w:r>
      <w:r w:rsidR="008F50D2" w:rsidRPr="001C3EDC">
        <w:rPr>
          <w:b/>
          <w:bCs/>
          <w:i/>
          <w:iCs/>
          <w:color w:val="000000"/>
        </w:rPr>
        <w:t>2</w:t>
      </w:r>
      <w:r w:rsidR="00B00D72" w:rsidRPr="001C3EDC">
        <w:rPr>
          <w:b/>
          <w:bCs/>
          <w:i/>
          <w:iCs/>
          <w:color w:val="000000"/>
        </w:rPr>
        <w:t>0</w:t>
      </w:r>
      <w:r w:rsidRPr="001C3EDC">
        <w:rPr>
          <w:color w:val="000000"/>
        </w:rPr>
        <w:t xml:space="preserve"> has a direct bearing on what Bulgaria ends up trading with the res</w:t>
      </w:r>
      <w:r w:rsidR="00EE0AC3" w:rsidRPr="001C3EDC">
        <w:rPr>
          <w:color w:val="000000"/>
        </w:rPr>
        <w:t>t of the world. As such, the left side of</w:t>
      </w:r>
      <w:r w:rsidRPr="001C3EDC">
        <w:rPr>
          <w:color w:val="000000"/>
        </w:rPr>
        <w:t xml:space="preserve"> </w:t>
      </w:r>
      <w:r w:rsidRPr="001C3EDC">
        <w:rPr>
          <w:b/>
          <w:bCs/>
          <w:i/>
          <w:iCs/>
          <w:color w:val="000000"/>
        </w:rPr>
        <w:t xml:space="preserve">Figure </w:t>
      </w:r>
      <w:r w:rsidR="008F50D2" w:rsidRPr="001C3EDC">
        <w:rPr>
          <w:b/>
          <w:bCs/>
          <w:i/>
          <w:iCs/>
          <w:color w:val="000000"/>
        </w:rPr>
        <w:t>2</w:t>
      </w:r>
      <w:r w:rsidR="00B00D72" w:rsidRPr="001C3EDC">
        <w:rPr>
          <w:b/>
          <w:bCs/>
          <w:i/>
          <w:iCs/>
          <w:color w:val="000000"/>
        </w:rPr>
        <w:t>2</w:t>
      </w:r>
      <w:r w:rsidRPr="001C3EDC">
        <w:rPr>
          <w:color w:val="000000"/>
        </w:rPr>
        <w:t xml:space="preserve"> </w:t>
      </w:r>
      <w:r w:rsidR="00BF2495" w:rsidRPr="001C3EDC">
        <w:rPr>
          <w:color w:val="000000"/>
        </w:rPr>
        <w:t>depicts</w:t>
      </w:r>
      <w:r w:rsidRPr="001C3EDC">
        <w:rPr>
          <w:color w:val="000000"/>
        </w:rPr>
        <w:t xml:space="preserve"> that Bulgaria will import goods whose domestic production is heavily </w:t>
      </w:r>
      <w:r w:rsidR="00BF2495" w:rsidRPr="001C3EDC">
        <w:rPr>
          <w:color w:val="000000"/>
        </w:rPr>
        <w:t xml:space="preserve">affected </w:t>
      </w:r>
      <w:r w:rsidRPr="001C3EDC">
        <w:rPr>
          <w:color w:val="000000"/>
        </w:rPr>
        <w:t xml:space="preserve">by climate change. These happen to be sectors </w:t>
      </w:r>
      <w:r w:rsidR="00BF2495" w:rsidRPr="001C3EDC">
        <w:rPr>
          <w:color w:val="000000"/>
        </w:rPr>
        <w:t>such as</w:t>
      </w:r>
      <w:r w:rsidRPr="001C3EDC">
        <w:rPr>
          <w:color w:val="000000"/>
        </w:rPr>
        <w:t xml:space="preserve"> petroleum products, chemicals</w:t>
      </w:r>
      <w:r w:rsidR="00BF2495" w:rsidRPr="001C3EDC">
        <w:rPr>
          <w:color w:val="000000"/>
        </w:rPr>
        <w:t>,</w:t>
      </w:r>
      <w:r w:rsidRPr="001C3EDC">
        <w:rPr>
          <w:color w:val="000000"/>
        </w:rPr>
        <w:t xml:space="preserve"> and related products</w:t>
      </w:r>
      <w:r w:rsidR="00EB74A8" w:rsidRPr="001C3EDC">
        <w:rPr>
          <w:color w:val="000000"/>
        </w:rPr>
        <w:t>, as well as agriculture commodities</w:t>
      </w:r>
      <w:r w:rsidRPr="001C3EDC">
        <w:rPr>
          <w:color w:val="000000"/>
        </w:rPr>
        <w:t xml:space="preserve">. </w:t>
      </w:r>
    </w:p>
    <w:p w14:paraId="27AD4077" w14:textId="70F49D96" w:rsidR="00AA63BD" w:rsidRPr="001C3EDC" w:rsidRDefault="008F50D2" w:rsidP="00DE6A02">
      <w:pPr>
        <w:pStyle w:val="Caption"/>
        <w:spacing w:before="140" w:after="40"/>
      </w:pPr>
      <w:bookmarkStart w:id="117" w:name="_Toc522036493"/>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22</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AA63BD" w:rsidRPr="001C3EDC">
        <w:rPr>
          <w:rFonts w:ascii="Calibri" w:hAnsi="Calibri"/>
          <w:i/>
          <w:color w:val="44546A"/>
          <w:sz w:val="22"/>
          <w:szCs w:val="18"/>
        </w:rPr>
        <w:t xml:space="preserve">Impacts of climate change on </w:t>
      </w:r>
      <w:r w:rsidR="003450C5" w:rsidRPr="001C3EDC">
        <w:rPr>
          <w:rFonts w:ascii="Calibri" w:hAnsi="Calibri"/>
          <w:i/>
          <w:color w:val="44546A"/>
          <w:sz w:val="22"/>
          <w:szCs w:val="18"/>
        </w:rPr>
        <w:t>trade</w:t>
      </w:r>
      <w:r w:rsidR="00F84F84">
        <w:rPr>
          <w:rFonts w:ascii="Calibri" w:hAnsi="Calibri"/>
          <w:i/>
          <w:color w:val="44546A"/>
          <w:sz w:val="22"/>
          <w:szCs w:val="18"/>
        </w:rPr>
        <w:br/>
      </w:r>
      <w:r w:rsidR="00AA63BD" w:rsidRPr="001C3EDC">
        <w:rPr>
          <w:rFonts w:ascii="Calibri" w:hAnsi="Calibri"/>
          <w:i/>
          <w:color w:val="44546A"/>
          <w:sz w:val="22"/>
          <w:szCs w:val="18"/>
        </w:rPr>
        <w:t>(</w:t>
      </w:r>
      <w:r w:rsidR="009456BB" w:rsidRPr="001C3EDC">
        <w:rPr>
          <w:rFonts w:ascii="Calibri" w:hAnsi="Calibri"/>
          <w:i/>
          <w:color w:val="44546A"/>
          <w:sz w:val="22"/>
          <w:szCs w:val="18"/>
        </w:rPr>
        <w:t>percent</w:t>
      </w:r>
      <w:r w:rsidR="00100473" w:rsidRPr="001C3EDC">
        <w:rPr>
          <w:rFonts w:ascii="Calibri" w:hAnsi="Calibri"/>
          <w:i/>
          <w:color w:val="44546A"/>
          <w:sz w:val="22"/>
          <w:szCs w:val="18"/>
        </w:rPr>
        <w:t xml:space="preserve">age of </w:t>
      </w:r>
      <w:r w:rsidR="00AA63BD" w:rsidRPr="001C3EDC">
        <w:rPr>
          <w:rFonts w:ascii="Calibri" w:hAnsi="Calibri"/>
          <w:i/>
          <w:color w:val="44546A"/>
          <w:sz w:val="22"/>
          <w:szCs w:val="18"/>
        </w:rPr>
        <w:t>change</w:t>
      </w:r>
      <w:r w:rsidR="00316E2D" w:rsidRPr="001C3EDC">
        <w:rPr>
          <w:rFonts w:ascii="Calibri" w:hAnsi="Calibri"/>
          <w:i/>
          <w:color w:val="44546A"/>
          <w:sz w:val="22"/>
          <w:szCs w:val="18"/>
        </w:rPr>
        <w:t xml:space="preserve"> compared to the baseline</w:t>
      </w:r>
      <w:r w:rsidR="008B1B9E" w:rsidRPr="001C3EDC">
        <w:rPr>
          <w:rFonts w:ascii="Calibri" w:hAnsi="Calibri"/>
          <w:i/>
          <w:color w:val="44546A"/>
          <w:sz w:val="22"/>
          <w:szCs w:val="18"/>
        </w:rPr>
        <w:t xml:space="preserve"> without climate change</w:t>
      </w:r>
      <w:r w:rsidR="00AA63BD" w:rsidRPr="001C3EDC">
        <w:rPr>
          <w:rFonts w:ascii="Calibri" w:hAnsi="Calibri"/>
          <w:i/>
          <w:color w:val="44546A"/>
          <w:sz w:val="22"/>
          <w:szCs w:val="18"/>
        </w:rPr>
        <w:t>)</w:t>
      </w:r>
      <w:bookmarkEnd w:id="11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26"/>
        <w:gridCol w:w="4600"/>
      </w:tblGrid>
      <w:tr w:rsidR="00AB1F39" w:rsidRPr="001C3EDC" w14:paraId="1B7C819B" w14:textId="77777777" w:rsidTr="00F84F84">
        <w:tc>
          <w:tcPr>
            <w:tcW w:w="2452" w:type="pct"/>
          </w:tcPr>
          <w:p w14:paraId="2460B939" w14:textId="43DD0D09" w:rsidR="00AB1F39" w:rsidRPr="001C3EDC" w:rsidRDefault="00AB1F39" w:rsidP="00DE6A02">
            <w:pPr>
              <w:spacing w:line="240" w:lineRule="auto"/>
              <w:jc w:val="center"/>
              <w:rPr>
                <w:rFonts w:cs="Times New Roman"/>
                <w:color w:val="000000" w:themeColor="text1"/>
                <w:sz w:val="20"/>
                <w:szCs w:val="20"/>
                <w:lang w:eastAsia="bg-BG"/>
              </w:rPr>
            </w:pPr>
            <w:r w:rsidRPr="00F84F84">
              <w:rPr>
                <w:rFonts w:ascii="Calibri" w:eastAsia="Calibri" w:hAnsi="Calibri" w:cs="Times New Roman"/>
                <w:i/>
                <w:iCs/>
                <w:color w:val="44546A"/>
                <w:sz w:val="22"/>
                <w:szCs w:val="18"/>
                <w:lang w:eastAsia="bg-BG"/>
              </w:rPr>
              <w:t>Import</w:t>
            </w:r>
          </w:p>
        </w:tc>
        <w:tc>
          <w:tcPr>
            <w:tcW w:w="2548" w:type="pct"/>
          </w:tcPr>
          <w:p w14:paraId="2DAE86F7" w14:textId="1BAF3457" w:rsidR="00AB1F39" w:rsidRPr="001C3EDC" w:rsidRDefault="00AB1F39" w:rsidP="00DE6A02">
            <w:pPr>
              <w:spacing w:after="40" w:line="240" w:lineRule="auto"/>
              <w:jc w:val="center"/>
              <w:rPr>
                <w:rFonts w:cs="Times New Roman"/>
                <w:color w:val="000000" w:themeColor="text1"/>
                <w:sz w:val="20"/>
                <w:szCs w:val="20"/>
                <w:lang w:eastAsia="bg-BG"/>
              </w:rPr>
            </w:pPr>
            <w:r w:rsidRPr="00F84F84">
              <w:rPr>
                <w:rFonts w:ascii="Calibri" w:eastAsia="Calibri" w:hAnsi="Calibri" w:cs="Times New Roman"/>
                <w:i/>
                <w:iCs/>
                <w:color w:val="44546A"/>
                <w:sz w:val="22"/>
                <w:szCs w:val="18"/>
                <w:lang w:eastAsia="bg-BG"/>
              </w:rPr>
              <w:t>Export</w:t>
            </w:r>
          </w:p>
        </w:tc>
      </w:tr>
      <w:tr w:rsidR="00AB1F39" w:rsidRPr="001C3EDC" w14:paraId="58DCD597" w14:textId="77777777" w:rsidTr="00F84F84">
        <w:tc>
          <w:tcPr>
            <w:tcW w:w="2452" w:type="pct"/>
          </w:tcPr>
          <w:p w14:paraId="214EA083" w14:textId="1D7C1357" w:rsidR="00AB1F39" w:rsidRPr="001C3EDC" w:rsidRDefault="00AB1F39" w:rsidP="00F84F84">
            <w:pPr>
              <w:spacing w:after="0" w:line="240" w:lineRule="auto"/>
              <w:jc w:val="center"/>
              <w:rPr>
                <w:rFonts w:ascii="Calibri" w:eastAsia="Calibri" w:hAnsi="Calibri" w:cs="Times New Roman"/>
                <w:i/>
                <w:iCs/>
                <w:color w:val="44546A"/>
                <w:sz w:val="22"/>
                <w:szCs w:val="18"/>
                <w:lang w:eastAsia="bg-BG"/>
              </w:rPr>
            </w:pPr>
            <w:r w:rsidRPr="001C3EDC">
              <w:rPr>
                <w:noProof/>
              </w:rPr>
              <w:drawing>
                <wp:inline distT="0" distB="0" distL="0" distR="0" wp14:anchorId="3BFEB803" wp14:editId="428D1572">
                  <wp:extent cx="2752436" cy="2769235"/>
                  <wp:effectExtent l="0" t="0" r="10160" b="120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2548" w:type="pct"/>
          </w:tcPr>
          <w:p w14:paraId="60708CF7" w14:textId="25C5F412" w:rsidR="00AB1F39" w:rsidRPr="001C3EDC" w:rsidRDefault="00AB1F39" w:rsidP="00F84F84">
            <w:pPr>
              <w:spacing w:after="0" w:line="240" w:lineRule="auto"/>
              <w:jc w:val="center"/>
              <w:rPr>
                <w:rFonts w:ascii="Calibri" w:eastAsia="Calibri" w:hAnsi="Calibri" w:cs="Times New Roman"/>
                <w:i/>
                <w:iCs/>
                <w:color w:val="44546A"/>
                <w:sz w:val="22"/>
                <w:szCs w:val="18"/>
                <w:lang w:eastAsia="bg-BG"/>
              </w:rPr>
            </w:pPr>
            <w:r w:rsidRPr="001C3EDC">
              <w:rPr>
                <w:noProof/>
              </w:rPr>
              <w:drawing>
                <wp:inline distT="0" distB="0" distL="0" distR="0" wp14:anchorId="36312CC8" wp14:editId="057AC502">
                  <wp:extent cx="2877622" cy="2769235"/>
                  <wp:effectExtent l="0" t="0" r="18415" b="1206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56C4DFDE" w14:textId="610FEC6A" w:rsidR="00AA63BD" w:rsidRPr="001C3EDC" w:rsidRDefault="00AA63BD" w:rsidP="00DE6A02">
      <w:pPr>
        <w:pStyle w:val="Source"/>
        <w:spacing w:after="0"/>
      </w:pPr>
      <w:r w:rsidRPr="001C3EDC">
        <w:t xml:space="preserve">Source: Model simulations. See Annex </w:t>
      </w:r>
      <w:r w:rsidR="008F6D79" w:rsidRPr="001C3EDC">
        <w:t xml:space="preserve">1 </w:t>
      </w:r>
      <w:r w:rsidRPr="001C3EDC">
        <w:t>for sector description</w:t>
      </w:r>
      <w:r w:rsidR="00603E67" w:rsidRPr="001C3EDC">
        <w:t>.</w:t>
      </w:r>
    </w:p>
    <w:p w14:paraId="3061C95D" w14:textId="1C47C761" w:rsidR="00AA63BD" w:rsidRPr="001C3EDC" w:rsidRDefault="00A40F80" w:rsidP="00CA5CD0">
      <w:pPr>
        <w:pStyle w:val="BodyText"/>
        <w:tabs>
          <w:tab w:val="left" w:pos="720"/>
        </w:tabs>
        <w:ind w:left="0" w:firstLine="0"/>
        <w:rPr>
          <w:sz w:val="18"/>
          <w:szCs w:val="18"/>
        </w:rPr>
      </w:pPr>
      <w:r w:rsidRPr="001C3EDC">
        <w:rPr>
          <w:color w:val="000000"/>
        </w:rPr>
        <w:lastRenderedPageBreak/>
        <w:t>Second, d</w:t>
      </w:r>
      <w:r w:rsidR="00AA63BD" w:rsidRPr="001C3EDC">
        <w:rPr>
          <w:color w:val="000000"/>
        </w:rPr>
        <w:t>eclining domestic output in the face of climate change (</w:t>
      </w:r>
      <w:r w:rsidR="00AA63BD" w:rsidRPr="001C3EDC">
        <w:rPr>
          <w:b/>
          <w:bCs/>
          <w:i/>
          <w:iCs/>
          <w:color w:val="000000"/>
        </w:rPr>
        <w:t xml:space="preserve">Figure </w:t>
      </w:r>
      <w:r w:rsidR="00575D96" w:rsidRPr="001C3EDC">
        <w:rPr>
          <w:b/>
          <w:bCs/>
          <w:i/>
          <w:iCs/>
          <w:color w:val="000000"/>
        </w:rPr>
        <w:t>2</w:t>
      </w:r>
      <w:r w:rsidR="00B00D72" w:rsidRPr="001C3EDC">
        <w:rPr>
          <w:b/>
          <w:bCs/>
          <w:i/>
          <w:iCs/>
          <w:color w:val="000000"/>
        </w:rPr>
        <w:t>0</w:t>
      </w:r>
      <w:r w:rsidR="00AA63BD" w:rsidRPr="001C3EDC">
        <w:rPr>
          <w:color w:val="000000"/>
        </w:rPr>
        <w:t xml:space="preserve">) </w:t>
      </w:r>
      <w:r w:rsidR="003450C5" w:rsidRPr="001C3EDC">
        <w:rPr>
          <w:color w:val="000000"/>
        </w:rPr>
        <w:t xml:space="preserve">will </w:t>
      </w:r>
      <w:r w:rsidR="00AA63BD" w:rsidRPr="001C3EDC">
        <w:rPr>
          <w:color w:val="000000"/>
        </w:rPr>
        <w:t>necessitate a rationing of the now limited output, lead</w:t>
      </w:r>
      <w:r w:rsidR="003450C5" w:rsidRPr="001C3EDC">
        <w:rPr>
          <w:color w:val="000000"/>
        </w:rPr>
        <w:t>ing</w:t>
      </w:r>
      <w:r w:rsidR="00AA63BD" w:rsidRPr="001C3EDC">
        <w:rPr>
          <w:color w:val="000000"/>
        </w:rPr>
        <w:t xml:space="preserve"> to rising prices for goods and services</w:t>
      </w:r>
      <w:r w:rsidRPr="001C3EDC">
        <w:rPr>
          <w:color w:val="000000"/>
        </w:rPr>
        <w:t xml:space="preserve"> (inflation)</w:t>
      </w:r>
      <w:r w:rsidR="00AA63BD" w:rsidRPr="001C3EDC">
        <w:rPr>
          <w:color w:val="000000"/>
        </w:rPr>
        <w:t>.</w:t>
      </w:r>
    </w:p>
    <w:p w14:paraId="11CACE58" w14:textId="0F0E9016" w:rsidR="00AA63BD" w:rsidRPr="001C3EDC" w:rsidRDefault="00575D96" w:rsidP="00DE6A02">
      <w:pPr>
        <w:pStyle w:val="Caption"/>
        <w:spacing w:after="100"/>
        <w:rPr>
          <w:rFonts w:ascii="Calibri" w:hAnsi="Calibri"/>
          <w:i/>
          <w:color w:val="44546A"/>
          <w:sz w:val="22"/>
          <w:szCs w:val="18"/>
        </w:rPr>
      </w:pPr>
      <w:bookmarkStart w:id="118" w:name="_Toc522036494"/>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23</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AA63BD" w:rsidRPr="001C3EDC">
        <w:rPr>
          <w:rFonts w:ascii="Calibri" w:hAnsi="Calibri"/>
          <w:i/>
          <w:color w:val="44546A"/>
          <w:sz w:val="22"/>
          <w:szCs w:val="18"/>
        </w:rPr>
        <w:t>Impact o</w:t>
      </w:r>
      <w:r w:rsidRPr="001C3EDC">
        <w:rPr>
          <w:rFonts w:ascii="Calibri" w:hAnsi="Calibri"/>
          <w:i/>
          <w:color w:val="44546A"/>
          <w:sz w:val="22"/>
          <w:szCs w:val="18"/>
        </w:rPr>
        <w:t>f</w:t>
      </w:r>
      <w:r w:rsidR="00AA63BD" w:rsidRPr="001C3EDC">
        <w:rPr>
          <w:rFonts w:ascii="Calibri" w:hAnsi="Calibri"/>
          <w:i/>
          <w:color w:val="44546A"/>
          <w:sz w:val="22"/>
          <w:szCs w:val="18"/>
        </w:rPr>
        <w:t xml:space="preserve"> climate change on real </w:t>
      </w:r>
      <w:r w:rsidR="009E0604" w:rsidRPr="001C3EDC">
        <w:rPr>
          <w:rFonts w:ascii="Calibri" w:hAnsi="Calibri"/>
          <w:i/>
          <w:color w:val="44546A"/>
          <w:sz w:val="22"/>
          <w:szCs w:val="18"/>
        </w:rPr>
        <w:t xml:space="preserve">domestic </w:t>
      </w:r>
      <w:r w:rsidR="004F7F4A" w:rsidRPr="001C3EDC">
        <w:rPr>
          <w:rFonts w:ascii="Calibri" w:hAnsi="Calibri"/>
          <w:i/>
          <w:color w:val="44546A"/>
          <w:sz w:val="22"/>
          <w:szCs w:val="18"/>
        </w:rPr>
        <w:t>prices</w:t>
      </w:r>
      <w:r w:rsidR="004F7F4A" w:rsidRPr="001C3EDC">
        <w:rPr>
          <w:rFonts w:ascii="Calibri" w:hAnsi="Calibri"/>
          <w:i/>
          <w:color w:val="44546A"/>
          <w:sz w:val="22"/>
          <w:szCs w:val="18"/>
        </w:rPr>
        <w:br/>
      </w:r>
      <w:r w:rsidR="00AA63BD" w:rsidRPr="001C3EDC">
        <w:rPr>
          <w:rFonts w:ascii="Calibri" w:hAnsi="Calibri"/>
          <w:i/>
          <w:color w:val="44546A"/>
          <w:sz w:val="22"/>
          <w:szCs w:val="18"/>
        </w:rPr>
        <w:t>(</w:t>
      </w:r>
      <w:r w:rsidR="009456BB" w:rsidRPr="001C3EDC">
        <w:rPr>
          <w:rFonts w:ascii="Calibri" w:hAnsi="Calibri"/>
          <w:i/>
          <w:color w:val="44546A"/>
          <w:sz w:val="22"/>
          <w:szCs w:val="18"/>
        </w:rPr>
        <w:t>percent</w:t>
      </w:r>
      <w:r w:rsidR="00D65BAC" w:rsidRPr="001C3EDC">
        <w:rPr>
          <w:rFonts w:ascii="Calibri" w:hAnsi="Calibri"/>
          <w:i/>
          <w:color w:val="44546A"/>
          <w:sz w:val="22"/>
          <w:szCs w:val="18"/>
        </w:rPr>
        <w:t>age</w:t>
      </w:r>
      <w:r w:rsidR="00AA63BD" w:rsidRPr="001C3EDC">
        <w:rPr>
          <w:rFonts w:ascii="Calibri" w:hAnsi="Calibri"/>
          <w:i/>
          <w:color w:val="44546A"/>
          <w:sz w:val="22"/>
          <w:szCs w:val="18"/>
        </w:rPr>
        <w:t xml:space="preserve"> </w:t>
      </w:r>
      <w:r w:rsidR="00D65BAC" w:rsidRPr="001C3EDC">
        <w:rPr>
          <w:rFonts w:ascii="Calibri" w:hAnsi="Calibri"/>
          <w:i/>
          <w:color w:val="44546A"/>
          <w:sz w:val="22"/>
          <w:szCs w:val="18"/>
        </w:rPr>
        <w:t xml:space="preserve">of </w:t>
      </w:r>
      <w:r w:rsidR="00AA63BD" w:rsidRPr="001C3EDC">
        <w:rPr>
          <w:rFonts w:ascii="Calibri" w:hAnsi="Calibri"/>
          <w:i/>
          <w:color w:val="44546A"/>
          <w:sz w:val="22"/>
          <w:szCs w:val="18"/>
        </w:rPr>
        <w:t>change</w:t>
      </w:r>
      <w:r w:rsidR="00316E2D" w:rsidRPr="001C3EDC">
        <w:rPr>
          <w:rFonts w:ascii="Calibri" w:hAnsi="Calibri"/>
          <w:i/>
          <w:color w:val="44546A"/>
          <w:sz w:val="22"/>
          <w:szCs w:val="18"/>
        </w:rPr>
        <w:t xml:space="preserve"> compared to the baseline</w:t>
      </w:r>
      <w:r w:rsidR="008B1B9E" w:rsidRPr="001C3EDC">
        <w:rPr>
          <w:rFonts w:ascii="Calibri" w:hAnsi="Calibri"/>
          <w:i/>
          <w:color w:val="44546A"/>
          <w:sz w:val="22"/>
          <w:szCs w:val="18"/>
        </w:rPr>
        <w:t xml:space="preserve"> without climate change</w:t>
      </w:r>
      <w:r w:rsidR="00AA63BD" w:rsidRPr="001C3EDC">
        <w:rPr>
          <w:rFonts w:ascii="Calibri" w:hAnsi="Calibri"/>
          <w:i/>
          <w:color w:val="44546A"/>
          <w:sz w:val="22"/>
          <w:szCs w:val="18"/>
        </w:rPr>
        <w:t>)</w:t>
      </w:r>
      <w:bookmarkEnd w:id="118"/>
    </w:p>
    <w:p w14:paraId="2C5AC91B" w14:textId="77777777" w:rsidR="00AA63BD" w:rsidRPr="001C3EDC" w:rsidRDefault="00AA63BD" w:rsidP="00575D96">
      <w:pPr>
        <w:jc w:val="center"/>
        <w:rPr>
          <w:rFonts w:ascii="Consolas" w:hAnsi="Consolas" w:cs="Consolas"/>
          <w:color w:val="000000"/>
          <w:szCs w:val="24"/>
        </w:rPr>
      </w:pPr>
      <w:r w:rsidRPr="001C3EDC">
        <w:rPr>
          <w:noProof/>
        </w:rPr>
        <w:drawing>
          <wp:inline distT="0" distB="0" distL="0" distR="0" wp14:anchorId="7D9AE2B8" wp14:editId="01B7F5EA">
            <wp:extent cx="5266690" cy="2226365"/>
            <wp:effectExtent l="0" t="0" r="10160" b="254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E1E10F" w14:textId="65A55778" w:rsidR="00AA63BD" w:rsidRPr="001C3EDC" w:rsidRDefault="00897D35" w:rsidP="00DE6A02">
      <w:pPr>
        <w:pStyle w:val="Source"/>
        <w:spacing w:after="160"/>
      </w:pPr>
      <w:r w:rsidRPr="001C3EDC">
        <w:t>Source: Model simulations.</w:t>
      </w:r>
    </w:p>
    <w:p w14:paraId="4183C488" w14:textId="3723A4E6" w:rsidR="00AA63BD" w:rsidRPr="001C3EDC" w:rsidRDefault="00AA63BD" w:rsidP="00CA5CD0">
      <w:pPr>
        <w:pStyle w:val="BodyText"/>
        <w:tabs>
          <w:tab w:val="left" w:pos="720"/>
        </w:tabs>
        <w:ind w:left="0" w:firstLine="0"/>
        <w:rPr>
          <w:color w:val="000000"/>
        </w:rPr>
      </w:pPr>
      <w:r w:rsidRPr="001C3EDC">
        <w:rPr>
          <w:b/>
          <w:bCs/>
          <w:i/>
          <w:iCs/>
          <w:color w:val="000000"/>
        </w:rPr>
        <w:t xml:space="preserve">Figure </w:t>
      </w:r>
      <w:r w:rsidR="00575D96" w:rsidRPr="001C3EDC">
        <w:rPr>
          <w:b/>
          <w:bCs/>
          <w:i/>
          <w:iCs/>
          <w:color w:val="000000"/>
        </w:rPr>
        <w:t>2</w:t>
      </w:r>
      <w:r w:rsidR="00B00D72" w:rsidRPr="001C3EDC">
        <w:rPr>
          <w:b/>
          <w:bCs/>
          <w:i/>
          <w:iCs/>
          <w:color w:val="000000"/>
        </w:rPr>
        <w:t>3</w:t>
      </w:r>
      <w:r w:rsidR="00575D96" w:rsidRPr="001C3EDC">
        <w:rPr>
          <w:color w:val="000000"/>
        </w:rPr>
        <w:t xml:space="preserve"> </w:t>
      </w:r>
      <w:r w:rsidRPr="001C3EDC">
        <w:rPr>
          <w:color w:val="000000"/>
        </w:rPr>
        <w:t>shows economy</w:t>
      </w:r>
      <w:r w:rsidR="00B46FBE" w:rsidRPr="001C3EDC">
        <w:rPr>
          <w:color w:val="000000"/>
        </w:rPr>
        <w:t>-</w:t>
      </w:r>
      <w:r w:rsidRPr="001C3EDC">
        <w:rPr>
          <w:color w:val="000000"/>
        </w:rPr>
        <w:t>wide real price changes from climate change. It can be seen that there is a</w:t>
      </w:r>
      <w:r w:rsidR="00A40F80" w:rsidRPr="001C3EDC">
        <w:rPr>
          <w:color w:val="000000"/>
        </w:rPr>
        <w:t>n</w:t>
      </w:r>
      <w:r w:rsidRPr="001C3EDC">
        <w:rPr>
          <w:color w:val="000000"/>
        </w:rPr>
        <w:t xml:space="preserve"> across</w:t>
      </w:r>
      <w:r w:rsidR="00B46FBE" w:rsidRPr="001C3EDC">
        <w:rPr>
          <w:color w:val="000000"/>
        </w:rPr>
        <w:t>-</w:t>
      </w:r>
      <w:r w:rsidRPr="001C3EDC">
        <w:rPr>
          <w:color w:val="000000"/>
        </w:rPr>
        <w:t>the</w:t>
      </w:r>
      <w:r w:rsidR="00B46FBE" w:rsidRPr="001C3EDC">
        <w:rPr>
          <w:color w:val="000000"/>
        </w:rPr>
        <w:t>-</w:t>
      </w:r>
      <w:r w:rsidRPr="001C3EDC">
        <w:rPr>
          <w:color w:val="000000"/>
        </w:rPr>
        <w:t xml:space="preserve">board rise in domestic real prices following all alternative climate impact scenarios considered in this report. This follows and fits the storyline presented so far. To this effect, </w:t>
      </w:r>
      <w:r w:rsidRPr="001C3EDC">
        <w:rPr>
          <w:b/>
          <w:bCs/>
          <w:i/>
          <w:iCs/>
          <w:color w:val="000000"/>
        </w:rPr>
        <w:t xml:space="preserve">Figure </w:t>
      </w:r>
      <w:r w:rsidR="00575D96" w:rsidRPr="001C3EDC">
        <w:rPr>
          <w:b/>
          <w:bCs/>
          <w:i/>
          <w:iCs/>
          <w:color w:val="000000"/>
        </w:rPr>
        <w:t>2</w:t>
      </w:r>
      <w:r w:rsidR="00B00D72" w:rsidRPr="001C3EDC">
        <w:rPr>
          <w:b/>
          <w:bCs/>
          <w:i/>
          <w:iCs/>
          <w:color w:val="000000"/>
        </w:rPr>
        <w:t>4</w:t>
      </w:r>
      <w:r w:rsidRPr="001C3EDC">
        <w:rPr>
          <w:color w:val="000000"/>
        </w:rPr>
        <w:t xml:space="preserve"> presents the impact of climate change on real returns to skilled and unskilled labor in Bulgaria. </w:t>
      </w:r>
      <w:r w:rsidR="00CA7C6F" w:rsidRPr="001C3EDC">
        <w:rPr>
          <w:color w:val="000000"/>
        </w:rPr>
        <w:t>These rising prices for commodities may result in a substantial reduction in real income</w:t>
      </w:r>
      <w:r w:rsidR="00B46FBE" w:rsidRPr="001C3EDC">
        <w:rPr>
          <w:color w:val="000000"/>
        </w:rPr>
        <w:t>—</w:t>
      </w:r>
      <w:r w:rsidR="00CA7C6F" w:rsidRPr="001C3EDC">
        <w:rPr>
          <w:color w:val="000000"/>
        </w:rPr>
        <w:t xml:space="preserve">and an </w:t>
      </w:r>
      <w:r w:rsidR="00CA7C6F" w:rsidRPr="001C3EDC">
        <w:t>increase</w:t>
      </w:r>
      <w:r w:rsidR="00CA7C6F" w:rsidRPr="001C3EDC">
        <w:rPr>
          <w:color w:val="000000"/>
        </w:rPr>
        <w:t xml:space="preserve"> in poverty</w:t>
      </w:r>
      <w:r w:rsidR="00B46FBE" w:rsidRPr="001C3EDC">
        <w:rPr>
          <w:color w:val="000000"/>
        </w:rPr>
        <w:t>—</w:t>
      </w:r>
      <w:r w:rsidR="00CA7C6F" w:rsidRPr="001C3EDC">
        <w:rPr>
          <w:color w:val="000000"/>
        </w:rPr>
        <w:t xml:space="preserve">for households spending a large share of their income on commodities whose </w:t>
      </w:r>
      <w:r w:rsidR="00CA7C6F" w:rsidRPr="001C3EDC">
        <w:t>price</w:t>
      </w:r>
      <w:r w:rsidR="00CA7C6F" w:rsidRPr="001C3EDC">
        <w:rPr>
          <w:color w:val="000000"/>
        </w:rPr>
        <w:t xml:space="preserve"> rose substantially. However, the well-being of households depends not only on changes in the cost of living but also on changes in earnings. </w:t>
      </w:r>
      <w:r w:rsidR="00CA7C6F" w:rsidRPr="001C3EDC">
        <w:rPr>
          <w:b/>
          <w:bCs/>
          <w:i/>
          <w:iCs/>
          <w:color w:val="000000"/>
        </w:rPr>
        <w:t xml:space="preserve">Figure </w:t>
      </w:r>
      <w:r w:rsidR="00575D96" w:rsidRPr="001C3EDC">
        <w:rPr>
          <w:b/>
          <w:bCs/>
          <w:i/>
          <w:iCs/>
          <w:color w:val="000000"/>
        </w:rPr>
        <w:t>2</w:t>
      </w:r>
      <w:r w:rsidR="004D1868" w:rsidRPr="001C3EDC">
        <w:rPr>
          <w:b/>
          <w:bCs/>
          <w:i/>
          <w:iCs/>
          <w:color w:val="000000"/>
        </w:rPr>
        <w:t>4</w:t>
      </w:r>
      <w:r w:rsidR="00B26231" w:rsidRPr="001C3EDC">
        <w:rPr>
          <w:color w:val="000000"/>
        </w:rPr>
        <w:t xml:space="preserve"> </w:t>
      </w:r>
      <w:r w:rsidR="00CA7C6F" w:rsidRPr="001C3EDC">
        <w:rPr>
          <w:color w:val="000000"/>
        </w:rPr>
        <w:t xml:space="preserve">indicates that, in general, earnings from both skilled and unskilled labor will decline in all scenarios. </w:t>
      </w:r>
      <w:r w:rsidR="00DE1C61" w:rsidRPr="001C3EDC">
        <w:rPr>
          <w:color w:val="000000"/>
        </w:rPr>
        <w:t xml:space="preserve">Thus, combined with rising real prices and declining earnings from labor, </w:t>
      </w:r>
      <w:r w:rsidR="00317B41" w:rsidRPr="001C3EDC">
        <w:rPr>
          <w:color w:val="000000"/>
        </w:rPr>
        <w:t xml:space="preserve">more </w:t>
      </w:r>
      <w:r w:rsidR="00DE1C61" w:rsidRPr="001C3EDC">
        <w:rPr>
          <w:color w:val="000000"/>
        </w:rPr>
        <w:t xml:space="preserve">people </w:t>
      </w:r>
      <w:r w:rsidR="00317B41" w:rsidRPr="001C3EDC">
        <w:rPr>
          <w:color w:val="000000"/>
        </w:rPr>
        <w:t xml:space="preserve">are expected </w:t>
      </w:r>
      <w:r w:rsidR="00DE1C61" w:rsidRPr="001C3EDC">
        <w:rPr>
          <w:color w:val="000000"/>
        </w:rPr>
        <w:t xml:space="preserve">to fall below the poverty line. </w:t>
      </w:r>
      <w:r w:rsidR="00317B41" w:rsidRPr="001C3EDC">
        <w:rPr>
          <w:color w:val="000000"/>
        </w:rPr>
        <w:t>Under these climate scenarios, i</w:t>
      </w:r>
      <w:r w:rsidR="00DE1C61" w:rsidRPr="001C3EDC">
        <w:rPr>
          <w:color w:val="000000"/>
        </w:rPr>
        <w:t xml:space="preserve">t is very likely that there will be more </w:t>
      </w:r>
      <w:r w:rsidR="00317B41" w:rsidRPr="001C3EDC">
        <w:rPr>
          <w:color w:val="000000"/>
        </w:rPr>
        <w:t xml:space="preserve">poor </w:t>
      </w:r>
      <w:r w:rsidR="00DE1C61" w:rsidRPr="001C3EDC">
        <w:rPr>
          <w:color w:val="000000"/>
        </w:rPr>
        <w:t xml:space="preserve">people living in Bulgaria by 2050. </w:t>
      </w:r>
    </w:p>
    <w:p w14:paraId="77176534" w14:textId="39DF411A" w:rsidR="00AA63BD" w:rsidRPr="001C3EDC" w:rsidRDefault="00575D96" w:rsidP="00DE6A02">
      <w:pPr>
        <w:pStyle w:val="Caption"/>
        <w:spacing w:before="160" w:after="100"/>
        <w:rPr>
          <w:rFonts w:ascii="Calibri" w:hAnsi="Calibri"/>
          <w:i/>
          <w:color w:val="44546A"/>
          <w:sz w:val="22"/>
          <w:szCs w:val="18"/>
        </w:rPr>
      </w:pPr>
      <w:bookmarkStart w:id="119" w:name="_Toc522036495"/>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24</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AA63BD" w:rsidRPr="001C3EDC">
        <w:rPr>
          <w:rFonts w:ascii="Calibri" w:hAnsi="Calibri"/>
          <w:i/>
          <w:color w:val="44546A"/>
          <w:sz w:val="22"/>
          <w:szCs w:val="18"/>
        </w:rPr>
        <w:t>Impact of climate ch</w:t>
      </w:r>
      <w:r w:rsidR="004F7F4A" w:rsidRPr="001C3EDC">
        <w:rPr>
          <w:rFonts w:ascii="Calibri" w:hAnsi="Calibri"/>
          <w:i/>
          <w:color w:val="44546A"/>
          <w:sz w:val="22"/>
          <w:szCs w:val="18"/>
        </w:rPr>
        <w:t>ange on real returns to factors</w:t>
      </w:r>
      <w:r w:rsidR="004F7F4A" w:rsidRPr="001C3EDC">
        <w:rPr>
          <w:rFonts w:ascii="Calibri" w:hAnsi="Calibri"/>
          <w:i/>
          <w:color w:val="44546A"/>
          <w:sz w:val="22"/>
          <w:szCs w:val="18"/>
        </w:rPr>
        <w:br/>
      </w:r>
      <w:r w:rsidR="00AA63BD" w:rsidRPr="001C3EDC">
        <w:rPr>
          <w:rFonts w:ascii="Calibri" w:hAnsi="Calibri"/>
          <w:i/>
          <w:color w:val="44546A"/>
          <w:sz w:val="22"/>
          <w:szCs w:val="18"/>
        </w:rPr>
        <w:t>(</w:t>
      </w:r>
      <w:r w:rsidR="00833099" w:rsidRPr="001C3EDC">
        <w:rPr>
          <w:rFonts w:ascii="Calibri" w:hAnsi="Calibri"/>
          <w:i/>
          <w:color w:val="44546A"/>
          <w:sz w:val="22"/>
          <w:szCs w:val="18"/>
        </w:rPr>
        <w:t>percent</w:t>
      </w:r>
      <w:r w:rsidR="00D65BAC" w:rsidRPr="001C3EDC">
        <w:rPr>
          <w:rFonts w:ascii="Calibri" w:hAnsi="Calibri"/>
          <w:i/>
          <w:color w:val="44546A"/>
          <w:sz w:val="22"/>
          <w:szCs w:val="18"/>
        </w:rPr>
        <w:t>age of</w:t>
      </w:r>
      <w:r w:rsidR="00AA63BD" w:rsidRPr="001C3EDC">
        <w:rPr>
          <w:rFonts w:ascii="Calibri" w:hAnsi="Calibri"/>
          <w:i/>
          <w:color w:val="44546A"/>
          <w:sz w:val="22"/>
          <w:szCs w:val="18"/>
        </w:rPr>
        <w:t xml:space="preserve"> change</w:t>
      </w:r>
      <w:r w:rsidR="00316E2D" w:rsidRPr="001C3EDC">
        <w:rPr>
          <w:rFonts w:ascii="Calibri" w:hAnsi="Calibri"/>
          <w:i/>
          <w:color w:val="44546A"/>
          <w:sz w:val="22"/>
          <w:szCs w:val="18"/>
        </w:rPr>
        <w:t xml:space="preserve"> compared to the baseline</w:t>
      </w:r>
      <w:r w:rsidR="008B1B9E" w:rsidRPr="001C3EDC">
        <w:rPr>
          <w:rFonts w:ascii="Calibri" w:hAnsi="Calibri"/>
          <w:i/>
          <w:color w:val="44546A"/>
          <w:sz w:val="22"/>
          <w:szCs w:val="18"/>
        </w:rPr>
        <w:t xml:space="preserve"> without climate change</w:t>
      </w:r>
      <w:r w:rsidR="00AA63BD" w:rsidRPr="001C3EDC">
        <w:rPr>
          <w:rFonts w:ascii="Calibri" w:hAnsi="Calibri"/>
          <w:i/>
          <w:color w:val="44546A"/>
          <w:sz w:val="22"/>
          <w:szCs w:val="18"/>
        </w:rPr>
        <w:t>)</w:t>
      </w:r>
      <w:bookmarkEnd w:id="119"/>
    </w:p>
    <w:p w14:paraId="349B8DFD" w14:textId="0CCB1FA9" w:rsidR="0071686C" w:rsidRPr="001C3EDC" w:rsidRDefault="0071686C" w:rsidP="00DE6A02">
      <w:pPr>
        <w:spacing w:line="240" w:lineRule="auto"/>
        <w:jc w:val="center"/>
        <w:rPr>
          <w:rFonts w:cs="Times New Roman"/>
          <w:color w:val="000000"/>
          <w:szCs w:val="24"/>
        </w:rPr>
      </w:pPr>
      <w:r w:rsidRPr="001C3EDC">
        <w:rPr>
          <w:noProof/>
        </w:rPr>
        <w:drawing>
          <wp:inline distT="0" distB="0" distL="0" distR="0" wp14:anchorId="678A51A9" wp14:editId="07340892">
            <wp:extent cx="5295900" cy="2027555"/>
            <wp:effectExtent l="0" t="0" r="0" b="10795"/>
            <wp:docPr id="1028" name="Chart 1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81FAFE" w14:textId="290437A2" w:rsidR="00AA63BD" w:rsidRPr="001C3EDC" w:rsidRDefault="00AA63BD" w:rsidP="00DE6A02">
      <w:pPr>
        <w:pStyle w:val="Source"/>
        <w:spacing w:after="0"/>
      </w:pPr>
      <w:r w:rsidRPr="001C3EDC">
        <w:lastRenderedPageBreak/>
        <w:t>Source: Model simulations</w:t>
      </w:r>
      <w:r w:rsidR="00897D35" w:rsidRPr="001C3EDC">
        <w:t>.</w:t>
      </w:r>
    </w:p>
    <w:p w14:paraId="785C93A9" w14:textId="67DDC20F" w:rsidR="00156C12" w:rsidRPr="001C3EDC" w:rsidRDefault="00156C12" w:rsidP="00CA5CD0">
      <w:pPr>
        <w:pStyle w:val="BodyText"/>
        <w:tabs>
          <w:tab w:val="left" w:pos="720"/>
        </w:tabs>
        <w:ind w:left="0" w:firstLine="0"/>
      </w:pPr>
      <w:r w:rsidRPr="001C3EDC">
        <w:rPr>
          <w:b/>
          <w:bCs/>
          <w:i/>
          <w:iCs/>
        </w:rPr>
        <w:t xml:space="preserve">Figure </w:t>
      </w:r>
      <w:r w:rsidR="00575D96" w:rsidRPr="001C3EDC">
        <w:rPr>
          <w:b/>
          <w:bCs/>
          <w:i/>
          <w:iCs/>
        </w:rPr>
        <w:t>2</w:t>
      </w:r>
      <w:r w:rsidR="004D1868" w:rsidRPr="001C3EDC">
        <w:rPr>
          <w:b/>
          <w:bCs/>
          <w:i/>
          <w:iCs/>
        </w:rPr>
        <w:t>5</w:t>
      </w:r>
      <w:r w:rsidR="00B26231" w:rsidRPr="001C3EDC">
        <w:t xml:space="preserve"> </w:t>
      </w:r>
      <w:r w:rsidRPr="001C3EDC">
        <w:t xml:space="preserve">highlights the sectoral impact of climate on output of select agricultural products at the </w:t>
      </w:r>
      <w:r w:rsidR="00C365E7" w:rsidRPr="001C3EDC">
        <w:t>RB</w:t>
      </w:r>
      <w:r w:rsidRPr="001C3EDC">
        <w:t xml:space="preserve"> level. </w:t>
      </w:r>
      <w:r w:rsidR="001211B5" w:rsidRPr="001C3EDC">
        <w:t>Top panel</w:t>
      </w:r>
      <w:r w:rsidR="00DE4DCE" w:rsidRPr="001C3EDC">
        <w:t xml:space="preserve"> </w:t>
      </w:r>
      <w:r w:rsidRPr="001C3EDC">
        <w:t xml:space="preserve">shows the impact of </w:t>
      </w:r>
      <w:r w:rsidR="00C248A2" w:rsidRPr="001C3EDC">
        <w:t xml:space="preserve">an </w:t>
      </w:r>
      <w:r w:rsidRPr="001C3EDC">
        <w:t>anticipated 2°C rise by 2050 while</w:t>
      </w:r>
      <w:r w:rsidR="001211B5" w:rsidRPr="001C3EDC">
        <w:t xml:space="preserve"> bottom</w:t>
      </w:r>
      <w:r w:rsidRPr="001C3EDC">
        <w:t xml:space="preserve"> panel shows the impact of </w:t>
      </w:r>
      <w:r w:rsidR="00C248A2" w:rsidRPr="001C3EDC">
        <w:t xml:space="preserve">an </w:t>
      </w:r>
      <w:r w:rsidRPr="001C3EDC">
        <w:t>anticipated 4°C rise. Output of wheat, grains (</w:t>
      </w:r>
      <w:r w:rsidR="00D41A20" w:rsidRPr="001C3EDC">
        <w:t>such as</w:t>
      </w:r>
      <w:r w:rsidRPr="001C3EDC">
        <w:t xml:space="preserve"> barley, oats), and other crops sectors witness the highest negative impacts across all the four </w:t>
      </w:r>
      <w:r w:rsidR="00C365E7" w:rsidRPr="001C3EDC">
        <w:t>RBs</w:t>
      </w:r>
      <w:r w:rsidRPr="001C3EDC">
        <w:t xml:space="preserve"> in Bulgaria. The Danube </w:t>
      </w:r>
      <w:r w:rsidR="00C365E7" w:rsidRPr="001C3EDC">
        <w:t>RB</w:t>
      </w:r>
      <w:r w:rsidRPr="001C3EDC">
        <w:t xml:space="preserve"> where </w:t>
      </w:r>
      <w:r w:rsidR="006214AF" w:rsidRPr="001C3EDC">
        <w:t>the agricultural productivity is highest</w:t>
      </w:r>
      <w:r w:rsidRPr="001C3EDC">
        <w:t xml:space="preserve"> is th</w:t>
      </w:r>
      <w:r w:rsidR="006214AF" w:rsidRPr="001C3EDC">
        <w:t>e</w:t>
      </w:r>
      <w:r w:rsidRPr="001C3EDC">
        <w:t xml:space="preserve"> region that suffers </w:t>
      </w:r>
      <w:r w:rsidR="00B75683" w:rsidRPr="001C3EDC">
        <w:t xml:space="preserve">the </w:t>
      </w:r>
      <w:r w:rsidRPr="001C3EDC">
        <w:t xml:space="preserve">most </w:t>
      </w:r>
      <w:r w:rsidR="00B75683" w:rsidRPr="001C3EDC">
        <w:t xml:space="preserve">from </w:t>
      </w:r>
      <w:r w:rsidRPr="001C3EDC">
        <w:t xml:space="preserve">climate change. </w:t>
      </w:r>
    </w:p>
    <w:p w14:paraId="41807C37" w14:textId="30FB11CB" w:rsidR="0095098E" w:rsidRPr="001C3EDC" w:rsidRDefault="00575D96" w:rsidP="00DE6A02">
      <w:pPr>
        <w:pStyle w:val="Caption"/>
        <w:spacing w:before="160" w:after="60"/>
      </w:pPr>
      <w:bookmarkStart w:id="120" w:name="_Toc522036496"/>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25</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95098E" w:rsidRPr="001C3EDC">
        <w:rPr>
          <w:rFonts w:ascii="Calibri" w:hAnsi="Calibri"/>
          <w:i/>
          <w:color w:val="44546A"/>
          <w:sz w:val="22"/>
          <w:szCs w:val="18"/>
        </w:rPr>
        <w:t>Climate change impact</w:t>
      </w:r>
      <w:r w:rsidR="00315BCC" w:rsidRPr="001C3EDC">
        <w:rPr>
          <w:rFonts w:ascii="Calibri" w:hAnsi="Calibri"/>
          <w:i/>
          <w:color w:val="44546A"/>
          <w:sz w:val="22"/>
          <w:szCs w:val="18"/>
        </w:rPr>
        <w:t xml:space="preserve"> on agriculture output</w:t>
      </w:r>
      <w:r w:rsidR="0095098E" w:rsidRPr="001C3EDC">
        <w:rPr>
          <w:rFonts w:ascii="Calibri" w:hAnsi="Calibri"/>
          <w:i/>
          <w:color w:val="44546A"/>
          <w:sz w:val="22"/>
          <w:szCs w:val="18"/>
        </w:rPr>
        <w:t xml:space="preserve"> at the basin level (</w:t>
      </w:r>
      <w:r w:rsidR="00833099" w:rsidRPr="001C3EDC">
        <w:rPr>
          <w:rFonts w:ascii="Calibri" w:hAnsi="Calibri"/>
          <w:i/>
          <w:color w:val="44546A"/>
          <w:sz w:val="22"/>
          <w:szCs w:val="18"/>
        </w:rPr>
        <w:t>percent</w:t>
      </w:r>
      <w:r w:rsidR="00B97CAD">
        <w:rPr>
          <w:rFonts w:ascii="Calibri" w:hAnsi="Calibri"/>
          <w:i/>
          <w:color w:val="44546A"/>
          <w:sz w:val="22"/>
          <w:szCs w:val="18"/>
        </w:rPr>
        <w:t xml:space="preserve">age of </w:t>
      </w:r>
      <w:r w:rsidR="0095098E" w:rsidRPr="001C3EDC">
        <w:rPr>
          <w:rFonts w:ascii="Calibri" w:hAnsi="Calibri"/>
          <w:i/>
          <w:color w:val="44546A"/>
          <w:sz w:val="22"/>
          <w:szCs w:val="18"/>
        </w:rPr>
        <w:t>change</w:t>
      </w:r>
      <w:r w:rsidR="00B31C8D" w:rsidRPr="001C3EDC">
        <w:rPr>
          <w:rFonts w:ascii="Calibri" w:hAnsi="Calibri"/>
          <w:i/>
          <w:color w:val="44546A"/>
          <w:sz w:val="22"/>
          <w:szCs w:val="18"/>
        </w:rPr>
        <w:t xml:space="preserve"> compared to the baseline</w:t>
      </w:r>
      <w:r w:rsidR="00BC72F2" w:rsidRPr="001C3EDC">
        <w:rPr>
          <w:rFonts w:ascii="Calibri" w:hAnsi="Calibri"/>
          <w:i/>
          <w:color w:val="44546A"/>
          <w:sz w:val="22"/>
          <w:szCs w:val="18"/>
        </w:rPr>
        <w:t xml:space="preserve"> without climate change</w:t>
      </w:r>
      <w:r w:rsidR="0095098E" w:rsidRPr="001C3EDC">
        <w:rPr>
          <w:rFonts w:ascii="Calibri" w:hAnsi="Calibri"/>
          <w:i/>
          <w:color w:val="44546A"/>
          <w:sz w:val="22"/>
          <w:szCs w:val="18"/>
        </w:rPr>
        <w:t>)</w:t>
      </w:r>
      <w:bookmarkEnd w:id="120"/>
    </w:p>
    <w:p w14:paraId="792A27CA" w14:textId="75003899" w:rsidR="0095098E" w:rsidRPr="00F84F84" w:rsidRDefault="0095098E" w:rsidP="00DE6A02">
      <w:pPr>
        <w:spacing w:after="40"/>
        <w:jc w:val="center"/>
        <w:rPr>
          <w:rFonts w:ascii="Calibri" w:eastAsia="Calibri" w:hAnsi="Calibri" w:cs="Times New Roman"/>
          <w:i/>
          <w:iCs/>
          <w:color w:val="44546A"/>
          <w:sz w:val="20"/>
          <w:szCs w:val="20"/>
          <w:lang w:eastAsia="bg-BG"/>
        </w:rPr>
      </w:pPr>
      <w:r w:rsidRPr="00F84F84">
        <w:rPr>
          <w:rFonts w:ascii="Calibri" w:eastAsia="Calibri" w:hAnsi="Calibri" w:cs="Times New Roman"/>
          <w:i/>
          <w:iCs/>
          <w:color w:val="44546A"/>
          <w:sz w:val="20"/>
          <w:szCs w:val="20"/>
          <w:lang w:eastAsia="bg-BG"/>
        </w:rPr>
        <w:t>(</w:t>
      </w:r>
      <w:r w:rsidR="001211B5" w:rsidRPr="00F84F84">
        <w:rPr>
          <w:rFonts w:ascii="Calibri" w:eastAsia="Calibri" w:hAnsi="Calibri" w:cs="Times New Roman"/>
          <w:i/>
          <w:iCs/>
          <w:color w:val="44546A"/>
          <w:sz w:val="20"/>
          <w:szCs w:val="20"/>
          <w:lang w:eastAsia="bg-BG"/>
        </w:rPr>
        <w:t>2°C warmer world</w:t>
      </w:r>
      <w:r w:rsidRPr="00F84F84">
        <w:rPr>
          <w:rFonts w:ascii="Calibri" w:eastAsia="Calibri" w:hAnsi="Calibri" w:cs="Times New Roman"/>
          <w:i/>
          <w:iCs/>
          <w:color w:val="44546A"/>
          <w:sz w:val="20"/>
          <w:szCs w:val="20"/>
          <w:lang w:eastAsia="bg-BG"/>
        </w:rPr>
        <w:t>)</w:t>
      </w:r>
    </w:p>
    <w:p w14:paraId="24882F62" w14:textId="270F3DE1" w:rsidR="00A42FA1" w:rsidRPr="001C3EDC" w:rsidRDefault="00A42FA1" w:rsidP="00DE6A02">
      <w:pPr>
        <w:spacing w:line="240" w:lineRule="auto"/>
        <w:jc w:val="center"/>
        <w:rPr>
          <w:rFonts w:eastAsia="Calibri" w:cs="Times New Roman"/>
          <w:iCs/>
          <w:color w:val="000000" w:themeColor="text1"/>
          <w:sz w:val="20"/>
          <w:szCs w:val="20"/>
          <w:lang w:eastAsia="bg-BG"/>
        </w:rPr>
      </w:pPr>
      <w:r w:rsidRPr="001C3EDC">
        <w:rPr>
          <w:noProof/>
        </w:rPr>
        <w:drawing>
          <wp:inline distT="0" distB="0" distL="0" distR="0" wp14:anchorId="0EC597D0" wp14:editId="5095A395">
            <wp:extent cx="5657850" cy="3263900"/>
            <wp:effectExtent l="0" t="0" r="0" b="12700"/>
            <wp:docPr id="36" name="Chart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CE17952" w14:textId="7470792B" w:rsidR="0095098E" w:rsidRPr="00F84F84" w:rsidRDefault="0095098E" w:rsidP="00DE6A02">
      <w:pPr>
        <w:spacing w:before="120" w:after="40"/>
        <w:jc w:val="center"/>
        <w:rPr>
          <w:rFonts w:ascii="Calibri" w:eastAsia="Calibri" w:hAnsi="Calibri" w:cs="Times New Roman"/>
          <w:i/>
          <w:iCs/>
          <w:color w:val="44546A"/>
          <w:sz w:val="20"/>
          <w:szCs w:val="20"/>
          <w:lang w:eastAsia="bg-BG"/>
        </w:rPr>
      </w:pPr>
      <w:r w:rsidRPr="00F84F84">
        <w:rPr>
          <w:rFonts w:ascii="Calibri" w:eastAsia="Calibri" w:hAnsi="Calibri" w:cs="Times New Roman"/>
          <w:i/>
          <w:iCs/>
          <w:color w:val="44546A"/>
          <w:sz w:val="20"/>
          <w:szCs w:val="20"/>
          <w:lang w:eastAsia="bg-BG"/>
        </w:rPr>
        <w:t>(</w:t>
      </w:r>
      <w:r w:rsidR="001211B5" w:rsidRPr="00F84F84">
        <w:rPr>
          <w:rFonts w:ascii="Calibri" w:eastAsia="Calibri" w:hAnsi="Calibri" w:cs="Times New Roman"/>
          <w:i/>
          <w:iCs/>
          <w:color w:val="44546A"/>
          <w:sz w:val="20"/>
          <w:szCs w:val="20"/>
          <w:lang w:eastAsia="bg-BG"/>
        </w:rPr>
        <w:t>4°C warmer world</w:t>
      </w:r>
      <w:r w:rsidRPr="00F84F84">
        <w:rPr>
          <w:rFonts w:ascii="Calibri" w:eastAsia="Calibri" w:hAnsi="Calibri" w:cs="Times New Roman"/>
          <w:i/>
          <w:iCs/>
          <w:color w:val="44546A"/>
          <w:sz w:val="20"/>
          <w:szCs w:val="20"/>
          <w:lang w:eastAsia="bg-BG"/>
        </w:rPr>
        <w:t>)</w:t>
      </w:r>
    </w:p>
    <w:p w14:paraId="19E5507F" w14:textId="5FA238AD" w:rsidR="00A42FA1" w:rsidRPr="001C3EDC" w:rsidRDefault="00A42FA1" w:rsidP="00DE6A02">
      <w:pPr>
        <w:spacing w:line="240" w:lineRule="auto"/>
        <w:jc w:val="center"/>
        <w:rPr>
          <w:rFonts w:eastAsia="Calibri" w:cs="Times New Roman"/>
          <w:iCs/>
          <w:color w:val="000000" w:themeColor="text1"/>
          <w:sz w:val="20"/>
          <w:szCs w:val="20"/>
          <w:lang w:eastAsia="bg-BG"/>
        </w:rPr>
      </w:pPr>
      <w:r w:rsidRPr="001C3EDC">
        <w:rPr>
          <w:noProof/>
        </w:rPr>
        <w:drawing>
          <wp:inline distT="0" distB="0" distL="0" distR="0" wp14:anchorId="6D651F22" wp14:editId="01FAFB1A">
            <wp:extent cx="5658485" cy="3206115"/>
            <wp:effectExtent l="0" t="0" r="18415" b="13335"/>
            <wp:docPr id="27" name="Chart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9BA3A54" w14:textId="2C16FC86" w:rsidR="00156C12" w:rsidRPr="001C3EDC" w:rsidRDefault="00156C12" w:rsidP="00BA2083">
      <w:pPr>
        <w:pStyle w:val="Source"/>
      </w:pPr>
      <w:r w:rsidRPr="001C3EDC">
        <w:lastRenderedPageBreak/>
        <w:t>Source: Model simulations</w:t>
      </w:r>
      <w:r w:rsidR="00603E67" w:rsidRPr="001C3EDC">
        <w:t>.</w:t>
      </w:r>
    </w:p>
    <w:p w14:paraId="550B647A" w14:textId="04ACAE02" w:rsidR="00AA63BD" w:rsidRPr="001C3EDC" w:rsidRDefault="00BB3A7E" w:rsidP="00CA5CD0">
      <w:pPr>
        <w:pStyle w:val="BodyText"/>
        <w:tabs>
          <w:tab w:val="left" w:pos="720"/>
        </w:tabs>
        <w:ind w:left="0" w:firstLine="0"/>
      </w:pPr>
      <w:r w:rsidRPr="001C3EDC">
        <w:rPr>
          <w:bCs/>
          <w:iCs/>
        </w:rPr>
        <w:t xml:space="preserve">The following few paragraphs present </w:t>
      </w:r>
      <w:r w:rsidR="001F6476" w:rsidRPr="001C3EDC">
        <w:rPr>
          <w:bCs/>
          <w:iCs/>
        </w:rPr>
        <w:t xml:space="preserve">a welfare approach </w:t>
      </w:r>
      <w:r w:rsidRPr="001C3EDC">
        <w:rPr>
          <w:bCs/>
          <w:iCs/>
        </w:rPr>
        <w:t xml:space="preserve">to help gauge </w:t>
      </w:r>
      <w:r w:rsidR="00C248A2" w:rsidRPr="001C3EDC">
        <w:rPr>
          <w:bCs/>
          <w:iCs/>
        </w:rPr>
        <w:t xml:space="preserve">the </w:t>
      </w:r>
      <w:r w:rsidRPr="001C3EDC">
        <w:rPr>
          <w:bCs/>
          <w:iCs/>
        </w:rPr>
        <w:t xml:space="preserve">impact of climate change. </w:t>
      </w:r>
      <w:r w:rsidRPr="001C3EDC">
        <w:rPr>
          <w:b/>
          <w:bCs/>
          <w:i/>
          <w:iCs/>
        </w:rPr>
        <w:t xml:space="preserve">Figure </w:t>
      </w:r>
      <w:r w:rsidR="00575D96" w:rsidRPr="001C3EDC">
        <w:rPr>
          <w:b/>
          <w:bCs/>
          <w:i/>
          <w:iCs/>
        </w:rPr>
        <w:t>2</w:t>
      </w:r>
      <w:r w:rsidR="004D1868" w:rsidRPr="001C3EDC">
        <w:rPr>
          <w:b/>
          <w:bCs/>
          <w:i/>
          <w:iCs/>
        </w:rPr>
        <w:t>6</w:t>
      </w:r>
      <w:r w:rsidR="00B26231" w:rsidRPr="001C3EDC">
        <w:t xml:space="preserve"> </w:t>
      </w:r>
      <w:r w:rsidR="00AA63BD" w:rsidRPr="001C3EDC">
        <w:t>presents estimated welfare losses for the two core scenarios along with both optimistic and pessimistic assumptions. In general, these results suggest that the market effects of climate change will have similar implications for economic welfare and for overall income, spending and production (or GDP, in short). There are</w:t>
      </w:r>
      <w:r w:rsidR="000C341E" w:rsidRPr="001C3EDC">
        <w:t>,</w:t>
      </w:r>
      <w:r w:rsidR="00AA63BD" w:rsidRPr="001C3EDC">
        <w:t xml:space="preserve"> however</w:t>
      </w:r>
      <w:r w:rsidR="000C341E" w:rsidRPr="001C3EDC">
        <w:t>,</w:t>
      </w:r>
      <w:r w:rsidR="00AA63BD" w:rsidRPr="001C3EDC">
        <w:t xml:space="preserve"> differences between the two measures. The source of difference relates to what is included or excluded from measures of welfare versus GDP. For example, GDP includes investment, which yields future consumption and government or public spending on goods and services. Welfare, as defined in </w:t>
      </w:r>
      <w:r w:rsidR="00C248A2" w:rsidRPr="001C3EDC">
        <w:t xml:space="preserve">the </w:t>
      </w:r>
      <w:r w:rsidR="00AA63BD" w:rsidRPr="001C3EDC">
        <w:t>GTAP</w:t>
      </w:r>
      <w:r w:rsidR="003C2064" w:rsidRPr="001C3EDC">
        <w:t xml:space="preserve"> model</w:t>
      </w:r>
      <w:r w:rsidR="00C248A2" w:rsidRPr="001C3EDC">
        <w:t>,</w:t>
      </w:r>
      <w:r w:rsidR="00AA63BD" w:rsidRPr="001C3EDC">
        <w:t xml:space="preserve"> includes private consumption involving goods, services, government purchases, and a host of other variables. Nonetheless, as shown in </w:t>
      </w:r>
      <w:r w:rsidR="000C341E" w:rsidRPr="001C3EDC">
        <w:t>p</w:t>
      </w:r>
      <w:r w:rsidR="00DB43FF" w:rsidRPr="001C3EDC">
        <w:t xml:space="preserve">anel B of </w:t>
      </w:r>
      <w:r w:rsidR="00AA63BD" w:rsidRPr="001C3EDC">
        <w:rPr>
          <w:b/>
          <w:i/>
        </w:rPr>
        <w:t xml:space="preserve">Figure </w:t>
      </w:r>
      <w:r w:rsidR="00575D96" w:rsidRPr="001C3EDC">
        <w:rPr>
          <w:b/>
          <w:i/>
        </w:rPr>
        <w:t>2</w:t>
      </w:r>
      <w:r w:rsidR="004D1868" w:rsidRPr="001C3EDC">
        <w:rPr>
          <w:b/>
          <w:i/>
        </w:rPr>
        <w:t>6</w:t>
      </w:r>
      <w:r w:rsidR="00575D96" w:rsidRPr="001C3EDC">
        <w:rPr>
          <w:bCs/>
          <w:iCs/>
        </w:rPr>
        <w:t xml:space="preserve"> </w:t>
      </w:r>
      <w:r w:rsidR="00AA63BD" w:rsidRPr="001C3EDC">
        <w:t xml:space="preserve">the overall estimated welfare consequences of climate change range from about 1 percent of GDP in 2050 in the most optimistic scenario to about 3.5 percent in the most pessimistic scenario. </w:t>
      </w:r>
    </w:p>
    <w:p w14:paraId="436CBB8C" w14:textId="34C96302" w:rsidR="00BB3A7E" w:rsidRPr="001C3EDC" w:rsidRDefault="00575D96" w:rsidP="00073E95">
      <w:pPr>
        <w:pStyle w:val="Caption"/>
        <w:spacing w:before="200" w:after="20"/>
      </w:pPr>
      <w:bookmarkStart w:id="121" w:name="_Toc522036497"/>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26</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BB3A7E" w:rsidRPr="001C3EDC">
        <w:rPr>
          <w:rFonts w:ascii="Calibri" w:hAnsi="Calibri"/>
          <w:i/>
          <w:color w:val="44546A"/>
          <w:sz w:val="22"/>
          <w:szCs w:val="18"/>
        </w:rPr>
        <w:t>Welfare changes due to climate change</w:t>
      </w:r>
      <w:r w:rsidR="00B31C8D" w:rsidRPr="001C3EDC">
        <w:rPr>
          <w:rFonts w:ascii="Calibri" w:hAnsi="Calibri"/>
          <w:i/>
          <w:color w:val="44546A"/>
          <w:sz w:val="22"/>
          <w:szCs w:val="18"/>
        </w:rPr>
        <w:t xml:space="preserve"> </w:t>
      </w:r>
      <w:r w:rsidR="00BC72F2" w:rsidRPr="001C3EDC">
        <w:rPr>
          <w:rFonts w:ascii="Calibri" w:hAnsi="Calibri"/>
          <w:i/>
          <w:color w:val="44546A"/>
          <w:sz w:val="22"/>
          <w:szCs w:val="18"/>
        </w:rPr>
        <w:t>in comparison</w:t>
      </w:r>
      <w:r w:rsidR="00B31C8D" w:rsidRPr="001C3EDC">
        <w:rPr>
          <w:rFonts w:ascii="Calibri" w:hAnsi="Calibri"/>
          <w:i/>
          <w:color w:val="44546A"/>
          <w:sz w:val="22"/>
          <w:szCs w:val="18"/>
        </w:rPr>
        <w:t xml:space="preserve"> to the baseline</w:t>
      </w:r>
      <w:r w:rsidR="00BB3A7E" w:rsidRPr="001C3EDC">
        <w:rPr>
          <w:rFonts w:ascii="Calibri" w:hAnsi="Calibri"/>
          <w:i/>
          <w:color w:val="44546A"/>
          <w:sz w:val="22"/>
          <w:szCs w:val="18"/>
        </w:rPr>
        <w:t xml:space="preserve"> </w:t>
      </w:r>
      <w:r w:rsidR="00BC72F2" w:rsidRPr="001C3EDC">
        <w:rPr>
          <w:rFonts w:ascii="Calibri" w:hAnsi="Calibri"/>
          <w:i/>
          <w:color w:val="44546A"/>
          <w:sz w:val="22"/>
          <w:szCs w:val="18"/>
        </w:rPr>
        <w:t>without climate change</w:t>
      </w:r>
      <w:bookmarkEnd w:id="12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536"/>
      </w:tblGrid>
      <w:tr w:rsidR="00AB1F39" w:rsidRPr="001C3EDC" w14:paraId="566E2DF9" w14:textId="77777777" w:rsidTr="00C81099">
        <w:tc>
          <w:tcPr>
            <w:tcW w:w="6029" w:type="dxa"/>
            <w:vAlign w:val="center"/>
          </w:tcPr>
          <w:p w14:paraId="7537107F" w14:textId="294D45E0" w:rsidR="00C81099" w:rsidRPr="00F84F84" w:rsidRDefault="00AB1F39" w:rsidP="00F84F84">
            <w:pPr>
              <w:jc w:val="center"/>
              <w:rPr>
                <w:rFonts w:eastAsia="Calibri" w:cs="Times New Roman"/>
                <w:iCs/>
                <w:color w:val="000000" w:themeColor="text1"/>
                <w:sz w:val="20"/>
                <w:szCs w:val="20"/>
                <w:lang w:eastAsia="bg-BG"/>
              </w:rPr>
            </w:pPr>
            <w:r w:rsidRPr="00F84F84">
              <w:rPr>
                <w:rFonts w:ascii="Calibri" w:eastAsia="Calibri" w:hAnsi="Calibri" w:cs="Times New Roman"/>
                <w:i/>
                <w:iCs/>
                <w:color w:val="44546A"/>
                <w:sz w:val="20"/>
                <w:szCs w:val="20"/>
                <w:lang w:eastAsia="bg-BG"/>
              </w:rPr>
              <w:t>Panel A, US$</w:t>
            </w:r>
            <w:r w:rsidR="00C248A2" w:rsidRPr="00F84F84">
              <w:rPr>
                <w:rFonts w:ascii="Calibri" w:eastAsia="Calibri" w:hAnsi="Calibri" w:cs="Times New Roman"/>
                <w:i/>
                <w:iCs/>
                <w:color w:val="44546A"/>
                <w:sz w:val="20"/>
                <w:szCs w:val="20"/>
                <w:lang w:eastAsia="bg-BG"/>
              </w:rPr>
              <w:t>, millions</w:t>
            </w:r>
          </w:p>
        </w:tc>
        <w:tc>
          <w:tcPr>
            <w:tcW w:w="2997" w:type="dxa"/>
            <w:vAlign w:val="center"/>
          </w:tcPr>
          <w:p w14:paraId="5C80DB69" w14:textId="7DC31691" w:rsidR="00C81099" w:rsidRPr="00F84F84" w:rsidRDefault="00AB1F39" w:rsidP="00F84F84">
            <w:pPr>
              <w:jc w:val="center"/>
              <w:rPr>
                <w:rFonts w:eastAsia="Calibri" w:cs="Times New Roman"/>
                <w:iCs/>
                <w:color w:val="000000" w:themeColor="text1"/>
                <w:sz w:val="20"/>
                <w:szCs w:val="20"/>
                <w:lang w:eastAsia="bg-BG"/>
              </w:rPr>
            </w:pPr>
            <w:r w:rsidRPr="00F84F84">
              <w:rPr>
                <w:rFonts w:ascii="Calibri" w:eastAsia="Calibri" w:hAnsi="Calibri" w:cs="Times New Roman"/>
                <w:i/>
                <w:iCs/>
                <w:color w:val="44546A"/>
                <w:sz w:val="20"/>
                <w:szCs w:val="20"/>
                <w:lang w:eastAsia="bg-BG"/>
              </w:rPr>
              <w:t xml:space="preserve">Panel B, </w:t>
            </w:r>
            <w:r w:rsidR="00833099" w:rsidRPr="00F84F84">
              <w:rPr>
                <w:rFonts w:ascii="Calibri" w:eastAsia="Calibri" w:hAnsi="Calibri" w:cs="Times New Roman"/>
                <w:i/>
                <w:iCs/>
                <w:color w:val="44546A"/>
                <w:sz w:val="20"/>
                <w:szCs w:val="20"/>
                <w:lang w:eastAsia="bg-BG"/>
              </w:rPr>
              <w:t>percent</w:t>
            </w:r>
            <w:r w:rsidR="00F84F84" w:rsidRPr="00F84F84">
              <w:rPr>
                <w:rFonts w:ascii="Calibri" w:eastAsia="Calibri" w:hAnsi="Calibri" w:cs="Times New Roman"/>
                <w:i/>
                <w:iCs/>
                <w:color w:val="44546A"/>
                <w:sz w:val="20"/>
                <w:szCs w:val="20"/>
                <w:lang w:eastAsia="bg-BG"/>
              </w:rPr>
              <w:t xml:space="preserve"> change</w:t>
            </w:r>
          </w:p>
        </w:tc>
      </w:tr>
      <w:tr w:rsidR="00AB1F39" w:rsidRPr="001C3EDC" w14:paraId="6AB26CDA" w14:textId="77777777" w:rsidTr="00C81099">
        <w:tc>
          <w:tcPr>
            <w:tcW w:w="6029" w:type="dxa"/>
          </w:tcPr>
          <w:p w14:paraId="5BE699B3" w14:textId="555921FD" w:rsidR="00AB1F39" w:rsidRPr="001C3EDC" w:rsidRDefault="00AB4552" w:rsidP="00F22660">
            <w:pPr>
              <w:spacing w:after="0"/>
              <w:rPr>
                <w:lang w:eastAsia="bg-BG"/>
              </w:rPr>
            </w:pPr>
            <w:r w:rsidRPr="00804400">
              <w:rPr>
                <w:noProof/>
              </w:rPr>
              <w:drawing>
                <wp:inline distT="0" distB="0" distL="0" distR="0" wp14:anchorId="5779DA13" wp14:editId="3D5D3F34">
                  <wp:extent cx="2743200" cy="2303145"/>
                  <wp:effectExtent l="0" t="0" r="0" b="1905"/>
                  <wp:docPr id="1280" name="Chart 128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2997" w:type="dxa"/>
          </w:tcPr>
          <w:p w14:paraId="38A3459D" w14:textId="20071AAA" w:rsidR="00AB1F39" w:rsidRPr="001C3EDC" w:rsidRDefault="0061295C" w:rsidP="00F22660">
            <w:pPr>
              <w:spacing w:after="0"/>
              <w:rPr>
                <w:lang w:eastAsia="bg-BG"/>
              </w:rPr>
            </w:pPr>
            <w:r w:rsidRPr="00CF6E8F">
              <w:rPr>
                <w:noProof/>
              </w:rPr>
              <w:drawing>
                <wp:inline distT="0" distB="0" distL="0" distR="0" wp14:anchorId="4B96BCFB" wp14:editId="773CF6DB">
                  <wp:extent cx="2731135" cy="2303362"/>
                  <wp:effectExtent l="0" t="0" r="12065" b="1905"/>
                  <wp:docPr id="1311" name="Chart 13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07B69E1-62E6-4187-B49B-7CEDB777A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300D831D" w14:textId="504749E0" w:rsidR="00BB3A7E" w:rsidRPr="001C3EDC" w:rsidRDefault="00BB3A7E" w:rsidP="00BA2083">
      <w:pPr>
        <w:pStyle w:val="Source"/>
      </w:pPr>
      <w:r w:rsidRPr="001C3EDC">
        <w:t xml:space="preserve">Source: Model </w:t>
      </w:r>
      <w:r w:rsidR="00510922" w:rsidRPr="001C3EDC">
        <w:t>simulations</w:t>
      </w:r>
      <w:r w:rsidR="00831B3A" w:rsidRPr="001C3EDC">
        <w:t>.</w:t>
      </w:r>
    </w:p>
    <w:p w14:paraId="62335209" w14:textId="1571AF70" w:rsidR="00AA63BD" w:rsidRPr="001C3EDC" w:rsidRDefault="0071686C" w:rsidP="00CA5CD0">
      <w:pPr>
        <w:pStyle w:val="BodyText"/>
        <w:tabs>
          <w:tab w:val="left" w:pos="720"/>
        </w:tabs>
        <w:ind w:left="0" w:firstLine="0"/>
      </w:pPr>
      <w:r w:rsidRPr="001C3EDC">
        <w:t>The welfare impacts of the climate shocks, expressed as a percentage of value</w:t>
      </w:r>
      <w:r w:rsidR="000C341E" w:rsidRPr="001C3EDC">
        <w:t xml:space="preserve"> </w:t>
      </w:r>
      <w:r w:rsidRPr="001C3EDC">
        <w:t>added, can be further decomposed into three components</w:t>
      </w:r>
      <w:r w:rsidR="00B30F2D" w:rsidRPr="001C3EDC">
        <w:t>: direct impact</w:t>
      </w:r>
      <w:r w:rsidR="00DD0A10" w:rsidRPr="001C3EDC">
        <w:t>s</w:t>
      </w:r>
      <w:r w:rsidR="00B30F2D" w:rsidRPr="001C3EDC">
        <w:t xml:space="preserve">, efficiency changes, and </w:t>
      </w:r>
      <w:r w:rsidR="00964BC5" w:rsidRPr="001C3EDC">
        <w:t>ToT</w:t>
      </w:r>
      <w:r w:rsidR="00B30F2D" w:rsidRPr="001C3EDC">
        <w:t xml:space="preserve"> effects</w:t>
      </w:r>
      <w:r w:rsidRPr="001C3EDC">
        <w:t xml:space="preserve">. </w:t>
      </w:r>
      <w:r w:rsidRPr="001C3EDC">
        <w:rPr>
          <w:b/>
          <w:i/>
        </w:rPr>
        <w:t xml:space="preserve">Figure </w:t>
      </w:r>
      <w:r w:rsidR="00575D96" w:rsidRPr="001C3EDC">
        <w:rPr>
          <w:b/>
          <w:i/>
        </w:rPr>
        <w:t>2</w:t>
      </w:r>
      <w:r w:rsidR="004D1868" w:rsidRPr="001C3EDC">
        <w:rPr>
          <w:b/>
          <w:i/>
        </w:rPr>
        <w:t>7</w:t>
      </w:r>
      <w:r w:rsidRPr="001C3EDC">
        <w:t xml:space="preserve"> illustrates this decomposition exercise for Bulgaria. The first component corresponds to </w:t>
      </w:r>
      <w:r w:rsidR="00B30F2D" w:rsidRPr="001C3EDC">
        <w:t xml:space="preserve">what can be called </w:t>
      </w:r>
      <w:r w:rsidRPr="001C3EDC">
        <w:t xml:space="preserve">the direct </w:t>
      </w:r>
      <w:r w:rsidR="00B30F2D" w:rsidRPr="001C3EDC">
        <w:t>impact of c</w:t>
      </w:r>
      <w:r w:rsidRPr="001C3EDC">
        <w:t xml:space="preserve">limate shocks. For the scenarios under consideration, this contribution is negative in all cases, reflecting the general worsening of production conditions in Bulgaria, but with the severity varying across the alternative </w:t>
      </w:r>
      <w:r w:rsidR="009522AE" w:rsidRPr="001C3EDC">
        <w:t xml:space="preserve">climate </w:t>
      </w:r>
      <w:r w:rsidRPr="001C3EDC">
        <w:t xml:space="preserve">scenarios. </w:t>
      </w:r>
      <w:r w:rsidR="00DD0A10" w:rsidRPr="001C3EDC">
        <w:t xml:space="preserve">The </w:t>
      </w:r>
      <w:r w:rsidRPr="001C3EDC">
        <w:t>projections suggest th</w:t>
      </w:r>
      <w:r w:rsidR="00DD0A10" w:rsidRPr="001C3EDC">
        <w:t xml:space="preserve">at the biggest loss to economic welfare from this direct component will dominate the other two parts if </w:t>
      </w:r>
      <w:r w:rsidR="00C248A2" w:rsidRPr="001C3EDC">
        <w:t xml:space="preserve">the </w:t>
      </w:r>
      <w:r w:rsidR="00DD0A10" w:rsidRPr="001C3EDC">
        <w:t>te</w:t>
      </w:r>
      <w:r w:rsidR="0039680D" w:rsidRPr="001C3EDC">
        <w:t>mperature rises by 4°C by 2050.</w:t>
      </w:r>
    </w:p>
    <w:p w14:paraId="3864388A" w14:textId="15540B26" w:rsidR="00AA63BD" w:rsidRPr="001C3EDC" w:rsidRDefault="00AA63BD" w:rsidP="00CA5CD0">
      <w:pPr>
        <w:pStyle w:val="BodyText"/>
        <w:tabs>
          <w:tab w:val="left" w:pos="720"/>
        </w:tabs>
        <w:ind w:left="0" w:firstLine="0"/>
      </w:pPr>
      <w:r w:rsidRPr="001C3EDC">
        <w:t xml:space="preserve">The </w:t>
      </w:r>
      <w:r w:rsidR="00500636" w:rsidRPr="001C3EDC">
        <w:t xml:space="preserve">second </w:t>
      </w:r>
      <w:r w:rsidRPr="001C3EDC">
        <w:t>component of welfare change is the change in economic efficiency. T</w:t>
      </w:r>
      <w:r w:rsidR="001F6476" w:rsidRPr="001C3EDC">
        <w:t>he welfare approach</w:t>
      </w:r>
      <w:r w:rsidRPr="001C3EDC">
        <w:t xml:space="preserve"> capture</w:t>
      </w:r>
      <w:r w:rsidR="001F6476" w:rsidRPr="001C3EDC">
        <w:t>s</w:t>
      </w:r>
      <w:r w:rsidRPr="001C3EDC">
        <w:t xml:space="preserve"> the interaction between the impacts of climate change and existing economic policies. Such policies include an array of existing polices, for example, trade </w:t>
      </w:r>
      <w:r w:rsidRPr="001C3EDC">
        <w:lastRenderedPageBreak/>
        <w:t>policies, agricultural and nonagricultural policies, subsidies</w:t>
      </w:r>
      <w:r w:rsidR="00C248A2" w:rsidRPr="001C3EDC">
        <w:t>,</w:t>
      </w:r>
      <w:r w:rsidRPr="001C3EDC">
        <w:t xml:space="preserve"> and the like.</w:t>
      </w:r>
      <w:r w:rsidR="00CB62AC" w:rsidRPr="001C3EDC">
        <w:t xml:space="preserve"> </w:t>
      </w:r>
      <w:r w:rsidRPr="001C3EDC">
        <w:t xml:space="preserve">It is argued here that climate change coupled with suboptimal global trade policies will lead to an economic efficiency loss. Therefore, </w:t>
      </w:r>
      <w:r w:rsidR="009522AE" w:rsidRPr="001C3EDC">
        <w:t>one would</w:t>
      </w:r>
      <w:r w:rsidRPr="001C3EDC">
        <w:t xml:space="preserve"> expect a negative association with climate change and economic efficiency </w:t>
      </w:r>
      <w:r w:rsidR="00071FF6" w:rsidRPr="001C3EDC">
        <w:t xml:space="preserve">and </w:t>
      </w:r>
      <w:r w:rsidRPr="001C3EDC">
        <w:t xml:space="preserve">see how such </w:t>
      </w:r>
      <w:r w:rsidR="00C248A2" w:rsidRPr="001C3EDC">
        <w:t xml:space="preserve">an </w:t>
      </w:r>
      <w:r w:rsidRPr="001C3EDC">
        <w:t xml:space="preserve">impact contributes to welfare loss in Bulgaria. </w:t>
      </w:r>
      <w:r w:rsidRPr="001C3EDC">
        <w:rPr>
          <w:b/>
          <w:i/>
        </w:rPr>
        <w:t xml:space="preserve">Figure </w:t>
      </w:r>
      <w:r w:rsidR="00575D96" w:rsidRPr="001C3EDC">
        <w:rPr>
          <w:b/>
          <w:i/>
        </w:rPr>
        <w:t>2</w:t>
      </w:r>
      <w:r w:rsidR="004D1868" w:rsidRPr="001C3EDC">
        <w:rPr>
          <w:b/>
          <w:i/>
        </w:rPr>
        <w:t>7</w:t>
      </w:r>
      <w:r w:rsidRPr="001C3EDC">
        <w:t xml:space="preserve"> show</w:t>
      </w:r>
      <w:r w:rsidR="000C341E" w:rsidRPr="001C3EDC">
        <w:t>s</w:t>
      </w:r>
      <w:r w:rsidRPr="001C3EDC">
        <w:t xml:space="preserve"> that indeed climate change leads to loss of economic efficiency but such </w:t>
      </w:r>
      <w:r w:rsidR="00C248A2" w:rsidRPr="001C3EDC">
        <w:t xml:space="preserve">a </w:t>
      </w:r>
      <w:r w:rsidRPr="001C3EDC">
        <w:t>loss is overshadowed by the o</w:t>
      </w:r>
      <w:r w:rsidR="00575D96" w:rsidRPr="001C3EDC">
        <w:t>ther two components of welfare.</w:t>
      </w:r>
    </w:p>
    <w:p w14:paraId="3DB44424" w14:textId="0769B232" w:rsidR="00500636" w:rsidRPr="001C3EDC" w:rsidRDefault="00500636" w:rsidP="00CA5CD0">
      <w:pPr>
        <w:pStyle w:val="BodyText"/>
        <w:tabs>
          <w:tab w:val="left" w:pos="720"/>
        </w:tabs>
        <w:ind w:left="0" w:firstLine="0"/>
      </w:pPr>
      <w:r w:rsidRPr="001C3EDC">
        <w:t>Given the relatively inelastic demand for food, the declines in production (</w:t>
      </w:r>
      <w:r w:rsidRPr="001C3EDC">
        <w:rPr>
          <w:b/>
          <w:i/>
        </w:rPr>
        <w:t xml:space="preserve">Figure </w:t>
      </w:r>
      <w:r w:rsidR="00575D96" w:rsidRPr="001C3EDC">
        <w:rPr>
          <w:b/>
          <w:i/>
        </w:rPr>
        <w:t>2</w:t>
      </w:r>
      <w:r w:rsidR="004D1868" w:rsidRPr="001C3EDC">
        <w:rPr>
          <w:b/>
          <w:i/>
        </w:rPr>
        <w:t>0</w:t>
      </w:r>
      <w:r w:rsidRPr="001C3EDC">
        <w:t xml:space="preserve">) result in significant increases in </w:t>
      </w:r>
      <w:r w:rsidR="00C248A2" w:rsidRPr="001C3EDC">
        <w:t xml:space="preserve">the </w:t>
      </w:r>
      <w:r w:rsidRPr="001C3EDC">
        <w:t>domestic price of goods and services (</w:t>
      </w:r>
      <w:r w:rsidRPr="001C3EDC">
        <w:rPr>
          <w:b/>
          <w:bCs/>
          <w:i/>
          <w:iCs/>
        </w:rPr>
        <w:t>Figure</w:t>
      </w:r>
      <w:r w:rsidR="00B36653" w:rsidRPr="001C3EDC">
        <w:rPr>
          <w:b/>
          <w:bCs/>
          <w:i/>
          <w:iCs/>
        </w:rPr>
        <w:t xml:space="preserve"> 2</w:t>
      </w:r>
      <w:r w:rsidR="004D1868" w:rsidRPr="001C3EDC">
        <w:rPr>
          <w:b/>
          <w:bCs/>
          <w:i/>
          <w:iCs/>
        </w:rPr>
        <w:t>3</w:t>
      </w:r>
      <w:r w:rsidRPr="001C3EDC">
        <w:t xml:space="preserve">). These price changes will have implications for the third component of economic welfare: </w:t>
      </w:r>
      <w:r w:rsidR="00D65BAC" w:rsidRPr="001C3EDC">
        <w:t>the</w:t>
      </w:r>
      <w:r w:rsidRPr="001C3EDC">
        <w:t xml:space="preserve"> ToT. In theory, </w:t>
      </w:r>
      <w:r w:rsidR="005A56CE" w:rsidRPr="001C3EDC">
        <w:t xml:space="preserve">a </w:t>
      </w:r>
      <w:r w:rsidRPr="001C3EDC">
        <w:t xml:space="preserve">net exporting </w:t>
      </w:r>
      <w:r w:rsidR="005A56CE" w:rsidRPr="001C3EDC">
        <w:t xml:space="preserve">country </w:t>
      </w:r>
      <w:r w:rsidRPr="001C3EDC">
        <w:t>gain</w:t>
      </w:r>
      <w:r w:rsidR="005A56CE" w:rsidRPr="001C3EDC">
        <w:t>s</w:t>
      </w:r>
      <w:r w:rsidRPr="001C3EDC">
        <w:t xml:space="preserve"> </w:t>
      </w:r>
      <w:r w:rsidR="005A56CE" w:rsidRPr="001C3EDC">
        <w:t xml:space="preserve">when </w:t>
      </w:r>
      <w:r w:rsidR="00C248A2" w:rsidRPr="001C3EDC">
        <w:t xml:space="preserve">the </w:t>
      </w:r>
      <w:r w:rsidR="005A56CE" w:rsidRPr="001C3EDC">
        <w:t>world price of a particular good rises above its domestic price, which prompts other countries to demand more of the good from the least expensive place. Therefore, t</w:t>
      </w:r>
      <w:r w:rsidRPr="001C3EDC">
        <w:t>he value of the ToT effect, expressed as a percentage of initial value</w:t>
      </w:r>
      <w:r w:rsidR="000C341E" w:rsidRPr="001C3EDC">
        <w:t xml:space="preserve"> </w:t>
      </w:r>
      <w:r w:rsidRPr="001C3EDC">
        <w:t xml:space="preserve">added, can be very important for nations that trade extensively. </w:t>
      </w:r>
      <w:r w:rsidRPr="001C3EDC">
        <w:rPr>
          <w:b/>
          <w:i/>
        </w:rPr>
        <w:t xml:space="preserve">Figure </w:t>
      </w:r>
      <w:r w:rsidR="00575D96" w:rsidRPr="001C3EDC">
        <w:rPr>
          <w:b/>
          <w:i/>
        </w:rPr>
        <w:t>28</w:t>
      </w:r>
      <w:r w:rsidRPr="001C3EDC">
        <w:t xml:space="preserve"> shows the impact of climate change on </w:t>
      </w:r>
      <w:r w:rsidR="00964BC5" w:rsidRPr="001C3EDC">
        <w:t>ToT</w:t>
      </w:r>
      <w:r w:rsidRPr="001C3EDC">
        <w:t xml:space="preserve"> and its contribution to national welfare. In most cases, the </w:t>
      </w:r>
      <w:r w:rsidR="00964BC5" w:rsidRPr="001C3EDC">
        <w:t>ToT</w:t>
      </w:r>
      <w:r w:rsidRPr="001C3EDC">
        <w:t xml:space="preserve"> impact is not strong enough to outweigh the direct impact but nonetheless contributes to mitigate some of the welfare losses arising from climate change. </w:t>
      </w:r>
    </w:p>
    <w:p w14:paraId="38561B45" w14:textId="647FD8F3" w:rsidR="00036642" w:rsidRPr="001C3EDC" w:rsidRDefault="00575D96" w:rsidP="004F7F4A">
      <w:pPr>
        <w:pStyle w:val="Caption"/>
        <w:spacing w:before="200"/>
      </w:pPr>
      <w:bookmarkStart w:id="122" w:name="_Toc522036498"/>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27</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AA63BD" w:rsidRPr="001C3EDC">
        <w:rPr>
          <w:rFonts w:ascii="Calibri" w:hAnsi="Calibri"/>
          <w:i/>
          <w:color w:val="44546A"/>
          <w:sz w:val="22"/>
          <w:szCs w:val="18"/>
        </w:rPr>
        <w:t xml:space="preserve">Decomposing </w:t>
      </w:r>
      <w:r w:rsidR="000C341E" w:rsidRPr="001C3EDC">
        <w:rPr>
          <w:rFonts w:ascii="Calibri" w:hAnsi="Calibri"/>
          <w:i/>
          <w:color w:val="44546A"/>
          <w:sz w:val="22"/>
          <w:szCs w:val="18"/>
        </w:rPr>
        <w:t>w</w:t>
      </w:r>
      <w:r w:rsidR="00AA63BD" w:rsidRPr="001C3EDC">
        <w:rPr>
          <w:rFonts w:ascii="Calibri" w:hAnsi="Calibri"/>
          <w:i/>
          <w:color w:val="44546A"/>
          <w:sz w:val="22"/>
          <w:szCs w:val="18"/>
        </w:rPr>
        <w:t xml:space="preserve">elfare </w:t>
      </w:r>
      <w:r w:rsidR="000C341E" w:rsidRPr="001C3EDC">
        <w:rPr>
          <w:rFonts w:ascii="Calibri" w:hAnsi="Calibri"/>
          <w:i/>
          <w:color w:val="44546A"/>
          <w:sz w:val="22"/>
          <w:szCs w:val="18"/>
        </w:rPr>
        <w:t>c</w:t>
      </w:r>
      <w:r w:rsidR="004F7F4A" w:rsidRPr="001C3EDC">
        <w:rPr>
          <w:rFonts w:ascii="Calibri" w:hAnsi="Calibri"/>
          <w:i/>
          <w:color w:val="44546A"/>
          <w:sz w:val="22"/>
          <w:szCs w:val="18"/>
        </w:rPr>
        <w:t>hange</w:t>
      </w:r>
      <w:r w:rsidR="004F7F4A" w:rsidRPr="001C3EDC">
        <w:rPr>
          <w:rFonts w:ascii="Calibri" w:hAnsi="Calibri"/>
          <w:i/>
          <w:color w:val="44546A"/>
          <w:sz w:val="22"/>
          <w:szCs w:val="18"/>
        </w:rPr>
        <w:br/>
      </w:r>
      <w:r w:rsidR="00AA63BD" w:rsidRPr="001C3EDC">
        <w:rPr>
          <w:rFonts w:ascii="Calibri" w:hAnsi="Calibri"/>
          <w:i/>
          <w:color w:val="44546A"/>
          <w:sz w:val="22"/>
          <w:szCs w:val="18"/>
        </w:rPr>
        <w:t xml:space="preserve">(as </w:t>
      </w:r>
      <w:r w:rsidR="00833099" w:rsidRPr="001C3EDC">
        <w:rPr>
          <w:rFonts w:ascii="Calibri" w:hAnsi="Calibri"/>
          <w:i/>
          <w:color w:val="44546A"/>
          <w:sz w:val="22"/>
          <w:szCs w:val="18"/>
        </w:rPr>
        <w:t>percent</w:t>
      </w:r>
      <w:r w:rsidR="00B97CAD">
        <w:rPr>
          <w:rFonts w:ascii="Calibri" w:hAnsi="Calibri"/>
          <w:i/>
          <w:color w:val="44546A"/>
          <w:sz w:val="22"/>
          <w:szCs w:val="18"/>
        </w:rPr>
        <w:t>age</w:t>
      </w:r>
      <w:r w:rsidR="00AA63BD" w:rsidRPr="001C3EDC">
        <w:rPr>
          <w:rFonts w:ascii="Calibri" w:hAnsi="Calibri"/>
          <w:i/>
          <w:color w:val="44546A"/>
          <w:sz w:val="22"/>
          <w:szCs w:val="18"/>
        </w:rPr>
        <w:t xml:space="preserve"> of GDP</w:t>
      </w:r>
      <w:r w:rsidR="00BC72F2" w:rsidRPr="001C3EDC">
        <w:rPr>
          <w:rFonts w:ascii="Calibri" w:hAnsi="Calibri"/>
          <w:i/>
          <w:color w:val="44546A"/>
          <w:sz w:val="22"/>
          <w:szCs w:val="18"/>
        </w:rPr>
        <w:t>,</w:t>
      </w:r>
      <w:r w:rsidR="00B31C8D" w:rsidRPr="001C3EDC">
        <w:rPr>
          <w:rFonts w:ascii="Calibri" w:hAnsi="Calibri"/>
          <w:i/>
          <w:color w:val="44546A"/>
          <w:sz w:val="22"/>
          <w:szCs w:val="18"/>
        </w:rPr>
        <w:t xml:space="preserve"> compared to the baseline</w:t>
      </w:r>
      <w:r w:rsidR="00BC72F2" w:rsidRPr="001C3EDC">
        <w:rPr>
          <w:rFonts w:ascii="Calibri" w:hAnsi="Calibri"/>
          <w:i/>
          <w:color w:val="44546A"/>
          <w:sz w:val="22"/>
          <w:szCs w:val="18"/>
        </w:rPr>
        <w:t xml:space="preserve"> without climate change</w:t>
      </w:r>
      <w:r w:rsidR="00AA63BD" w:rsidRPr="001C3EDC">
        <w:rPr>
          <w:rFonts w:ascii="Calibri" w:hAnsi="Calibri"/>
          <w:i/>
          <w:color w:val="44546A"/>
          <w:sz w:val="22"/>
          <w:szCs w:val="18"/>
        </w:rPr>
        <w:t>)</w:t>
      </w:r>
      <w:bookmarkEnd w:id="122"/>
    </w:p>
    <w:p w14:paraId="39E0513D" w14:textId="0FCDE6D9" w:rsidR="0098394B" w:rsidRDefault="0098394B" w:rsidP="0098394B">
      <w:pPr>
        <w:rPr>
          <w:lang w:eastAsia="bg-BG"/>
        </w:rPr>
      </w:pPr>
      <w:r>
        <w:rPr>
          <w:noProof/>
        </w:rPr>
        <w:drawing>
          <wp:inline distT="0" distB="0" distL="0" distR="0" wp14:anchorId="691DBFB6" wp14:editId="3A987830">
            <wp:extent cx="5731510" cy="3449256"/>
            <wp:effectExtent l="0" t="0" r="2540" b="18415"/>
            <wp:docPr id="1275" name="Chart 127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52B5F4A" w14:textId="5277670E" w:rsidR="00AA63BD" w:rsidRPr="001C3EDC" w:rsidRDefault="00AA63BD" w:rsidP="00BA2083">
      <w:pPr>
        <w:pStyle w:val="Source"/>
      </w:pPr>
      <w:r w:rsidRPr="001C3EDC">
        <w:t xml:space="preserve">Source: Model </w:t>
      </w:r>
      <w:r w:rsidR="00510922" w:rsidRPr="001C3EDC">
        <w:t>simulations</w:t>
      </w:r>
      <w:r w:rsidR="00897D35" w:rsidRPr="001C3EDC">
        <w:t>.</w:t>
      </w:r>
    </w:p>
    <w:p w14:paraId="53B37FE0" w14:textId="10F030CA" w:rsidR="002902F6" w:rsidRPr="001C3EDC" w:rsidRDefault="002902F6" w:rsidP="00CA5CD0">
      <w:pPr>
        <w:pStyle w:val="BodyText"/>
        <w:ind w:left="0" w:firstLine="0"/>
        <w:rPr>
          <w:color w:val="000000"/>
        </w:rPr>
      </w:pPr>
      <w:r w:rsidRPr="001C3EDC">
        <w:rPr>
          <w:b/>
          <w:bCs/>
          <w:i/>
          <w:iCs/>
          <w:color w:val="000000"/>
        </w:rPr>
        <w:t xml:space="preserve">Figure </w:t>
      </w:r>
      <w:r w:rsidR="00575D96" w:rsidRPr="001C3EDC">
        <w:rPr>
          <w:b/>
          <w:bCs/>
          <w:i/>
          <w:iCs/>
          <w:color w:val="000000"/>
        </w:rPr>
        <w:t>2</w:t>
      </w:r>
      <w:r w:rsidR="004D1868" w:rsidRPr="001C3EDC">
        <w:rPr>
          <w:b/>
          <w:bCs/>
          <w:i/>
          <w:iCs/>
          <w:color w:val="000000"/>
        </w:rPr>
        <w:t>8</w:t>
      </w:r>
      <w:r w:rsidRPr="001C3EDC">
        <w:rPr>
          <w:color w:val="000000"/>
        </w:rPr>
        <w:t xml:space="preserve"> shows the overall structure of the Bulgarian economy </w:t>
      </w:r>
      <w:r w:rsidR="00B2585A" w:rsidRPr="001C3EDC">
        <w:rPr>
          <w:color w:val="000000"/>
        </w:rPr>
        <w:t xml:space="preserve">without </w:t>
      </w:r>
      <w:r w:rsidRPr="001C3EDC">
        <w:rPr>
          <w:color w:val="000000"/>
        </w:rPr>
        <w:t>(</w:t>
      </w:r>
      <w:r w:rsidR="001D4DF4" w:rsidRPr="001C3EDC">
        <w:rPr>
          <w:color w:val="000000"/>
        </w:rPr>
        <w:t>left</w:t>
      </w:r>
      <w:r w:rsidRPr="001C3EDC">
        <w:rPr>
          <w:color w:val="000000"/>
        </w:rPr>
        <w:t xml:space="preserve">) and </w:t>
      </w:r>
      <w:r w:rsidR="00B2585A" w:rsidRPr="001C3EDC">
        <w:rPr>
          <w:color w:val="000000"/>
        </w:rPr>
        <w:t xml:space="preserve">with </w:t>
      </w:r>
      <w:r w:rsidRPr="001C3EDC">
        <w:rPr>
          <w:color w:val="000000"/>
        </w:rPr>
        <w:t>(</w:t>
      </w:r>
      <w:r w:rsidR="001D4DF4" w:rsidRPr="001C3EDC">
        <w:rPr>
          <w:color w:val="000000"/>
        </w:rPr>
        <w:t>right</w:t>
      </w:r>
      <w:r w:rsidRPr="001C3EDC">
        <w:rPr>
          <w:color w:val="000000"/>
        </w:rPr>
        <w:t xml:space="preserve">) climate change. </w:t>
      </w:r>
      <w:r w:rsidRPr="001C3EDC">
        <w:t>Climate</w:t>
      </w:r>
      <w:r w:rsidRPr="001C3EDC">
        <w:rPr>
          <w:color w:val="000000"/>
        </w:rPr>
        <w:t xml:space="preserve"> change impact for this particular figure is represented </w:t>
      </w:r>
      <w:r w:rsidR="004D1868" w:rsidRPr="001C3EDC">
        <w:rPr>
          <w:color w:val="000000"/>
        </w:rPr>
        <w:t>for</w:t>
      </w:r>
      <w:r w:rsidRPr="001C3EDC">
        <w:rPr>
          <w:color w:val="000000"/>
        </w:rPr>
        <w:t xml:space="preserve"> the anticipated 4°C global rise in temperature. While the previous sections have shown the sectoral adjustments, this figure shows that in general, there is going to be modest structural change following the impact of climate change. That is, the Bulgarian economy is still going to be mainly service</w:t>
      </w:r>
      <w:r w:rsidR="00D65BAC" w:rsidRPr="001C3EDC">
        <w:rPr>
          <w:color w:val="000000"/>
        </w:rPr>
        <w:t>-</w:t>
      </w:r>
      <w:r w:rsidRPr="001C3EDC">
        <w:rPr>
          <w:color w:val="000000"/>
        </w:rPr>
        <w:t xml:space="preserve">based even after </w:t>
      </w:r>
      <w:r w:rsidR="00115A00" w:rsidRPr="001C3EDC">
        <w:rPr>
          <w:color w:val="000000"/>
        </w:rPr>
        <w:t xml:space="preserve">considering </w:t>
      </w:r>
      <w:r w:rsidRPr="001C3EDC">
        <w:rPr>
          <w:color w:val="000000"/>
        </w:rPr>
        <w:t>the impact of cli</w:t>
      </w:r>
      <w:r w:rsidR="0039680D" w:rsidRPr="001C3EDC">
        <w:rPr>
          <w:color w:val="000000"/>
        </w:rPr>
        <w:t>mate change.</w:t>
      </w:r>
      <w:r w:rsidR="001D4DF4" w:rsidRPr="001C3EDC">
        <w:rPr>
          <w:color w:val="000000"/>
        </w:rPr>
        <w:t xml:space="preserve">  Note </w:t>
      </w:r>
      <w:r w:rsidR="001D4DF4" w:rsidRPr="001C3EDC">
        <w:rPr>
          <w:color w:val="000000"/>
        </w:rPr>
        <w:lastRenderedPageBreak/>
        <w:t xml:space="preserve">however the share of manufacturing doubles in comparison to 2018 levels because that’s the driver of growth (improvement in productivity benefiting capital-intensive and not labor-intensive sectors as discussed in </w:t>
      </w:r>
      <w:r w:rsidR="00073E95">
        <w:rPr>
          <w:color w:val="000000"/>
        </w:rPr>
        <w:t>previously in the report</w:t>
      </w:r>
      <w:r w:rsidR="001D4DF4" w:rsidRPr="001C3EDC">
        <w:rPr>
          <w:color w:val="000000"/>
        </w:rPr>
        <w:t>).</w:t>
      </w:r>
    </w:p>
    <w:p w14:paraId="5B1E55D1" w14:textId="4532C5FE" w:rsidR="002902F6" w:rsidRPr="001C3EDC" w:rsidRDefault="00575D96" w:rsidP="00647CD7">
      <w:pPr>
        <w:pStyle w:val="Caption"/>
        <w:spacing w:before="200" w:after="60"/>
        <w:rPr>
          <w:rFonts w:ascii="Calibri" w:hAnsi="Calibri"/>
          <w:i/>
          <w:color w:val="44546A"/>
          <w:sz w:val="22"/>
          <w:szCs w:val="18"/>
        </w:rPr>
      </w:pPr>
      <w:bookmarkStart w:id="123" w:name="_Toc522036499"/>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28</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2902F6" w:rsidRPr="001C3EDC">
        <w:rPr>
          <w:rFonts w:ascii="Calibri" w:hAnsi="Calibri"/>
          <w:i/>
          <w:color w:val="44546A"/>
          <w:sz w:val="22"/>
          <w:szCs w:val="18"/>
        </w:rPr>
        <w:t>Structure of the Bulgarian economy by 2050 (</w:t>
      </w:r>
      <w:r w:rsidR="00833099" w:rsidRPr="001C3EDC">
        <w:rPr>
          <w:rFonts w:ascii="Calibri" w:hAnsi="Calibri"/>
          <w:i/>
          <w:color w:val="44546A"/>
          <w:sz w:val="22"/>
          <w:szCs w:val="18"/>
        </w:rPr>
        <w:t>percent</w:t>
      </w:r>
      <w:r w:rsidR="002902F6" w:rsidRPr="001C3EDC">
        <w:rPr>
          <w:rFonts w:ascii="Calibri" w:hAnsi="Calibri"/>
          <w:i/>
          <w:color w:val="44546A"/>
          <w:sz w:val="22"/>
          <w:szCs w:val="18"/>
        </w:rPr>
        <w:t xml:space="preserve"> share</w:t>
      </w:r>
      <w:r w:rsidR="001D4DF4" w:rsidRPr="001C3EDC">
        <w:rPr>
          <w:rFonts w:ascii="Calibri" w:hAnsi="Calibri"/>
          <w:i/>
          <w:color w:val="44546A"/>
          <w:sz w:val="22"/>
          <w:szCs w:val="18"/>
        </w:rPr>
        <w:t xml:space="preserve"> – Gross Value Added</w:t>
      </w:r>
      <w:r w:rsidR="00B31C8D" w:rsidRPr="001C3EDC">
        <w:rPr>
          <w:rFonts w:ascii="Calibri" w:hAnsi="Calibri"/>
          <w:i/>
          <w:color w:val="44546A"/>
          <w:sz w:val="22"/>
          <w:szCs w:val="18"/>
        </w:rPr>
        <w:t>)</w:t>
      </w:r>
      <w:bookmarkEnd w:id="1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7"/>
      </w:tblGrid>
      <w:tr w:rsidR="00AB1F39" w:rsidRPr="001C3EDC" w14:paraId="3BC7E7A2" w14:textId="77777777" w:rsidTr="00DB47EB">
        <w:tc>
          <w:tcPr>
            <w:tcW w:w="4537" w:type="dxa"/>
          </w:tcPr>
          <w:p w14:paraId="210EE40F" w14:textId="6190E80D" w:rsidR="00AB1F39" w:rsidRPr="001C3EDC" w:rsidRDefault="001D4DF4" w:rsidP="00647CD7">
            <w:pPr>
              <w:jc w:val="center"/>
              <w:rPr>
                <w:rFonts w:cs="Times New Roman"/>
                <w:color w:val="000000" w:themeColor="text1"/>
                <w:sz w:val="20"/>
                <w:szCs w:val="20"/>
                <w:lang w:eastAsia="bg-BG"/>
              </w:rPr>
            </w:pPr>
            <w:r w:rsidRPr="00647CD7">
              <w:rPr>
                <w:rFonts w:ascii="Calibri" w:eastAsia="Calibri" w:hAnsi="Calibri" w:cs="Times New Roman"/>
                <w:i/>
                <w:iCs/>
                <w:color w:val="44546A"/>
                <w:sz w:val="20"/>
                <w:szCs w:val="20"/>
                <w:lang w:eastAsia="bg-BG"/>
              </w:rPr>
              <w:t>No Climate Change</w:t>
            </w:r>
          </w:p>
        </w:tc>
        <w:tc>
          <w:tcPr>
            <w:tcW w:w="4537" w:type="dxa"/>
          </w:tcPr>
          <w:p w14:paraId="534FE9C4" w14:textId="5079A2BE" w:rsidR="00AB1F39" w:rsidRPr="001C3EDC" w:rsidRDefault="001D4DF4" w:rsidP="00647CD7">
            <w:pPr>
              <w:jc w:val="center"/>
              <w:rPr>
                <w:rFonts w:cs="Times New Roman"/>
                <w:color w:val="000000" w:themeColor="text1"/>
                <w:sz w:val="20"/>
                <w:szCs w:val="20"/>
                <w:lang w:eastAsia="bg-BG"/>
              </w:rPr>
            </w:pPr>
            <w:r w:rsidRPr="00647CD7">
              <w:rPr>
                <w:rFonts w:ascii="Calibri" w:eastAsia="Calibri" w:hAnsi="Calibri" w:cs="Times New Roman"/>
                <w:i/>
                <w:iCs/>
                <w:color w:val="44546A"/>
                <w:sz w:val="20"/>
                <w:szCs w:val="20"/>
                <w:lang w:eastAsia="bg-BG"/>
              </w:rPr>
              <w:t>With Climate Change (4°C)</w:t>
            </w:r>
          </w:p>
        </w:tc>
      </w:tr>
      <w:tr w:rsidR="00AB1F39" w:rsidRPr="001C3EDC" w14:paraId="53C643D8" w14:textId="77777777" w:rsidTr="00BA2083">
        <w:trPr>
          <w:trHeight w:val="2349"/>
        </w:trPr>
        <w:tc>
          <w:tcPr>
            <w:tcW w:w="4537" w:type="dxa"/>
          </w:tcPr>
          <w:p w14:paraId="7F0E0D1C" w14:textId="458205E3" w:rsidR="00B2585A" w:rsidRPr="001C3EDC" w:rsidRDefault="00AB1F39" w:rsidP="00BA2083">
            <w:pPr>
              <w:rPr>
                <w:lang w:eastAsia="bg-BG"/>
              </w:rPr>
            </w:pPr>
            <w:r w:rsidRPr="001C3EDC">
              <w:rPr>
                <w:noProof/>
              </w:rPr>
              <w:drawing>
                <wp:inline distT="0" distB="0" distL="0" distR="0" wp14:anchorId="6186F29B" wp14:editId="11160C76">
                  <wp:extent cx="2523916" cy="1894840"/>
                  <wp:effectExtent l="0" t="0" r="10160" b="1016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537" w:type="dxa"/>
          </w:tcPr>
          <w:p w14:paraId="5919F484" w14:textId="2AC2D0E2" w:rsidR="00B2585A" w:rsidRPr="001C3EDC" w:rsidRDefault="00AB1F39" w:rsidP="00B2585A">
            <w:pPr>
              <w:rPr>
                <w:lang w:eastAsia="bg-BG"/>
              </w:rPr>
            </w:pPr>
            <w:r w:rsidRPr="001C3EDC">
              <w:rPr>
                <w:noProof/>
              </w:rPr>
              <w:drawing>
                <wp:inline distT="0" distB="0" distL="0" distR="0" wp14:anchorId="1E43D86D" wp14:editId="2BD29010">
                  <wp:extent cx="2524836" cy="1894840"/>
                  <wp:effectExtent l="0" t="0" r="8890" b="101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514F31A2" w14:textId="7DA3C539" w:rsidR="00BA2083" w:rsidRPr="001C3EDC" w:rsidRDefault="00BA2083" w:rsidP="00BA2083">
      <w:pPr>
        <w:pStyle w:val="Source"/>
        <w:spacing w:before="0"/>
      </w:pPr>
      <w:r w:rsidRPr="001C3EDC">
        <w:t>Source: Model simulations.</w:t>
      </w:r>
    </w:p>
    <w:p w14:paraId="25CBCBF0" w14:textId="0B40F690" w:rsidR="0097597C" w:rsidRPr="001C3EDC" w:rsidRDefault="0097597C">
      <w:pPr>
        <w:spacing w:after="200" w:line="276" w:lineRule="auto"/>
        <w:jc w:val="left"/>
        <w:rPr>
          <w:rFonts w:ascii="Consolas" w:hAnsi="Consolas" w:cs="Consolas"/>
          <w:color w:val="000000"/>
          <w:szCs w:val="24"/>
        </w:rPr>
      </w:pPr>
    </w:p>
    <w:p w14:paraId="71D1F016" w14:textId="77777777" w:rsidR="00BA2083" w:rsidRPr="001C3EDC" w:rsidRDefault="00BA2083">
      <w:pPr>
        <w:spacing w:after="200" w:line="276" w:lineRule="auto"/>
        <w:jc w:val="left"/>
        <w:rPr>
          <w:rFonts w:ascii="Calibri" w:eastAsia="Times New Roman" w:hAnsi="Calibri" w:cs="Times New Roman"/>
          <w:b/>
          <w:bCs/>
          <w:color w:val="365F91" w:themeColor="accent1" w:themeShade="BF"/>
          <w:kern w:val="36"/>
          <w:sz w:val="32"/>
          <w:szCs w:val="18"/>
          <w:lang w:eastAsia="bg-BG"/>
        </w:rPr>
      </w:pPr>
      <w:bookmarkStart w:id="124" w:name="_Toc510004096"/>
      <w:bookmarkStart w:id="125" w:name="_Toc505600285"/>
      <w:r w:rsidRPr="001C3EDC">
        <w:br w:type="page"/>
      </w:r>
    </w:p>
    <w:p w14:paraId="6869842A" w14:textId="2CCDE4DE" w:rsidR="001E3127" w:rsidRPr="001C3EDC" w:rsidRDefault="009252CE" w:rsidP="00E05DD5">
      <w:pPr>
        <w:pStyle w:val="Heading1"/>
        <w:ind w:left="720" w:hanging="720"/>
      </w:pPr>
      <w:bookmarkStart w:id="126" w:name="_Toc522036464"/>
      <w:r w:rsidRPr="001C3EDC">
        <w:lastRenderedPageBreak/>
        <w:t xml:space="preserve">4. </w:t>
      </w:r>
      <w:r w:rsidRPr="001C3EDC">
        <w:tab/>
      </w:r>
      <w:r w:rsidR="001E3127" w:rsidRPr="001C3EDC">
        <w:t xml:space="preserve">Adaptation to </w:t>
      </w:r>
      <w:r w:rsidR="006934CC" w:rsidRPr="001C3EDC">
        <w:t>C</w:t>
      </w:r>
      <w:r w:rsidR="001E3127" w:rsidRPr="001C3EDC">
        <w:t xml:space="preserve">limate </w:t>
      </w:r>
      <w:r w:rsidR="006934CC" w:rsidRPr="001C3EDC">
        <w:t>C</w:t>
      </w:r>
      <w:r w:rsidR="001E3127" w:rsidRPr="001C3EDC">
        <w:t>hange</w:t>
      </w:r>
      <w:bookmarkEnd w:id="124"/>
      <w:bookmarkEnd w:id="125"/>
      <w:r w:rsidR="00E05DD5" w:rsidRPr="001C3EDC">
        <w:t>: Overall Benefits and Potential Financing Mechanisms</w:t>
      </w:r>
      <w:bookmarkEnd w:id="126"/>
    </w:p>
    <w:p w14:paraId="173F9FA7" w14:textId="5B9B7910" w:rsidR="00D96483" w:rsidRPr="001C3EDC" w:rsidRDefault="00FD20EB" w:rsidP="00CA5CD0">
      <w:pPr>
        <w:pStyle w:val="BodyText"/>
        <w:tabs>
          <w:tab w:val="left" w:pos="720"/>
        </w:tabs>
        <w:ind w:left="0" w:firstLine="0"/>
      </w:pPr>
      <w:r w:rsidRPr="001C3EDC">
        <w:t>The previous section has shown that the Bulgarian economy will be increasingly vulnerable to climate change risks.</w:t>
      </w:r>
      <w:r w:rsidR="00CB62AC" w:rsidRPr="001C3EDC">
        <w:t xml:space="preserve"> </w:t>
      </w:r>
      <w:r w:rsidRPr="001C3EDC">
        <w:t>Rising temperatures, coupled with increased prevalence of heatwaves, add economic burdens ranging from health risks to lower agricultural output or higher electricity bills. Frequent floods exacerbate the productivity loss in agriculture. As a result, Bulgaria faces numerous areas of vulnerability especially in agriculture, tourism</w:t>
      </w:r>
      <w:r w:rsidR="00BA1322" w:rsidRPr="001C3EDC">
        <w:t>,</w:t>
      </w:r>
      <w:r w:rsidRPr="001C3EDC">
        <w:t xml:space="preserve"> and energy demand as analyzed in the literature. This section </w:t>
      </w:r>
      <w:r w:rsidR="0039680D" w:rsidRPr="001C3EDC">
        <w:t>explore</w:t>
      </w:r>
      <w:r w:rsidR="00A27392" w:rsidRPr="001C3EDC">
        <w:t>s</w:t>
      </w:r>
      <w:r w:rsidR="0039680D" w:rsidRPr="001C3EDC">
        <w:t xml:space="preserve"> options</w:t>
      </w:r>
      <w:r w:rsidRPr="001C3EDC">
        <w:t xml:space="preserve"> for climate change adaptation through </w:t>
      </w:r>
      <w:r w:rsidR="00A27392" w:rsidRPr="001C3EDC">
        <w:t xml:space="preserve">the </w:t>
      </w:r>
      <w:r w:rsidRPr="001C3EDC">
        <w:t xml:space="preserve">creation of an adaptation fund that would finance targeted interventions across sectors. The model developed for Bulgaria is used to estimate the </w:t>
      </w:r>
      <w:r w:rsidR="00D96483" w:rsidRPr="001C3EDC">
        <w:t>size of adaptation funding needs, potential financing mechanisms to mobilize resources accordingly,</w:t>
      </w:r>
      <w:r w:rsidRPr="001C3EDC">
        <w:t xml:space="preserve"> as well as the allocation of financial resources that would generate the maximum benefit for society. The findings from this section will inform the use of financial resources for climate change adaptation</w:t>
      </w:r>
      <w:r w:rsidR="00D96483" w:rsidRPr="001C3EDC">
        <w:t xml:space="preserve"> at the </w:t>
      </w:r>
      <w:r w:rsidR="00CE4C10" w:rsidRPr="001C3EDC">
        <w:t>macroeconomic level</w:t>
      </w:r>
      <w:r w:rsidRPr="001C3EDC">
        <w:t xml:space="preserve">. They </w:t>
      </w:r>
      <w:r w:rsidR="00D96483" w:rsidRPr="001C3EDC">
        <w:t>are complemented by other research and analysis, also carried out under the present Advisory Services on adaptation, at the sectoral level, including cost-benefit analysis of adaptation measures.</w:t>
      </w:r>
    </w:p>
    <w:p w14:paraId="1B6B4A63" w14:textId="4EEDC242" w:rsidR="00FD20EB" w:rsidRPr="001C3EDC" w:rsidRDefault="00FD20EB" w:rsidP="00CA5CD0">
      <w:pPr>
        <w:pStyle w:val="BodyText"/>
        <w:tabs>
          <w:tab w:val="left" w:pos="720"/>
        </w:tabs>
        <w:ind w:left="0" w:firstLine="0"/>
      </w:pPr>
      <w:r w:rsidRPr="001C3EDC">
        <w:t>In the literature, adaptation refers to actions that are taken in response to, or in anticipation of, projected or actual changes in climate, either to reduce the adverse impacts or to take advantage of opportunities offered by such changes (IPCC 2007). Adaptation options vary depending on the nature and magnitude of climate change impacts (Klein et al. 2001). This report focuses mainly on the cost of adaptation for Bulgaria without presenting the details of specific investment projects for adaptation such as shifting planting schedules or changing crop varieties, or more costly ones like investing in protective infrastructures such as river or sea dykes for flood control. In some extreme cases, retreat from coastal areas or abandoning certain economic activities (</w:t>
      </w:r>
      <w:r w:rsidR="00941D78" w:rsidRPr="001C3EDC">
        <w:t>for example</w:t>
      </w:r>
      <w:r w:rsidRPr="001C3EDC">
        <w:t xml:space="preserve">, winter mountain tourism) may be the best strategy. </w:t>
      </w:r>
    </w:p>
    <w:p w14:paraId="7E11721B" w14:textId="44ADC59B" w:rsidR="00FD20EB" w:rsidRPr="001C3EDC" w:rsidRDefault="00FD20EB" w:rsidP="00CA5CD0">
      <w:pPr>
        <w:pStyle w:val="BodyText"/>
        <w:tabs>
          <w:tab w:val="left" w:pos="720"/>
        </w:tabs>
        <w:ind w:left="0" w:firstLine="0"/>
      </w:pPr>
      <w:r w:rsidRPr="001C3EDC">
        <w:t xml:space="preserve">From a financial perspective, the adaptive capacity of countries differs and largely depends on the size of their economies, which determines the amount of available resources that can be devoted to adaptation. Generally, developed countries are considered to have higher adaptive capacities while developing and least developed countries, which are most vulnerable to climate change, need external support to build theirs (IPCC </w:t>
      </w:r>
      <w:r w:rsidR="00B2585A" w:rsidRPr="001C3EDC">
        <w:t>2013</w:t>
      </w:r>
      <w:r w:rsidRPr="001C3EDC">
        <w:t xml:space="preserve">). This section looks at the broad parameters of an adaptation financing mechanism for Bulgaria: </w:t>
      </w:r>
      <w:bookmarkStart w:id="127" w:name="_Hlk510004343"/>
      <w:r w:rsidR="00A91098" w:rsidRPr="001C3EDC">
        <w:t>f</w:t>
      </w:r>
      <w:r w:rsidRPr="001C3EDC">
        <w:t xml:space="preserve">irst, </w:t>
      </w:r>
      <w:r w:rsidR="005A1ED2" w:rsidRPr="001C3EDC">
        <w:t xml:space="preserve">the </w:t>
      </w:r>
      <w:r w:rsidRPr="001C3EDC">
        <w:t xml:space="preserve">adaptation level to be targeted is </w:t>
      </w:r>
      <w:r w:rsidR="0039680D" w:rsidRPr="001C3EDC">
        <w:t xml:space="preserve">analyzed; </w:t>
      </w:r>
      <w:r w:rsidR="00A91098" w:rsidRPr="001C3EDC">
        <w:t>s</w:t>
      </w:r>
      <w:r w:rsidR="0039680D" w:rsidRPr="001C3EDC">
        <w:t>econd</w:t>
      </w:r>
      <w:r w:rsidRPr="001C3EDC">
        <w:t xml:space="preserve">, the magnitude of adaptation resources that need to be allocated to this purpose is </w:t>
      </w:r>
      <w:r w:rsidR="0039680D" w:rsidRPr="001C3EDC">
        <w:t xml:space="preserve">estimated; </w:t>
      </w:r>
      <w:r w:rsidR="00A91098" w:rsidRPr="001C3EDC">
        <w:t>t</w:t>
      </w:r>
      <w:r w:rsidR="0039680D" w:rsidRPr="001C3EDC">
        <w:t>hird</w:t>
      </w:r>
      <w:r w:rsidRPr="001C3EDC">
        <w:t xml:space="preserve">, the optimal allocation of these funds across sectors is simulated using the Bulgaria model. </w:t>
      </w:r>
    </w:p>
    <w:p w14:paraId="50B875BE" w14:textId="66E0D112" w:rsidR="00CE4C10" w:rsidRPr="00EC4AAB" w:rsidRDefault="00E73D4E" w:rsidP="00EC4AAB">
      <w:pPr>
        <w:pStyle w:val="Heading4"/>
        <w:rPr>
          <w:rFonts w:asciiTheme="minorHAnsi" w:eastAsiaTheme="majorEastAsia" w:hAnsiTheme="minorHAnsi" w:cstheme="majorBidi"/>
          <w:color w:val="365F91" w:themeColor="accent1" w:themeShade="BF"/>
        </w:rPr>
      </w:pPr>
      <w:r w:rsidRPr="00EC4AAB">
        <w:rPr>
          <w:rFonts w:asciiTheme="minorHAnsi" w:eastAsiaTheme="majorEastAsia" w:hAnsiTheme="minorHAnsi" w:cstheme="majorBidi"/>
          <w:color w:val="365F91" w:themeColor="accent1" w:themeShade="BF"/>
        </w:rPr>
        <w:t>Deriving</w:t>
      </w:r>
      <w:r w:rsidR="00CE4C10" w:rsidRPr="00EC4AAB">
        <w:rPr>
          <w:rFonts w:asciiTheme="minorHAnsi" w:eastAsiaTheme="majorEastAsia" w:hAnsiTheme="minorHAnsi" w:cstheme="majorBidi"/>
          <w:color w:val="365F91" w:themeColor="accent1" w:themeShade="BF"/>
        </w:rPr>
        <w:t xml:space="preserve"> a Marginal Adaptation Cost Curve, Top-Down</w:t>
      </w:r>
    </w:p>
    <w:bookmarkEnd w:id="127"/>
    <w:p w14:paraId="109DA86F" w14:textId="275C157B" w:rsidR="002154B5" w:rsidRPr="001C3EDC" w:rsidRDefault="00FD20EB" w:rsidP="00CA5CD0">
      <w:pPr>
        <w:pStyle w:val="BodyText"/>
        <w:tabs>
          <w:tab w:val="left" w:pos="720"/>
        </w:tabs>
        <w:ind w:left="0" w:firstLine="0"/>
      </w:pPr>
      <w:r w:rsidRPr="001C3EDC">
        <w:t>Adaptation to climate change seeks to address the potential damages from climate change.</w:t>
      </w:r>
      <w:r w:rsidR="00CB62AC" w:rsidRPr="001C3EDC">
        <w:t xml:space="preserve"> </w:t>
      </w:r>
      <w:r w:rsidRPr="001C3EDC">
        <w:t xml:space="preserve">The essential question </w:t>
      </w:r>
      <w:r w:rsidR="007406FA" w:rsidRPr="001C3EDC">
        <w:t>is</w:t>
      </w:r>
      <w:r w:rsidRPr="001C3EDC">
        <w:t xml:space="preserve"> to understand how much adaptation cost the Bulgarian economy </w:t>
      </w:r>
      <w:r w:rsidR="00A06762" w:rsidRPr="001C3EDC">
        <w:t xml:space="preserve">can </w:t>
      </w:r>
      <w:r w:rsidRPr="001C3EDC">
        <w:t xml:space="preserve">bear without compromising its growth potential. It is possible to define </w:t>
      </w:r>
      <w:r w:rsidR="000F2EC7" w:rsidRPr="001C3EDC">
        <w:t>‘</w:t>
      </w:r>
      <w:r w:rsidRPr="001C3EDC">
        <w:t>gross damages</w:t>
      </w:r>
      <w:r w:rsidR="000F2EC7" w:rsidRPr="001C3EDC">
        <w:t>’</w:t>
      </w:r>
      <w:r w:rsidRPr="001C3EDC">
        <w:t xml:space="preserve"> as the initial damages caused by climate change if no adaptation </w:t>
      </w:r>
      <w:r w:rsidR="0039680D" w:rsidRPr="001C3EDC">
        <w:t>measures were</w:t>
      </w:r>
      <w:r w:rsidRPr="001C3EDC">
        <w:t xml:space="preserve"> undertaken. If there is an attempt to limit climate change damages (adapt), then the damages would decrease. Reducing gross damages, however, comes at a cost, </w:t>
      </w:r>
      <w:r w:rsidR="007574CC" w:rsidRPr="001C3EDC">
        <w:t>that is</w:t>
      </w:r>
      <w:r w:rsidRPr="001C3EDC">
        <w:t xml:space="preserve">, the investment of </w:t>
      </w:r>
      <w:r w:rsidRPr="001C3EDC">
        <w:lastRenderedPageBreak/>
        <w:t>resources in adaptation. For the purpose at hand, these costs are refe</w:t>
      </w:r>
      <w:r w:rsidR="0039680D" w:rsidRPr="001C3EDC">
        <w:t xml:space="preserve">rred to as </w:t>
      </w:r>
      <w:r w:rsidR="00102089" w:rsidRPr="001C3EDC">
        <w:t>‘</w:t>
      </w:r>
      <w:r w:rsidR="0039680D" w:rsidRPr="001C3EDC">
        <w:t>adaptation costs</w:t>
      </w:r>
      <w:r w:rsidR="00102089" w:rsidRPr="001C3EDC">
        <w:t>’</w:t>
      </w:r>
      <w:r w:rsidR="0039680D" w:rsidRPr="001C3EDC">
        <w:t xml:space="preserve">. </w:t>
      </w:r>
      <w:r w:rsidRPr="001C3EDC">
        <w:rPr>
          <w:b/>
          <w:bCs/>
          <w:i/>
          <w:iCs/>
        </w:rPr>
        <w:t xml:space="preserve">Figure </w:t>
      </w:r>
      <w:r w:rsidR="00DB47EB" w:rsidRPr="001C3EDC">
        <w:rPr>
          <w:b/>
          <w:bCs/>
          <w:i/>
          <w:iCs/>
        </w:rPr>
        <w:t>30</w:t>
      </w:r>
      <w:r w:rsidRPr="001C3EDC">
        <w:t xml:space="preserve"> shows the theoretical relationship between adaptation costs and the fraction of damages that are reduced through adaption as</w:t>
      </w:r>
      <w:r w:rsidR="00052A19" w:rsidRPr="001C3EDC">
        <w:t xml:space="preserve"> calibrated in the </w:t>
      </w:r>
      <w:r w:rsidR="00C67415" w:rsidRPr="001C3EDC">
        <w:t>Dynamic Integrate Climate-Economy (</w:t>
      </w:r>
      <w:r w:rsidR="00052A19" w:rsidRPr="001C3EDC">
        <w:t>DICE</w:t>
      </w:r>
      <w:r w:rsidR="00C67415" w:rsidRPr="001C3EDC">
        <w:t>)</w:t>
      </w:r>
      <w:r w:rsidR="00052A19" w:rsidRPr="001C3EDC">
        <w:t xml:space="preserve"> model. </w:t>
      </w:r>
    </w:p>
    <w:p w14:paraId="0B537063" w14:textId="35378191" w:rsidR="002154B5" w:rsidRPr="001C3EDC" w:rsidRDefault="00575D96" w:rsidP="004F7F4A">
      <w:pPr>
        <w:pStyle w:val="Caption"/>
        <w:spacing w:before="200"/>
        <w:rPr>
          <w:rFonts w:ascii="Calibri" w:hAnsi="Calibri"/>
          <w:i/>
          <w:color w:val="44546A"/>
          <w:sz w:val="22"/>
          <w:szCs w:val="18"/>
        </w:rPr>
      </w:pPr>
      <w:bookmarkStart w:id="128" w:name="_Toc522036500"/>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29</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2154B5" w:rsidRPr="001C3EDC">
        <w:rPr>
          <w:rFonts w:ascii="Calibri" w:hAnsi="Calibri"/>
          <w:i/>
          <w:color w:val="44546A"/>
          <w:sz w:val="22"/>
          <w:szCs w:val="18"/>
        </w:rPr>
        <w:t>The adaptation cost curve</w:t>
      </w:r>
      <w:bookmarkEnd w:id="128"/>
    </w:p>
    <w:p w14:paraId="1B0B3313" w14:textId="37F69905" w:rsidR="002154B5" w:rsidRPr="001C3EDC" w:rsidRDefault="00E7673E" w:rsidP="0039680D">
      <w:pPr>
        <w:spacing w:line="240" w:lineRule="auto"/>
        <w:jc w:val="center"/>
        <w:rPr>
          <w:rFonts w:ascii="TimesNewRomanPSMT" w:hAnsi="TimesNewRomanPSMT" w:cs="TimesNewRomanPSMT"/>
          <w:szCs w:val="24"/>
        </w:rPr>
      </w:pPr>
      <w:r>
        <w:rPr>
          <w:noProof/>
        </w:rPr>
        <w:drawing>
          <wp:inline distT="0" distB="0" distL="0" distR="0" wp14:anchorId="0A59296A" wp14:editId="144CC4D8">
            <wp:extent cx="5029200" cy="29819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49597" cy="3053347"/>
                    </a:xfrm>
                    <a:prstGeom prst="rect">
                      <a:avLst/>
                    </a:prstGeom>
                  </pic:spPr>
                </pic:pic>
              </a:graphicData>
            </a:graphic>
          </wp:inline>
        </w:drawing>
      </w:r>
    </w:p>
    <w:p w14:paraId="17B320B8" w14:textId="7179D71B" w:rsidR="002154B5" w:rsidRPr="001C3EDC" w:rsidRDefault="00897D35" w:rsidP="00BA2083">
      <w:pPr>
        <w:pStyle w:val="Source"/>
      </w:pPr>
      <w:r w:rsidRPr="001C3EDC">
        <w:t>Source:</w:t>
      </w:r>
      <w:r w:rsidR="002154B5" w:rsidRPr="001C3EDC">
        <w:t xml:space="preserve"> de Bruin</w:t>
      </w:r>
      <w:r w:rsidR="000360B6" w:rsidRPr="001C3EDC">
        <w:t>, Dellink, and Tol</w:t>
      </w:r>
      <w:r w:rsidR="002154B5" w:rsidRPr="001C3EDC">
        <w:t xml:space="preserve"> 2009</w:t>
      </w:r>
      <w:r w:rsidRPr="001C3EDC">
        <w:t>.</w:t>
      </w:r>
    </w:p>
    <w:p w14:paraId="58542ECD" w14:textId="4BADC570" w:rsidR="00CE4C10" w:rsidRPr="001C3EDC" w:rsidRDefault="002154B5" w:rsidP="00CA5CD0">
      <w:pPr>
        <w:pStyle w:val="BodyText"/>
        <w:tabs>
          <w:tab w:val="left" w:pos="720"/>
        </w:tabs>
        <w:spacing w:before="120"/>
        <w:ind w:left="0" w:firstLine="0"/>
      </w:pPr>
      <w:r w:rsidRPr="001C3EDC">
        <w:rPr>
          <w:b/>
          <w:bCs/>
          <w:i/>
          <w:iCs/>
        </w:rPr>
        <w:t xml:space="preserve">Figure </w:t>
      </w:r>
      <w:r w:rsidR="007406FA" w:rsidRPr="001C3EDC">
        <w:rPr>
          <w:b/>
          <w:bCs/>
          <w:i/>
          <w:iCs/>
        </w:rPr>
        <w:t>29</w:t>
      </w:r>
      <w:r w:rsidR="00130169" w:rsidRPr="001C3EDC">
        <w:rPr>
          <w:i/>
        </w:rPr>
        <w:t xml:space="preserve"> </w:t>
      </w:r>
      <w:r w:rsidR="00FD20EB" w:rsidRPr="001C3EDC">
        <w:t>shows the marginal cost curve for adaptation that is implicitly present in the DICE model.</w:t>
      </w:r>
      <w:r w:rsidR="00CB62AC" w:rsidRPr="001C3EDC">
        <w:t xml:space="preserve"> </w:t>
      </w:r>
      <w:r w:rsidR="00FD20EB" w:rsidRPr="001C3EDC">
        <w:t xml:space="preserve">It indicates that the adaptation cost </w:t>
      </w:r>
      <w:r w:rsidR="0039680D" w:rsidRPr="001C3EDC">
        <w:t>of around</w:t>
      </w:r>
      <w:r w:rsidR="00FD20EB" w:rsidRPr="001C3EDC">
        <w:t xml:space="preserve"> 10</w:t>
      </w:r>
      <w:r w:rsidR="0054631E" w:rsidRPr="001C3EDC">
        <w:t xml:space="preserve"> percent</w:t>
      </w:r>
      <w:r w:rsidR="00FD20EB" w:rsidRPr="001C3EDC">
        <w:t xml:space="preserve"> of gross damage reduction </w:t>
      </w:r>
      <w:r w:rsidR="0039680D" w:rsidRPr="001C3EDC">
        <w:t>is extremely</w:t>
      </w:r>
      <w:r w:rsidR="00FD20EB" w:rsidRPr="001C3EDC">
        <w:t xml:space="preserve"> </w:t>
      </w:r>
      <w:r w:rsidR="00A06762" w:rsidRPr="001C3EDC">
        <w:t>low,</w:t>
      </w:r>
      <w:r w:rsidR="00FD20EB" w:rsidRPr="001C3EDC">
        <w:t xml:space="preserve"> but the cost rises </w:t>
      </w:r>
      <w:r w:rsidR="00B2585A" w:rsidRPr="001C3EDC">
        <w:t>sharply beyond that point</w:t>
      </w:r>
      <w:r w:rsidR="00FD20EB" w:rsidRPr="001C3EDC">
        <w:t xml:space="preserve">. The optimal level of adaptation (maximum reduction in damages without hampering economic growth) varies from 0.09 to 0.45, with </w:t>
      </w:r>
      <w:r w:rsidR="007406FA" w:rsidRPr="001C3EDC">
        <w:t>an</w:t>
      </w:r>
      <w:r w:rsidR="00FD20EB" w:rsidRPr="001C3EDC">
        <w:t xml:space="preserve"> average of 0.33, </w:t>
      </w:r>
      <w:r w:rsidR="001D2559" w:rsidRPr="001C3EDC">
        <w:t>that is</w:t>
      </w:r>
      <w:r w:rsidR="00FD20EB" w:rsidRPr="001C3EDC">
        <w:t>, 33</w:t>
      </w:r>
      <w:r w:rsidR="001D2559" w:rsidRPr="001C3EDC">
        <w:t xml:space="preserve"> percent</w:t>
      </w:r>
      <w:r w:rsidR="00FD20EB" w:rsidRPr="001C3EDC">
        <w:t xml:space="preserve"> of the gross damages can be reduced</w:t>
      </w:r>
      <w:r w:rsidR="00052A19" w:rsidRPr="001C3EDC">
        <w:t xml:space="preserve"> at </w:t>
      </w:r>
      <w:r w:rsidR="00E170F1" w:rsidRPr="001C3EDC">
        <w:t>‘</w:t>
      </w:r>
      <w:r w:rsidR="00052A19" w:rsidRPr="001C3EDC">
        <w:t>no</w:t>
      </w:r>
      <w:r w:rsidR="00B2585A" w:rsidRPr="001C3EDC">
        <w:t>/low</w:t>
      </w:r>
      <w:r w:rsidR="00052A19" w:rsidRPr="001C3EDC">
        <w:t xml:space="preserve"> cost</w:t>
      </w:r>
      <w:r w:rsidR="00E170F1" w:rsidRPr="001C3EDC">
        <w:t>’</w:t>
      </w:r>
      <w:r w:rsidR="00052A19" w:rsidRPr="001C3EDC">
        <w:t xml:space="preserve"> to the economy.</w:t>
      </w:r>
      <w:r w:rsidR="00CB62AC" w:rsidRPr="001C3EDC">
        <w:t xml:space="preserve"> </w:t>
      </w:r>
      <w:r w:rsidR="00E73D4E" w:rsidRPr="001C3EDC">
        <w:t xml:space="preserve"> In the absence of comprehensive technical and economic information on adaptation measures and their costs at sectoral levels that could be readily integrated into the model, no marginal adaptation cost curve could be derived bottom-up.  Instead, an approach </w:t>
      </w:r>
      <w:r w:rsidR="0052332B" w:rsidRPr="001C3EDC">
        <w:t>like</w:t>
      </w:r>
      <w:r w:rsidR="00E73D4E" w:rsidRPr="001C3EDC">
        <w:t xml:space="preserve"> that of de Bruin, Dellink, and Tol (2009) is followed</w:t>
      </w:r>
      <w:r w:rsidR="007406FA" w:rsidRPr="001C3EDC">
        <w:t xml:space="preserve"> here</w:t>
      </w:r>
      <w:r w:rsidR="00E73D4E" w:rsidRPr="001C3EDC">
        <w:t>, using an implicit, top-down cost curve (with sensitivity analysis).</w:t>
      </w:r>
    </w:p>
    <w:p w14:paraId="2E120193" w14:textId="1B366FE3" w:rsidR="002154B5" w:rsidRPr="001C3EDC" w:rsidRDefault="00CE4C10" w:rsidP="00CA5CD0">
      <w:pPr>
        <w:pStyle w:val="BodyText"/>
        <w:tabs>
          <w:tab w:val="left" w:pos="720"/>
        </w:tabs>
        <w:spacing w:before="120"/>
        <w:ind w:left="0" w:firstLine="0"/>
      </w:pPr>
      <w:r w:rsidRPr="001C3EDC">
        <w:rPr>
          <w:b/>
          <w:bCs/>
          <w:i/>
          <w:iCs/>
        </w:rPr>
        <w:t>Figure 3</w:t>
      </w:r>
      <w:r w:rsidR="007406FA" w:rsidRPr="001C3EDC">
        <w:rPr>
          <w:b/>
          <w:bCs/>
          <w:i/>
          <w:iCs/>
        </w:rPr>
        <w:t>0</w:t>
      </w:r>
      <w:r w:rsidRPr="001C3EDC">
        <w:t xml:space="preserve"> shows the estimated adaptation cost curves for 10 </w:t>
      </w:r>
      <w:r w:rsidR="00E73D4E" w:rsidRPr="001C3EDC">
        <w:t>countries/</w:t>
      </w:r>
      <w:r w:rsidRPr="001C3EDC">
        <w:t xml:space="preserve">regions and a global average (the GLOBAL line). The main message from this figure is that adaptation costs differ substantially across regions. For example, regions that face substantial climate change impacts will need to undertake extensive adaptation measures. The figure tells that taking such extensive measures comes at higher adaptation cost (loss of output in the figure). </w:t>
      </w:r>
    </w:p>
    <w:p w14:paraId="5A577463" w14:textId="58A3BC6E" w:rsidR="002154B5" w:rsidRPr="001C3EDC" w:rsidRDefault="00130169" w:rsidP="004F7F4A">
      <w:pPr>
        <w:pStyle w:val="Caption"/>
        <w:spacing w:before="200"/>
        <w:rPr>
          <w:rFonts w:ascii="Calibri" w:hAnsi="Calibri"/>
          <w:i/>
          <w:color w:val="44546A"/>
          <w:sz w:val="22"/>
          <w:szCs w:val="18"/>
        </w:rPr>
      </w:pPr>
      <w:bookmarkStart w:id="129" w:name="_Toc522036501"/>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30</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FD20EB" w:rsidRPr="001C3EDC">
        <w:rPr>
          <w:rFonts w:ascii="Calibri" w:hAnsi="Calibri"/>
          <w:i/>
          <w:color w:val="44546A"/>
          <w:sz w:val="22"/>
          <w:szCs w:val="18"/>
        </w:rPr>
        <w:t>Marginal a</w:t>
      </w:r>
      <w:r w:rsidR="002154B5" w:rsidRPr="001C3EDC">
        <w:rPr>
          <w:rFonts w:ascii="Calibri" w:hAnsi="Calibri"/>
          <w:i/>
          <w:color w:val="44546A"/>
          <w:sz w:val="22"/>
          <w:szCs w:val="18"/>
        </w:rPr>
        <w:t>daptation cost curves across countries</w:t>
      </w:r>
      <w:r w:rsidR="00E73D4E" w:rsidRPr="001C3EDC">
        <w:rPr>
          <w:rFonts w:ascii="Calibri" w:hAnsi="Calibri"/>
          <w:i/>
          <w:color w:val="44546A"/>
          <w:sz w:val="22"/>
          <w:szCs w:val="18"/>
        </w:rPr>
        <w:t>/regions</w:t>
      </w:r>
      <w:bookmarkEnd w:id="129"/>
    </w:p>
    <w:p w14:paraId="08E393B7" w14:textId="0DEF48A2" w:rsidR="00DB3A3E" w:rsidRPr="001C3EDC" w:rsidRDefault="003520FD" w:rsidP="00FD20EB">
      <w:pPr>
        <w:spacing w:line="240" w:lineRule="auto"/>
        <w:jc w:val="center"/>
        <w:rPr>
          <w:szCs w:val="24"/>
        </w:rPr>
      </w:pPr>
      <w:r>
        <w:rPr>
          <w:noProof/>
        </w:rPr>
        <w:drawing>
          <wp:inline distT="0" distB="0" distL="0" distR="0" wp14:anchorId="2FC225ED" wp14:editId="48EE20DB">
            <wp:extent cx="5022376" cy="329743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56115" cy="3319581"/>
                    </a:xfrm>
                    <a:prstGeom prst="rect">
                      <a:avLst/>
                    </a:prstGeom>
                  </pic:spPr>
                </pic:pic>
              </a:graphicData>
            </a:graphic>
          </wp:inline>
        </w:drawing>
      </w:r>
    </w:p>
    <w:p w14:paraId="35C98E2D" w14:textId="77777777" w:rsidR="00BA2083" w:rsidRPr="001C3EDC" w:rsidRDefault="00BA2083" w:rsidP="00BA2083">
      <w:pPr>
        <w:pStyle w:val="Source"/>
        <w:spacing w:after="60"/>
      </w:pPr>
      <w:r w:rsidRPr="001C3EDC">
        <w:t>Note: HIO = Highly industrialized oil exporting, EE = Eastern Europe, MI = Middle income, LMI = Low middle income, LI = Low income.</w:t>
      </w:r>
    </w:p>
    <w:p w14:paraId="0EA0F695" w14:textId="641984BC" w:rsidR="00CE4C10" w:rsidRPr="001C3EDC" w:rsidRDefault="002154B5" w:rsidP="00BA2083">
      <w:pPr>
        <w:pStyle w:val="Source"/>
      </w:pPr>
      <w:r w:rsidRPr="001C3EDC">
        <w:t>Source: de Bruin</w:t>
      </w:r>
      <w:r w:rsidR="000360B6" w:rsidRPr="001C3EDC">
        <w:t>, Dellink, and Tol</w:t>
      </w:r>
      <w:r w:rsidR="00DB3A3E" w:rsidRPr="001C3EDC">
        <w:t xml:space="preserve"> 2009.</w:t>
      </w:r>
    </w:p>
    <w:p w14:paraId="18D84EA6" w14:textId="11F22067" w:rsidR="00D22211" w:rsidRPr="001C3EDC" w:rsidRDefault="00FD20EB" w:rsidP="009B5135">
      <w:pPr>
        <w:pStyle w:val="BodyText"/>
        <w:tabs>
          <w:tab w:val="left" w:pos="720"/>
        </w:tabs>
        <w:ind w:left="0" w:firstLine="0"/>
      </w:pPr>
      <w:r w:rsidRPr="001C3EDC">
        <w:t xml:space="preserve">This section of the analysis aims to assess the impact of adaptation using the same CGE model as that outlined in the previous sections. </w:t>
      </w:r>
      <w:r w:rsidR="00D22211" w:rsidRPr="001C3EDC">
        <w:t xml:space="preserve">This requires the modeling of the costs and benefits of both autonomous and planned adaptation. By construction, </w:t>
      </w:r>
      <w:r w:rsidRPr="001C3EDC">
        <w:t>CGE models consider market-driven adaptation, which characterizes instantaneous resource allocation across two market equilibria in response to exogenous shocks that can be related to the economy or climate change</w:t>
      </w:r>
      <w:r w:rsidR="00D22211" w:rsidRPr="001C3EDC">
        <w:t>. P</w:t>
      </w:r>
      <w:r w:rsidRPr="001C3EDC">
        <w:t xml:space="preserve">rimarily, demand and supply reactions to endogenous changes in relative prices are in effect the first autonomous adaptation mechanism. </w:t>
      </w:r>
      <w:r w:rsidR="00D22211" w:rsidRPr="001C3EDC">
        <w:t>Autonomous adaptation may however not always be sufficient to fully address the impending impact of climate change. This requires a deliberate and planned action.  This is what is called planned adaptation to climate change.  Planned adaptation measures come in many shapes and forms and are meant to augment autonomous adaptation that occurs in the market place. Therefore, planned adaptation measures help expand the availability of economic resources that otherwise would have been damaged by climate change (Adger et al. 2007).</w:t>
      </w:r>
    </w:p>
    <w:p w14:paraId="7BD447F2" w14:textId="58D65052" w:rsidR="00582817" w:rsidRPr="001C3EDC" w:rsidRDefault="00582817" w:rsidP="00680305">
      <w:pPr>
        <w:pStyle w:val="BodyText"/>
        <w:ind w:left="0" w:firstLine="0"/>
      </w:pPr>
      <w:r w:rsidRPr="001C3EDC">
        <w:t xml:space="preserve">The CGE model developed for Bulgaria is a recursive dynamic model that was used to </w:t>
      </w:r>
      <w:r w:rsidR="00D22211" w:rsidRPr="001C3EDC">
        <w:t>build</w:t>
      </w:r>
      <w:r w:rsidRPr="001C3EDC">
        <w:t xml:space="preserve"> the baseline growth path. For the adaptation simulations, the model was used in its static version</w:t>
      </w:r>
      <w:r w:rsidR="007406FA" w:rsidRPr="001C3EDC">
        <w:t>,</w:t>
      </w:r>
      <w:r w:rsidRPr="001C3EDC">
        <w:t xml:space="preserve"> for </w:t>
      </w:r>
      <w:r w:rsidR="00A06762" w:rsidRPr="001C3EDC">
        <w:t xml:space="preserve">the </w:t>
      </w:r>
      <w:r w:rsidRPr="001C3EDC">
        <w:t>year</w:t>
      </w:r>
      <w:r w:rsidR="007406FA" w:rsidRPr="001C3EDC">
        <w:t xml:space="preserve"> </w:t>
      </w:r>
      <w:r w:rsidRPr="001C3EDC">
        <w:t>2050</w:t>
      </w:r>
      <w:r w:rsidR="009B5135" w:rsidRPr="001C3EDC">
        <w:t>.</w:t>
      </w:r>
      <w:r w:rsidR="00F57059" w:rsidRPr="001C3EDC">
        <w:t xml:space="preserve"> </w:t>
      </w:r>
      <w:r w:rsidRPr="001C3EDC">
        <w:t xml:space="preserve">This is important for two </w:t>
      </w:r>
      <w:r w:rsidR="000936CA" w:rsidRPr="001C3EDC">
        <w:t>reasons</w:t>
      </w:r>
      <w:r w:rsidR="009B5135" w:rsidRPr="001C3EDC">
        <w:t xml:space="preserve">. </w:t>
      </w:r>
      <w:r w:rsidRPr="001C3EDC">
        <w:t xml:space="preserve">First, in </w:t>
      </w:r>
      <w:r w:rsidR="009B5135" w:rsidRPr="001C3EDC">
        <w:t>a</w:t>
      </w:r>
      <w:r w:rsidRPr="001C3EDC">
        <w:t xml:space="preserve"> static CGE model, there is no </w:t>
      </w:r>
      <w:r w:rsidR="009B5135" w:rsidRPr="001C3EDC">
        <w:t xml:space="preserve">inter-temporal </w:t>
      </w:r>
      <w:r w:rsidRPr="001C3EDC">
        <w:t xml:space="preserve">optimization, that is, agents are seen as being myopic when it </w:t>
      </w:r>
      <w:r w:rsidR="009B5135" w:rsidRPr="001C3EDC">
        <w:t>comes</w:t>
      </w:r>
      <w:r w:rsidRPr="001C3EDC">
        <w:t xml:space="preserve"> to between-period decisions</w:t>
      </w:r>
      <w:r w:rsidR="009B5135" w:rsidRPr="001C3EDC">
        <w:t>,</w:t>
      </w:r>
      <w:r w:rsidRPr="001C3EDC">
        <w:t xml:space="preserve"> such as saving and investment. Second, climate change</w:t>
      </w:r>
      <w:r w:rsidR="00A06762" w:rsidRPr="001C3EDC">
        <w:t>,</w:t>
      </w:r>
      <w:r w:rsidRPr="001C3EDC">
        <w:t xml:space="preserve"> by its very nature</w:t>
      </w:r>
      <w:r w:rsidR="00A06762" w:rsidRPr="001C3EDC">
        <w:t>,</w:t>
      </w:r>
      <w:r w:rsidRPr="001C3EDC">
        <w:t xml:space="preserve"> is a </w:t>
      </w:r>
      <w:r w:rsidR="009B5135" w:rsidRPr="001C3EDC">
        <w:t xml:space="preserve">long-term </w:t>
      </w:r>
      <w:r w:rsidRPr="001C3EDC">
        <w:t>phenomenon</w:t>
      </w:r>
      <w:r w:rsidR="009B5135" w:rsidRPr="001C3EDC">
        <w:t xml:space="preserve"> and it is likely that economic </w:t>
      </w:r>
      <w:r w:rsidRPr="001C3EDC">
        <w:t xml:space="preserve">agents </w:t>
      </w:r>
      <w:r w:rsidR="009B5135" w:rsidRPr="001C3EDC">
        <w:t>will have the possibility to</w:t>
      </w:r>
      <w:r w:rsidRPr="001C3EDC">
        <w:t xml:space="preserve"> update their information beliefs and adjust their saving and investment decisions </w:t>
      </w:r>
      <w:r w:rsidR="009B5135" w:rsidRPr="001C3EDC">
        <w:t xml:space="preserve">accordingly. To properly reflect the dynamic features of behavioral changes into the analysis of adaptation, the Bulgaria CGE analysis took as reference the </w:t>
      </w:r>
      <w:r w:rsidR="009B5135" w:rsidRPr="001C3EDC">
        <w:lastRenderedPageBreak/>
        <w:t xml:space="preserve">OECD </w:t>
      </w:r>
      <w:r w:rsidR="00F57059" w:rsidRPr="001C3EDC">
        <w:t>analysis on</w:t>
      </w:r>
      <w:r w:rsidR="009B5135" w:rsidRPr="001C3EDC">
        <w:t xml:space="preserve"> long-term adaptation </w:t>
      </w:r>
      <w:r w:rsidR="00F57059" w:rsidRPr="001C3EDC">
        <w:t xml:space="preserve">(OECD 2015, see </w:t>
      </w:r>
      <w:r w:rsidR="00F57059" w:rsidRPr="001C3EDC">
        <w:rPr>
          <w:b/>
          <w:bCs/>
          <w:i/>
          <w:iCs/>
        </w:rPr>
        <w:t>Annex 2</w:t>
      </w:r>
      <w:r w:rsidR="00F57059" w:rsidRPr="001C3EDC">
        <w:t xml:space="preserve">), </w:t>
      </w:r>
      <w:r w:rsidR="009B5135" w:rsidRPr="001C3EDC">
        <w:t xml:space="preserve">where a full-dynamic model was used. </w:t>
      </w:r>
    </w:p>
    <w:p w14:paraId="5FD7F9C2" w14:textId="77777777" w:rsidR="00052A19" w:rsidRPr="00EC4AAB" w:rsidRDefault="00052A19" w:rsidP="00EC4AAB">
      <w:pPr>
        <w:pStyle w:val="Heading4"/>
        <w:rPr>
          <w:rFonts w:asciiTheme="minorHAnsi" w:eastAsiaTheme="majorEastAsia" w:hAnsiTheme="minorHAnsi" w:cstheme="majorBidi"/>
          <w:color w:val="365F91" w:themeColor="accent1" w:themeShade="BF"/>
        </w:rPr>
      </w:pPr>
      <w:r w:rsidRPr="00EC4AAB">
        <w:rPr>
          <w:rFonts w:asciiTheme="minorHAnsi" w:eastAsiaTheme="majorEastAsia" w:hAnsiTheme="minorHAnsi" w:cstheme="majorBidi"/>
          <w:color w:val="365F91" w:themeColor="accent1" w:themeShade="BF"/>
        </w:rPr>
        <w:t>Description of adaptation scenarios</w:t>
      </w:r>
    </w:p>
    <w:p w14:paraId="7B95705F" w14:textId="05464245" w:rsidR="00052A19" w:rsidRPr="001C3EDC" w:rsidRDefault="00052A19" w:rsidP="00CA5CD0">
      <w:pPr>
        <w:pStyle w:val="BodyText"/>
        <w:tabs>
          <w:tab w:val="left" w:pos="720"/>
        </w:tabs>
        <w:ind w:left="0" w:firstLine="0"/>
      </w:pPr>
      <w:r w:rsidRPr="001C3EDC">
        <w:t xml:space="preserve">Based on Roson </w:t>
      </w:r>
      <w:r w:rsidR="00B2585A" w:rsidRPr="001C3EDC">
        <w:t>and Sartori</w:t>
      </w:r>
      <w:r w:rsidRPr="001C3EDC">
        <w:t xml:space="preserve"> (2016), Bulgaria will face changes in three main activities: (</w:t>
      </w:r>
      <w:r w:rsidR="0073020C" w:rsidRPr="001C3EDC">
        <w:t>a</w:t>
      </w:r>
      <w:r w:rsidRPr="001C3EDC">
        <w:t xml:space="preserve">) </w:t>
      </w:r>
      <w:r w:rsidR="0073020C" w:rsidRPr="001C3EDC">
        <w:t>a</w:t>
      </w:r>
      <w:r w:rsidRPr="001C3EDC">
        <w:t>gricultural productivity is projected to decrease, (</w:t>
      </w:r>
      <w:r w:rsidR="00C049EF" w:rsidRPr="001C3EDC">
        <w:t>b</w:t>
      </w:r>
      <w:r w:rsidRPr="001C3EDC">
        <w:t xml:space="preserve">) energy demand is expected to fall due to warming </w:t>
      </w:r>
      <w:r w:rsidR="00C049EF" w:rsidRPr="001C3EDC">
        <w:t>temperatures</w:t>
      </w:r>
      <w:r w:rsidRPr="001C3EDC">
        <w:t>, and (</w:t>
      </w:r>
      <w:r w:rsidR="00C049EF" w:rsidRPr="001C3EDC">
        <w:t>c</w:t>
      </w:r>
      <w:r w:rsidRPr="001C3EDC">
        <w:t>) domestic and international tourism activities.</w:t>
      </w:r>
    </w:p>
    <w:p w14:paraId="2F04F81B" w14:textId="78C8AA13" w:rsidR="00052A19" w:rsidRPr="001C3EDC" w:rsidRDefault="00052A19" w:rsidP="00910019">
      <w:pPr>
        <w:pStyle w:val="BodyText"/>
        <w:ind w:left="0" w:firstLine="0"/>
      </w:pPr>
      <w:r w:rsidRPr="001C3EDC">
        <w:t>De Bruin</w:t>
      </w:r>
      <w:r w:rsidR="000360B6" w:rsidRPr="001C3EDC">
        <w:t>,</w:t>
      </w:r>
      <w:r w:rsidR="000360B6" w:rsidRPr="001C3EDC">
        <w:rPr>
          <w:color w:val="222222"/>
          <w:shd w:val="clear" w:color="auto" w:fill="FFFFFF"/>
        </w:rPr>
        <w:t xml:space="preserve"> Dellink, and Tol</w:t>
      </w:r>
      <w:r w:rsidRPr="001C3EDC">
        <w:t xml:space="preserve"> (2009), Taheripour</w:t>
      </w:r>
      <w:r w:rsidR="0037516B" w:rsidRPr="001C3EDC">
        <w:t>,</w:t>
      </w:r>
      <w:r w:rsidR="0037516B" w:rsidRPr="001C3EDC">
        <w:rPr>
          <w:rFonts w:eastAsia="Calibri"/>
          <w:lang w:eastAsia="en-US"/>
        </w:rPr>
        <w:t xml:space="preserve"> </w:t>
      </w:r>
      <w:r w:rsidR="0037516B" w:rsidRPr="001C3EDC">
        <w:t>Hertel, and Tyner</w:t>
      </w:r>
      <w:r w:rsidRPr="001C3EDC">
        <w:t xml:space="preserve"> (2011)</w:t>
      </w:r>
      <w:r w:rsidR="00787937" w:rsidRPr="001C3EDC">
        <w:t>,</w:t>
      </w:r>
      <w:r w:rsidRPr="001C3EDC">
        <w:t xml:space="preserve"> and </w:t>
      </w:r>
      <w:r w:rsidR="004F006F" w:rsidRPr="001C3EDC">
        <w:t xml:space="preserve">Taheripour </w:t>
      </w:r>
      <w:r w:rsidRPr="001C3EDC">
        <w:t>et al</w:t>
      </w:r>
      <w:r w:rsidR="002C494D" w:rsidRPr="001C3EDC">
        <w:t>.</w:t>
      </w:r>
      <w:r w:rsidRPr="001C3EDC">
        <w:t xml:space="preserve"> (</w:t>
      </w:r>
      <w:r w:rsidR="00B2585A" w:rsidRPr="001C3EDC">
        <w:t>2016</w:t>
      </w:r>
      <w:r w:rsidRPr="001C3EDC">
        <w:t>) provide expected changes in productivit</w:t>
      </w:r>
      <w:r w:rsidR="00F57059" w:rsidRPr="001C3EDC">
        <w:t>y</w:t>
      </w:r>
      <w:r w:rsidRPr="001C3EDC">
        <w:t xml:space="preserve"> at </w:t>
      </w:r>
      <w:r w:rsidR="00787937" w:rsidRPr="001C3EDC">
        <w:t xml:space="preserve">the </w:t>
      </w:r>
      <w:r w:rsidRPr="001C3EDC">
        <w:t xml:space="preserve">sectoral level arising from adaptation. </w:t>
      </w:r>
      <w:r w:rsidRPr="001C3EDC">
        <w:rPr>
          <w:b/>
          <w:bCs/>
          <w:i/>
          <w:iCs/>
        </w:rPr>
        <w:t>Table 6</w:t>
      </w:r>
      <w:r w:rsidRPr="001C3EDC">
        <w:t xml:space="preserve"> compares the climate change and adaptation shocks </w:t>
      </w:r>
      <w:r w:rsidR="00F57059" w:rsidRPr="001C3EDC">
        <w:t>used</w:t>
      </w:r>
      <w:r w:rsidRPr="001C3EDC">
        <w:t xml:space="preserve"> in this report and </w:t>
      </w:r>
      <w:r w:rsidRPr="001C3EDC">
        <w:rPr>
          <w:b/>
          <w:bCs/>
          <w:i/>
          <w:iCs/>
        </w:rPr>
        <w:t xml:space="preserve">Tables </w:t>
      </w:r>
      <w:r w:rsidR="00137C7D" w:rsidRPr="001C3EDC">
        <w:rPr>
          <w:b/>
          <w:bCs/>
          <w:i/>
          <w:iCs/>
        </w:rPr>
        <w:t>1.2</w:t>
      </w:r>
      <w:r w:rsidRPr="001C3EDC">
        <w:rPr>
          <w:b/>
          <w:bCs/>
          <w:i/>
          <w:iCs/>
        </w:rPr>
        <w:t xml:space="preserve"> and </w:t>
      </w:r>
      <w:r w:rsidR="002C494D" w:rsidRPr="001C3EDC">
        <w:rPr>
          <w:b/>
          <w:bCs/>
          <w:i/>
          <w:iCs/>
        </w:rPr>
        <w:t>1</w:t>
      </w:r>
      <w:r w:rsidR="00137C7D" w:rsidRPr="001C3EDC">
        <w:rPr>
          <w:b/>
          <w:bCs/>
          <w:i/>
          <w:iCs/>
        </w:rPr>
        <w:t>.3</w:t>
      </w:r>
      <w:r w:rsidRPr="001C3EDC">
        <w:rPr>
          <w:b/>
          <w:bCs/>
          <w:i/>
          <w:iCs/>
        </w:rPr>
        <w:t xml:space="preserve"> </w:t>
      </w:r>
      <w:r w:rsidR="008235CD" w:rsidRPr="001C3EDC">
        <w:rPr>
          <w:b/>
          <w:bCs/>
          <w:i/>
          <w:iCs/>
        </w:rPr>
        <w:t>with</w:t>
      </w:r>
      <w:r w:rsidRPr="001C3EDC">
        <w:rPr>
          <w:b/>
          <w:bCs/>
          <w:i/>
          <w:iCs/>
        </w:rPr>
        <w:t>in</w:t>
      </w:r>
      <w:r w:rsidRPr="001C3EDC">
        <w:t xml:space="preserve"> </w:t>
      </w:r>
      <w:r w:rsidRPr="001C3EDC">
        <w:rPr>
          <w:b/>
          <w:bCs/>
          <w:i/>
          <w:iCs/>
        </w:rPr>
        <w:t xml:space="preserve">Annex </w:t>
      </w:r>
      <w:r w:rsidR="002C494D" w:rsidRPr="001C3EDC">
        <w:rPr>
          <w:b/>
          <w:bCs/>
          <w:i/>
          <w:iCs/>
        </w:rPr>
        <w:t>1</w:t>
      </w:r>
      <w:r w:rsidR="002C494D" w:rsidRPr="001C3EDC">
        <w:t xml:space="preserve"> </w:t>
      </w:r>
      <w:r w:rsidRPr="001C3EDC">
        <w:t xml:space="preserve">show the actual productivity differences across scenarios and sectors. </w:t>
      </w:r>
    </w:p>
    <w:p w14:paraId="27655C50" w14:textId="21CA8563" w:rsidR="00550B58" w:rsidRPr="001C3EDC" w:rsidRDefault="00F93CA6" w:rsidP="00CD2F76">
      <w:pPr>
        <w:pStyle w:val="Caption"/>
      </w:pPr>
      <w:bookmarkStart w:id="130" w:name="_Toc522036519"/>
      <w:r w:rsidRPr="001C3EDC">
        <w:rPr>
          <w:rFonts w:ascii="Calibri" w:hAnsi="Calibri"/>
          <w:i/>
          <w:color w:val="44546A"/>
          <w:sz w:val="22"/>
          <w:szCs w:val="18"/>
        </w:rPr>
        <w:t xml:space="preserve">Table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Table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6</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550B58" w:rsidRPr="001C3EDC">
        <w:rPr>
          <w:rFonts w:ascii="Calibri" w:hAnsi="Calibri"/>
          <w:i/>
          <w:color w:val="44546A"/>
          <w:sz w:val="22"/>
          <w:szCs w:val="18"/>
        </w:rPr>
        <w:t>Climate change and adaption measures used in the CGE model</w:t>
      </w:r>
      <w:r w:rsidR="00055934" w:rsidRPr="001C3EDC">
        <w:rPr>
          <w:rFonts w:ascii="Calibri" w:hAnsi="Calibri"/>
          <w:i/>
          <w:color w:val="44546A"/>
          <w:sz w:val="22"/>
          <w:szCs w:val="18"/>
          <w:vertAlign w:val="superscript"/>
        </w:rPr>
        <w:footnoteReference w:id="9"/>
      </w:r>
      <w:bookmarkEnd w:id="130"/>
    </w:p>
    <w:tbl>
      <w:tblPr>
        <w:tblStyle w:val="GridTable2"/>
        <w:tblW w:w="899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515"/>
        <w:gridCol w:w="2610"/>
        <w:gridCol w:w="3870"/>
      </w:tblGrid>
      <w:tr w:rsidR="00550B58" w:rsidRPr="00EC4AAB" w14:paraId="024577D4" w14:textId="77777777" w:rsidTr="00982E5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bottom w:val="none" w:sz="0" w:space="0" w:color="auto"/>
              <w:right w:val="none" w:sz="0" w:space="0" w:color="auto"/>
            </w:tcBorders>
            <w:shd w:val="clear" w:color="auto" w:fill="365F91"/>
            <w:noWrap/>
            <w:hideMark/>
          </w:tcPr>
          <w:p w14:paraId="7693393C" w14:textId="37C06A7A" w:rsidR="00550B58" w:rsidRPr="00EC4AAB" w:rsidRDefault="00550B58" w:rsidP="00EC4AAB">
            <w:pPr>
              <w:spacing w:before="60" w:line="240" w:lineRule="auto"/>
              <w:jc w:val="center"/>
              <w:rPr>
                <w:rFonts w:asciiTheme="minorHAnsi" w:eastAsia="Times New Roman" w:hAnsiTheme="minorHAnsi" w:cstheme="minorHAnsi"/>
                <w:color w:val="FFFFFF" w:themeColor="background1"/>
                <w:sz w:val="22"/>
              </w:rPr>
            </w:pPr>
            <w:r w:rsidRPr="00EC4AAB">
              <w:rPr>
                <w:rFonts w:asciiTheme="minorHAnsi" w:eastAsia="Times New Roman" w:hAnsiTheme="minorHAnsi" w:cstheme="minorHAnsi"/>
                <w:color w:val="FFFFFF" w:themeColor="background1"/>
                <w:sz w:val="22"/>
              </w:rPr>
              <w:t xml:space="preserve">Policy </w:t>
            </w:r>
            <w:r w:rsidR="00804E7B" w:rsidRPr="00EC4AAB">
              <w:rPr>
                <w:rFonts w:asciiTheme="minorHAnsi" w:eastAsia="Times New Roman" w:hAnsiTheme="minorHAnsi" w:cstheme="minorHAnsi"/>
                <w:color w:val="FFFFFF" w:themeColor="background1"/>
                <w:sz w:val="22"/>
              </w:rPr>
              <w:t>shocks</w:t>
            </w:r>
          </w:p>
        </w:tc>
        <w:tc>
          <w:tcPr>
            <w:tcW w:w="2610" w:type="dxa"/>
            <w:tcBorders>
              <w:top w:val="none" w:sz="0" w:space="0" w:color="auto"/>
              <w:left w:val="none" w:sz="0" w:space="0" w:color="auto"/>
              <w:bottom w:val="none" w:sz="0" w:space="0" w:color="auto"/>
              <w:right w:val="none" w:sz="0" w:space="0" w:color="auto"/>
            </w:tcBorders>
            <w:shd w:val="clear" w:color="auto" w:fill="365F91"/>
            <w:noWrap/>
            <w:hideMark/>
          </w:tcPr>
          <w:p w14:paraId="09079A47" w14:textId="7BA1FEFC" w:rsidR="00550B58" w:rsidRPr="00EC4AAB" w:rsidRDefault="00550B58" w:rsidP="00EC4AAB">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2"/>
              </w:rPr>
            </w:pPr>
            <w:r w:rsidRPr="00EC4AAB">
              <w:rPr>
                <w:rFonts w:asciiTheme="minorHAnsi" w:eastAsia="Times New Roman" w:hAnsiTheme="minorHAnsi" w:cstheme="minorHAnsi"/>
                <w:color w:val="FFFFFF" w:themeColor="background1"/>
                <w:sz w:val="22"/>
              </w:rPr>
              <w:t xml:space="preserve">Climate </w:t>
            </w:r>
            <w:r w:rsidR="00804E7B" w:rsidRPr="00EC4AAB">
              <w:rPr>
                <w:rFonts w:asciiTheme="minorHAnsi" w:eastAsia="Times New Roman" w:hAnsiTheme="minorHAnsi" w:cstheme="minorHAnsi"/>
                <w:color w:val="FFFFFF" w:themeColor="background1"/>
                <w:sz w:val="22"/>
              </w:rPr>
              <w:t>change scenario</w:t>
            </w:r>
          </w:p>
        </w:tc>
        <w:tc>
          <w:tcPr>
            <w:tcW w:w="3870" w:type="dxa"/>
            <w:tcBorders>
              <w:top w:val="none" w:sz="0" w:space="0" w:color="auto"/>
              <w:left w:val="none" w:sz="0" w:space="0" w:color="auto"/>
              <w:bottom w:val="none" w:sz="0" w:space="0" w:color="auto"/>
            </w:tcBorders>
            <w:shd w:val="clear" w:color="auto" w:fill="365F91"/>
            <w:noWrap/>
            <w:hideMark/>
          </w:tcPr>
          <w:p w14:paraId="03B6436E" w14:textId="1A9ECBA3" w:rsidR="00550B58" w:rsidRPr="00EC4AAB" w:rsidRDefault="00550B58" w:rsidP="00EC4AAB">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2"/>
              </w:rPr>
            </w:pPr>
            <w:r w:rsidRPr="00EC4AAB">
              <w:rPr>
                <w:rFonts w:asciiTheme="minorHAnsi" w:eastAsia="Times New Roman" w:hAnsiTheme="minorHAnsi" w:cstheme="minorHAnsi"/>
                <w:color w:val="FFFFFF" w:themeColor="background1"/>
                <w:sz w:val="22"/>
              </w:rPr>
              <w:t xml:space="preserve">Adaptation </w:t>
            </w:r>
            <w:r w:rsidR="00804E7B" w:rsidRPr="00EC4AAB">
              <w:rPr>
                <w:rFonts w:asciiTheme="minorHAnsi" w:eastAsia="Times New Roman" w:hAnsiTheme="minorHAnsi" w:cstheme="minorHAnsi"/>
                <w:color w:val="FFFFFF" w:themeColor="background1"/>
                <w:sz w:val="22"/>
              </w:rPr>
              <w:t>scenario</w:t>
            </w:r>
          </w:p>
        </w:tc>
      </w:tr>
      <w:tr w:rsidR="002C494D" w:rsidRPr="00EC4AAB" w14:paraId="711C8B7A" w14:textId="77777777" w:rsidTr="00982E5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shd w:val="clear" w:color="auto" w:fill="B8CCE4"/>
            <w:noWrap/>
            <w:vAlign w:val="center"/>
            <w:hideMark/>
          </w:tcPr>
          <w:p w14:paraId="3E12C194" w14:textId="313C3FCD" w:rsidR="002C494D" w:rsidRPr="00EC4AAB" w:rsidRDefault="002C494D" w:rsidP="00EC4AAB">
            <w:pPr>
              <w:spacing w:before="40" w:after="40" w:line="240" w:lineRule="auto"/>
              <w:jc w:val="left"/>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 xml:space="preserve">Productivity </w:t>
            </w:r>
            <w:r w:rsidR="00804E7B" w:rsidRPr="00EC4AAB">
              <w:rPr>
                <w:rFonts w:asciiTheme="minorHAnsi" w:eastAsia="Times New Roman" w:hAnsiTheme="minorHAnsi" w:cstheme="minorHAnsi"/>
                <w:color w:val="000000"/>
                <w:sz w:val="22"/>
              </w:rPr>
              <w:t xml:space="preserve">shock </w:t>
            </w:r>
            <w:r w:rsidRPr="00EC4AAB">
              <w:rPr>
                <w:rFonts w:asciiTheme="minorHAnsi" w:eastAsia="Times New Roman" w:hAnsiTheme="minorHAnsi" w:cstheme="minorHAnsi"/>
                <w:color w:val="000000"/>
                <w:sz w:val="22"/>
              </w:rPr>
              <w:t xml:space="preserve">in </w:t>
            </w:r>
            <w:r w:rsidR="00804E7B" w:rsidRPr="00EC4AAB">
              <w:rPr>
                <w:rFonts w:asciiTheme="minorHAnsi" w:eastAsia="Times New Roman" w:hAnsiTheme="minorHAnsi" w:cstheme="minorHAnsi"/>
                <w:color w:val="000000"/>
                <w:sz w:val="22"/>
              </w:rPr>
              <w:t>agriculture</w:t>
            </w:r>
          </w:p>
        </w:tc>
        <w:tc>
          <w:tcPr>
            <w:tcW w:w="2610" w:type="dxa"/>
            <w:shd w:val="clear" w:color="auto" w:fill="auto"/>
            <w:noWrap/>
            <w:vAlign w:val="center"/>
            <w:hideMark/>
          </w:tcPr>
          <w:p w14:paraId="70992222" w14:textId="0A39B599" w:rsidR="002C494D" w:rsidRPr="00EC4AAB" w:rsidRDefault="002C494D" w:rsidP="00982E5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Yes</w:t>
            </w:r>
          </w:p>
        </w:tc>
        <w:tc>
          <w:tcPr>
            <w:tcW w:w="3870" w:type="dxa"/>
            <w:shd w:val="clear" w:color="auto" w:fill="auto"/>
            <w:noWrap/>
            <w:vAlign w:val="center"/>
            <w:hideMark/>
          </w:tcPr>
          <w:p w14:paraId="3DBF5B40" w14:textId="5B3232FF" w:rsidR="002C494D" w:rsidRPr="00EC4AAB" w:rsidRDefault="002C494D" w:rsidP="00EC4AAB">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Yes, 33</w:t>
            </w:r>
            <w:r w:rsidR="00833099" w:rsidRPr="00EC4AAB">
              <w:rPr>
                <w:rFonts w:asciiTheme="minorHAnsi" w:eastAsia="Times New Roman" w:hAnsiTheme="minorHAnsi" w:cstheme="minorHAnsi"/>
                <w:color w:val="000000"/>
                <w:sz w:val="22"/>
              </w:rPr>
              <w:t xml:space="preserve"> percent</w:t>
            </w:r>
            <w:r w:rsidRPr="00EC4AAB">
              <w:rPr>
                <w:rFonts w:asciiTheme="minorHAnsi" w:eastAsia="Times New Roman" w:hAnsiTheme="minorHAnsi" w:cstheme="minorHAnsi"/>
                <w:color w:val="000000"/>
                <w:sz w:val="22"/>
              </w:rPr>
              <w:t xml:space="preserve"> lower</w:t>
            </w:r>
            <w:r w:rsidRPr="00EC4AAB">
              <w:rPr>
                <w:rStyle w:val="FootnoteReference"/>
                <w:rFonts w:asciiTheme="minorHAnsi" w:eastAsia="Times New Roman" w:hAnsiTheme="minorHAnsi" w:cstheme="minorHAnsi"/>
                <w:color w:val="000000"/>
                <w:sz w:val="22"/>
              </w:rPr>
              <w:footnoteReference w:id="10"/>
            </w:r>
          </w:p>
        </w:tc>
      </w:tr>
      <w:tr w:rsidR="002C494D" w:rsidRPr="00EC4AAB" w14:paraId="7291B636" w14:textId="77777777" w:rsidTr="00982E5D">
        <w:trPr>
          <w:trHeight w:val="300"/>
          <w:jc w:val="center"/>
        </w:trPr>
        <w:tc>
          <w:tcPr>
            <w:cnfStyle w:val="001000000000" w:firstRow="0" w:lastRow="0" w:firstColumn="1" w:lastColumn="0" w:oddVBand="0" w:evenVBand="0" w:oddHBand="0" w:evenHBand="0" w:firstRowFirstColumn="0" w:firstRowLastColumn="0" w:lastRowFirstColumn="0" w:lastRowLastColumn="0"/>
            <w:tcW w:w="2515" w:type="dxa"/>
            <w:shd w:val="clear" w:color="auto" w:fill="B8CCE4"/>
            <w:noWrap/>
            <w:vAlign w:val="center"/>
            <w:hideMark/>
          </w:tcPr>
          <w:p w14:paraId="6F1FB05E" w14:textId="571439D1" w:rsidR="002C494D" w:rsidRPr="00EC4AAB" w:rsidRDefault="002C494D" w:rsidP="00EC4AAB">
            <w:pPr>
              <w:spacing w:before="40" w:after="40"/>
              <w:jc w:val="left"/>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 xml:space="preserve">Energy </w:t>
            </w:r>
            <w:r w:rsidR="00804E7B" w:rsidRPr="00EC4AAB">
              <w:rPr>
                <w:rFonts w:asciiTheme="minorHAnsi" w:eastAsia="Times New Roman" w:hAnsiTheme="minorHAnsi" w:cstheme="minorHAnsi"/>
                <w:color w:val="000000"/>
                <w:sz w:val="22"/>
              </w:rPr>
              <w:t xml:space="preserve">demand </w:t>
            </w:r>
          </w:p>
        </w:tc>
        <w:tc>
          <w:tcPr>
            <w:tcW w:w="2610" w:type="dxa"/>
            <w:shd w:val="clear" w:color="auto" w:fill="auto"/>
            <w:noWrap/>
            <w:vAlign w:val="center"/>
            <w:hideMark/>
          </w:tcPr>
          <w:p w14:paraId="2DBDF977" w14:textId="0DF7ED97" w:rsidR="002C494D" w:rsidRPr="00EC4AAB" w:rsidRDefault="002C494D" w:rsidP="00982E5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Yes</w:t>
            </w:r>
          </w:p>
        </w:tc>
        <w:tc>
          <w:tcPr>
            <w:tcW w:w="3870" w:type="dxa"/>
            <w:shd w:val="clear" w:color="auto" w:fill="auto"/>
            <w:noWrap/>
            <w:vAlign w:val="center"/>
            <w:hideMark/>
          </w:tcPr>
          <w:p w14:paraId="6C1812AF" w14:textId="07ECBFDE" w:rsidR="002C494D" w:rsidRPr="00EC4AAB" w:rsidRDefault="002C494D" w:rsidP="00EC4AAB">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Yes</w:t>
            </w:r>
          </w:p>
        </w:tc>
      </w:tr>
      <w:tr w:rsidR="002C494D" w:rsidRPr="00EC4AAB" w14:paraId="18A0F9AC" w14:textId="77777777" w:rsidTr="00982E5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shd w:val="clear" w:color="auto" w:fill="B8CCE4"/>
            <w:noWrap/>
            <w:vAlign w:val="center"/>
            <w:hideMark/>
          </w:tcPr>
          <w:p w14:paraId="5B083285" w14:textId="30D034BB" w:rsidR="002C494D" w:rsidRPr="00EC4AAB" w:rsidRDefault="00C365E7" w:rsidP="00EC4AAB">
            <w:pPr>
              <w:spacing w:before="40" w:after="40"/>
              <w:jc w:val="left"/>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SLR</w:t>
            </w:r>
          </w:p>
        </w:tc>
        <w:tc>
          <w:tcPr>
            <w:tcW w:w="2610" w:type="dxa"/>
            <w:shd w:val="clear" w:color="auto" w:fill="auto"/>
            <w:noWrap/>
            <w:vAlign w:val="center"/>
            <w:hideMark/>
          </w:tcPr>
          <w:p w14:paraId="648710B9" w14:textId="518D9FE1" w:rsidR="002C494D" w:rsidRPr="00EC4AAB" w:rsidRDefault="002C494D" w:rsidP="00982E5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Yes</w:t>
            </w:r>
          </w:p>
        </w:tc>
        <w:tc>
          <w:tcPr>
            <w:tcW w:w="3870" w:type="dxa"/>
            <w:shd w:val="clear" w:color="auto" w:fill="auto"/>
            <w:noWrap/>
            <w:vAlign w:val="center"/>
            <w:hideMark/>
          </w:tcPr>
          <w:p w14:paraId="2C998571" w14:textId="200B16B1" w:rsidR="002C494D" w:rsidRPr="00EC4AAB" w:rsidRDefault="002C494D" w:rsidP="00EC4AAB">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Yes</w:t>
            </w:r>
          </w:p>
        </w:tc>
      </w:tr>
      <w:tr w:rsidR="002C494D" w:rsidRPr="00EC4AAB" w14:paraId="799E4D0A" w14:textId="77777777" w:rsidTr="00982E5D">
        <w:trPr>
          <w:trHeight w:val="300"/>
          <w:jc w:val="center"/>
        </w:trPr>
        <w:tc>
          <w:tcPr>
            <w:cnfStyle w:val="001000000000" w:firstRow="0" w:lastRow="0" w:firstColumn="1" w:lastColumn="0" w:oddVBand="0" w:evenVBand="0" w:oddHBand="0" w:evenHBand="0" w:firstRowFirstColumn="0" w:firstRowLastColumn="0" w:lastRowFirstColumn="0" w:lastRowLastColumn="0"/>
            <w:tcW w:w="2515" w:type="dxa"/>
            <w:shd w:val="clear" w:color="auto" w:fill="B8CCE4"/>
            <w:noWrap/>
            <w:vAlign w:val="center"/>
            <w:hideMark/>
          </w:tcPr>
          <w:p w14:paraId="7297091B" w14:textId="77777777" w:rsidR="002C494D" w:rsidRPr="00EC4AAB" w:rsidRDefault="002C494D" w:rsidP="00EC4AAB">
            <w:pPr>
              <w:spacing w:before="40" w:after="40" w:line="240" w:lineRule="auto"/>
              <w:jc w:val="left"/>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Tourism</w:t>
            </w:r>
          </w:p>
        </w:tc>
        <w:tc>
          <w:tcPr>
            <w:tcW w:w="2610" w:type="dxa"/>
            <w:shd w:val="clear" w:color="auto" w:fill="auto"/>
            <w:noWrap/>
            <w:vAlign w:val="center"/>
            <w:hideMark/>
          </w:tcPr>
          <w:p w14:paraId="274557E8" w14:textId="1189E8A7" w:rsidR="002C494D" w:rsidRPr="00EC4AAB" w:rsidRDefault="002C494D" w:rsidP="00982E5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Yes</w:t>
            </w:r>
          </w:p>
        </w:tc>
        <w:tc>
          <w:tcPr>
            <w:tcW w:w="3870" w:type="dxa"/>
            <w:shd w:val="clear" w:color="auto" w:fill="auto"/>
            <w:noWrap/>
            <w:vAlign w:val="center"/>
            <w:hideMark/>
          </w:tcPr>
          <w:p w14:paraId="2A4A25F1" w14:textId="4547F7CC" w:rsidR="002C494D" w:rsidRPr="00EC4AAB" w:rsidRDefault="002C494D" w:rsidP="00EC4AAB">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Yes, 33</w:t>
            </w:r>
            <w:r w:rsidR="00833099" w:rsidRPr="00EC4AAB">
              <w:rPr>
                <w:rFonts w:asciiTheme="minorHAnsi" w:eastAsia="Times New Roman" w:hAnsiTheme="minorHAnsi" w:cstheme="minorHAnsi"/>
                <w:color w:val="000000"/>
                <w:sz w:val="22"/>
              </w:rPr>
              <w:t xml:space="preserve"> percent</w:t>
            </w:r>
            <w:r w:rsidRPr="00EC4AAB">
              <w:rPr>
                <w:rFonts w:asciiTheme="minorHAnsi" w:eastAsia="Times New Roman" w:hAnsiTheme="minorHAnsi" w:cstheme="minorHAnsi"/>
                <w:color w:val="000000"/>
                <w:sz w:val="22"/>
              </w:rPr>
              <w:t xml:space="preserve"> lower</w:t>
            </w:r>
          </w:p>
        </w:tc>
      </w:tr>
      <w:tr w:rsidR="002C494D" w:rsidRPr="00EC4AAB" w14:paraId="32693C69" w14:textId="77777777" w:rsidTr="00982E5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shd w:val="clear" w:color="auto" w:fill="B8CCE4"/>
            <w:noWrap/>
            <w:vAlign w:val="center"/>
          </w:tcPr>
          <w:p w14:paraId="391AC1FF" w14:textId="30AE6B8E" w:rsidR="002C494D" w:rsidRPr="00EC4AAB" w:rsidRDefault="002C494D" w:rsidP="00EC4AAB">
            <w:pPr>
              <w:spacing w:before="40" w:after="40" w:line="240" w:lineRule="auto"/>
              <w:jc w:val="left"/>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 xml:space="preserve">Fiscal </w:t>
            </w:r>
            <w:r w:rsidR="00804E7B" w:rsidRPr="00EC4AAB">
              <w:rPr>
                <w:rFonts w:asciiTheme="minorHAnsi" w:eastAsia="Times New Roman" w:hAnsiTheme="minorHAnsi" w:cstheme="minorHAnsi"/>
                <w:color w:val="000000"/>
                <w:sz w:val="22"/>
              </w:rPr>
              <w:t>policy</w:t>
            </w:r>
          </w:p>
        </w:tc>
        <w:tc>
          <w:tcPr>
            <w:tcW w:w="2610" w:type="dxa"/>
            <w:shd w:val="clear" w:color="auto" w:fill="auto"/>
            <w:noWrap/>
            <w:vAlign w:val="center"/>
          </w:tcPr>
          <w:p w14:paraId="5291277B" w14:textId="7A464023" w:rsidR="002C494D" w:rsidRPr="00EC4AAB" w:rsidRDefault="002C494D" w:rsidP="00982E5D">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No</w:t>
            </w:r>
          </w:p>
        </w:tc>
        <w:tc>
          <w:tcPr>
            <w:tcW w:w="3870" w:type="dxa"/>
            <w:shd w:val="clear" w:color="auto" w:fill="auto"/>
            <w:noWrap/>
            <w:vAlign w:val="center"/>
          </w:tcPr>
          <w:p w14:paraId="25A47D57" w14:textId="6EE8E0F7" w:rsidR="002C494D" w:rsidRPr="00EC4AAB" w:rsidRDefault="002C494D" w:rsidP="00EC4AAB">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Yes, 2</w:t>
            </w:r>
            <w:r w:rsidR="00833099" w:rsidRPr="00EC4AAB">
              <w:rPr>
                <w:rFonts w:asciiTheme="minorHAnsi" w:eastAsia="Times New Roman" w:hAnsiTheme="minorHAnsi" w:cstheme="minorHAnsi"/>
                <w:color w:val="000000"/>
                <w:sz w:val="22"/>
              </w:rPr>
              <w:t xml:space="preserve"> percent</w:t>
            </w:r>
            <w:r w:rsidRPr="00EC4AAB">
              <w:rPr>
                <w:rFonts w:asciiTheme="minorHAnsi" w:eastAsia="Times New Roman" w:hAnsiTheme="minorHAnsi" w:cstheme="minorHAnsi"/>
                <w:color w:val="000000"/>
                <w:sz w:val="22"/>
              </w:rPr>
              <w:t xml:space="preserve"> </w:t>
            </w:r>
            <w:r w:rsidR="00F57059" w:rsidRPr="00EC4AAB">
              <w:rPr>
                <w:rFonts w:asciiTheme="minorHAnsi" w:eastAsia="Times New Roman" w:hAnsiTheme="minorHAnsi" w:cstheme="minorHAnsi"/>
                <w:color w:val="000000"/>
                <w:sz w:val="22"/>
              </w:rPr>
              <w:t>climate contribution</w:t>
            </w:r>
            <w:r w:rsidRPr="00EC4AAB">
              <w:rPr>
                <w:rStyle w:val="FootnoteReference"/>
                <w:rFonts w:asciiTheme="minorHAnsi" w:eastAsia="Times New Roman" w:hAnsiTheme="minorHAnsi" w:cstheme="minorHAnsi"/>
                <w:color w:val="000000"/>
                <w:sz w:val="22"/>
              </w:rPr>
              <w:footnoteReference w:id="11"/>
            </w:r>
          </w:p>
        </w:tc>
      </w:tr>
      <w:tr w:rsidR="002C494D" w:rsidRPr="00EC4AAB" w14:paraId="3C25D648" w14:textId="77777777" w:rsidTr="00982E5D">
        <w:trPr>
          <w:trHeight w:val="300"/>
          <w:jc w:val="center"/>
        </w:trPr>
        <w:tc>
          <w:tcPr>
            <w:cnfStyle w:val="001000000000" w:firstRow="0" w:lastRow="0" w:firstColumn="1" w:lastColumn="0" w:oddVBand="0" w:evenVBand="0" w:oddHBand="0" w:evenHBand="0" w:firstRowFirstColumn="0" w:firstRowLastColumn="0" w:lastRowFirstColumn="0" w:lastRowLastColumn="0"/>
            <w:tcW w:w="2515" w:type="dxa"/>
            <w:shd w:val="clear" w:color="auto" w:fill="B8CCE4"/>
            <w:noWrap/>
            <w:vAlign w:val="center"/>
          </w:tcPr>
          <w:p w14:paraId="024B02A2" w14:textId="286B39C6" w:rsidR="002C494D" w:rsidRPr="00EC4AAB" w:rsidRDefault="002C494D" w:rsidP="00EC4AAB">
            <w:pPr>
              <w:spacing w:before="40" w:after="40" w:line="240" w:lineRule="auto"/>
              <w:jc w:val="left"/>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 xml:space="preserve">Capital </w:t>
            </w:r>
            <w:r w:rsidR="00804E7B" w:rsidRPr="00EC4AAB">
              <w:rPr>
                <w:rFonts w:asciiTheme="minorHAnsi" w:eastAsia="Times New Roman" w:hAnsiTheme="minorHAnsi" w:cstheme="minorHAnsi"/>
                <w:color w:val="000000"/>
                <w:sz w:val="22"/>
              </w:rPr>
              <w:t>shock</w:t>
            </w:r>
          </w:p>
        </w:tc>
        <w:tc>
          <w:tcPr>
            <w:tcW w:w="2610" w:type="dxa"/>
            <w:shd w:val="clear" w:color="auto" w:fill="auto"/>
            <w:noWrap/>
            <w:vAlign w:val="center"/>
          </w:tcPr>
          <w:p w14:paraId="12B0AFE9" w14:textId="3EC29D40" w:rsidR="002C494D" w:rsidRPr="00EC4AAB" w:rsidRDefault="002C494D" w:rsidP="00982E5D">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No</w:t>
            </w:r>
          </w:p>
        </w:tc>
        <w:tc>
          <w:tcPr>
            <w:tcW w:w="3870" w:type="dxa"/>
            <w:shd w:val="clear" w:color="auto" w:fill="auto"/>
            <w:noWrap/>
            <w:vAlign w:val="center"/>
          </w:tcPr>
          <w:p w14:paraId="1F5933D3" w14:textId="4B177751" w:rsidR="002C494D" w:rsidRPr="00EC4AAB" w:rsidRDefault="002C494D" w:rsidP="00EC4AAB">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EC4AAB">
              <w:rPr>
                <w:rFonts w:asciiTheme="minorHAnsi" w:eastAsia="Times New Roman" w:hAnsiTheme="minorHAnsi" w:cstheme="minorHAnsi"/>
                <w:color w:val="000000"/>
                <w:sz w:val="22"/>
              </w:rPr>
              <w:t>Yes, in agricultural and tourism sectors</w:t>
            </w:r>
            <w:r w:rsidRPr="00EC4AAB">
              <w:rPr>
                <w:rStyle w:val="FootnoteReference"/>
                <w:rFonts w:asciiTheme="minorHAnsi" w:eastAsia="Times New Roman" w:hAnsiTheme="minorHAnsi" w:cstheme="minorHAnsi"/>
                <w:color w:val="000000"/>
                <w:sz w:val="22"/>
              </w:rPr>
              <w:footnoteReference w:id="12"/>
            </w:r>
          </w:p>
        </w:tc>
      </w:tr>
    </w:tbl>
    <w:p w14:paraId="48FE6534" w14:textId="04FECE35" w:rsidR="00550B58" w:rsidRPr="001C3EDC" w:rsidRDefault="00897D35" w:rsidP="00BA2083">
      <w:pPr>
        <w:pStyle w:val="Source"/>
      </w:pPr>
      <w:r w:rsidRPr="001C3EDC">
        <w:t>Source: Authors’ formulation.</w:t>
      </w:r>
    </w:p>
    <w:p w14:paraId="12579FF2" w14:textId="3E83AE7E" w:rsidR="008235CD" w:rsidRPr="001C3EDC" w:rsidRDefault="00804E7B" w:rsidP="00CA5CD0">
      <w:pPr>
        <w:pStyle w:val="BodyText"/>
        <w:tabs>
          <w:tab w:val="left" w:pos="720"/>
        </w:tabs>
        <w:ind w:left="0" w:firstLine="0"/>
      </w:pPr>
      <w:r w:rsidRPr="001C3EDC">
        <w:t>T</w:t>
      </w:r>
      <w:r w:rsidR="008235CD" w:rsidRPr="001C3EDC">
        <w:t xml:space="preserve">o finance the planned adaptation measures, three sets of policies were developed: </w:t>
      </w:r>
    </w:p>
    <w:p w14:paraId="469FBD8A" w14:textId="543E7947" w:rsidR="008235CD" w:rsidRPr="001C3EDC" w:rsidRDefault="00725C93" w:rsidP="00F57059">
      <w:pPr>
        <w:pStyle w:val="BodyText"/>
        <w:numPr>
          <w:ilvl w:val="0"/>
          <w:numId w:val="12"/>
        </w:numPr>
        <w:ind w:left="1170" w:hanging="450"/>
      </w:pPr>
      <w:r w:rsidRPr="001C3EDC">
        <w:t>Policy 1:</w:t>
      </w:r>
      <w:r w:rsidR="008235CD" w:rsidRPr="001C3EDC">
        <w:t xml:space="preserve"> Adaptation financed by fiscal policy</w:t>
      </w:r>
      <w:r w:rsidR="00F57059" w:rsidRPr="001C3EDC">
        <w:t xml:space="preserve"> (2 percent climate contribution on consumption commodities);</w:t>
      </w:r>
    </w:p>
    <w:p w14:paraId="793728EF" w14:textId="0B2AA6AD" w:rsidR="008235CD" w:rsidRPr="001C3EDC" w:rsidRDefault="00725C93" w:rsidP="00634B9D">
      <w:pPr>
        <w:pStyle w:val="BodyText"/>
        <w:numPr>
          <w:ilvl w:val="0"/>
          <w:numId w:val="12"/>
        </w:numPr>
        <w:ind w:left="1195" w:hanging="475"/>
      </w:pPr>
      <w:r w:rsidRPr="001C3EDC">
        <w:t>Policy 2:</w:t>
      </w:r>
      <w:r w:rsidR="008235CD" w:rsidRPr="001C3EDC">
        <w:t xml:space="preserve"> Adaptation financed by foreign funds earmarked to investments in agriculture and tourism</w:t>
      </w:r>
      <w:r w:rsidR="00F57059" w:rsidRPr="001C3EDC">
        <w:t>;</w:t>
      </w:r>
    </w:p>
    <w:p w14:paraId="7519B092" w14:textId="23B98DF1" w:rsidR="008235CD" w:rsidRPr="001C3EDC" w:rsidRDefault="00725C93" w:rsidP="00634B9D">
      <w:pPr>
        <w:pStyle w:val="BodyText"/>
        <w:numPr>
          <w:ilvl w:val="0"/>
          <w:numId w:val="12"/>
        </w:numPr>
        <w:ind w:left="1195" w:hanging="475"/>
      </w:pPr>
      <w:r w:rsidRPr="001C3EDC">
        <w:t>Policy 3:</w:t>
      </w:r>
      <w:r w:rsidR="008235CD" w:rsidRPr="001C3EDC">
        <w:t xml:space="preserve"> Adaptation financed by foreign funds earmarked to investments across all productive sectors</w:t>
      </w:r>
      <w:r w:rsidR="00F57059" w:rsidRPr="001C3EDC">
        <w:t>.</w:t>
      </w:r>
    </w:p>
    <w:p w14:paraId="4FD92EA4" w14:textId="21377E0F" w:rsidR="00DE5DEE" w:rsidRPr="001C3EDC" w:rsidRDefault="008235CD" w:rsidP="00CA5CD0">
      <w:pPr>
        <w:pStyle w:val="BodyText"/>
        <w:tabs>
          <w:tab w:val="left" w:pos="720"/>
        </w:tabs>
        <w:ind w:left="0" w:firstLine="0"/>
      </w:pPr>
      <w:r w:rsidRPr="001C3EDC">
        <w:t xml:space="preserve">Each policy is simulated using the Bulgaria model and macroeconomic results are expressed for adaptation </w:t>
      </w:r>
      <w:r w:rsidR="00DE5DEE" w:rsidRPr="001C3EDC">
        <w:t xml:space="preserve">in a </w:t>
      </w:r>
      <w:r w:rsidRPr="001C3EDC">
        <w:t>2</w:t>
      </w:r>
      <w:r w:rsidR="00254434" w:rsidRPr="001C3EDC">
        <w:t>°C</w:t>
      </w:r>
      <w:r w:rsidRPr="001C3EDC">
        <w:t xml:space="preserve"> and</w:t>
      </w:r>
      <w:r w:rsidR="00DE5DEE" w:rsidRPr="001C3EDC">
        <w:t xml:space="preserve"> respectively</w:t>
      </w:r>
      <w:r w:rsidRPr="001C3EDC">
        <w:t xml:space="preserve"> </w:t>
      </w:r>
      <w:r w:rsidR="009B6610" w:rsidRPr="001C3EDC">
        <w:t>4</w:t>
      </w:r>
      <w:r w:rsidR="00254434" w:rsidRPr="001C3EDC">
        <w:t>°C</w:t>
      </w:r>
      <w:r w:rsidRPr="001C3EDC">
        <w:t xml:space="preserve"> </w:t>
      </w:r>
      <w:r w:rsidR="00DE5DEE" w:rsidRPr="001C3EDC">
        <w:t>warmer world. Foreign</w:t>
      </w:r>
      <w:r w:rsidR="00F57059" w:rsidRPr="001C3EDC">
        <w:t xml:space="preserve"> funds</w:t>
      </w:r>
      <w:r w:rsidR="00DE5DEE" w:rsidRPr="001C3EDC">
        <w:t xml:space="preserve"> for adaptation could mean structural funds from the European Union, or their successors, or other bi- or multi-lateral mechanism focused on climate finance.</w:t>
      </w:r>
    </w:p>
    <w:p w14:paraId="225FC2AF" w14:textId="6762AD07" w:rsidR="00FC6825" w:rsidRPr="001C3EDC" w:rsidRDefault="00FC6825" w:rsidP="00CA5CD0">
      <w:pPr>
        <w:pStyle w:val="BodyText"/>
        <w:tabs>
          <w:tab w:val="left" w:pos="720"/>
        </w:tabs>
        <w:ind w:left="0" w:firstLine="0"/>
      </w:pPr>
      <w:r w:rsidRPr="001C3EDC">
        <w:lastRenderedPageBreak/>
        <w:t>The simulation results displayed in the following sections are percentage changes from the baseline scenario</w:t>
      </w:r>
      <w:r w:rsidR="00F57059" w:rsidRPr="001C3EDC">
        <w:t xml:space="preserve"> </w:t>
      </w:r>
      <w:r w:rsidRPr="001C3EDC">
        <w:t>describe</w:t>
      </w:r>
      <w:r w:rsidR="00F57059" w:rsidRPr="001C3EDC">
        <w:t>d</w:t>
      </w:r>
      <w:r w:rsidRPr="001C3EDC">
        <w:t xml:space="preserve"> above</w:t>
      </w:r>
      <w:r w:rsidR="00F57059" w:rsidRPr="001C3EDC">
        <w:t>, by 2050</w:t>
      </w:r>
      <w:r w:rsidRPr="001C3EDC">
        <w:t>.</w:t>
      </w:r>
    </w:p>
    <w:p w14:paraId="4C7F9577" w14:textId="6D74E3D7" w:rsidR="008235CD" w:rsidRPr="001C3EDC" w:rsidRDefault="00F7391A" w:rsidP="00F7391A">
      <w:pPr>
        <w:pStyle w:val="Heading2"/>
      </w:pPr>
      <w:bookmarkStart w:id="131" w:name="_Toc522036465"/>
      <w:r w:rsidRPr="001C3EDC">
        <w:t>4.1</w:t>
      </w:r>
      <w:r w:rsidR="00725C93" w:rsidRPr="001C3EDC">
        <w:t xml:space="preserve">. </w:t>
      </w:r>
      <w:r w:rsidR="00725C93" w:rsidRPr="001C3EDC">
        <w:tab/>
        <w:t xml:space="preserve">Policy 1: </w:t>
      </w:r>
      <w:r w:rsidR="008235CD" w:rsidRPr="001C3EDC">
        <w:t xml:space="preserve">Adaptation </w:t>
      </w:r>
      <w:r w:rsidR="000D35A0" w:rsidRPr="001C3EDC">
        <w:t>financed by fiscal policy</w:t>
      </w:r>
      <w:bookmarkEnd w:id="131"/>
    </w:p>
    <w:p w14:paraId="5595E460" w14:textId="43C898C8" w:rsidR="008235CD" w:rsidRPr="001C3EDC" w:rsidRDefault="009B6610" w:rsidP="00CA5CD0">
      <w:pPr>
        <w:pStyle w:val="BodyText"/>
        <w:tabs>
          <w:tab w:val="left" w:pos="720"/>
        </w:tabs>
        <w:ind w:left="0" w:firstLine="0"/>
      </w:pPr>
      <w:r w:rsidRPr="001C3EDC">
        <w:t xml:space="preserve">The </w:t>
      </w:r>
      <w:r w:rsidR="008235CD" w:rsidRPr="001C3EDC">
        <w:t>Bulgaria study follows the work of de Bruin</w:t>
      </w:r>
      <w:r w:rsidR="000360B6" w:rsidRPr="001C3EDC">
        <w:t>,</w:t>
      </w:r>
      <w:r w:rsidR="000360B6" w:rsidRPr="001C3EDC">
        <w:rPr>
          <w:color w:val="222222"/>
          <w:shd w:val="clear" w:color="auto" w:fill="FFFFFF"/>
        </w:rPr>
        <w:t xml:space="preserve"> Dellink, and Tol</w:t>
      </w:r>
      <w:r w:rsidR="008235CD" w:rsidRPr="001C3EDC">
        <w:t xml:space="preserve"> (2009) and assumes that development of an adaptation strategy will lead to </w:t>
      </w:r>
      <w:r w:rsidR="00B2585A" w:rsidRPr="001C3EDC">
        <w:t xml:space="preserve">a </w:t>
      </w:r>
      <w:r w:rsidR="008235CD" w:rsidRPr="001C3EDC">
        <w:t xml:space="preserve">33 percent </w:t>
      </w:r>
      <w:r w:rsidR="00B2585A" w:rsidRPr="001C3EDC">
        <w:t xml:space="preserve">reduction in </w:t>
      </w:r>
      <w:r w:rsidR="008235CD" w:rsidRPr="001C3EDC">
        <w:t xml:space="preserve">gross damages from climate change at </w:t>
      </w:r>
      <w:r w:rsidR="00BF290C" w:rsidRPr="001C3EDC">
        <w:t>‘</w:t>
      </w:r>
      <w:r w:rsidR="00B2585A" w:rsidRPr="001C3EDC">
        <w:t xml:space="preserve">low fiscal </w:t>
      </w:r>
      <w:r w:rsidR="008235CD" w:rsidRPr="001C3EDC">
        <w:t>cost</w:t>
      </w:r>
      <w:r w:rsidR="00BF290C" w:rsidRPr="001C3EDC">
        <w:t>’</w:t>
      </w:r>
      <w:r w:rsidR="00B2585A" w:rsidRPr="001C3EDC">
        <w:t>, equivalent to 0.1 percent of GDP by 2050</w:t>
      </w:r>
      <w:r w:rsidR="008235CD" w:rsidRPr="001C3EDC">
        <w:t>.</w:t>
      </w:r>
      <w:r w:rsidR="00CB62AC" w:rsidRPr="001C3EDC">
        <w:t xml:space="preserve"> </w:t>
      </w:r>
      <w:r w:rsidR="008235CD" w:rsidRPr="001C3EDC">
        <w:t>These would refer to behavioral changes for producers and consumers toward climate</w:t>
      </w:r>
      <w:r w:rsidR="00200218" w:rsidRPr="001C3EDC">
        <w:t>-</w:t>
      </w:r>
      <w:r w:rsidR="008235CD" w:rsidRPr="001C3EDC">
        <w:t>conscious actions.</w:t>
      </w:r>
      <w:r w:rsidR="00CB62AC" w:rsidRPr="001C3EDC">
        <w:t xml:space="preserve"> </w:t>
      </w:r>
      <w:r w:rsidR="008235CD" w:rsidRPr="001C3EDC">
        <w:t xml:space="preserve">In addition, the adaptation scenario for Bulgaria assumes that adaptation expenditures are financed by a uniform </w:t>
      </w:r>
      <w:r w:rsidR="00EA7C00" w:rsidRPr="001C3EDC">
        <w:t xml:space="preserve">2 </w:t>
      </w:r>
      <w:r w:rsidR="008235CD" w:rsidRPr="001C3EDC">
        <w:t xml:space="preserve">percent </w:t>
      </w:r>
      <w:r w:rsidR="00F57059" w:rsidRPr="001C3EDC">
        <w:t xml:space="preserve">climate contribution, levied on </w:t>
      </w:r>
      <w:r w:rsidR="008235CD" w:rsidRPr="001C3EDC">
        <w:t>consumption commodities</w:t>
      </w:r>
      <w:r w:rsidR="00F57059" w:rsidRPr="001C3EDC">
        <w:t>,</w:t>
      </w:r>
      <w:r w:rsidR="008235CD" w:rsidRPr="001C3EDC">
        <w:t xml:space="preserve"> to generate fiscal space and funding for climate adaptation policies. </w:t>
      </w:r>
      <w:r w:rsidR="00DE5DEE" w:rsidRPr="001C3EDC">
        <w:t xml:space="preserve">This follows from work by de Bruin, Dellink, and Tol (2009), who similarly assume a 2 percent tax, in the spirit of the </w:t>
      </w:r>
      <w:r w:rsidR="00EF0DD4" w:rsidRPr="001C3EDC">
        <w:t>‘</w:t>
      </w:r>
      <w:r w:rsidR="00DE5DEE" w:rsidRPr="001C3EDC">
        <w:t>2 percent levy</w:t>
      </w:r>
      <w:r w:rsidR="00EF0DD4" w:rsidRPr="001C3EDC">
        <w:t>’</w:t>
      </w:r>
      <w:r w:rsidR="00DE5DEE" w:rsidRPr="001C3EDC">
        <w:t xml:space="preserve"> used t</w:t>
      </w:r>
      <w:r w:rsidR="00975A37" w:rsidRPr="001C3EDC">
        <w:t>o</w:t>
      </w:r>
      <w:r w:rsidR="00DE5DEE" w:rsidRPr="001C3EDC">
        <w:t xml:space="preserve"> mobilize resources for the Adaptation Fund.  </w:t>
      </w:r>
    </w:p>
    <w:p w14:paraId="443AA489" w14:textId="0CA8A64A" w:rsidR="008235CD" w:rsidRPr="001C3EDC" w:rsidRDefault="008235CD" w:rsidP="00680305">
      <w:pPr>
        <w:pStyle w:val="BodyText"/>
        <w:tabs>
          <w:tab w:val="left" w:pos="720"/>
        </w:tabs>
        <w:ind w:left="0" w:firstLine="0"/>
      </w:pPr>
      <w:r w:rsidRPr="001C3EDC">
        <w:rPr>
          <w:b/>
          <w:i/>
        </w:rPr>
        <w:t xml:space="preserve">Figures </w:t>
      </w:r>
      <w:r w:rsidR="009B6610" w:rsidRPr="001C3EDC">
        <w:rPr>
          <w:b/>
          <w:i/>
        </w:rPr>
        <w:t>3</w:t>
      </w:r>
      <w:r w:rsidR="00F57059" w:rsidRPr="001C3EDC">
        <w:rPr>
          <w:b/>
          <w:i/>
        </w:rPr>
        <w:t>1</w:t>
      </w:r>
      <w:r w:rsidRPr="001C3EDC">
        <w:rPr>
          <w:b/>
          <w:i/>
        </w:rPr>
        <w:t xml:space="preserve"> through </w:t>
      </w:r>
      <w:r w:rsidR="009B6610" w:rsidRPr="001C3EDC">
        <w:rPr>
          <w:b/>
          <w:i/>
        </w:rPr>
        <w:t>3</w:t>
      </w:r>
      <w:r w:rsidR="003F022E" w:rsidRPr="001C3EDC">
        <w:rPr>
          <w:b/>
          <w:i/>
        </w:rPr>
        <w:t>5</w:t>
      </w:r>
      <w:r w:rsidRPr="001C3EDC">
        <w:t xml:space="preserve"> present the overall outcome of adaptation for Bulgaria. The overall findings can be summarized as follows. First, in terms of real GDP </w:t>
      </w:r>
      <w:r w:rsidR="007F3CCC" w:rsidRPr="001C3EDC">
        <w:t xml:space="preserve">growth </w:t>
      </w:r>
      <w:r w:rsidRPr="001C3EDC">
        <w:t>(</w:t>
      </w:r>
      <w:r w:rsidRPr="001C3EDC">
        <w:rPr>
          <w:b/>
          <w:i/>
        </w:rPr>
        <w:t xml:space="preserve">Figure </w:t>
      </w:r>
      <w:r w:rsidR="009B6610" w:rsidRPr="001C3EDC">
        <w:rPr>
          <w:b/>
          <w:i/>
        </w:rPr>
        <w:t>3</w:t>
      </w:r>
      <w:r w:rsidR="007F3CCC" w:rsidRPr="001C3EDC">
        <w:rPr>
          <w:b/>
          <w:i/>
        </w:rPr>
        <w:t>1</w:t>
      </w:r>
      <w:r w:rsidRPr="001C3EDC">
        <w:t xml:space="preserve">), adaptation </w:t>
      </w:r>
      <w:r w:rsidR="007F3CCC" w:rsidRPr="001C3EDC">
        <w:t>helps</w:t>
      </w:r>
      <w:r w:rsidRPr="001C3EDC">
        <w:t xml:space="preserve"> </w:t>
      </w:r>
      <w:r w:rsidR="007F3CCC" w:rsidRPr="001C3EDC">
        <w:t>mitigate</w:t>
      </w:r>
      <w:r w:rsidRPr="001C3EDC">
        <w:t xml:space="preserve"> the negative impact </w:t>
      </w:r>
      <w:r w:rsidR="007F3CCC" w:rsidRPr="001C3EDC">
        <w:t xml:space="preserve">of climate change across all </w:t>
      </w:r>
      <w:r w:rsidRPr="001C3EDC">
        <w:t>climate scenarios. The benefits from adaptation are higher in</w:t>
      </w:r>
      <w:r w:rsidR="00980E41" w:rsidRPr="001C3EDC">
        <w:t xml:space="preserve"> the</w:t>
      </w:r>
      <w:r w:rsidRPr="001C3EDC">
        <w:t xml:space="preserve"> 4</w:t>
      </w:r>
      <w:r w:rsidR="00254434" w:rsidRPr="001C3EDC">
        <w:t>°C</w:t>
      </w:r>
      <w:r w:rsidRPr="001C3EDC">
        <w:t xml:space="preserve"> scenario</w:t>
      </w:r>
      <w:r w:rsidR="007F3CCC" w:rsidRPr="001C3EDC">
        <w:t>,</w:t>
      </w:r>
      <w:r w:rsidRPr="001C3EDC">
        <w:t xml:space="preserve"> where </w:t>
      </w:r>
      <w:r w:rsidR="007F3CCC" w:rsidRPr="001C3EDC">
        <w:t>the negative impact</w:t>
      </w:r>
      <w:r w:rsidRPr="001C3EDC">
        <w:t xml:space="preserve"> of climate change </w:t>
      </w:r>
      <w:r w:rsidR="007F3CCC" w:rsidRPr="001C3EDC">
        <w:t xml:space="preserve">on growth </w:t>
      </w:r>
      <w:r w:rsidRPr="001C3EDC">
        <w:t xml:space="preserve">is almost halved (from </w:t>
      </w:r>
      <w:r w:rsidR="00AD2C95" w:rsidRPr="001C3EDC">
        <w:t>4.3</w:t>
      </w:r>
      <w:r w:rsidR="00EA7C00" w:rsidRPr="001C3EDC">
        <w:t xml:space="preserve"> percent</w:t>
      </w:r>
      <w:r w:rsidR="00AD2C95" w:rsidRPr="001C3EDC">
        <w:t xml:space="preserve"> to 2.6</w:t>
      </w:r>
      <w:r w:rsidR="00EA7C00" w:rsidRPr="001C3EDC">
        <w:t xml:space="preserve"> percent</w:t>
      </w:r>
      <w:r w:rsidRPr="001C3EDC">
        <w:t xml:space="preserve"> GDP). Welfare changes (</w:t>
      </w:r>
      <w:r w:rsidR="009B6610" w:rsidRPr="001C3EDC">
        <w:rPr>
          <w:b/>
          <w:bCs/>
          <w:i/>
          <w:iCs/>
        </w:rPr>
        <w:t>Figure 3</w:t>
      </w:r>
      <w:r w:rsidR="007F3CCC" w:rsidRPr="001C3EDC">
        <w:rPr>
          <w:b/>
          <w:bCs/>
          <w:i/>
          <w:iCs/>
        </w:rPr>
        <w:t>2</w:t>
      </w:r>
      <w:r w:rsidRPr="001C3EDC">
        <w:t>) are equivalent variations that highlight expected benefits not only in terms of production (as in the case of GDP) but also in terms of efficient allocation of resources across productive sectors and improvements in competitiveness of the Bulgarian economy.</w:t>
      </w:r>
      <w:r w:rsidR="007F3CCC" w:rsidRPr="001C3EDC">
        <w:t xml:space="preserve"> </w:t>
      </w:r>
      <w:r w:rsidRPr="001C3EDC">
        <w:t xml:space="preserve">As </w:t>
      </w:r>
      <w:r w:rsidR="007F3CCC" w:rsidRPr="001C3EDC">
        <w:t>shown</w:t>
      </w:r>
      <w:r w:rsidRPr="001C3EDC">
        <w:t xml:space="preserve"> in </w:t>
      </w:r>
      <w:r w:rsidR="009B6610" w:rsidRPr="001C3EDC">
        <w:rPr>
          <w:b/>
          <w:bCs/>
          <w:i/>
          <w:iCs/>
        </w:rPr>
        <w:t>Figure 3</w:t>
      </w:r>
      <w:r w:rsidR="007F3CCC" w:rsidRPr="001C3EDC">
        <w:rPr>
          <w:b/>
          <w:bCs/>
          <w:i/>
          <w:iCs/>
        </w:rPr>
        <w:t>2</w:t>
      </w:r>
      <w:r w:rsidR="009B6610" w:rsidRPr="001C3EDC">
        <w:t>, t</w:t>
      </w:r>
      <w:r w:rsidRPr="001C3EDC">
        <w:t>he 2</w:t>
      </w:r>
      <w:r w:rsidR="00972619" w:rsidRPr="001C3EDC">
        <w:t>°</w:t>
      </w:r>
      <w:r w:rsidRPr="001C3EDC">
        <w:t>C scenario with adaptation policy lead</w:t>
      </w:r>
      <w:r w:rsidR="00034078" w:rsidRPr="001C3EDC">
        <w:t>s</w:t>
      </w:r>
      <w:r w:rsidRPr="001C3EDC">
        <w:t xml:space="preserve"> to a decline in welfare</w:t>
      </w:r>
      <w:r w:rsidR="00980E41" w:rsidRPr="001C3EDC">
        <w:t>,</w:t>
      </w:r>
      <w:r w:rsidRPr="001C3EDC">
        <w:t xml:space="preserve"> while in the 4</w:t>
      </w:r>
      <w:r w:rsidR="00972619" w:rsidRPr="001C3EDC">
        <w:t>°</w:t>
      </w:r>
      <w:r w:rsidRPr="001C3EDC">
        <w:t>C scenario</w:t>
      </w:r>
      <w:r w:rsidR="00980E41" w:rsidRPr="001C3EDC">
        <w:t>,</w:t>
      </w:r>
      <w:r w:rsidRPr="001C3EDC">
        <w:t xml:space="preserve"> adaptation policy leads to improved welfare. This is </w:t>
      </w:r>
      <w:r w:rsidR="00B2585A" w:rsidRPr="001C3EDC">
        <w:t>caused by the</w:t>
      </w:r>
      <w:r w:rsidR="00980E41" w:rsidRPr="001C3EDC">
        <w:t xml:space="preserve"> </w:t>
      </w:r>
      <w:r w:rsidR="00034078" w:rsidRPr="001C3EDC">
        <w:t xml:space="preserve">2 </w:t>
      </w:r>
      <w:r w:rsidRPr="001C3EDC">
        <w:t xml:space="preserve">percent </w:t>
      </w:r>
      <w:r w:rsidR="003F022E" w:rsidRPr="001C3EDC">
        <w:t>climate contribution</w:t>
      </w:r>
      <w:r w:rsidRPr="001C3EDC">
        <w:t xml:space="preserve"> </w:t>
      </w:r>
      <w:r w:rsidR="003F022E" w:rsidRPr="001C3EDC">
        <w:t>levied</w:t>
      </w:r>
      <w:r w:rsidRPr="001C3EDC">
        <w:t xml:space="preserve"> to finance the cost</w:t>
      </w:r>
      <w:r w:rsidR="003F022E" w:rsidRPr="001C3EDC">
        <w:t>s</w:t>
      </w:r>
      <w:r w:rsidRPr="001C3EDC">
        <w:t xml:space="preserve"> of adaptation and can somewhat indirectly indicate the costs of undertaking such an action. In a more extensive adaptation policy setting such as for the 4</w:t>
      </w:r>
      <w:r w:rsidR="00254434" w:rsidRPr="001C3EDC">
        <w:t>°C</w:t>
      </w:r>
      <w:r w:rsidRPr="001C3EDC">
        <w:t xml:space="preserve"> scenario, improvements in the economic efficiency and competitiveness in international trade override the adverse impact of the </w:t>
      </w:r>
      <w:r w:rsidR="003F022E" w:rsidRPr="001C3EDC">
        <w:t>fiscal</w:t>
      </w:r>
      <w:r w:rsidRPr="001C3EDC">
        <w:t xml:space="preserve"> policy.</w:t>
      </w:r>
    </w:p>
    <w:p w14:paraId="272999B2" w14:textId="3D6957F4" w:rsidR="001E3127" w:rsidRPr="001C3EDC" w:rsidRDefault="00130169" w:rsidP="004F7F4A">
      <w:pPr>
        <w:pStyle w:val="Caption"/>
        <w:spacing w:before="200"/>
        <w:rPr>
          <w:rFonts w:ascii="Calibri" w:hAnsi="Calibri"/>
          <w:i/>
          <w:color w:val="44546A"/>
          <w:sz w:val="22"/>
          <w:szCs w:val="18"/>
        </w:rPr>
      </w:pPr>
      <w:bookmarkStart w:id="132" w:name="_Toc505612600"/>
      <w:bookmarkStart w:id="133" w:name="_Toc522036502"/>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31</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1E3127" w:rsidRPr="001C3EDC">
        <w:rPr>
          <w:rFonts w:ascii="Calibri" w:hAnsi="Calibri"/>
          <w:i/>
          <w:color w:val="44546A"/>
          <w:sz w:val="22"/>
          <w:szCs w:val="18"/>
        </w:rPr>
        <w:t>Adaptation and climate change impa</w:t>
      </w:r>
      <w:r w:rsidR="004F7F4A" w:rsidRPr="001C3EDC">
        <w:rPr>
          <w:rFonts w:ascii="Calibri" w:hAnsi="Calibri"/>
          <w:i/>
          <w:color w:val="44546A"/>
          <w:sz w:val="22"/>
          <w:szCs w:val="18"/>
        </w:rPr>
        <w:t>cts on real GDP</w:t>
      </w:r>
      <w:r w:rsidR="004F7F4A" w:rsidRPr="001C3EDC">
        <w:rPr>
          <w:rFonts w:ascii="Calibri" w:hAnsi="Calibri"/>
          <w:i/>
          <w:color w:val="44546A"/>
          <w:sz w:val="22"/>
          <w:szCs w:val="18"/>
        </w:rPr>
        <w:br/>
      </w:r>
      <w:r w:rsidR="001E3127" w:rsidRPr="001C3EDC">
        <w:rPr>
          <w:rFonts w:ascii="Calibri" w:hAnsi="Calibri"/>
          <w:i/>
          <w:color w:val="44546A"/>
          <w:sz w:val="22"/>
          <w:szCs w:val="18"/>
        </w:rPr>
        <w:t>(</w:t>
      </w:r>
      <w:r w:rsidR="00532D21" w:rsidRPr="001C3EDC">
        <w:rPr>
          <w:rFonts w:ascii="Calibri" w:hAnsi="Calibri"/>
          <w:i/>
          <w:color w:val="44546A"/>
          <w:sz w:val="22"/>
          <w:szCs w:val="18"/>
        </w:rPr>
        <w:t>percentage</w:t>
      </w:r>
      <w:r w:rsidR="001E3127" w:rsidRPr="001C3EDC">
        <w:rPr>
          <w:rFonts w:ascii="Calibri" w:hAnsi="Calibri"/>
          <w:i/>
          <w:color w:val="44546A"/>
          <w:sz w:val="22"/>
          <w:szCs w:val="18"/>
        </w:rPr>
        <w:t xml:space="preserve"> </w:t>
      </w:r>
      <w:r w:rsidR="00EF0DD4" w:rsidRPr="001C3EDC">
        <w:rPr>
          <w:rFonts w:ascii="Calibri" w:hAnsi="Calibri"/>
          <w:i/>
          <w:color w:val="44546A"/>
          <w:sz w:val="22"/>
          <w:szCs w:val="18"/>
        </w:rPr>
        <w:t xml:space="preserve">of </w:t>
      </w:r>
      <w:r w:rsidR="001E3127" w:rsidRPr="001C3EDC">
        <w:rPr>
          <w:rFonts w:ascii="Calibri" w:hAnsi="Calibri"/>
          <w:i/>
          <w:color w:val="44546A"/>
          <w:sz w:val="22"/>
          <w:szCs w:val="18"/>
        </w:rPr>
        <w:t>change</w:t>
      </w:r>
      <w:r w:rsidR="00B31C8D" w:rsidRPr="001C3EDC">
        <w:rPr>
          <w:rFonts w:ascii="Calibri" w:hAnsi="Calibri"/>
          <w:i/>
          <w:color w:val="44546A"/>
          <w:sz w:val="22"/>
          <w:szCs w:val="18"/>
        </w:rPr>
        <w:t xml:space="preserve"> compared to the baseline</w:t>
      </w:r>
      <w:r w:rsidR="004F43A2" w:rsidRPr="001C3EDC">
        <w:rPr>
          <w:rFonts w:ascii="Calibri" w:hAnsi="Calibri"/>
          <w:i/>
          <w:color w:val="44546A"/>
          <w:sz w:val="22"/>
          <w:szCs w:val="18"/>
        </w:rPr>
        <w:t xml:space="preserve"> without climate change</w:t>
      </w:r>
      <w:r w:rsidR="001E3127" w:rsidRPr="001C3EDC">
        <w:rPr>
          <w:rFonts w:ascii="Calibri" w:hAnsi="Calibri"/>
          <w:i/>
          <w:color w:val="44546A"/>
          <w:sz w:val="22"/>
          <w:szCs w:val="18"/>
        </w:rPr>
        <w:t>)</w:t>
      </w:r>
      <w:bookmarkEnd w:id="132"/>
      <w:bookmarkEnd w:id="133"/>
      <w:r w:rsidR="007F3CCC" w:rsidRPr="001C3EDC">
        <w:rPr>
          <w:rFonts w:ascii="Calibri" w:hAnsi="Calibri"/>
          <w:i/>
          <w:color w:val="44546A"/>
          <w:sz w:val="22"/>
          <w:szCs w:val="18"/>
        </w:rPr>
        <w:t xml:space="preserve"> </w:t>
      </w:r>
    </w:p>
    <w:p w14:paraId="53A782A7" w14:textId="27F8E4EC" w:rsidR="00EE45AB" w:rsidRDefault="00EE45AB" w:rsidP="00A86197">
      <w:pPr>
        <w:spacing w:after="0"/>
        <w:rPr>
          <w:lang w:eastAsia="bg-BG"/>
        </w:rPr>
      </w:pPr>
      <w:r w:rsidRPr="001C3EDC">
        <w:rPr>
          <w:noProof/>
        </w:rPr>
        <w:drawing>
          <wp:inline distT="0" distB="0" distL="0" distR="0" wp14:anchorId="486B4EC3" wp14:editId="17421200">
            <wp:extent cx="5731510" cy="3044537"/>
            <wp:effectExtent l="0" t="0" r="2540" b="3810"/>
            <wp:docPr id="44" name="Chart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43E1892" w14:textId="006FA2B8" w:rsidR="00532D21" w:rsidRPr="001C3EDC" w:rsidRDefault="00532D21" w:rsidP="00BA2083">
      <w:pPr>
        <w:pStyle w:val="Source"/>
      </w:pPr>
      <w:r w:rsidRPr="001C3EDC">
        <w:t xml:space="preserve">Source: Model </w:t>
      </w:r>
      <w:r w:rsidR="00510922" w:rsidRPr="001C3EDC">
        <w:t>s</w:t>
      </w:r>
      <w:r w:rsidRPr="001C3EDC">
        <w:t>imulations.</w:t>
      </w:r>
    </w:p>
    <w:p w14:paraId="2BEA531B" w14:textId="08ACE35E" w:rsidR="001E3127" w:rsidRPr="001C3EDC" w:rsidRDefault="00130169" w:rsidP="004F7F4A">
      <w:pPr>
        <w:pStyle w:val="Caption"/>
        <w:spacing w:before="200"/>
      </w:pPr>
      <w:bookmarkStart w:id="134" w:name="_Toc505612601"/>
      <w:bookmarkStart w:id="135" w:name="_Toc522036503"/>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32</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1E3127" w:rsidRPr="001C3EDC">
        <w:rPr>
          <w:rFonts w:ascii="Calibri" w:hAnsi="Calibri"/>
          <w:i/>
          <w:color w:val="44546A"/>
          <w:sz w:val="22"/>
          <w:szCs w:val="18"/>
        </w:rPr>
        <w:t>Welfare changes with and without adaptation</w:t>
      </w:r>
      <w:r w:rsidR="007F3CCC" w:rsidRPr="001C3EDC">
        <w:rPr>
          <w:rFonts w:ascii="Calibri" w:hAnsi="Calibri"/>
          <w:i/>
          <w:color w:val="44546A"/>
          <w:sz w:val="22"/>
          <w:szCs w:val="18"/>
        </w:rPr>
        <w:t>, compared to the baseline</w:t>
      </w:r>
      <w:r w:rsidR="004F43A2" w:rsidRPr="001C3EDC">
        <w:rPr>
          <w:rFonts w:ascii="Calibri" w:hAnsi="Calibri"/>
          <w:i/>
          <w:color w:val="44546A"/>
          <w:sz w:val="22"/>
          <w:szCs w:val="18"/>
        </w:rPr>
        <w:t xml:space="preserve"> without climate change</w:t>
      </w:r>
      <w:r w:rsidR="001E3127" w:rsidRPr="001C3EDC">
        <w:rPr>
          <w:rFonts w:ascii="Calibri" w:hAnsi="Calibri"/>
          <w:i/>
          <w:color w:val="44546A"/>
          <w:sz w:val="22"/>
          <w:szCs w:val="18"/>
        </w:rPr>
        <w:t xml:space="preserve"> (US</w:t>
      </w:r>
      <w:r w:rsidR="00532D21" w:rsidRPr="001C3EDC">
        <w:rPr>
          <w:rFonts w:ascii="Calibri" w:hAnsi="Calibri"/>
          <w:i/>
          <w:color w:val="44546A"/>
          <w:sz w:val="22"/>
          <w:szCs w:val="18"/>
        </w:rPr>
        <w:t>$</w:t>
      </w:r>
      <w:r w:rsidR="00DB47EB" w:rsidRPr="001C3EDC">
        <w:rPr>
          <w:rFonts w:ascii="Calibri" w:hAnsi="Calibri"/>
          <w:i/>
          <w:color w:val="44546A"/>
          <w:sz w:val="22"/>
          <w:szCs w:val="18"/>
        </w:rPr>
        <w:t>, millions</w:t>
      </w:r>
      <w:r w:rsidR="001E3127" w:rsidRPr="001C3EDC">
        <w:rPr>
          <w:rFonts w:ascii="Calibri" w:hAnsi="Calibri"/>
          <w:i/>
          <w:color w:val="44546A"/>
          <w:sz w:val="22"/>
          <w:szCs w:val="18"/>
        </w:rPr>
        <w:t>)</w:t>
      </w:r>
      <w:bookmarkEnd w:id="134"/>
      <w:bookmarkEnd w:id="135"/>
    </w:p>
    <w:p w14:paraId="5782FAD0" w14:textId="1137B3DA" w:rsidR="001E3127" w:rsidRPr="001C3EDC" w:rsidRDefault="001E3127" w:rsidP="00362D5D">
      <w:pPr>
        <w:jc w:val="center"/>
        <w:rPr>
          <w:rFonts w:cs="Times New Roman"/>
          <w:szCs w:val="24"/>
        </w:rPr>
      </w:pPr>
      <w:r w:rsidRPr="001C3EDC">
        <w:rPr>
          <w:noProof/>
        </w:rPr>
        <w:drawing>
          <wp:inline distT="0" distB="0" distL="0" distR="0" wp14:anchorId="0AAB07B6" wp14:editId="3B7D35A5">
            <wp:extent cx="4808220" cy="2149434"/>
            <wp:effectExtent l="0" t="0" r="1143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C42F66D" w14:textId="3A8739C5" w:rsidR="00532D21" w:rsidRPr="001C3EDC" w:rsidRDefault="00532D21" w:rsidP="00BA2083">
      <w:pPr>
        <w:pStyle w:val="Source"/>
      </w:pPr>
      <w:r w:rsidRPr="001C3EDC">
        <w:t xml:space="preserve">Source: Model </w:t>
      </w:r>
      <w:r w:rsidR="00510922" w:rsidRPr="001C3EDC">
        <w:t>simulations</w:t>
      </w:r>
      <w:r w:rsidRPr="001C3EDC">
        <w:t>.</w:t>
      </w:r>
    </w:p>
    <w:p w14:paraId="3BEBF8D5" w14:textId="050F1998" w:rsidR="007D5646" w:rsidRPr="001C3EDC" w:rsidRDefault="00B80B46" w:rsidP="007D5646">
      <w:pPr>
        <w:pStyle w:val="BodyText"/>
        <w:tabs>
          <w:tab w:val="left" w:pos="720"/>
        </w:tabs>
        <w:ind w:left="0" w:firstLine="0"/>
      </w:pPr>
      <w:r w:rsidRPr="001C3EDC">
        <w:rPr>
          <w:b/>
          <w:i/>
        </w:rPr>
        <w:t xml:space="preserve">Figures </w:t>
      </w:r>
      <w:r w:rsidR="00130169" w:rsidRPr="001C3EDC">
        <w:rPr>
          <w:b/>
          <w:i/>
        </w:rPr>
        <w:t>3</w:t>
      </w:r>
      <w:r w:rsidR="003F022E" w:rsidRPr="001C3EDC">
        <w:rPr>
          <w:b/>
          <w:i/>
        </w:rPr>
        <w:t>3</w:t>
      </w:r>
      <w:r w:rsidR="0088623C" w:rsidRPr="001C3EDC">
        <w:rPr>
          <w:b/>
          <w:i/>
        </w:rPr>
        <w:t xml:space="preserve"> </w:t>
      </w:r>
      <w:r w:rsidRPr="001C3EDC">
        <w:rPr>
          <w:b/>
          <w:i/>
        </w:rPr>
        <w:t xml:space="preserve">and </w:t>
      </w:r>
      <w:r w:rsidR="00130169" w:rsidRPr="001C3EDC">
        <w:rPr>
          <w:b/>
          <w:i/>
        </w:rPr>
        <w:t>3</w:t>
      </w:r>
      <w:r w:rsidR="003F022E" w:rsidRPr="001C3EDC">
        <w:rPr>
          <w:b/>
          <w:i/>
        </w:rPr>
        <w:t>4</w:t>
      </w:r>
      <w:r w:rsidR="0088623C" w:rsidRPr="001C3EDC">
        <w:t xml:space="preserve"> </w:t>
      </w:r>
      <w:r w:rsidR="005E1402" w:rsidRPr="001C3EDC">
        <w:t xml:space="preserve">show the role </w:t>
      </w:r>
      <w:r w:rsidR="00042448" w:rsidRPr="001C3EDC">
        <w:t xml:space="preserve">that </w:t>
      </w:r>
      <w:r w:rsidR="005E1402" w:rsidRPr="001C3EDC">
        <w:t>adaptation can play in reducing some of the negative impacts of climate change on two sectors of importance in Bulgaria (agriculture and energy). In both sectors, adaptation measures refer to improvements in the total factor productivity</w:t>
      </w:r>
      <w:r w:rsidR="003F022E" w:rsidRPr="001C3EDC">
        <w:t xml:space="preserve"> of these sectors, which</w:t>
      </w:r>
      <w:r w:rsidR="007D5646" w:rsidRPr="001C3EDC">
        <w:t>,</w:t>
      </w:r>
      <w:r w:rsidR="003F022E" w:rsidRPr="001C3EDC">
        <w:t xml:space="preserve"> </w:t>
      </w:r>
      <w:r w:rsidR="007D5646" w:rsidRPr="001C3EDC">
        <w:t xml:space="preserve">assuming that labor productivity remains unchanged, </w:t>
      </w:r>
      <w:r w:rsidR="003F022E" w:rsidRPr="001C3EDC">
        <w:t>means improved productivity of</w:t>
      </w:r>
      <w:r w:rsidR="007D5646" w:rsidRPr="001C3EDC">
        <w:t xml:space="preserve"> physical inputs to production, such as </w:t>
      </w:r>
      <w:r w:rsidR="003F022E" w:rsidRPr="001C3EDC">
        <w:t>land, water, and infrastructure</w:t>
      </w:r>
      <w:r w:rsidR="005E1402" w:rsidRPr="001C3EDC">
        <w:t xml:space="preserve">. </w:t>
      </w:r>
      <w:r w:rsidR="007D5646" w:rsidRPr="001C3EDC">
        <w:rPr>
          <w:b/>
          <w:i/>
        </w:rPr>
        <w:t>Figure 33</w:t>
      </w:r>
      <w:r w:rsidR="007D5646" w:rsidRPr="001C3EDC">
        <w:t xml:space="preserve"> presents climate change impacts and the role of adaptation for the energy sector.</w:t>
      </w:r>
      <w:r w:rsidR="00C97F78" w:rsidRPr="001C3EDC">
        <w:t xml:space="preserve"> </w:t>
      </w:r>
      <w:r w:rsidR="007D5646" w:rsidRPr="001C3EDC">
        <w:t xml:space="preserve">The sub-sector representing refined petroleum products and other fuels (petroleum in </w:t>
      </w:r>
      <w:r w:rsidR="007D5646" w:rsidRPr="001C3EDC">
        <w:rPr>
          <w:b/>
          <w:bCs/>
          <w:i/>
          <w:iCs/>
        </w:rPr>
        <w:t>Figure 33</w:t>
      </w:r>
      <w:r w:rsidR="007D5646" w:rsidRPr="001C3EDC">
        <w:t xml:space="preserve">) is the sub-sector most affected </w:t>
      </w:r>
      <w:r w:rsidR="00D5555D" w:rsidRPr="001C3EDC">
        <w:t>in</w:t>
      </w:r>
      <w:r w:rsidR="007D5646" w:rsidRPr="001C3EDC">
        <w:t xml:space="preserve"> any of the climate change scenarios considered in the current analysis</w:t>
      </w:r>
      <w:r w:rsidR="00D5555D" w:rsidRPr="001C3EDC">
        <w:t xml:space="preserve"> and the one benefitting most of adaptation</w:t>
      </w:r>
      <w:r w:rsidR="007D5646" w:rsidRPr="001C3EDC">
        <w:t xml:space="preserve">. Based on the increased temperature projections for Bulgaria, energy demand for heating (in cold </w:t>
      </w:r>
      <w:r w:rsidR="007D5646" w:rsidRPr="001C3EDC">
        <w:lastRenderedPageBreak/>
        <w:t>days) will decrease significantly and pull down the overall demand for electricity used for heating despite a slight increase in electricity demand for air conditioning (in hot days). Adaptation in the energy sector is modelled as improved productivity in power generation that would reduce transmission losses and technological transfers.</w:t>
      </w:r>
    </w:p>
    <w:p w14:paraId="3D3B14E6" w14:textId="6C392F73" w:rsidR="00F41E71" w:rsidRPr="001C3EDC" w:rsidRDefault="00130169" w:rsidP="004F7F4A">
      <w:pPr>
        <w:pStyle w:val="Caption"/>
        <w:spacing w:before="200"/>
      </w:pPr>
      <w:bookmarkStart w:id="136" w:name="_Toc505612604"/>
      <w:bookmarkStart w:id="137" w:name="_Toc522036504"/>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33</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F41E71" w:rsidRPr="001C3EDC">
        <w:rPr>
          <w:rFonts w:ascii="Calibri" w:hAnsi="Calibri"/>
          <w:i/>
          <w:color w:val="44546A"/>
          <w:sz w:val="22"/>
          <w:szCs w:val="18"/>
        </w:rPr>
        <w:t xml:space="preserve">Impact of adaptation and climate change on </w:t>
      </w:r>
      <w:r w:rsidR="00254CF5" w:rsidRPr="001C3EDC">
        <w:rPr>
          <w:rFonts w:ascii="Calibri" w:hAnsi="Calibri"/>
          <w:i/>
          <w:color w:val="44546A"/>
          <w:sz w:val="22"/>
          <w:szCs w:val="18"/>
        </w:rPr>
        <w:t>energy</w:t>
      </w:r>
      <w:r w:rsidR="00F41E71" w:rsidRPr="001C3EDC">
        <w:rPr>
          <w:rFonts w:ascii="Calibri" w:hAnsi="Calibri"/>
          <w:i/>
          <w:color w:val="44546A"/>
          <w:sz w:val="22"/>
          <w:szCs w:val="18"/>
        </w:rPr>
        <w:t xml:space="preserve"> output</w:t>
      </w:r>
      <w:bookmarkEnd w:id="136"/>
      <w:r w:rsidR="004F7F4A" w:rsidRPr="001C3EDC">
        <w:rPr>
          <w:rFonts w:ascii="Calibri" w:hAnsi="Calibri"/>
          <w:i/>
          <w:color w:val="44546A"/>
          <w:sz w:val="22"/>
          <w:szCs w:val="18"/>
        </w:rPr>
        <w:br/>
      </w:r>
      <w:r w:rsidR="00B31C8D" w:rsidRPr="001C3EDC">
        <w:rPr>
          <w:rFonts w:ascii="Calibri" w:hAnsi="Calibri"/>
          <w:i/>
          <w:color w:val="44546A"/>
          <w:sz w:val="22"/>
          <w:szCs w:val="18"/>
        </w:rPr>
        <w:t>(</w:t>
      </w:r>
      <w:r w:rsidR="00833099" w:rsidRPr="001C3EDC">
        <w:rPr>
          <w:rFonts w:ascii="Calibri" w:hAnsi="Calibri"/>
          <w:i/>
          <w:color w:val="44546A"/>
          <w:sz w:val="22"/>
          <w:szCs w:val="18"/>
        </w:rPr>
        <w:t>percent</w:t>
      </w:r>
      <w:r w:rsidR="00A60458">
        <w:rPr>
          <w:rFonts w:ascii="Calibri" w:hAnsi="Calibri"/>
          <w:i/>
          <w:color w:val="44546A"/>
          <w:sz w:val="22"/>
          <w:szCs w:val="18"/>
        </w:rPr>
        <w:t>age of</w:t>
      </w:r>
      <w:r w:rsidR="00833099" w:rsidRPr="001C3EDC">
        <w:rPr>
          <w:rFonts w:ascii="Calibri" w:hAnsi="Calibri"/>
          <w:i/>
          <w:color w:val="44546A"/>
          <w:sz w:val="22"/>
          <w:szCs w:val="18"/>
        </w:rPr>
        <w:t xml:space="preserve"> change </w:t>
      </w:r>
      <w:r w:rsidR="00B31C8D" w:rsidRPr="001C3EDC">
        <w:rPr>
          <w:rFonts w:ascii="Calibri" w:hAnsi="Calibri"/>
          <w:i/>
          <w:color w:val="44546A"/>
          <w:sz w:val="22"/>
          <w:szCs w:val="18"/>
        </w:rPr>
        <w:t>compared to the baseline</w:t>
      </w:r>
      <w:r w:rsidR="004F43A2" w:rsidRPr="001C3EDC">
        <w:rPr>
          <w:rFonts w:ascii="Calibri" w:hAnsi="Calibri"/>
          <w:i/>
          <w:color w:val="44546A"/>
          <w:sz w:val="22"/>
          <w:szCs w:val="18"/>
        </w:rPr>
        <w:t xml:space="preserve"> without climate change</w:t>
      </w:r>
      <w:r w:rsidR="00B31C8D" w:rsidRPr="001C3EDC">
        <w:rPr>
          <w:rFonts w:ascii="Calibri" w:hAnsi="Calibri"/>
          <w:i/>
          <w:color w:val="44546A"/>
          <w:sz w:val="22"/>
          <w:szCs w:val="18"/>
        </w:rPr>
        <w:t>)</w:t>
      </w:r>
      <w:bookmarkEnd w:id="137"/>
    </w:p>
    <w:p w14:paraId="1F9D2A08" w14:textId="763764BC" w:rsidR="00F41E71" w:rsidRPr="001C3EDC" w:rsidRDefault="009450E9" w:rsidP="00C06714">
      <w:pPr>
        <w:pStyle w:val="ListParagraph"/>
        <w:spacing w:line="240" w:lineRule="auto"/>
        <w:ind w:left="0"/>
        <w:jc w:val="center"/>
        <w:rPr>
          <w:rFonts w:cs="Times New Roman"/>
          <w:b/>
          <w:szCs w:val="24"/>
        </w:rPr>
      </w:pPr>
      <w:r w:rsidRPr="001C3EDC">
        <w:rPr>
          <w:rFonts w:cs="Times New Roman"/>
          <w:b/>
          <w:noProof/>
          <w:szCs w:val="24"/>
        </w:rPr>
        <w:drawing>
          <wp:inline distT="0" distB="0" distL="0" distR="0" wp14:anchorId="60A6214D" wp14:editId="2CB2D753">
            <wp:extent cx="5022676" cy="3006761"/>
            <wp:effectExtent l="19050" t="19050" r="26035" b="222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2676" cy="3006761"/>
                    </a:xfrm>
                    <a:prstGeom prst="rect">
                      <a:avLst/>
                    </a:prstGeom>
                    <a:noFill/>
                    <a:ln w="6350">
                      <a:solidFill>
                        <a:srgbClr val="5B9BD5"/>
                      </a:solidFill>
                    </a:ln>
                  </pic:spPr>
                </pic:pic>
              </a:graphicData>
            </a:graphic>
          </wp:inline>
        </w:drawing>
      </w:r>
    </w:p>
    <w:p w14:paraId="3A44F1AD" w14:textId="7F97D7A4" w:rsidR="00C93555" w:rsidRPr="001C3EDC" w:rsidRDefault="00C93555" w:rsidP="00BA2083">
      <w:pPr>
        <w:pStyle w:val="Source"/>
      </w:pPr>
      <w:r w:rsidRPr="001C3EDC">
        <w:t xml:space="preserve">Source: Model </w:t>
      </w:r>
      <w:r w:rsidR="00510922" w:rsidRPr="001C3EDC">
        <w:t>simulations</w:t>
      </w:r>
      <w:r w:rsidRPr="001C3EDC">
        <w:t>.</w:t>
      </w:r>
    </w:p>
    <w:p w14:paraId="1DC27097" w14:textId="7B8E7A6C" w:rsidR="00F41E71" w:rsidRPr="001C3EDC" w:rsidRDefault="00130169" w:rsidP="004F7F4A">
      <w:pPr>
        <w:pStyle w:val="Caption"/>
        <w:spacing w:before="200"/>
      </w:pPr>
      <w:bookmarkStart w:id="138" w:name="_Toc522036505"/>
      <w:bookmarkStart w:id="139" w:name="_Hlk514082318"/>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34</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F41E71" w:rsidRPr="001C3EDC">
        <w:rPr>
          <w:rFonts w:ascii="Calibri" w:hAnsi="Calibri"/>
          <w:i/>
          <w:color w:val="44546A"/>
          <w:sz w:val="22"/>
          <w:szCs w:val="18"/>
        </w:rPr>
        <w:t xml:space="preserve">Impact of adaptation and climate change on </w:t>
      </w:r>
      <w:r w:rsidR="00254CF5" w:rsidRPr="001C3EDC">
        <w:rPr>
          <w:rFonts w:ascii="Calibri" w:hAnsi="Calibri"/>
          <w:i/>
          <w:color w:val="44546A"/>
          <w:sz w:val="22"/>
          <w:szCs w:val="18"/>
        </w:rPr>
        <w:t>agriculture</w:t>
      </w:r>
      <w:r w:rsidR="00F41E71" w:rsidRPr="001C3EDC">
        <w:rPr>
          <w:rFonts w:ascii="Calibri" w:hAnsi="Calibri"/>
          <w:i/>
          <w:color w:val="44546A"/>
          <w:sz w:val="22"/>
          <w:szCs w:val="18"/>
        </w:rPr>
        <w:t xml:space="preserve"> </w:t>
      </w:r>
      <w:r w:rsidR="00D5555D" w:rsidRPr="001C3EDC">
        <w:rPr>
          <w:rFonts w:ascii="Calibri" w:hAnsi="Calibri"/>
          <w:i/>
          <w:color w:val="44546A"/>
          <w:sz w:val="22"/>
          <w:szCs w:val="18"/>
        </w:rPr>
        <w:t>output</w:t>
      </w:r>
      <w:r w:rsidR="004F7F4A" w:rsidRPr="001C3EDC">
        <w:rPr>
          <w:rFonts w:ascii="Calibri" w:hAnsi="Calibri"/>
          <w:i/>
          <w:color w:val="44546A"/>
          <w:sz w:val="22"/>
          <w:szCs w:val="18"/>
        </w:rPr>
        <w:br/>
      </w:r>
      <w:r w:rsidR="00EB7EAD" w:rsidRPr="001C3EDC">
        <w:rPr>
          <w:rFonts w:ascii="Calibri" w:hAnsi="Calibri"/>
          <w:i/>
          <w:color w:val="44546A"/>
          <w:sz w:val="22"/>
          <w:szCs w:val="18"/>
        </w:rPr>
        <w:t>(</w:t>
      </w:r>
      <w:r w:rsidR="00833099" w:rsidRPr="001C3EDC">
        <w:rPr>
          <w:rFonts w:ascii="Calibri" w:hAnsi="Calibri"/>
          <w:i/>
          <w:color w:val="44546A"/>
          <w:sz w:val="22"/>
          <w:szCs w:val="18"/>
        </w:rPr>
        <w:t>percent</w:t>
      </w:r>
      <w:r w:rsidR="00A60458">
        <w:rPr>
          <w:rFonts w:ascii="Calibri" w:hAnsi="Calibri"/>
          <w:i/>
          <w:color w:val="44546A"/>
          <w:sz w:val="22"/>
          <w:szCs w:val="18"/>
        </w:rPr>
        <w:t>age of</w:t>
      </w:r>
      <w:r w:rsidR="00833099" w:rsidRPr="001C3EDC">
        <w:rPr>
          <w:rFonts w:ascii="Calibri" w:hAnsi="Calibri"/>
          <w:i/>
          <w:color w:val="44546A"/>
          <w:sz w:val="22"/>
          <w:szCs w:val="18"/>
        </w:rPr>
        <w:t xml:space="preserve"> change compared to</w:t>
      </w:r>
      <w:r w:rsidR="00EB7EAD" w:rsidRPr="001C3EDC">
        <w:rPr>
          <w:rFonts w:ascii="Calibri" w:hAnsi="Calibri"/>
          <w:i/>
          <w:color w:val="44546A"/>
          <w:sz w:val="22"/>
          <w:szCs w:val="18"/>
        </w:rPr>
        <w:t xml:space="preserve"> the baseline</w:t>
      </w:r>
      <w:r w:rsidR="004F43A2" w:rsidRPr="001C3EDC">
        <w:rPr>
          <w:rFonts w:ascii="Calibri" w:hAnsi="Calibri"/>
          <w:i/>
          <w:color w:val="44546A"/>
          <w:sz w:val="22"/>
          <w:szCs w:val="18"/>
        </w:rPr>
        <w:t xml:space="preserve"> without climate change</w:t>
      </w:r>
      <w:r w:rsidR="00EB7EAD" w:rsidRPr="001C3EDC">
        <w:rPr>
          <w:rFonts w:ascii="Calibri" w:hAnsi="Calibri"/>
          <w:i/>
          <w:color w:val="44546A"/>
          <w:sz w:val="22"/>
          <w:szCs w:val="18"/>
        </w:rPr>
        <w:t>)</w:t>
      </w:r>
      <w:bookmarkEnd w:id="138"/>
    </w:p>
    <w:p w14:paraId="3A698DFC" w14:textId="3C084451" w:rsidR="002E5859" w:rsidRPr="001C3EDC" w:rsidRDefault="002E5859" w:rsidP="00A1217F">
      <w:pPr>
        <w:spacing w:line="240" w:lineRule="auto"/>
        <w:jc w:val="center"/>
        <w:rPr>
          <w:lang w:eastAsia="bg-BG"/>
        </w:rPr>
      </w:pPr>
      <w:r w:rsidRPr="001C3EDC">
        <w:rPr>
          <w:noProof/>
        </w:rPr>
        <w:drawing>
          <wp:inline distT="0" distB="0" distL="0" distR="0" wp14:anchorId="11F8CE86" wp14:editId="1F4059AD">
            <wp:extent cx="5641718" cy="3094074"/>
            <wp:effectExtent l="19050" t="19050" r="16510" b="1143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1559" cy="3154314"/>
                    </a:xfrm>
                    <a:prstGeom prst="rect">
                      <a:avLst/>
                    </a:prstGeom>
                    <a:noFill/>
                    <a:ln w="6350">
                      <a:solidFill>
                        <a:srgbClr val="5B9BD5"/>
                      </a:solidFill>
                    </a:ln>
                  </pic:spPr>
                </pic:pic>
              </a:graphicData>
            </a:graphic>
          </wp:inline>
        </w:drawing>
      </w:r>
    </w:p>
    <w:p w14:paraId="2014DCF5" w14:textId="77777777" w:rsidR="00724F7C" w:rsidRPr="001C3EDC" w:rsidRDefault="00724F7C" w:rsidP="00724F7C">
      <w:pPr>
        <w:pStyle w:val="Source"/>
        <w:spacing w:after="60"/>
      </w:pPr>
      <w:r w:rsidRPr="001C3EDC">
        <w:t>Legend key: PDR: Paddy rice; WHT: Wheat; GRO: Cereal grains; V_F: Vegetables, fruit, nuts; OSD: Oil seeds; C_B: Sugarcane, sugar beet; PFB: Plant-based fibers; OCR: Crops; VOL: Vegetable oils and fats; MIL: Dairy products; PCR: Processed rice; SGR: Sugar; OFD: Food products.</w:t>
      </w:r>
    </w:p>
    <w:p w14:paraId="36967CA3" w14:textId="3D9528BA" w:rsidR="002E5859" w:rsidRPr="001C3EDC" w:rsidRDefault="00C93555" w:rsidP="00724F7C">
      <w:pPr>
        <w:pStyle w:val="Source"/>
      </w:pPr>
      <w:r w:rsidRPr="001C3EDC">
        <w:lastRenderedPageBreak/>
        <w:t xml:space="preserve">Source: Model </w:t>
      </w:r>
      <w:r w:rsidR="00510922" w:rsidRPr="001C3EDC">
        <w:t>simulations</w:t>
      </w:r>
      <w:r w:rsidRPr="001C3EDC">
        <w:t>.</w:t>
      </w:r>
    </w:p>
    <w:p w14:paraId="2CD5AFBD" w14:textId="77777777" w:rsidR="00982E5D" w:rsidRDefault="00982E5D">
      <w:pPr>
        <w:spacing w:after="200" w:line="276" w:lineRule="auto"/>
        <w:jc w:val="left"/>
        <w:rPr>
          <w:rFonts w:ascii="Calibri" w:eastAsia="Calibri" w:hAnsi="Calibri" w:cs="Times New Roman"/>
          <w:b/>
          <w:i/>
          <w:iCs/>
          <w:color w:val="44546A"/>
          <w:sz w:val="22"/>
          <w:szCs w:val="18"/>
          <w:lang w:eastAsia="bg-BG"/>
        </w:rPr>
      </w:pPr>
      <w:bookmarkStart w:id="140" w:name="_Toc505600286"/>
      <w:r>
        <w:rPr>
          <w:rFonts w:ascii="Calibri" w:hAnsi="Calibri"/>
          <w:i/>
          <w:color w:val="44546A"/>
          <w:sz w:val="22"/>
          <w:szCs w:val="18"/>
        </w:rPr>
        <w:br w:type="page"/>
      </w:r>
    </w:p>
    <w:p w14:paraId="3C59A5BC" w14:textId="1E834408" w:rsidR="00473131" w:rsidRPr="001C3EDC" w:rsidRDefault="00130169" w:rsidP="004F7F4A">
      <w:pPr>
        <w:pStyle w:val="Caption"/>
        <w:spacing w:before="200"/>
      </w:pPr>
      <w:bookmarkStart w:id="141" w:name="_Toc522036506"/>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35</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F555AC" w:rsidRPr="001C3EDC">
        <w:rPr>
          <w:rFonts w:ascii="Calibri" w:hAnsi="Calibri"/>
          <w:i/>
          <w:color w:val="44546A"/>
          <w:sz w:val="22"/>
          <w:szCs w:val="18"/>
        </w:rPr>
        <w:t>Impact of adaptation on agricultural output, b</w:t>
      </w:r>
      <w:r w:rsidR="00473131" w:rsidRPr="001C3EDC">
        <w:rPr>
          <w:rFonts w:ascii="Calibri" w:hAnsi="Calibri"/>
          <w:i/>
          <w:color w:val="44546A"/>
          <w:sz w:val="22"/>
          <w:szCs w:val="18"/>
        </w:rPr>
        <w:t>asin</w:t>
      </w:r>
      <w:r w:rsidR="00437921" w:rsidRPr="001C3EDC">
        <w:rPr>
          <w:rFonts w:ascii="Calibri" w:hAnsi="Calibri"/>
          <w:i/>
          <w:color w:val="44546A"/>
          <w:sz w:val="22"/>
          <w:szCs w:val="18"/>
        </w:rPr>
        <w:t>-</w:t>
      </w:r>
      <w:r w:rsidR="00473131" w:rsidRPr="001C3EDC">
        <w:rPr>
          <w:rFonts w:ascii="Calibri" w:hAnsi="Calibri"/>
          <w:i/>
          <w:color w:val="44546A"/>
          <w:sz w:val="22"/>
          <w:szCs w:val="18"/>
        </w:rPr>
        <w:t>level results</w:t>
      </w:r>
      <w:r w:rsidR="004F7F4A" w:rsidRPr="001C3EDC">
        <w:rPr>
          <w:rFonts w:ascii="Calibri" w:hAnsi="Calibri"/>
          <w:i/>
          <w:color w:val="44546A"/>
          <w:sz w:val="22"/>
          <w:szCs w:val="18"/>
        </w:rPr>
        <w:br/>
      </w:r>
      <w:r w:rsidR="000E53EB" w:rsidRPr="001C3EDC">
        <w:rPr>
          <w:rFonts w:ascii="Calibri" w:hAnsi="Calibri"/>
          <w:i/>
          <w:color w:val="44546A"/>
          <w:sz w:val="22"/>
          <w:szCs w:val="18"/>
        </w:rPr>
        <w:t>(</w:t>
      </w:r>
      <w:r w:rsidR="00833099" w:rsidRPr="001C3EDC">
        <w:rPr>
          <w:rFonts w:ascii="Calibri" w:hAnsi="Calibri"/>
          <w:i/>
          <w:color w:val="44546A"/>
          <w:sz w:val="22"/>
          <w:szCs w:val="18"/>
        </w:rPr>
        <w:t>percent</w:t>
      </w:r>
      <w:r w:rsidR="00C97F78" w:rsidRPr="001C3EDC">
        <w:rPr>
          <w:rFonts w:ascii="Calibri" w:hAnsi="Calibri"/>
          <w:i/>
          <w:color w:val="44546A"/>
          <w:sz w:val="22"/>
          <w:szCs w:val="18"/>
        </w:rPr>
        <w:t xml:space="preserve">age </w:t>
      </w:r>
      <w:r w:rsidR="00C25D49" w:rsidRPr="001C3EDC">
        <w:rPr>
          <w:rFonts w:ascii="Calibri" w:hAnsi="Calibri"/>
          <w:i/>
          <w:color w:val="44546A"/>
          <w:sz w:val="22"/>
          <w:szCs w:val="18"/>
        </w:rPr>
        <w:t>of change</w:t>
      </w:r>
      <w:r w:rsidR="008354E8" w:rsidRPr="001C3EDC">
        <w:rPr>
          <w:rFonts w:ascii="Calibri" w:hAnsi="Calibri"/>
          <w:i/>
          <w:color w:val="44546A"/>
          <w:sz w:val="22"/>
          <w:szCs w:val="18"/>
        </w:rPr>
        <w:t xml:space="preserve">, </w:t>
      </w:r>
      <w:r w:rsidR="00833099" w:rsidRPr="001C3EDC">
        <w:rPr>
          <w:rFonts w:ascii="Calibri" w:hAnsi="Calibri"/>
          <w:i/>
          <w:color w:val="44546A"/>
          <w:sz w:val="22"/>
          <w:szCs w:val="18"/>
        </w:rPr>
        <w:t>compared to</w:t>
      </w:r>
      <w:r w:rsidR="000E53EB" w:rsidRPr="001C3EDC">
        <w:rPr>
          <w:rFonts w:ascii="Calibri" w:hAnsi="Calibri"/>
          <w:i/>
          <w:color w:val="44546A"/>
          <w:sz w:val="22"/>
          <w:szCs w:val="18"/>
        </w:rPr>
        <w:t xml:space="preserve"> the baseline</w:t>
      </w:r>
      <w:r w:rsidR="004F43A2" w:rsidRPr="001C3EDC">
        <w:rPr>
          <w:rFonts w:ascii="Calibri" w:hAnsi="Calibri"/>
          <w:i/>
          <w:color w:val="44546A"/>
          <w:sz w:val="22"/>
          <w:szCs w:val="18"/>
        </w:rPr>
        <w:t xml:space="preserve"> without climate change</w:t>
      </w:r>
      <w:r w:rsidR="000E53EB" w:rsidRPr="001C3EDC">
        <w:rPr>
          <w:rFonts w:ascii="Calibri" w:hAnsi="Calibri"/>
          <w:i/>
          <w:color w:val="44546A"/>
          <w:sz w:val="22"/>
          <w:szCs w:val="18"/>
        </w:rPr>
        <w:t>)</w:t>
      </w:r>
      <w:bookmarkEnd w:id="14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4665"/>
      </w:tblGrid>
      <w:tr w:rsidR="00DF5707" w:rsidRPr="001C3EDC" w14:paraId="6B3B18DD" w14:textId="77777777" w:rsidTr="004955B3">
        <w:tc>
          <w:tcPr>
            <w:tcW w:w="2476" w:type="pct"/>
          </w:tcPr>
          <w:p w14:paraId="032929E5" w14:textId="73A69A34" w:rsidR="00DF5707" w:rsidRPr="001C3EDC" w:rsidRDefault="004955B3" w:rsidP="000859A6">
            <w:pPr>
              <w:jc w:val="center"/>
              <w:rPr>
                <w:rFonts w:eastAsia="Calibri" w:cs="Times New Roman"/>
                <w:iCs/>
                <w:color w:val="000000" w:themeColor="text1"/>
                <w:sz w:val="20"/>
                <w:szCs w:val="20"/>
                <w:lang w:eastAsia="bg-BG"/>
              </w:rPr>
            </w:pPr>
            <w:r w:rsidRPr="000859A6">
              <w:rPr>
                <w:rFonts w:ascii="Calibri" w:eastAsia="Calibri" w:hAnsi="Calibri" w:cs="Times New Roman"/>
                <w:i/>
                <w:iCs/>
                <w:color w:val="44546A"/>
                <w:sz w:val="20"/>
                <w:szCs w:val="20"/>
                <w:lang w:eastAsia="bg-BG"/>
              </w:rPr>
              <w:t>Panel A: Optimistic 2°C with adaptation</w:t>
            </w:r>
          </w:p>
        </w:tc>
        <w:tc>
          <w:tcPr>
            <w:tcW w:w="2524" w:type="pct"/>
          </w:tcPr>
          <w:p w14:paraId="5D38E878" w14:textId="11E414CB" w:rsidR="00DF5707" w:rsidRPr="001C3EDC" w:rsidRDefault="004955B3" w:rsidP="000859A6">
            <w:pPr>
              <w:jc w:val="center"/>
              <w:rPr>
                <w:rFonts w:eastAsia="Calibri" w:cs="Times New Roman"/>
                <w:iCs/>
                <w:color w:val="000000" w:themeColor="text1"/>
                <w:sz w:val="20"/>
                <w:szCs w:val="20"/>
                <w:lang w:eastAsia="bg-BG"/>
              </w:rPr>
            </w:pPr>
            <w:r w:rsidRPr="000859A6">
              <w:rPr>
                <w:rFonts w:ascii="Calibri" w:eastAsia="Calibri" w:hAnsi="Calibri" w:cs="Times New Roman"/>
                <w:i/>
                <w:iCs/>
                <w:color w:val="44546A"/>
                <w:sz w:val="20"/>
                <w:szCs w:val="20"/>
                <w:lang w:eastAsia="bg-BG"/>
              </w:rPr>
              <w:t>Panel B: Pessimistic 4°C with adaptation</w:t>
            </w:r>
          </w:p>
        </w:tc>
      </w:tr>
      <w:tr w:rsidR="00DF5707" w:rsidRPr="001C3EDC" w14:paraId="091266D6" w14:textId="77777777" w:rsidTr="000859A6">
        <w:tc>
          <w:tcPr>
            <w:tcW w:w="2476" w:type="pct"/>
            <w:tcMar>
              <w:left w:w="0" w:type="dxa"/>
              <w:right w:w="0" w:type="dxa"/>
            </w:tcMar>
          </w:tcPr>
          <w:p w14:paraId="5535BBE3" w14:textId="485F552B" w:rsidR="00DF5707" w:rsidRPr="001C3EDC" w:rsidRDefault="004955B3" w:rsidP="00E4454E">
            <w:pPr>
              <w:keepNext/>
              <w:spacing w:after="0" w:line="240" w:lineRule="auto"/>
              <w:jc w:val="center"/>
              <w:rPr>
                <w:rFonts w:eastAsia="Calibri" w:cs="Times New Roman"/>
                <w:iCs/>
                <w:color w:val="000000" w:themeColor="text1"/>
                <w:sz w:val="20"/>
                <w:szCs w:val="20"/>
                <w:lang w:eastAsia="bg-BG"/>
              </w:rPr>
            </w:pPr>
            <w:r w:rsidRPr="001C3EDC">
              <w:rPr>
                <w:noProof/>
              </w:rPr>
              <w:drawing>
                <wp:inline distT="0" distB="0" distL="0" distR="0" wp14:anchorId="0C532652" wp14:editId="6205B153">
                  <wp:extent cx="2753995" cy="2661920"/>
                  <wp:effectExtent l="0" t="0" r="8255" b="5080"/>
                  <wp:docPr id="1032" name="Chart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2524" w:type="pct"/>
            <w:tcMar>
              <w:left w:w="0" w:type="dxa"/>
              <w:right w:w="0" w:type="dxa"/>
            </w:tcMar>
          </w:tcPr>
          <w:p w14:paraId="0975D8FF" w14:textId="624033D7" w:rsidR="00DF5707" w:rsidRPr="001C3EDC" w:rsidRDefault="004955B3" w:rsidP="00E4454E">
            <w:pPr>
              <w:keepNext/>
              <w:spacing w:after="0" w:line="240" w:lineRule="auto"/>
              <w:jc w:val="center"/>
              <w:rPr>
                <w:rFonts w:eastAsia="Calibri" w:cs="Times New Roman"/>
                <w:iCs/>
                <w:color w:val="000000" w:themeColor="text1"/>
                <w:sz w:val="20"/>
                <w:szCs w:val="20"/>
                <w:lang w:eastAsia="bg-BG"/>
              </w:rPr>
            </w:pPr>
            <w:r w:rsidRPr="001C3EDC">
              <w:rPr>
                <w:noProof/>
              </w:rPr>
              <w:drawing>
                <wp:inline distT="0" distB="0" distL="0" distR="0" wp14:anchorId="5411BBB6" wp14:editId="475B1194">
                  <wp:extent cx="2807970" cy="2662047"/>
                  <wp:effectExtent l="0" t="0" r="11430" b="5080"/>
                  <wp:docPr id="1033" name="Chart 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4473D154" w14:textId="59E9CCC9" w:rsidR="00473131" w:rsidRPr="001C3EDC" w:rsidRDefault="00473131" w:rsidP="00724F7C">
      <w:pPr>
        <w:pStyle w:val="Source"/>
      </w:pPr>
      <w:r w:rsidRPr="001C3EDC">
        <w:t>Source: Model simulations</w:t>
      </w:r>
      <w:r w:rsidR="00C06714" w:rsidRPr="001C3EDC">
        <w:t>.</w:t>
      </w:r>
    </w:p>
    <w:bookmarkEnd w:id="139"/>
    <w:p w14:paraId="6FF7363D" w14:textId="11F1C956" w:rsidR="00237B05" w:rsidRPr="001C3EDC" w:rsidRDefault="00D5555D" w:rsidP="00237B05">
      <w:pPr>
        <w:pStyle w:val="BodyText"/>
        <w:ind w:left="0" w:firstLine="0"/>
        <w:rPr>
          <w:b/>
        </w:rPr>
      </w:pPr>
      <w:r w:rsidRPr="001C3EDC">
        <w:rPr>
          <w:b/>
          <w:i/>
        </w:rPr>
        <w:t>Figure 34</w:t>
      </w:r>
      <w:r w:rsidRPr="001C3EDC">
        <w:t xml:space="preserve"> compares adaptation outcomes </w:t>
      </w:r>
      <w:r w:rsidR="004F43A2" w:rsidRPr="001C3EDC">
        <w:t>in</w:t>
      </w:r>
      <w:r w:rsidRPr="001C3EDC">
        <w:t xml:space="preserve"> the 2°C and 4°C scenarios for the agricultural and some of the food processing sectors that rely on agriculture as an input to their production process. The overall findings are that climate change has </w:t>
      </w:r>
      <w:r w:rsidR="006327D8" w:rsidRPr="001C3EDC">
        <w:t>a significantly differentiated</w:t>
      </w:r>
      <w:r w:rsidRPr="001C3EDC">
        <w:t xml:space="preserve"> impact on grains (for example, wheat, maize, and barley) and other crops such as vegetables and fruits. </w:t>
      </w:r>
      <w:r w:rsidR="006327D8" w:rsidRPr="001C3EDC">
        <w:t xml:space="preserve"> </w:t>
      </w:r>
      <w:r w:rsidR="004E4B08" w:rsidRPr="001C3EDC">
        <w:t xml:space="preserve">Change in output results from the combination of the direct impact of climate change on yield as well as changes in areas under cultivation. </w:t>
      </w:r>
      <w:r w:rsidR="00C97F78" w:rsidRPr="001C3EDC">
        <w:t>H</w:t>
      </w:r>
      <w:r w:rsidR="004E4B08" w:rsidRPr="001C3EDC">
        <w:t xml:space="preserve">uge drop in production for grains primarily reflects the former while minimal changes in production for other crops the latter. </w:t>
      </w:r>
      <w:r w:rsidRPr="001C3EDC">
        <w:t xml:space="preserve">While the adaptation policy considered here helps reduce the impact of climate change on grains, it does not, however, totally offset </w:t>
      </w:r>
      <w:r w:rsidR="000A09C6" w:rsidRPr="001C3EDC">
        <w:t>its</w:t>
      </w:r>
      <w:r w:rsidRPr="001C3EDC">
        <w:t xml:space="preserve"> </w:t>
      </w:r>
      <w:r w:rsidR="004E4B08" w:rsidRPr="001C3EDC">
        <w:t xml:space="preserve">overall </w:t>
      </w:r>
      <w:r w:rsidRPr="001C3EDC">
        <w:t xml:space="preserve">negative impact </w:t>
      </w:r>
      <w:r w:rsidR="004E4B08" w:rsidRPr="001C3EDC">
        <w:t>on</w:t>
      </w:r>
      <w:r w:rsidRPr="001C3EDC">
        <w:t xml:space="preserve"> agriculture and the food processing sectors.</w:t>
      </w:r>
      <w:r w:rsidR="008354E8" w:rsidRPr="001C3EDC">
        <w:t xml:space="preserve"> </w:t>
      </w:r>
      <w:r w:rsidRPr="001C3EDC">
        <w:t>This calls for a differentiated approach to the climate change adaptation policy for the agricultural sector in Bulgaria.</w:t>
      </w:r>
      <w:r w:rsidR="00237B05" w:rsidRPr="001C3EDC">
        <w:t xml:space="preserve"> </w:t>
      </w:r>
      <w:r w:rsidR="005E1402" w:rsidRPr="001C3EDC">
        <w:t xml:space="preserve">As shown </w:t>
      </w:r>
      <w:r w:rsidR="00437921" w:rsidRPr="001C3EDC">
        <w:t>i</w:t>
      </w:r>
      <w:r w:rsidR="005E1402" w:rsidRPr="001C3EDC">
        <w:t xml:space="preserve">n </w:t>
      </w:r>
      <w:r w:rsidR="005E1402" w:rsidRPr="001C3EDC">
        <w:rPr>
          <w:b/>
          <w:bCs/>
          <w:i/>
          <w:iCs/>
        </w:rPr>
        <w:t>Figure 3</w:t>
      </w:r>
      <w:r w:rsidR="008354E8" w:rsidRPr="001C3EDC">
        <w:rPr>
          <w:b/>
          <w:bCs/>
          <w:i/>
          <w:iCs/>
        </w:rPr>
        <w:t>5</w:t>
      </w:r>
      <w:r w:rsidR="00770A56" w:rsidRPr="001C3EDC">
        <w:t xml:space="preserve"> </w:t>
      </w:r>
      <w:r w:rsidR="00237B05" w:rsidRPr="001C3EDC">
        <w:t>(</w:t>
      </w:r>
      <w:r w:rsidR="00713743" w:rsidRPr="001C3EDC">
        <w:t xml:space="preserve">and in comparison, </w:t>
      </w:r>
      <w:r w:rsidR="00770A56" w:rsidRPr="001C3EDC">
        <w:rPr>
          <w:b/>
          <w:bCs/>
          <w:i/>
          <w:iCs/>
        </w:rPr>
        <w:t>Figure 25</w:t>
      </w:r>
      <w:r w:rsidR="00237B05" w:rsidRPr="001C3EDC">
        <w:t>)</w:t>
      </w:r>
      <w:r w:rsidR="005E1402" w:rsidRPr="001C3EDC">
        <w:t xml:space="preserve">, model simulations predict </w:t>
      </w:r>
      <w:r w:rsidR="000C341E" w:rsidRPr="001C3EDC">
        <w:t xml:space="preserve">the </w:t>
      </w:r>
      <w:r w:rsidR="00770A56" w:rsidRPr="001C3EDC">
        <w:t xml:space="preserve">largest benefits from adaptation for </w:t>
      </w:r>
      <w:r w:rsidR="00237B05" w:rsidRPr="001C3EDC">
        <w:t>grains. In terms of RBs, that’s the Danube region which could experience the largest changes in production, from adaptation.</w:t>
      </w:r>
    </w:p>
    <w:p w14:paraId="45E905EC" w14:textId="7A9F49FD" w:rsidR="00405AAA" w:rsidRPr="001C3EDC" w:rsidRDefault="00405AAA" w:rsidP="00CA5CD0">
      <w:pPr>
        <w:pStyle w:val="BodyText"/>
        <w:tabs>
          <w:tab w:val="left" w:pos="720"/>
        </w:tabs>
        <w:ind w:left="0" w:firstLine="0"/>
      </w:pPr>
      <w:r w:rsidRPr="001C3EDC">
        <w:t xml:space="preserve">Overall, prices are expected to increase under climate change without adaptation (except for </w:t>
      </w:r>
      <w:r w:rsidR="008354E8" w:rsidRPr="001C3EDC">
        <w:t>energy-intensive trade-exposed sectors</w:t>
      </w:r>
      <w:r w:rsidRPr="001C3EDC">
        <w:t xml:space="preserve">). In the adaptation scenarios, the model forces investments in </w:t>
      </w:r>
      <w:r w:rsidR="008354E8" w:rsidRPr="001C3EDC">
        <w:t>those</w:t>
      </w:r>
      <w:r w:rsidRPr="001C3EDC">
        <w:t xml:space="preserve"> sectors that produce the main consumption goods, leading to an increase in productivity and decrease in prices for final goods from these sectors.</w:t>
      </w:r>
    </w:p>
    <w:p w14:paraId="7512C432" w14:textId="4289F520" w:rsidR="005E1402" w:rsidRPr="001C3EDC" w:rsidRDefault="00725C93" w:rsidP="00725C93">
      <w:pPr>
        <w:pStyle w:val="Heading2"/>
      </w:pPr>
      <w:bookmarkStart w:id="142" w:name="_Toc522036466"/>
      <w:r w:rsidRPr="001C3EDC">
        <w:t>4.2.</w:t>
      </w:r>
      <w:r w:rsidRPr="001C3EDC">
        <w:tab/>
      </w:r>
      <w:r w:rsidR="00BD4C64" w:rsidRPr="001C3EDC">
        <w:t>Policy 2</w:t>
      </w:r>
      <w:r w:rsidRPr="001C3EDC">
        <w:t>:</w:t>
      </w:r>
      <w:r w:rsidR="005E1402" w:rsidRPr="001C3EDC">
        <w:t xml:space="preserve"> Adaptation </w:t>
      </w:r>
      <w:r w:rsidR="000D35A0" w:rsidRPr="001C3EDC">
        <w:t>financed by foreign funds earmarked to investments in agriculture and tourism</w:t>
      </w:r>
      <w:bookmarkEnd w:id="142"/>
    </w:p>
    <w:p w14:paraId="748A0F01" w14:textId="77777777" w:rsidR="005D05BC" w:rsidRPr="001C3EDC" w:rsidRDefault="005D05BC" w:rsidP="005D05BC">
      <w:pPr>
        <w:pStyle w:val="BodyText"/>
        <w:tabs>
          <w:tab w:val="left" w:pos="720"/>
        </w:tabs>
        <w:ind w:left="0" w:firstLine="0"/>
      </w:pPr>
      <w:r w:rsidRPr="001C3EDC">
        <w:t xml:space="preserve">This section proposes an adaptation strategy financed by foreign funds, such as structural funds from the European Union, or their successors, or other bi- or multi-lateral mechanism focused on climate finance, at no cost to the Bulgarian economy. The magnitude </w:t>
      </w:r>
      <w:r w:rsidRPr="001C3EDC">
        <w:lastRenderedPageBreak/>
        <w:t>of this inflow is equivalent to the fiscal revenues proposed in the previous scenario, which is 0.1 percent of GDP.</w:t>
      </w:r>
    </w:p>
    <w:p w14:paraId="7D7A1FDC" w14:textId="0EFA0D9C" w:rsidR="005E1402" w:rsidRPr="001C3EDC" w:rsidRDefault="005E1402" w:rsidP="00CA5CD0">
      <w:pPr>
        <w:pStyle w:val="BodyText"/>
        <w:tabs>
          <w:tab w:val="left" w:pos="720"/>
        </w:tabs>
        <w:ind w:left="0" w:firstLine="0"/>
      </w:pPr>
      <w:r w:rsidRPr="001C3EDC">
        <w:t xml:space="preserve">Like in the previous section, this scenario </w:t>
      </w:r>
      <w:r w:rsidR="00042448" w:rsidRPr="001C3EDC">
        <w:t xml:space="preserve">also </w:t>
      </w:r>
      <w:r w:rsidRPr="001C3EDC">
        <w:t xml:space="preserve">assumes a </w:t>
      </w:r>
      <w:r w:rsidR="00A91539" w:rsidRPr="001C3EDC">
        <w:t>‘</w:t>
      </w:r>
      <w:r w:rsidRPr="001C3EDC">
        <w:t>no-cost adaptation</w:t>
      </w:r>
      <w:r w:rsidR="00A91539" w:rsidRPr="001C3EDC">
        <w:t>’</w:t>
      </w:r>
      <w:r w:rsidRPr="001C3EDC">
        <w:t xml:space="preserve"> path which reduces climate change impact by 33</w:t>
      </w:r>
      <w:r w:rsidR="00A91539" w:rsidRPr="001C3EDC">
        <w:t xml:space="preserve"> percent</w:t>
      </w:r>
      <w:r w:rsidRPr="001C3EDC">
        <w:t xml:space="preserve">. On top of that, received funds are earmarked to certain sectors of the economy (as investment) to hedge against losses in sectoral production and competitiveness because of climate change. </w:t>
      </w:r>
    </w:p>
    <w:p w14:paraId="5125326F" w14:textId="369AA08E" w:rsidR="005E1402" w:rsidRPr="001C3EDC" w:rsidRDefault="00293A33" w:rsidP="00CA5CD0">
      <w:pPr>
        <w:pStyle w:val="BodyText"/>
        <w:tabs>
          <w:tab w:val="left" w:pos="720"/>
        </w:tabs>
        <w:ind w:left="0" w:firstLine="0"/>
        <w:rPr>
          <w:rFonts w:eastAsia="Times New Roman"/>
        </w:rPr>
      </w:pPr>
      <w:r w:rsidRPr="001C3EDC">
        <w:t>This</w:t>
      </w:r>
      <w:r w:rsidRPr="001C3EDC">
        <w:rPr>
          <w:rFonts w:eastAsia="Times New Roman"/>
        </w:rPr>
        <w:t xml:space="preserve"> inflow of funds</w:t>
      </w:r>
      <w:r w:rsidR="005E1402" w:rsidRPr="001C3EDC">
        <w:rPr>
          <w:rFonts w:eastAsia="Times New Roman"/>
        </w:rPr>
        <w:t xml:space="preserve"> </w:t>
      </w:r>
      <w:r w:rsidR="00BD4C64" w:rsidRPr="001C3EDC">
        <w:rPr>
          <w:rFonts w:eastAsia="Times New Roman"/>
        </w:rPr>
        <w:t>rise</w:t>
      </w:r>
      <w:r w:rsidRPr="001C3EDC">
        <w:rPr>
          <w:rFonts w:eastAsia="Times New Roman"/>
        </w:rPr>
        <w:t>s</w:t>
      </w:r>
      <w:r w:rsidR="005E1402" w:rsidRPr="001C3EDC">
        <w:rPr>
          <w:rFonts w:eastAsia="Times New Roman"/>
        </w:rPr>
        <w:t xml:space="preserve"> the capital availability in Bulgaria by 2.5</w:t>
      </w:r>
      <w:r w:rsidR="0055202B" w:rsidRPr="001C3EDC">
        <w:rPr>
          <w:rFonts w:eastAsia="Times New Roman"/>
        </w:rPr>
        <w:t xml:space="preserve"> percent</w:t>
      </w:r>
      <w:r w:rsidR="00BD4C64" w:rsidRPr="001C3EDC">
        <w:rPr>
          <w:rFonts w:eastAsia="Times New Roman"/>
        </w:rPr>
        <w:t>.</w:t>
      </w:r>
      <w:r w:rsidR="005E1402" w:rsidRPr="001C3EDC">
        <w:rPr>
          <w:rFonts w:eastAsia="Times New Roman"/>
        </w:rPr>
        <w:t xml:space="preserve"> These funds are earmarked to productive sectors for public and private </w:t>
      </w:r>
      <w:r w:rsidR="00BD4C64" w:rsidRPr="001C3EDC">
        <w:rPr>
          <w:rFonts w:eastAsia="Times New Roman"/>
        </w:rPr>
        <w:t>investments aiming</w:t>
      </w:r>
      <w:r w:rsidR="005E1402" w:rsidRPr="001C3EDC">
        <w:rPr>
          <w:rFonts w:eastAsia="Times New Roman"/>
        </w:rPr>
        <w:t xml:space="preserve"> </w:t>
      </w:r>
      <w:r w:rsidR="00042448" w:rsidRPr="001C3EDC">
        <w:rPr>
          <w:rFonts w:eastAsia="Times New Roman"/>
        </w:rPr>
        <w:t xml:space="preserve">at </w:t>
      </w:r>
      <w:r w:rsidR="005E1402" w:rsidRPr="001C3EDC">
        <w:rPr>
          <w:rFonts w:eastAsia="Times New Roman"/>
        </w:rPr>
        <w:t>adaptation</w:t>
      </w:r>
      <w:r w:rsidR="00891BD9" w:rsidRPr="001C3EDC">
        <w:rPr>
          <w:rFonts w:eastAsia="Times New Roman"/>
        </w:rPr>
        <w:t xml:space="preserve">, leading to </w:t>
      </w:r>
      <w:r w:rsidR="005E1402" w:rsidRPr="001C3EDC">
        <w:rPr>
          <w:rFonts w:eastAsia="Times New Roman"/>
        </w:rPr>
        <w:t>10</w:t>
      </w:r>
      <w:r w:rsidR="0055202B" w:rsidRPr="001C3EDC">
        <w:rPr>
          <w:rFonts w:eastAsia="Times New Roman"/>
        </w:rPr>
        <w:t xml:space="preserve"> percent</w:t>
      </w:r>
      <w:r w:rsidR="005E1402" w:rsidRPr="001C3EDC">
        <w:rPr>
          <w:rFonts w:eastAsia="Times New Roman"/>
        </w:rPr>
        <w:t>, 20</w:t>
      </w:r>
      <w:r w:rsidR="0055202B" w:rsidRPr="001C3EDC">
        <w:rPr>
          <w:rFonts w:eastAsia="Times New Roman"/>
        </w:rPr>
        <w:t xml:space="preserve"> percent,</w:t>
      </w:r>
      <w:r w:rsidR="005E1402" w:rsidRPr="001C3EDC">
        <w:rPr>
          <w:rFonts w:eastAsia="Times New Roman"/>
        </w:rPr>
        <w:t xml:space="preserve"> and 30</w:t>
      </w:r>
      <w:r w:rsidR="0055202B" w:rsidRPr="001C3EDC">
        <w:rPr>
          <w:rFonts w:eastAsia="Times New Roman"/>
        </w:rPr>
        <w:t xml:space="preserve"> percent</w:t>
      </w:r>
      <w:r w:rsidR="005E1402" w:rsidRPr="001C3EDC">
        <w:rPr>
          <w:rFonts w:eastAsia="Times New Roman"/>
        </w:rPr>
        <w:t xml:space="preserve"> reductions in losses from</w:t>
      </w:r>
      <w:r w:rsidR="00BD4C64" w:rsidRPr="001C3EDC">
        <w:rPr>
          <w:rFonts w:eastAsia="Times New Roman"/>
        </w:rPr>
        <w:t xml:space="preserve"> </w:t>
      </w:r>
      <w:r w:rsidR="005E1402" w:rsidRPr="001C3EDC">
        <w:rPr>
          <w:rFonts w:eastAsia="Times New Roman"/>
        </w:rPr>
        <w:t>climate change</w:t>
      </w:r>
      <w:r w:rsidR="00BD4C64" w:rsidRPr="001C3EDC">
        <w:rPr>
          <w:rFonts w:eastAsia="Times New Roman"/>
        </w:rPr>
        <w:t>.</w:t>
      </w:r>
      <w:r w:rsidR="005E1402" w:rsidRPr="001C3EDC">
        <w:rPr>
          <w:rFonts w:eastAsia="Times New Roman"/>
        </w:rPr>
        <w:t xml:space="preserve"> The model is used to determine the level of a shock on capital productivity that </w:t>
      </w:r>
      <w:r w:rsidR="00BD4C64" w:rsidRPr="001C3EDC">
        <w:rPr>
          <w:rFonts w:eastAsia="Times New Roman"/>
        </w:rPr>
        <w:t>would mimic</w:t>
      </w:r>
      <w:r w:rsidR="005E1402" w:rsidRPr="001C3EDC">
        <w:rPr>
          <w:rFonts w:eastAsia="Times New Roman"/>
        </w:rPr>
        <w:t xml:space="preserve"> </w:t>
      </w:r>
      <w:r w:rsidRPr="001C3EDC">
        <w:rPr>
          <w:rFonts w:eastAsia="Times New Roman"/>
        </w:rPr>
        <w:t xml:space="preserve">this funding </w:t>
      </w:r>
      <w:r w:rsidR="005E1402" w:rsidRPr="001C3EDC">
        <w:rPr>
          <w:rFonts w:eastAsia="Times New Roman"/>
        </w:rPr>
        <w:t xml:space="preserve">inflow for adaptation. </w:t>
      </w:r>
    </w:p>
    <w:p w14:paraId="1B0C9B60" w14:textId="37D8A92A" w:rsidR="005E1402" w:rsidRPr="001C3EDC" w:rsidRDefault="005E1402" w:rsidP="00CA5CD0">
      <w:pPr>
        <w:pStyle w:val="BodyText"/>
        <w:tabs>
          <w:tab w:val="left" w:pos="720"/>
        </w:tabs>
        <w:ind w:left="0" w:firstLine="0"/>
        <w:rPr>
          <w:rFonts w:eastAsia="Times New Roman"/>
        </w:rPr>
      </w:pPr>
      <w:r w:rsidRPr="001C3EDC">
        <w:rPr>
          <w:rFonts w:eastAsia="Times New Roman"/>
        </w:rPr>
        <w:t xml:space="preserve">The adaptation funds are then used for investments to offset </w:t>
      </w:r>
      <w:r w:rsidR="00BD4C64" w:rsidRPr="001C3EDC">
        <w:rPr>
          <w:rFonts w:eastAsia="Times New Roman"/>
        </w:rPr>
        <w:t>the adverse</w:t>
      </w:r>
      <w:r w:rsidRPr="001C3EDC">
        <w:rPr>
          <w:rFonts w:eastAsia="Times New Roman"/>
        </w:rPr>
        <w:t xml:space="preserve"> impact of climate </w:t>
      </w:r>
      <w:r w:rsidRPr="001C3EDC">
        <w:t>change</w:t>
      </w:r>
      <w:r w:rsidRPr="001C3EDC">
        <w:rPr>
          <w:rFonts w:eastAsia="Times New Roman"/>
        </w:rPr>
        <w:t xml:space="preserve"> by 10</w:t>
      </w:r>
      <w:r w:rsidR="003C2448" w:rsidRPr="001C3EDC">
        <w:rPr>
          <w:rFonts w:eastAsia="Times New Roman"/>
        </w:rPr>
        <w:t xml:space="preserve"> percent</w:t>
      </w:r>
      <w:r w:rsidRPr="001C3EDC">
        <w:rPr>
          <w:rFonts w:eastAsia="Times New Roman"/>
        </w:rPr>
        <w:t>, 20</w:t>
      </w:r>
      <w:r w:rsidR="003C2448" w:rsidRPr="001C3EDC">
        <w:rPr>
          <w:rFonts w:eastAsia="Times New Roman"/>
        </w:rPr>
        <w:t xml:space="preserve"> percent</w:t>
      </w:r>
      <w:r w:rsidR="00293A33" w:rsidRPr="001C3EDC">
        <w:rPr>
          <w:rFonts w:eastAsia="Times New Roman"/>
        </w:rPr>
        <w:t>,</w:t>
      </w:r>
      <w:r w:rsidRPr="001C3EDC">
        <w:rPr>
          <w:rFonts w:eastAsia="Times New Roman"/>
        </w:rPr>
        <w:t xml:space="preserve"> and 30</w:t>
      </w:r>
      <w:r w:rsidR="003C2448" w:rsidRPr="001C3EDC">
        <w:rPr>
          <w:rFonts w:eastAsia="Times New Roman"/>
        </w:rPr>
        <w:t xml:space="preserve"> percent</w:t>
      </w:r>
      <w:r w:rsidRPr="001C3EDC">
        <w:rPr>
          <w:rFonts w:eastAsia="Times New Roman"/>
        </w:rPr>
        <w:t xml:space="preserve"> in two key sectors which are agriculture and tourism. These two sectors are chosen as main beneficiaries of adaptation funds because of their high vulnerability to climate </w:t>
      </w:r>
      <w:r w:rsidRPr="001C3EDC">
        <w:t>change</w:t>
      </w:r>
      <w:r w:rsidRPr="001C3EDC">
        <w:rPr>
          <w:rFonts w:eastAsia="Times New Roman"/>
        </w:rPr>
        <w:t xml:space="preserve"> and also because they are labor</w:t>
      </w:r>
      <w:r w:rsidR="0010152E" w:rsidRPr="001C3EDC">
        <w:rPr>
          <w:rFonts w:eastAsia="Times New Roman"/>
        </w:rPr>
        <w:t>-</w:t>
      </w:r>
      <w:r w:rsidRPr="001C3EDC">
        <w:rPr>
          <w:rFonts w:eastAsia="Times New Roman"/>
        </w:rPr>
        <w:t>intensive sectors. These two sectors are seen as major creator</w:t>
      </w:r>
      <w:r w:rsidR="00042448" w:rsidRPr="001C3EDC">
        <w:rPr>
          <w:rFonts w:eastAsia="Times New Roman"/>
        </w:rPr>
        <w:t>s</w:t>
      </w:r>
      <w:r w:rsidRPr="001C3EDC">
        <w:rPr>
          <w:rFonts w:eastAsia="Times New Roman"/>
        </w:rPr>
        <w:t xml:space="preserve"> of economic opportunities for the future generations.</w:t>
      </w:r>
    </w:p>
    <w:p w14:paraId="50EE2D39" w14:textId="05BA405D" w:rsidR="005E1402" w:rsidRPr="008E0DFF" w:rsidRDefault="00293A33" w:rsidP="00CA5CD0">
      <w:pPr>
        <w:pStyle w:val="BodyText"/>
        <w:tabs>
          <w:tab w:val="left" w:pos="720"/>
        </w:tabs>
        <w:ind w:left="0" w:firstLine="0"/>
        <w:rPr>
          <w:rFonts w:eastAsia="Times New Roman"/>
        </w:rPr>
      </w:pPr>
      <w:r w:rsidRPr="008E0DFF">
        <w:rPr>
          <w:rFonts w:eastAsia="Times New Roman"/>
        </w:rPr>
        <w:t>From</w:t>
      </w:r>
      <w:r w:rsidR="005E1402" w:rsidRPr="008E0DFF">
        <w:rPr>
          <w:rFonts w:eastAsia="Times New Roman"/>
        </w:rPr>
        <w:t xml:space="preserve"> </w:t>
      </w:r>
      <w:r w:rsidR="00BD4C64" w:rsidRPr="008E0DFF">
        <w:rPr>
          <w:rFonts w:eastAsia="Times New Roman"/>
          <w:b/>
          <w:i/>
        </w:rPr>
        <w:t>F</w:t>
      </w:r>
      <w:r w:rsidR="005E1402" w:rsidRPr="008E0DFF">
        <w:rPr>
          <w:rFonts w:eastAsia="Times New Roman"/>
          <w:b/>
          <w:i/>
        </w:rPr>
        <w:t xml:space="preserve">igure </w:t>
      </w:r>
      <w:r w:rsidR="00BD4C64" w:rsidRPr="008E0DFF">
        <w:rPr>
          <w:rFonts w:eastAsia="Times New Roman"/>
          <w:b/>
          <w:i/>
        </w:rPr>
        <w:t>3</w:t>
      </w:r>
      <w:r w:rsidRPr="008E0DFF">
        <w:rPr>
          <w:rFonts w:eastAsia="Times New Roman"/>
          <w:b/>
          <w:i/>
        </w:rPr>
        <w:t>6</w:t>
      </w:r>
      <w:r w:rsidR="005E1402" w:rsidRPr="008E0DFF">
        <w:rPr>
          <w:rFonts w:eastAsia="Times New Roman"/>
        </w:rPr>
        <w:t>, it can be</w:t>
      </w:r>
      <w:r w:rsidR="00BD4C64" w:rsidRPr="008E0DFF">
        <w:rPr>
          <w:rFonts w:eastAsia="Times New Roman"/>
        </w:rPr>
        <w:t xml:space="preserve"> seen that adaptation </w:t>
      </w:r>
      <w:r w:rsidR="00042448" w:rsidRPr="008E0DFF">
        <w:rPr>
          <w:rFonts w:eastAsia="Times New Roman"/>
        </w:rPr>
        <w:t xml:space="preserve">to a </w:t>
      </w:r>
      <w:r w:rsidR="00BD4C64" w:rsidRPr="008E0DFF">
        <w:rPr>
          <w:rFonts w:eastAsia="Times New Roman"/>
        </w:rPr>
        <w:t>4</w:t>
      </w:r>
      <w:r w:rsidR="00C84412" w:rsidRPr="008E0DFF">
        <w:rPr>
          <w:rFonts w:eastAsia="Times New Roman"/>
        </w:rPr>
        <w:t>°C</w:t>
      </w:r>
      <w:r w:rsidR="005E1402" w:rsidRPr="008E0DFF">
        <w:rPr>
          <w:rFonts w:eastAsia="Times New Roman"/>
        </w:rPr>
        <w:t xml:space="preserve"> temperature </w:t>
      </w:r>
      <w:r w:rsidR="0082675C" w:rsidRPr="008E0DFF">
        <w:rPr>
          <w:rFonts w:eastAsia="Times New Roman"/>
        </w:rPr>
        <w:t xml:space="preserve">rise </w:t>
      </w:r>
      <w:r w:rsidR="005E1402" w:rsidRPr="008E0DFF">
        <w:rPr>
          <w:rFonts w:eastAsia="Times New Roman"/>
        </w:rPr>
        <w:t>generate</w:t>
      </w:r>
      <w:r w:rsidR="00042448" w:rsidRPr="008E0DFF">
        <w:rPr>
          <w:rFonts w:eastAsia="Times New Roman"/>
        </w:rPr>
        <w:t>s</w:t>
      </w:r>
      <w:r w:rsidR="005E1402" w:rsidRPr="008E0DFF">
        <w:rPr>
          <w:rFonts w:eastAsia="Times New Roman"/>
        </w:rPr>
        <w:t xml:space="preserve"> stronger effects on sectoral output </w:t>
      </w:r>
      <w:r w:rsidR="0082675C" w:rsidRPr="008E0DFF">
        <w:rPr>
          <w:rFonts w:eastAsia="Times New Roman"/>
        </w:rPr>
        <w:t xml:space="preserve">across </w:t>
      </w:r>
      <w:r w:rsidR="005E1402" w:rsidRPr="008E0DFF">
        <w:rPr>
          <w:rFonts w:eastAsia="Times New Roman"/>
        </w:rPr>
        <w:t>sectors</w:t>
      </w:r>
      <w:r w:rsidR="0082675C" w:rsidRPr="008E0DFF">
        <w:rPr>
          <w:rFonts w:eastAsia="Times New Roman"/>
        </w:rPr>
        <w:t xml:space="preserve"> than adaptation to a 2°C temperature rise</w:t>
      </w:r>
      <w:r w:rsidR="005E1402" w:rsidRPr="008E0DFF">
        <w:rPr>
          <w:rFonts w:eastAsia="Times New Roman"/>
        </w:rPr>
        <w:t>. Grains and other services (which include tourism) are the most affected</w:t>
      </w:r>
      <w:r w:rsidR="0082675C" w:rsidRPr="008E0DFF">
        <w:rPr>
          <w:rFonts w:eastAsia="Times New Roman"/>
        </w:rPr>
        <w:t>:</w:t>
      </w:r>
      <w:r w:rsidR="005E1402" w:rsidRPr="008E0DFF">
        <w:rPr>
          <w:rFonts w:eastAsia="Times New Roman"/>
        </w:rPr>
        <w:t xml:space="preserve"> grain output decrease</w:t>
      </w:r>
      <w:r w:rsidR="00042448" w:rsidRPr="008E0DFF">
        <w:rPr>
          <w:rFonts w:eastAsia="Times New Roman"/>
        </w:rPr>
        <w:t>s</w:t>
      </w:r>
      <w:r w:rsidR="005E1402" w:rsidRPr="008E0DFF">
        <w:rPr>
          <w:rFonts w:eastAsia="Times New Roman"/>
        </w:rPr>
        <w:t xml:space="preserve"> in both cases</w:t>
      </w:r>
      <w:r w:rsidR="0082675C" w:rsidRPr="008E0DFF">
        <w:rPr>
          <w:rFonts w:eastAsia="Times New Roman"/>
        </w:rPr>
        <w:t xml:space="preserve"> (in comparison to the </w:t>
      </w:r>
      <w:r w:rsidR="00713743" w:rsidRPr="008E0DFF">
        <w:rPr>
          <w:rFonts w:eastAsia="Times New Roman"/>
        </w:rPr>
        <w:t>baseline but</w:t>
      </w:r>
      <w:r w:rsidR="0082675C" w:rsidRPr="008E0DFF">
        <w:rPr>
          <w:rFonts w:eastAsia="Times New Roman"/>
        </w:rPr>
        <w:t xml:space="preserve"> increases in comparison to the no adaptation </w:t>
      </w:r>
      <w:r w:rsidR="00FB1D4D" w:rsidRPr="008E0DFF">
        <w:rPr>
          <w:rFonts w:eastAsia="Times New Roman"/>
        </w:rPr>
        <w:t>scenario</w:t>
      </w:r>
      <w:r w:rsidR="0082675C" w:rsidRPr="008E0DFF">
        <w:rPr>
          <w:rFonts w:eastAsia="Times New Roman"/>
        </w:rPr>
        <w:t>)</w:t>
      </w:r>
      <w:r w:rsidR="005E1402" w:rsidRPr="008E0DFF">
        <w:rPr>
          <w:rFonts w:eastAsia="Times New Roman"/>
        </w:rPr>
        <w:t xml:space="preserve">, while tourism output increases. </w:t>
      </w:r>
      <w:r w:rsidR="00BD4C64" w:rsidRPr="008E0DFF">
        <w:rPr>
          <w:rFonts w:eastAsia="Times New Roman"/>
          <w:b/>
          <w:i/>
        </w:rPr>
        <w:t xml:space="preserve">Figure </w:t>
      </w:r>
      <w:r w:rsidRPr="008E0DFF">
        <w:rPr>
          <w:rFonts w:eastAsia="Times New Roman"/>
          <w:b/>
          <w:i/>
        </w:rPr>
        <w:t>37</w:t>
      </w:r>
      <w:r w:rsidR="005E1402" w:rsidRPr="008E0DFF">
        <w:rPr>
          <w:rFonts w:eastAsia="Times New Roman"/>
        </w:rPr>
        <w:t xml:space="preserve"> suggests that adaptation almost eliminates all negative GDP effects in both optimistic and</w:t>
      </w:r>
      <w:r w:rsidR="00FC4AB1" w:rsidRPr="008E0DFF">
        <w:rPr>
          <w:rFonts w:eastAsia="Times New Roman"/>
        </w:rPr>
        <w:t xml:space="preserve"> pessimistic scenarios. </w:t>
      </w:r>
      <w:r w:rsidR="00FC4AB1" w:rsidRPr="008E0DFF">
        <w:rPr>
          <w:rFonts w:eastAsia="Times New Roman"/>
          <w:b/>
          <w:i/>
        </w:rPr>
        <w:t xml:space="preserve">Figure </w:t>
      </w:r>
      <w:r w:rsidRPr="008E0DFF">
        <w:rPr>
          <w:rFonts w:eastAsia="Times New Roman"/>
          <w:b/>
          <w:i/>
        </w:rPr>
        <w:t>38</w:t>
      </w:r>
      <w:r w:rsidR="005E1402" w:rsidRPr="008E0DFF">
        <w:rPr>
          <w:rFonts w:eastAsia="Times New Roman"/>
        </w:rPr>
        <w:t xml:space="preserve"> indicates </w:t>
      </w:r>
      <w:r w:rsidRPr="008E0DFF">
        <w:rPr>
          <w:rFonts w:eastAsia="Times New Roman"/>
        </w:rPr>
        <w:t xml:space="preserve">in turn </w:t>
      </w:r>
      <w:r w:rsidR="009170DF" w:rsidRPr="008E0DFF">
        <w:rPr>
          <w:rFonts w:eastAsia="Times New Roman"/>
        </w:rPr>
        <w:t xml:space="preserve">that </w:t>
      </w:r>
      <w:r w:rsidR="005E1402" w:rsidRPr="008E0DFF">
        <w:rPr>
          <w:rFonts w:eastAsia="Times New Roman"/>
        </w:rPr>
        <w:t xml:space="preserve">while they are hugely negative in both optimistic and pessimistic cases </w:t>
      </w:r>
      <w:r w:rsidR="006648D5" w:rsidRPr="008E0DFF">
        <w:rPr>
          <w:rFonts w:eastAsia="Times New Roman"/>
        </w:rPr>
        <w:t>‘</w:t>
      </w:r>
      <w:r w:rsidR="005E1402" w:rsidRPr="008E0DFF">
        <w:rPr>
          <w:rFonts w:eastAsia="Times New Roman"/>
        </w:rPr>
        <w:t>without adaptation</w:t>
      </w:r>
      <w:r w:rsidR="006648D5" w:rsidRPr="008E0DFF">
        <w:rPr>
          <w:rFonts w:eastAsia="Times New Roman"/>
        </w:rPr>
        <w:t>’</w:t>
      </w:r>
      <w:r w:rsidR="005E1402" w:rsidRPr="008E0DFF">
        <w:rPr>
          <w:rFonts w:eastAsia="Times New Roman"/>
        </w:rPr>
        <w:t xml:space="preserve">, </w:t>
      </w:r>
      <w:r w:rsidR="0082675C" w:rsidRPr="008E0DFF">
        <w:rPr>
          <w:rFonts w:eastAsia="Times New Roman"/>
        </w:rPr>
        <w:t>the negative effects from climate change on economic welfare are canceled out in the ‘</w:t>
      </w:r>
      <w:r w:rsidR="005E1402" w:rsidRPr="008E0DFF">
        <w:rPr>
          <w:rFonts w:eastAsia="Times New Roman"/>
        </w:rPr>
        <w:t>w</w:t>
      </w:r>
      <w:r w:rsidR="006648D5" w:rsidRPr="008E0DFF">
        <w:rPr>
          <w:rFonts w:eastAsia="Times New Roman"/>
        </w:rPr>
        <w:t>ith</w:t>
      </w:r>
      <w:r w:rsidR="005E1402" w:rsidRPr="008E0DFF">
        <w:rPr>
          <w:rFonts w:eastAsia="Times New Roman"/>
        </w:rPr>
        <w:t xml:space="preserve"> adaptation</w:t>
      </w:r>
      <w:r w:rsidR="006648D5" w:rsidRPr="008E0DFF">
        <w:rPr>
          <w:rFonts w:eastAsia="Times New Roman"/>
        </w:rPr>
        <w:t>’</w:t>
      </w:r>
      <w:r w:rsidR="005E1402" w:rsidRPr="008E0DFF">
        <w:rPr>
          <w:rFonts w:eastAsia="Times New Roman"/>
        </w:rPr>
        <w:t xml:space="preserve"> </w:t>
      </w:r>
      <w:r w:rsidR="00FB1D4D" w:rsidRPr="008E0DFF">
        <w:rPr>
          <w:rFonts w:eastAsia="Times New Roman"/>
        </w:rPr>
        <w:t>scenarios</w:t>
      </w:r>
      <w:r w:rsidR="005E1402" w:rsidRPr="008E0DFF">
        <w:rPr>
          <w:rFonts w:eastAsia="Times New Roman"/>
        </w:rPr>
        <w:t>.</w:t>
      </w:r>
    </w:p>
    <w:p w14:paraId="478F38BC" w14:textId="2B415E3B" w:rsidR="00B309BD" w:rsidRPr="001C3EDC" w:rsidRDefault="00EE0AC3" w:rsidP="004F7F4A">
      <w:pPr>
        <w:pStyle w:val="Caption"/>
        <w:spacing w:before="200"/>
      </w:pPr>
      <w:bookmarkStart w:id="143" w:name="_Toc522036507"/>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36</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B309BD" w:rsidRPr="001C3EDC">
        <w:rPr>
          <w:rFonts w:ascii="Calibri" w:hAnsi="Calibri"/>
          <w:i/>
          <w:color w:val="44546A"/>
          <w:sz w:val="22"/>
          <w:szCs w:val="18"/>
        </w:rPr>
        <w:t>Impact of climate change and adaptation scenario on output</w:t>
      </w:r>
      <w:r w:rsidR="004F7F4A" w:rsidRPr="001C3EDC">
        <w:rPr>
          <w:rFonts w:ascii="Calibri" w:hAnsi="Calibri"/>
          <w:i/>
          <w:color w:val="44546A"/>
          <w:sz w:val="22"/>
          <w:szCs w:val="18"/>
        </w:rPr>
        <w:br/>
      </w:r>
      <w:r w:rsidR="00B309BD" w:rsidRPr="001C3EDC">
        <w:rPr>
          <w:rFonts w:ascii="Calibri" w:hAnsi="Calibri"/>
          <w:i/>
          <w:color w:val="44546A"/>
          <w:sz w:val="22"/>
          <w:szCs w:val="18"/>
        </w:rPr>
        <w:t>(</w:t>
      </w:r>
      <w:r w:rsidR="00833099" w:rsidRPr="001C3EDC">
        <w:rPr>
          <w:rFonts w:ascii="Calibri" w:hAnsi="Calibri"/>
          <w:i/>
          <w:color w:val="44546A"/>
          <w:sz w:val="22"/>
          <w:szCs w:val="18"/>
        </w:rPr>
        <w:t>percent</w:t>
      </w:r>
      <w:r w:rsidR="00C04D16" w:rsidRPr="001C3EDC">
        <w:rPr>
          <w:rFonts w:ascii="Calibri" w:hAnsi="Calibri"/>
          <w:i/>
          <w:color w:val="44546A"/>
          <w:sz w:val="22"/>
          <w:szCs w:val="18"/>
        </w:rPr>
        <w:t>age of</w:t>
      </w:r>
      <w:r w:rsidR="00B309BD" w:rsidRPr="001C3EDC">
        <w:rPr>
          <w:rFonts w:ascii="Calibri" w:hAnsi="Calibri"/>
          <w:i/>
          <w:color w:val="44546A"/>
          <w:sz w:val="22"/>
          <w:szCs w:val="18"/>
        </w:rPr>
        <w:t xml:space="preserve"> change</w:t>
      </w:r>
      <w:r w:rsidR="000E53EB" w:rsidRPr="001C3EDC">
        <w:rPr>
          <w:rFonts w:ascii="Calibri" w:hAnsi="Calibri"/>
          <w:i/>
          <w:color w:val="44546A"/>
          <w:sz w:val="22"/>
          <w:szCs w:val="18"/>
        </w:rPr>
        <w:t xml:space="preserve"> </w:t>
      </w:r>
      <w:r w:rsidR="00833099" w:rsidRPr="001C3EDC">
        <w:rPr>
          <w:rFonts w:ascii="Calibri" w:hAnsi="Calibri"/>
          <w:i/>
          <w:color w:val="44546A"/>
          <w:sz w:val="22"/>
          <w:szCs w:val="18"/>
        </w:rPr>
        <w:t>compared to</w:t>
      </w:r>
      <w:r w:rsidR="000E53EB" w:rsidRPr="001C3EDC">
        <w:rPr>
          <w:rFonts w:ascii="Calibri" w:hAnsi="Calibri"/>
          <w:i/>
          <w:color w:val="44546A"/>
          <w:sz w:val="22"/>
          <w:szCs w:val="18"/>
        </w:rPr>
        <w:t xml:space="preserve"> the baseline</w:t>
      </w:r>
      <w:r w:rsidR="004F43A2" w:rsidRPr="001C3EDC">
        <w:rPr>
          <w:rFonts w:ascii="Calibri" w:hAnsi="Calibri"/>
          <w:i/>
          <w:color w:val="44546A"/>
          <w:sz w:val="22"/>
          <w:szCs w:val="18"/>
        </w:rPr>
        <w:t xml:space="preserve"> without climate change</w:t>
      </w:r>
      <w:r w:rsidR="00B309BD" w:rsidRPr="001C3EDC">
        <w:rPr>
          <w:rFonts w:ascii="Calibri" w:hAnsi="Calibri"/>
          <w:i/>
          <w:color w:val="44546A"/>
          <w:sz w:val="22"/>
          <w:szCs w:val="18"/>
        </w:rPr>
        <w:t>)</w:t>
      </w:r>
      <w:bookmarkEnd w:id="143"/>
    </w:p>
    <w:p w14:paraId="5C8055AB" w14:textId="77777777" w:rsidR="00B309BD" w:rsidRPr="001C3EDC" w:rsidRDefault="00B309BD" w:rsidP="00346D4A">
      <w:pPr>
        <w:jc w:val="center"/>
      </w:pPr>
      <w:r w:rsidRPr="001C3EDC">
        <w:rPr>
          <w:noProof/>
        </w:rPr>
        <w:drawing>
          <wp:inline distT="0" distB="0" distL="0" distR="0" wp14:anchorId="040ABE68" wp14:editId="69AECFF9">
            <wp:extent cx="5741581" cy="2947670"/>
            <wp:effectExtent l="0" t="0" r="12065"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A268FB5" w14:textId="45E8C3B3" w:rsidR="00B309BD" w:rsidRPr="001C3EDC" w:rsidRDefault="00EE0AC3" w:rsidP="004F7F4A">
      <w:pPr>
        <w:pStyle w:val="Caption"/>
        <w:spacing w:before="200"/>
        <w:rPr>
          <w:rFonts w:ascii="Calibri" w:hAnsi="Calibri"/>
          <w:i/>
          <w:color w:val="44546A"/>
          <w:sz w:val="22"/>
          <w:szCs w:val="18"/>
        </w:rPr>
      </w:pPr>
      <w:bookmarkStart w:id="144" w:name="_Toc522036508"/>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37</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B309BD" w:rsidRPr="001C3EDC">
        <w:rPr>
          <w:rFonts w:ascii="Calibri" w:hAnsi="Calibri"/>
          <w:i/>
          <w:color w:val="44546A"/>
          <w:sz w:val="22"/>
          <w:szCs w:val="18"/>
        </w:rPr>
        <w:t>Adaptation and cli</w:t>
      </w:r>
      <w:r w:rsidR="004F7F4A" w:rsidRPr="001C3EDC">
        <w:rPr>
          <w:rFonts w:ascii="Calibri" w:hAnsi="Calibri"/>
          <w:i/>
          <w:color w:val="44546A"/>
          <w:sz w:val="22"/>
          <w:szCs w:val="18"/>
        </w:rPr>
        <w:t>mate change impacts on real GDP</w:t>
      </w:r>
      <w:r w:rsidR="004F7F4A" w:rsidRPr="001C3EDC">
        <w:rPr>
          <w:rFonts w:ascii="Calibri" w:hAnsi="Calibri"/>
          <w:i/>
          <w:color w:val="44546A"/>
          <w:sz w:val="22"/>
          <w:szCs w:val="18"/>
        </w:rPr>
        <w:br/>
      </w:r>
      <w:r w:rsidR="00B309BD" w:rsidRPr="001C3EDC">
        <w:rPr>
          <w:rFonts w:ascii="Calibri" w:hAnsi="Calibri"/>
          <w:i/>
          <w:color w:val="44546A"/>
          <w:sz w:val="22"/>
          <w:szCs w:val="18"/>
        </w:rPr>
        <w:t>(percent</w:t>
      </w:r>
      <w:r w:rsidR="009A6B6A">
        <w:rPr>
          <w:rFonts w:ascii="Calibri" w:hAnsi="Calibri"/>
          <w:i/>
          <w:color w:val="44546A"/>
          <w:sz w:val="22"/>
          <w:szCs w:val="18"/>
        </w:rPr>
        <w:t>age of</w:t>
      </w:r>
      <w:r w:rsidR="00B309BD" w:rsidRPr="001C3EDC">
        <w:rPr>
          <w:rFonts w:ascii="Calibri" w:hAnsi="Calibri"/>
          <w:i/>
          <w:color w:val="44546A"/>
          <w:sz w:val="22"/>
          <w:szCs w:val="18"/>
        </w:rPr>
        <w:t xml:space="preserve"> change</w:t>
      </w:r>
      <w:r w:rsidR="000E53EB" w:rsidRPr="001C3EDC">
        <w:rPr>
          <w:rFonts w:ascii="Calibri" w:hAnsi="Calibri"/>
          <w:i/>
          <w:color w:val="44546A"/>
          <w:sz w:val="22"/>
          <w:szCs w:val="18"/>
        </w:rPr>
        <w:t xml:space="preserve"> compared to the baseline</w:t>
      </w:r>
      <w:r w:rsidR="004F43A2" w:rsidRPr="001C3EDC">
        <w:rPr>
          <w:rFonts w:ascii="Calibri" w:hAnsi="Calibri"/>
          <w:i/>
          <w:color w:val="44546A"/>
          <w:sz w:val="22"/>
          <w:szCs w:val="18"/>
        </w:rPr>
        <w:t xml:space="preserve"> without climate change</w:t>
      </w:r>
      <w:r w:rsidR="00B309BD" w:rsidRPr="001C3EDC">
        <w:rPr>
          <w:rFonts w:ascii="Calibri" w:hAnsi="Calibri"/>
          <w:i/>
          <w:color w:val="44546A"/>
          <w:sz w:val="22"/>
          <w:szCs w:val="18"/>
        </w:rPr>
        <w:t>)</w:t>
      </w:r>
      <w:bookmarkEnd w:id="144"/>
    </w:p>
    <w:p w14:paraId="3446F383" w14:textId="005FB35A" w:rsidR="000859A6" w:rsidRPr="001C3EDC" w:rsidRDefault="000859A6" w:rsidP="00A1217F">
      <w:pPr>
        <w:jc w:val="center"/>
      </w:pPr>
      <w:r>
        <w:rPr>
          <w:noProof/>
        </w:rPr>
        <w:drawing>
          <wp:inline distT="0" distB="0" distL="0" distR="0" wp14:anchorId="72702A2B" wp14:editId="5C5F1000">
            <wp:extent cx="5741581" cy="2540635"/>
            <wp:effectExtent l="0" t="0" r="12065" b="12065"/>
            <wp:docPr id="1327" name="Chart 13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38ABC70" w14:textId="432398D7" w:rsidR="00B309BD" w:rsidRPr="001C3EDC" w:rsidRDefault="00EE0AC3" w:rsidP="004F7F4A">
      <w:pPr>
        <w:pStyle w:val="Caption"/>
        <w:spacing w:before="200"/>
        <w:rPr>
          <w:rFonts w:ascii="Calibri" w:hAnsi="Calibri"/>
          <w:i/>
          <w:color w:val="44546A"/>
          <w:sz w:val="22"/>
          <w:szCs w:val="18"/>
        </w:rPr>
      </w:pPr>
      <w:bookmarkStart w:id="145" w:name="_Toc522036509"/>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38</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B309BD" w:rsidRPr="001C3EDC">
        <w:rPr>
          <w:rFonts w:ascii="Calibri" w:hAnsi="Calibri"/>
          <w:i/>
          <w:color w:val="44546A"/>
          <w:sz w:val="22"/>
          <w:szCs w:val="18"/>
        </w:rPr>
        <w:t>Welfare chan</w:t>
      </w:r>
      <w:r w:rsidR="004F7F4A" w:rsidRPr="001C3EDC">
        <w:rPr>
          <w:rFonts w:ascii="Calibri" w:hAnsi="Calibri"/>
          <w:i/>
          <w:color w:val="44546A"/>
          <w:sz w:val="22"/>
          <w:szCs w:val="18"/>
        </w:rPr>
        <w:t>ges with and without adaptation</w:t>
      </w:r>
      <w:r w:rsidR="004F7F4A" w:rsidRPr="001C3EDC">
        <w:rPr>
          <w:rFonts w:ascii="Calibri" w:hAnsi="Calibri"/>
          <w:i/>
          <w:color w:val="44546A"/>
          <w:sz w:val="22"/>
          <w:szCs w:val="18"/>
        </w:rPr>
        <w:br/>
      </w:r>
      <w:r w:rsidR="00B309BD" w:rsidRPr="001C3EDC">
        <w:rPr>
          <w:rFonts w:ascii="Calibri" w:hAnsi="Calibri"/>
          <w:i/>
          <w:color w:val="44546A"/>
          <w:sz w:val="22"/>
          <w:szCs w:val="18"/>
        </w:rPr>
        <w:t>(US$</w:t>
      </w:r>
      <w:r w:rsidR="00AD13CD" w:rsidRPr="001C3EDC">
        <w:rPr>
          <w:rFonts w:ascii="Calibri" w:hAnsi="Calibri"/>
          <w:i/>
          <w:color w:val="44546A"/>
          <w:sz w:val="22"/>
          <w:szCs w:val="18"/>
        </w:rPr>
        <w:t>, millions</w:t>
      </w:r>
      <w:r w:rsidR="000E53EB" w:rsidRPr="001C3EDC">
        <w:rPr>
          <w:rFonts w:ascii="Calibri" w:hAnsi="Calibri"/>
          <w:i/>
          <w:color w:val="44546A"/>
          <w:sz w:val="22"/>
          <w:szCs w:val="18"/>
        </w:rPr>
        <w:t>, compared to the baseline</w:t>
      </w:r>
      <w:r w:rsidR="004F43A2" w:rsidRPr="001C3EDC">
        <w:rPr>
          <w:rFonts w:ascii="Calibri" w:hAnsi="Calibri"/>
          <w:i/>
          <w:color w:val="44546A"/>
          <w:sz w:val="22"/>
          <w:szCs w:val="18"/>
        </w:rPr>
        <w:t xml:space="preserve"> without climate change</w:t>
      </w:r>
      <w:r w:rsidR="00B309BD" w:rsidRPr="001C3EDC">
        <w:rPr>
          <w:rFonts w:ascii="Calibri" w:hAnsi="Calibri"/>
          <w:i/>
          <w:color w:val="44546A"/>
          <w:sz w:val="22"/>
          <w:szCs w:val="18"/>
        </w:rPr>
        <w:t>)</w:t>
      </w:r>
      <w:bookmarkEnd w:id="145"/>
    </w:p>
    <w:p w14:paraId="71167FDF" w14:textId="0BF556FD" w:rsidR="00A1217F" w:rsidRDefault="00A1217F" w:rsidP="00B309BD">
      <w:r>
        <w:rPr>
          <w:noProof/>
        </w:rPr>
        <w:drawing>
          <wp:inline distT="0" distB="0" distL="0" distR="0" wp14:anchorId="5E16DE4E" wp14:editId="6BA8DF30">
            <wp:extent cx="5731510" cy="2775098"/>
            <wp:effectExtent l="0" t="0" r="2540" b="6350"/>
            <wp:docPr id="1228" name="Chart 12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E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B194564" w14:textId="668FEC99" w:rsidR="00B309BD" w:rsidRPr="001C3EDC" w:rsidRDefault="00B309BD" w:rsidP="00CA5CD0">
      <w:pPr>
        <w:pStyle w:val="BodyText"/>
        <w:tabs>
          <w:tab w:val="left" w:pos="720"/>
        </w:tabs>
        <w:spacing w:before="120"/>
        <w:ind w:left="0" w:firstLine="0"/>
      </w:pPr>
      <w:r w:rsidRPr="001C3EDC">
        <w:rPr>
          <w:b/>
          <w:bCs/>
          <w:i/>
          <w:iCs/>
        </w:rPr>
        <w:t xml:space="preserve">Figure </w:t>
      </w:r>
      <w:r w:rsidR="00293A33" w:rsidRPr="001C3EDC">
        <w:rPr>
          <w:b/>
          <w:bCs/>
          <w:i/>
          <w:iCs/>
        </w:rPr>
        <w:t>39</w:t>
      </w:r>
      <w:r w:rsidRPr="001C3EDC">
        <w:t xml:space="preserve"> suggests that energy output would increase slightly in the adaptation scenario. This is partly because of the new investments made for adaptation that may require energy for adaptation. However, as </w:t>
      </w:r>
      <w:r w:rsidR="00EE0AC3" w:rsidRPr="001C3EDC">
        <w:rPr>
          <w:b/>
          <w:bCs/>
          <w:i/>
          <w:iCs/>
        </w:rPr>
        <w:t xml:space="preserve">Figure </w:t>
      </w:r>
      <w:r w:rsidR="00293A33" w:rsidRPr="001C3EDC">
        <w:rPr>
          <w:b/>
          <w:bCs/>
          <w:i/>
          <w:iCs/>
        </w:rPr>
        <w:t>40</w:t>
      </w:r>
      <w:r w:rsidRPr="001C3EDC">
        <w:t xml:space="preserve"> shows, agricultural sect</w:t>
      </w:r>
      <w:r w:rsidR="00293A33" w:rsidRPr="001C3EDC">
        <w:t>ors, particularly the grains sub-sector</w:t>
      </w:r>
      <w:r w:rsidRPr="001C3EDC">
        <w:t>, would still suffer a lot due to climate change despite adaptation. All other sectors gain slightly, enabling</w:t>
      </w:r>
      <w:r w:rsidR="00015332" w:rsidRPr="001C3EDC">
        <w:t xml:space="preserve"> the</w:t>
      </w:r>
      <w:r w:rsidRPr="001C3EDC">
        <w:t xml:space="preserve"> vegetable oils sector to expand its output quite visibly.</w:t>
      </w:r>
    </w:p>
    <w:p w14:paraId="2387E55F" w14:textId="0F6BBDC5" w:rsidR="00B309BD" w:rsidRPr="001C3EDC" w:rsidRDefault="00EE0AC3" w:rsidP="004F7F4A">
      <w:pPr>
        <w:pStyle w:val="Caption"/>
        <w:spacing w:before="200"/>
        <w:rPr>
          <w:rFonts w:ascii="Calibri" w:hAnsi="Calibri"/>
          <w:i/>
          <w:color w:val="44546A"/>
          <w:sz w:val="22"/>
          <w:szCs w:val="18"/>
        </w:rPr>
      </w:pPr>
      <w:bookmarkStart w:id="146" w:name="_Toc522036510"/>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39</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B309BD" w:rsidRPr="001C3EDC">
        <w:rPr>
          <w:rFonts w:ascii="Calibri" w:hAnsi="Calibri"/>
          <w:i/>
          <w:color w:val="44546A"/>
          <w:sz w:val="22"/>
          <w:szCs w:val="18"/>
        </w:rPr>
        <w:t>Impact of adaptation and climate change on the energy sector</w:t>
      </w:r>
      <w:r w:rsidR="004F7F4A" w:rsidRPr="001C3EDC">
        <w:rPr>
          <w:rFonts w:ascii="Calibri" w:hAnsi="Calibri"/>
          <w:i/>
          <w:color w:val="44546A"/>
          <w:sz w:val="22"/>
          <w:szCs w:val="18"/>
        </w:rPr>
        <w:br/>
        <w:t>(</w:t>
      </w:r>
      <w:r w:rsidR="00833099" w:rsidRPr="001C3EDC">
        <w:rPr>
          <w:rFonts w:ascii="Calibri" w:hAnsi="Calibri"/>
          <w:i/>
          <w:color w:val="44546A"/>
          <w:sz w:val="22"/>
          <w:szCs w:val="18"/>
        </w:rPr>
        <w:t>percent</w:t>
      </w:r>
      <w:r w:rsidR="009A6B6A">
        <w:rPr>
          <w:rFonts w:ascii="Calibri" w:hAnsi="Calibri"/>
          <w:i/>
          <w:color w:val="44546A"/>
          <w:sz w:val="22"/>
          <w:szCs w:val="18"/>
        </w:rPr>
        <w:t>age of</w:t>
      </w:r>
      <w:r w:rsidR="00B309BD" w:rsidRPr="001C3EDC">
        <w:rPr>
          <w:rFonts w:ascii="Calibri" w:hAnsi="Calibri"/>
          <w:i/>
          <w:color w:val="44546A"/>
          <w:sz w:val="22"/>
          <w:szCs w:val="18"/>
        </w:rPr>
        <w:t xml:space="preserve"> change</w:t>
      </w:r>
      <w:r w:rsidR="000E53EB" w:rsidRPr="001C3EDC">
        <w:rPr>
          <w:rFonts w:ascii="Calibri" w:hAnsi="Calibri"/>
          <w:i/>
          <w:color w:val="44546A"/>
          <w:sz w:val="22"/>
          <w:szCs w:val="18"/>
        </w:rPr>
        <w:t xml:space="preserve"> compared to the baseline</w:t>
      </w:r>
      <w:r w:rsidR="004F43A2" w:rsidRPr="001C3EDC">
        <w:rPr>
          <w:rFonts w:ascii="Calibri" w:hAnsi="Calibri"/>
          <w:i/>
          <w:color w:val="44546A"/>
          <w:sz w:val="22"/>
          <w:szCs w:val="18"/>
        </w:rPr>
        <w:t xml:space="preserve"> without climate change</w:t>
      </w:r>
      <w:r w:rsidR="00B309BD" w:rsidRPr="001C3EDC">
        <w:rPr>
          <w:rFonts w:ascii="Calibri" w:hAnsi="Calibri"/>
          <w:i/>
          <w:color w:val="44546A"/>
          <w:sz w:val="22"/>
          <w:szCs w:val="18"/>
        </w:rPr>
        <w:t>)</w:t>
      </w:r>
      <w:bookmarkEnd w:id="146"/>
    </w:p>
    <w:p w14:paraId="38483112" w14:textId="6392E189" w:rsidR="00A1217F" w:rsidRPr="001C3EDC" w:rsidRDefault="00A1217F" w:rsidP="00B309BD">
      <w:r>
        <w:rPr>
          <w:noProof/>
        </w:rPr>
        <w:drawing>
          <wp:inline distT="0" distB="0" distL="0" distR="0" wp14:anchorId="14E31E9D" wp14:editId="491FC867">
            <wp:extent cx="5727700" cy="2654300"/>
            <wp:effectExtent l="0" t="0" r="6350" b="12700"/>
            <wp:docPr id="1229" name="Chart 12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1E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6697FD8" w14:textId="4F520308" w:rsidR="00B309BD" w:rsidRPr="001C3EDC" w:rsidRDefault="00EE0AC3" w:rsidP="004F7F4A">
      <w:pPr>
        <w:pStyle w:val="Caption"/>
        <w:spacing w:before="200"/>
        <w:rPr>
          <w:rFonts w:ascii="Calibri" w:hAnsi="Calibri"/>
          <w:i/>
          <w:color w:val="44546A"/>
          <w:sz w:val="22"/>
          <w:szCs w:val="18"/>
        </w:rPr>
      </w:pPr>
      <w:bookmarkStart w:id="147" w:name="_Toc522036511"/>
      <w:r w:rsidRPr="001C3EDC">
        <w:rPr>
          <w:rFonts w:ascii="Calibri" w:hAnsi="Calibri"/>
          <w:i/>
          <w:color w:val="44546A"/>
          <w:sz w:val="22"/>
          <w:szCs w:val="18"/>
        </w:rPr>
        <w:lastRenderedPageBreak/>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40</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B309BD" w:rsidRPr="001C3EDC">
        <w:rPr>
          <w:rFonts w:ascii="Calibri" w:hAnsi="Calibri"/>
          <w:i/>
          <w:color w:val="44546A"/>
          <w:sz w:val="22"/>
          <w:szCs w:val="18"/>
        </w:rPr>
        <w:t>Impact of adaptation and climate change on the agriculture sector</w:t>
      </w:r>
      <w:r w:rsidR="004F7F4A" w:rsidRPr="001C3EDC">
        <w:rPr>
          <w:rFonts w:ascii="Calibri" w:hAnsi="Calibri"/>
          <w:i/>
          <w:color w:val="44546A"/>
          <w:sz w:val="22"/>
          <w:szCs w:val="18"/>
        </w:rPr>
        <w:br/>
      </w:r>
      <w:r w:rsidR="00833099" w:rsidRPr="001C3EDC">
        <w:rPr>
          <w:rFonts w:ascii="Calibri" w:hAnsi="Calibri"/>
          <w:i/>
          <w:color w:val="44546A"/>
          <w:sz w:val="22"/>
          <w:szCs w:val="18"/>
        </w:rPr>
        <w:t>(percent</w:t>
      </w:r>
      <w:r w:rsidR="00C04D16" w:rsidRPr="001C3EDC">
        <w:rPr>
          <w:rFonts w:ascii="Calibri" w:hAnsi="Calibri"/>
          <w:i/>
          <w:color w:val="44546A"/>
          <w:sz w:val="22"/>
          <w:szCs w:val="18"/>
        </w:rPr>
        <w:t>age of</w:t>
      </w:r>
      <w:r w:rsidR="00833099" w:rsidRPr="001C3EDC">
        <w:rPr>
          <w:rFonts w:ascii="Calibri" w:hAnsi="Calibri"/>
          <w:i/>
          <w:color w:val="44546A"/>
          <w:sz w:val="22"/>
          <w:szCs w:val="18"/>
        </w:rPr>
        <w:t xml:space="preserve"> </w:t>
      </w:r>
      <w:r w:rsidR="00B309BD" w:rsidRPr="001C3EDC">
        <w:rPr>
          <w:rFonts w:ascii="Calibri" w:hAnsi="Calibri"/>
          <w:i/>
          <w:color w:val="44546A"/>
          <w:sz w:val="22"/>
          <w:szCs w:val="18"/>
        </w:rPr>
        <w:t>change</w:t>
      </w:r>
      <w:r w:rsidR="000E53EB" w:rsidRPr="001C3EDC">
        <w:rPr>
          <w:rFonts w:ascii="Calibri" w:hAnsi="Calibri"/>
          <w:i/>
          <w:color w:val="44546A"/>
          <w:sz w:val="22"/>
          <w:szCs w:val="18"/>
        </w:rPr>
        <w:t xml:space="preserve"> </w:t>
      </w:r>
      <w:r w:rsidR="00833099" w:rsidRPr="001C3EDC">
        <w:rPr>
          <w:rFonts w:ascii="Calibri" w:hAnsi="Calibri"/>
          <w:i/>
          <w:color w:val="44546A"/>
          <w:sz w:val="22"/>
          <w:szCs w:val="18"/>
        </w:rPr>
        <w:t>compared</w:t>
      </w:r>
      <w:r w:rsidR="000E53EB" w:rsidRPr="001C3EDC">
        <w:rPr>
          <w:rFonts w:ascii="Calibri" w:hAnsi="Calibri"/>
          <w:i/>
          <w:color w:val="44546A"/>
          <w:sz w:val="22"/>
          <w:szCs w:val="18"/>
        </w:rPr>
        <w:t xml:space="preserve"> to the baseline</w:t>
      </w:r>
      <w:r w:rsidR="004F43A2" w:rsidRPr="001C3EDC">
        <w:rPr>
          <w:rFonts w:ascii="Calibri" w:hAnsi="Calibri"/>
          <w:i/>
          <w:color w:val="44546A"/>
          <w:sz w:val="22"/>
          <w:szCs w:val="18"/>
        </w:rPr>
        <w:t xml:space="preserve"> without climate change</w:t>
      </w:r>
      <w:r w:rsidR="00B309BD" w:rsidRPr="001C3EDC">
        <w:rPr>
          <w:rFonts w:ascii="Calibri" w:hAnsi="Calibri"/>
          <w:i/>
          <w:color w:val="44546A"/>
          <w:sz w:val="22"/>
          <w:szCs w:val="18"/>
        </w:rPr>
        <w:t>)</w:t>
      </w:r>
      <w:bookmarkEnd w:id="147"/>
    </w:p>
    <w:p w14:paraId="385A4CD9" w14:textId="77777777" w:rsidR="00B309BD" w:rsidRPr="001C3EDC" w:rsidRDefault="00B309BD" w:rsidP="00B309BD">
      <w:r w:rsidRPr="001C3EDC">
        <w:rPr>
          <w:noProof/>
        </w:rPr>
        <w:drawing>
          <wp:inline distT="0" distB="0" distL="0" distR="0" wp14:anchorId="097C5298" wp14:editId="3F1940F5">
            <wp:extent cx="5727700" cy="2947670"/>
            <wp:effectExtent l="0" t="0" r="6350" b="50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B42F054" w14:textId="59F3A589" w:rsidR="00B309BD" w:rsidRPr="001C3EDC" w:rsidRDefault="00EE0AC3" w:rsidP="00CA5CD0">
      <w:pPr>
        <w:pStyle w:val="BodyText"/>
        <w:tabs>
          <w:tab w:val="left" w:pos="720"/>
        </w:tabs>
        <w:spacing w:before="120"/>
        <w:ind w:left="0" w:firstLine="0"/>
      </w:pPr>
      <w:r w:rsidRPr="001C3EDC">
        <w:rPr>
          <w:b/>
          <w:bCs/>
          <w:i/>
          <w:iCs/>
        </w:rPr>
        <w:t>Figure 4</w:t>
      </w:r>
      <w:r w:rsidR="00293A33" w:rsidRPr="001C3EDC">
        <w:rPr>
          <w:b/>
          <w:bCs/>
          <w:i/>
          <w:iCs/>
        </w:rPr>
        <w:t>1</w:t>
      </w:r>
      <w:r w:rsidR="00B309BD" w:rsidRPr="001C3EDC">
        <w:t xml:space="preserve"> shows that trade balance would improve in all sectors except grains, due to adaptation. This is possibly because of greater investments and avoidance of extreme events in some sectors, which would trigger greater output in such sectors and hence greater exports and lower imports, boosting the trade balance. </w:t>
      </w:r>
      <w:r w:rsidR="00B309BD" w:rsidRPr="001C3EDC">
        <w:rPr>
          <w:b/>
          <w:bCs/>
          <w:i/>
          <w:iCs/>
        </w:rPr>
        <w:t xml:space="preserve">Figure </w:t>
      </w:r>
      <w:r w:rsidRPr="001C3EDC">
        <w:rPr>
          <w:b/>
          <w:bCs/>
          <w:i/>
          <w:iCs/>
        </w:rPr>
        <w:t>4</w:t>
      </w:r>
      <w:r w:rsidR="00293A33" w:rsidRPr="001C3EDC">
        <w:rPr>
          <w:b/>
          <w:bCs/>
          <w:i/>
          <w:iCs/>
        </w:rPr>
        <w:t>2</w:t>
      </w:r>
      <w:r w:rsidR="00B309BD" w:rsidRPr="001C3EDC">
        <w:t xml:space="preserve"> indicates that imports fall or stagnate in all sectors except extraction and grains, while exports grow in all sectors except grains; this explains why </w:t>
      </w:r>
      <w:r w:rsidR="00015332" w:rsidRPr="001C3EDC">
        <w:t xml:space="preserve">the </w:t>
      </w:r>
      <w:r w:rsidR="00B309BD" w:rsidRPr="001C3EDC">
        <w:t>trade balance is rising in most sectors.</w:t>
      </w:r>
    </w:p>
    <w:p w14:paraId="00DB4503" w14:textId="2C7DE185" w:rsidR="00B309BD" w:rsidRPr="001C3EDC" w:rsidRDefault="00EE0AC3" w:rsidP="004F7F4A">
      <w:pPr>
        <w:pStyle w:val="Caption"/>
        <w:spacing w:before="200"/>
        <w:rPr>
          <w:rFonts w:ascii="Calibri" w:hAnsi="Calibri"/>
          <w:i/>
          <w:color w:val="44546A"/>
          <w:sz w:val="22"/>
          <w:szCs w:val="18"/>
        </w:rPr>
      </w:pPr>
      <w:bookmarkStart w:id="148" w:name="_Toc522036512"/>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41</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4F7F4A" w:rsidRPr="001C3EDC">
        <w:rPr>
          <w:rFonts w:ascii="Calibri" w:hAnsi="Calibri"/>
          <w:i/>
          <w:color w:val="44546A"/>
          <w:sz w:val="22"/>
          <w:szCs w:val="18"/>
        </w:rPr>
        <w:t>Changes in trade balance</w:t>
      </w:r>
      <w:r w:rsidR="004F7F4A" w:rsidRPr="001C3EDC">
        <w:rPr>
          <w:rFonts w:ascii="Calibri" w:hAnsi="Calibri"/>
          <w:i/>
          <w:color w:val="44546A"/>
          <w:sz w:val="22"/>
          <w:szCs w:val="18"/>
        </w:rPr>
        <w:br/>
      </w:r>
      <w:r w:rsidR="00B309BD" w:rsidRPr="001C3EDC">
        <w:rPr>
          <w:rFonts w:ascii="Calibri" w:hAnsi="Calibri"/>
          <w:i/>
          <w:color w:val="44546A"/>
          <w:sz w:val="22"/>
          <w:szCs w:val="18"/>
        </w:rPr>
        <w:t>(US$</w:t>
      </w:r>
      <w:r w:rsidR="00AD13CD" w:rsidRPr="001C3EDC">
        <w:rPr>
          <w:rFonts w:ascii="Calibri" w:hAnsi="Calibri"/>
          <w:i/>
          <w:color w:val="44546A"/>
          <w:sz w:val="22"/>
          <w:szCs w:val="18"/>
        </w:rPr>
        <w:t>, millions</w:t>
      </w:r>
      <w:r w:rsidR="000E53EB" w:rsidRPr="001C3EDC">
        <w:rPr>
          <w:rFonts w:ascii="Calibri" w:hAnsi="Calibri"/>
          <w:i/>
          <w:color w:val="44546A"/>
          <w:sz w:val="22"/>
          <w:szCs w:val="18"/>
        </w:rPr>
        <w:t xml:space="preserve"> </w:t>
      </w:r>
      <w:r w:rsidR="00DC7E4F" w:rsidRPr="001C3EDC">
        <w:rPr>
          <w:rFonts w:ascii="Calibri" w:hAnsi="Calibri"/>
          <w:i/>
          <w:color w:val="44546A"/>
          <w:sz w:val="22"/>
          <w:szCs w:val="18"/>
        </w:rPr>
        <w:t>compared</w:t>
      </w:r>
      <w:r w:rsidR="000E53EB" w:rsidRPr="001C3EDC">
        <w:rPr>
          <w:rFonts w:ascii="Calibri" w:hAnsi="Calibri"/>
          <w:i/>
          <w:color w:val="44546A"/>
          <w:sz w:val="22"/>
          <w:szCs w:val="18"/>
        </w:rPr>
        <w:t xml:space="preserve"> to the baseline</w:t>
      </w:r>
      <w:r w:rsidR="004F43A2" w:rsidRPr="001C3EDC">
        <w:rPr>
          <w:rFonts w:ascii="Calibri" w:hAnsi="Calibri"/>
          <w:i/>
          <w:color w:val="44546A"/>
          <w:sz w:val="22"/>
          <w:szCs w:val="18"/>
        </w:rPr>
        <w:t xml:space="preserve"> without climate change</w:t>
      </w:r>
      <w:r w:rsidR="00B309BD" w:rsidRPr="001C3EDC">
        <w:rPr>
          <w:rFonts w:ascii="Calibri" w:hAnsi="Calibri"/>
          <w:i/>
          <w:color w:val="44546A"/>
          <w:sz w:val="22"/>
          <w:szCs w:val="18"/>
        </w:rPr>
        <w:t>)</w:t>
      </w:r>
      <w:bookmarkEnd w:id="148"/>
    </w:p>
    <w:p w14:paraId="76F344FA" w14:textId="77777777" w:rsidR="00B309BD" w:rsidRPr="001C3EDC" w:rsidRDefault="00B309BD" w:rsidP="00FC4AB1">
      <w:pPr>
        <w:jc w:val="center"/>
      </w:pPr>
      <w:r w:rsidRPr="001C3EDC">
        <w:rPr>
          <w:noProof/>
        </w:rPr>
        <w:drawing>
          <wp:inline distT="0" distB="0" distL="0" distR="0" wp14:anchorId="2763AEC6" wp14:editId="6361975A">
            <wp:extent cx="5631180" cy="2838734"/>
            <wp:effectExtent l="0" t="0" r="762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1FB970D" w14:textId="72AFCD90" w:rsidR="00B309BD" w:rsidRPr="001C3EDC" w:rsidRDefault="00EE0AC3" w:rsidP="00E4454E">
      <w:pPr>
        <w:pStyle w:val="Caption"/>
        <w:spacing w:before="200" w:after="60"/>
        <w:rPr>
          <w:rFonts w:ascii="Calibri" w:hAnsi="Calibri"/>
          <w:i/>
          <w:color w:val="44546A"/>
          <w:sz w:val="22"/>
          <w:szCs w:val="18"/>
        </w:rPr>
      </w:pPr>
      <w:bookmarkStart w:id="149" w:name="_Toc522036513"/>
      <w:r w:rsidRPr="001C3EDC">
        <w:rPr>
          <w:rFonts w:ascii="Calibri" w:hAnsi="Calibri"/>
          <w:i/>
          <w:color w:val="44546A"/>
          <w:sz w:val="22"/>
          <w:szCs w:val="18"/>
        </w:rPr>
        <w:t xml:space="preserve">Figure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Figure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42</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B309BD" w:rsidRPr="001C3EDC">
        <w:rPr>
          <w:rFonts w:ascii="Calibri" w:hAnsi="Calibri"/>
          <w:i/>
          <w:color w:val="44546A"/>
          <w:sz w:val="22"/>
          <w:szCs w:val="18"/>
        </w:rPr>
        <w:t>Impact of adaptation measure on imports (panel A) and exports (panel B)</w:t>
      </w:r>
      <w:r w:rsidR="004F7F4A" w:rsidRPr="001C3EDC">
        <w:rPr>
          <w:rFonts w:ascii="Calibri" w:hAnsi="Calibri"/>
          <w:i/>
          <w:color w:val="44546A"/>
          <w:sz w:val="22"/>
          <w:szCs w:val="18"/>
        </w:rPr>
        <w:br/>
      </w:r>
      <w:r w:rsidR="000E53EB" w:rsidRPr="001C3EDC">
        <w:rPr>
          <w:rFonts w:ascii="Calibri" w:hAnsi="Calibri"/>
          <w:i/>
          <w:color w:val="44546A"/>
          <w:sz w:val="22"/>
          <w:szCs w:val="18"/>
        </w:rPr>
        <w:t>(</w:t>
      </w:r>
      <w:r w:rsidR="00DC7E4F" w:rsidRPr="001C3EDC">
        <w:rPr>
          <w:rFonts w:ascii="Calibri" w:hAnsi="Calibri"/>
          <w:i/>
          <w:color w:val="44546A"/>
          <w:sz w:val="22"/>
          <w:szCs w:val="18"/>
        </w:rPr>
        <w:t>percent</w:t>
      </w:r>
      <w:r w:rsidR="00C04D16" w:rsidRPr="001C3EDC">
        <w:rPr>
          <w:rFonts w:ascii="Calibri" w:hAnsi="Calibri"/>
          <w:i/>
          <w:color w:val="44546A"/>
          <w:sz w:val="22"/>
          <w:szCs w:val="18"/>
        </w:rPr>
        <w:t xml:space="preserve">age </w:t>
      </w:r>
      <w:r w:rsidR="00C25D49" w:rsidRPr="001C3EDC">
        <w:rPr>
          <w:rFonts w:ascii="Calibri" w:hAnsi="Calibri"/>
          <w:i/>
          <w:color w:val="44546A"/>
          <w:sz w:val="22"/>
          <w:szCs w:val="18"/>
        </w:rPr>
        <w:t>of change</w:t>
      </w:r>
      <w:r w:rsidR="000E53EB" w:rsidRPr="001C3EDC">
        <w:rPr>
          <w:rFonts w:ascii="Calibri" w:hAnsi="Calibri"/>
          <w:i/>
          <w:color w:val="44546A"/>
          <w:sz w:val="22"/>
          <w:szCs w:val="18"/>
        </w:rPr>
        <w:t xml:space="preserve"> </w:t>
      </w:r>
      <w:r w:rsidR="00DC7E4F" w:rsidRPr="001C3EDC">
        <w:rPr>
          <w:rFonts w:ascii="Calibri" w:hAnsi="Calibri"/>
          <w:i/>
          <w:color w:val="44546A"/>
          <w:sz w:val="22"/>
          <w:szCs w:val="18"/>
        </w:rPr>
        <w:t>compared</w:t>
      </w:r>
      <w:r w:rsidR="000E53EB" w:rsidRPr="001C3EDC">
        <w:rPr>
          <w:rFonts w:ascii="Calibri" w:hAnsi="Calibri"/>
          <w:i/>
          <w:color w:val="44546A"/>
          <w:sz w:val="22"/>
          <w:szCs w:val="18"/>
        </w:rPr>
        <w:t xml:space="preserve"> to the baseline</w:t>
      </w:r>
      <w:r w:rsidR="004F43A2" w:rsidRPr="001C3EDC">
        <w:rPr>
          <w:rFonts w:ascii="Calibri" w:hAnsi="Calibri"/>
          <w:i/>
          <w:color w:val="44546A"/>
          <w:sz w:val="22"/>
          <w:szCs w:val="18"/>
        </w:rPr>
        <w:t xml:space="preserve"> without climate change</w:t>
      </w:r>
      <w:r w:rsidR="000E53EB" w:rsidRPr="001C3EDC">
        <w:rPr>
          <w:rFonts w:ascii="Calibri" w:hAnsi="Calibri"/>
          <w:i/>
          <w:color w:val="44546A"/>
          <w:sz w:val="22"/>
          <w:szCs w:val="18"/>
        </w:rPr>
        <w:t>)</w:t>
      </w:r>
      <w:bookmarkEnd w:id="149"/>
    </w:p>
    <w:p w14:paraId="63F22D03" w14:textId="798551E1" w:rsidR="00FC4AB1" w:rsidRPr="00E4454E" w:rsidRDefault="00FC4AB1" w:rsidP="00E4454E">
      <w:pPr>
        <w:jc w:val="center"/>
        <w:rPr>
          <w:rFonts w:ascii="Calibri" w:eastAsia="Calibri" w:hAnsi="Calibri" w:cs="Times New Roman"/>
          <w:i/>
          <w:iCs/>
          <w:color w:val="44546A"/>
          <w:sz w:val="20"/>
          <w:szCs w:val="20"/>
          <w:lang w:eastAsia="bg-BG"/>
        </w:rPr>
      </w:pPr>
      <w:r w:rsidRPr="00E4454E">
        <w:rPr>
          <w:rFonts w:ascii="Calibri" w:eastAsia="Calibri" w:hAnsi="Calibri" w:cs="Times New Roman"/>
          <w:i/>
          <w:iCs/>
          <w:color w:val="44546A"/>
          <w:sz w:val="20"/>
          <w:szCs w:val="20"/>
          <w:lang w:eastAsia="bg-BG"/>
        </w:rPr>
        <w:t>Panel A</w:t>
      </w:r>
    </w:p>
    <w:p w14:paraId="51C16D90" w14:textId="08EF094C" w:rsidR="00FC4AB1" w:rsidRPr="001C3EDC" w:rsidRDefault="00B309BD" w:rsidP="00FC4AB1">
      <w:pPr>
        <w:spacing w:after="120"/>
        <w:jc w:val="center"/>
        <w:rPr>
          <w:noProof/>
        </w:rPr>
      </w:pPr>
      <w:r w:rsidRPr="001C3EDC">
        <w:rPr>
          <w:noProof/>
        </w:rPr>
        <w:lastRenderedPageBreak/>
        <w:drawing>
          <wp:inline distT="0" distB="0" distL="0" distR="0" wp14:anchorId="1CE6D657" wp14:editId="262EDFA0">
            <wp:extent cx="5613577" cy="4490085"/>
            <wp:effectExtent l="0" t="0" r="6350" b="57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542A6B1" w14:textId="30BB98A4" w:rsidR="00FC4AB1" w:rsidRPr="00E4454E" w:rsidRDefault="00FC4AB1" w:rsidP="00E4454E">
      <w:pPr>
        <w:keepNext/>
        <w:jc w:val="center"/>
        <w:rPr>
          <w:rFonts w:ascii="Calibri" w:eastAsia="Calibri" w:hAnsi="Calibri" w:cs="Times New Roman"/>
          <w:i/>
          <w:iCs/>
          <w:color w:val="44546A"/>
          <w:sz w:val="20"/>
          <w:szCs w:val="20"/>
          <w:lang w:eastAsia="bg-BG"/>
        </w:rPr>
      </w:pPr>
      <w:r w:rsidRPr="00E4454E">
        <w:rPr>
          <w:rFonts w:ascii="Calibri" w:eastAsia="Calibri" w:hAnsi="Calibri" w:cs="Times New Roman"/>
          <w:i/>
          <w:iCs/>
          <w:color w:val="44546A"/>
          <w:sz w:val="20"/>
          <w:szCs w:val="20"/>
          <w:lang w:eastAsia="bg-BG"/>
        </w:rPr>
        <w:lastRenderedPageBreak/>
        <w:t>Panel B</w:t>
      </w:r>
    </w:p>
    <w:p w14:paraId="5DA949BF" w14:textId="70570123" w:rsidR="00FC4AB1" w:rsidRPr="001C3EDC" w:rsidRDefault="00B309BD" w:rsidP="00FC4AB1">
      <w:pPr>
        <w:jc w:val="center"/>
      </w:pPr>
      <w:r w:rsidRPr="001C3EDC">
        <w:rPr>
          <w:noProof/>
        </w:rPr>
        <w:drawing>
          <wp:inline distT="0" distB="0" distL="0" distR="0" wp14:anchorId="11231338" wp14:editId="05DB6C01">
            <wp:extent cx="5612452" cy="4298950"/>
            <wp:effectExtent l="0" t="0" r="7620" b="63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FAC5AA3" w14:textId="2B44E8F7" w:rsidR="00FC4AB1" w:rsidRPr="001C3EDC" w:rsidRDefault="00725C93" w:rsidP="00725C93">
      <w:pPr>
        <w:pStyle w:val="Heading2"/>
      </w:pPr>
      <w:bookmarkStart w:id="150" w:name="_Toc522036467"/>
      <w:r w:rsidRPr="001C3EDC">
        <w:t>4.3.</w:t>
      </w:r>
      <w:r w:rsidRPr="001C3EDC">
        <w:tab/>
      </w:r>
      <w:r w:rsidR="0046499F" w:rsidRPr="001C3EDC">
        <w:t>Policy 3</w:t>
      </w:r>
      <w:r w:rsidRPr="001C3EDC">
        <w:t>:</w:t>
      </w:r>
      <w:r w:rsidR="00FC4AB1" w:rsidRPr="001C3EDC">
        <w:t xml:space="preserve"> Adaptation financed by foreign funds earmarked across all productive sectors</w:t>
      </w:r>
      <w:bookmarkEnd w:id="150"/>
    </w:p>
    <w:p w14:paraId="721E0185" w14:textId="2D2710EB" w:rsidR="00FC4AB1" w:rsidRPr="001C3EDC" w:rsidRDefault="00FC4AB1" w:rsidP="00CA5CD0">
      <w:pPr>
        <w:pStyle w:val="BodyText"/>
        <w:tabs>
          <w:tab w:val="left" w:pos="720"/>
        </w:tabs>
        <w:ind w:left="0" w:firstLine="0"/>
      </w:pPr>
      <w:r w:rsidRPr="001C3EDC">
        <w:t xml:space="preserve">This section develops an alternative adaptation policy which is to channel foreign funds for investments across all productive sectors. This new policy is called </w:t>
      </w:r>
      <w:r w:rsidR="007B6C99" w:rsidRPr="001C3EDC">
        <w:t>‘</w:t>
      </w:r>
      <w:r w:rsidRPr="001C3EDC">
        <w:t>capital</w:t>
      </w:r>
      <w:r w:rsidR="007B6C99" w:rsidRPr="001C3EDC">
        <w:t>’</w:t>
      </w:r>
      <w:r w:rsidRPr="001C3EDC">
        <w:t xml:space="preserve"> and it refers to allocating adaptation funds not only to agriculture and tourism but to all sectors.</w:t>
      </w:r>
    </w:p>
    <w:p w14:paraId="54C32C96" w14:textId="6F9EC198" w:rsidR="00FC4AB1" w:rsidRPr="001C3EDC" w:rsidRDefault="00FC4AB1" w:rsidP="00CA5CD0">
      <w:pPr>
        <w:pStyle w:val="BodyText"/>
        <w:tabs>
          <w:tab w:val="left" w:pos="720"/>
        </w:tabs>
        <w:ind w:left="0" w:firstLine="0"/>
      </w:pPr>
      <w:r w:rsidRPr="001C3EDC">
        <w:t>Like in the previous sections, model simulations are developed for 10</w:t>
      </w:r>
      <w:r w:rsidR="004F0DA0" w:rsidRPr="001C3EDC">
        <w:t xml:space="preserve"> percent</w:t>
      </w:r>
      <w:r w:rsidRPr="001C3EDC">
        <w:t>, 20</w:t>
      </w:r>
      <w:r w:rsidR="004F0DA0" w:rsidRPr="001C3EDC">
        <w:t xml:space="preserve"> percent,</w:t>
      </w:r>
      <w:r w:rsidRPr="001C3EDC">
        <w:t xml:space="preserve"> and 30</w:t>
      </w:r>
      <w:r w:rsidR="004F0DA0" w:rsidRPr="001C3EDC">
        <w:t xml:space="preserve"> percent</w:t>
      </w:r>
      <w:r w:rsidRPr="001C3EDC">
        <w:t xml:space="preserve"> reduction of the climate change damage for 2</w:t>
      </w:r>
      <w:r w:rsidR="00C84412" w:rsidRPr="001C3EDC">
        <w:t>°C</w:t>
      </w:r>
      <w:r w:rsidR="00C84412" w:rsidRPr="001C3EDC" w:rsidDel="00C84412">
        <w:t xml:space="preserve"> </w:t>
      </w:r>
      <w:r w:rsidRPr="001C3EDC">
        <w:t>and 4</w:t>
      </w:r>
      <w:r w:rsidR="00C84412" w:rsidRPr="001C3EDC">
        <w:t>°C</w:t>
      </w:r>
      <w:r w:rsidR="009D54B7" w:rsidRPr="001C3EDC">
        <w:t xml:space="preserve"> scenarios.</w:t>
      </w:r>
    </w:p>
    <w:p w14:paraId="5E924FA8" w14:textId="375CF2E8" w:rsidR="00FC4AB1" w:rsidRPr="001C3EDC" w:rsidRDefault="00FC4AB1" w:rsidP="00CA5CD0">
      <w:pPr>
        <w:pStyle w:val="BodyText"/>
        <w:tabs>
          <w:tab w:val="left" w:pos="720"/>
        </w:tabs>
        <w:ind w:left="0" w:firstLine="0"/>
      </w:pPr>
      <w:r w:rsidRPr="001C3EDC">
        <w:rPr>
          <w:b/>
          <w:bCs/>
          <w:i/>
          <w:iCs/>
        </w:rPr>
        <w:t xml:space="preserve">Table </w:t>
      </w:r>
      <w:r w:rsidR="009D54B7" w:rsidRPr="001C3EDC">
        <w:rPr>
          <w:b/>
          <w:bCs/>
          <w:i/>
          <w:iCs/>
        </w:rPr>
        <w:t>7</w:t>
      </w:r>
      <w:r w:rsidRPr="001C3EDC">
        <w:t xml:space="preserve"> summarizes macroeconomic outcomes from alternative adaptation options financed by foreign funds</w:t>
      </w:r>
      <w:r w:rsidR="003A1E47" w:rsidRPr="001C3EDC">
        <w:t>.</w:t>
      </w:r>
    </w:p>
    <w:p w14:paraId="2E06BFB7" w14:textId="5396D055" w:rsidR="00FC4AB1" w:rsidRPr="001C3EDC" w:rsidRDefault="009D54B7" w:rsidP="00F3076A">
      <w:pPr>
        <w:pStyle w:val="Caption"/>
        <w:spacing w:before="160" w:after="100"/>
        <w:rPr>
          <w:rFonts w:ascii="Calibri" w:hAnsi="Calibri"/>
          <w:i/>
          <w:color w:val="44546A"/>
          <w:sz w:val="22"/>
          <w:szCs w:val="18"/>
        </w:rPr>
      </w:pPr>
      <w:bookmarkStart w:id="151" w:name="_Toc522036520"/>
      <w:r w:rsidRPr="001C3EDC">
        <w:rPr>
          <w:rFonts w:ascii="Calibri" w:hAnsi="Calibri"/>
          <w:i/>
          <w:color w:val="44546A"/>
          <w:sz w:val="22"/>
          <w:szCs w:val="18"/>
        </w:rPr>
        <w:t xml:space="preserve">Table </w:t>
      </w:r>
      <w:r w:rsidR="001B7905" w:rsidRPr="001C3EDC">
        <w:rPr>
          <w:rFonts w:ascii="Calibri" w:hAnsi="Calibri"/>
          <w:i/>
          <w:color w:val="44546A"/>
          <w:sz w:val="22"/>
          <w:szCs w:val="18"/>
        </w:rPr>
        <w:fldChar w:fldCharType="begin"/>
      </w:r>
      <w:r w:rsidR="001B7905" w:rsidRPr="001C3EDC">
        <w:rPr>
          <w:rFonts w:ascii="Calibri" w:hAnsi="Calibri"/>
          <w:i/>
          <w:color w:val="44546A"/>
          <w:sz w:val="22"/>
          <w:szCs w:val="18"/>
        </w:rPr>
        <w:instrText xml:space="preserve"> SEQ Table \* ARABIC </w:instrText>
      </w:r>
      <w:r w:rsidR="001B7905" w:rsidRPr="001C3EDC">
        <w:rPr>
          <w:rFonts w:ascii="Calibri" w:hAnsi="Calibri"/>
          <w:i/>
          <w:color w:val="44546A"/>
          <w:sz w:val="22"/>
          <w:szCs w:val="18"/>
        </w:rPr>
        <w:fldChar w:fldCharType="separate"/>
      </w:r>
      <w:r w:rsidR="00F84F84">
        <w:rPr>
          <w:rFonts w:ascii="Calibri" w:hAnsi="Calibri"/>
          <w:i/>
          <w:noProof/>
          <w:color w:val="44546A"/>
          <w:sz w:val="22"/>
          <w:szCs w:val="18"/>
        </w:rPr>
        <w:t>7</w:t>
      </w:r>
      <w:r w:rsidR="001B7905"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FC4AB1" w:rsidRPr="001C3EDC">
        <w:rPr>
          <w:rFonts w:ascii="Calibri" w:hAnsi="Calibri"/>
          <w:i/>
          <w:color w:val="44546A"/>
          <w:sz w:val="22"/>
          <w:szCs w:val="18"/>
        </w:rPr>
        <w:t>Macroeconomic impact of adaptation policies financed by foreign funds: Policies 2 and 3</w:t>
      </w:r>
      <w:bookmarkEnd w:id="151"/>
    </w:p>
    <w:tbl>
      <w:tblPr>
        <w:tblStyle w:val="TableGrid"/>
        <w:tblW w:w="4956"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2275"/>
        <w:gridCol w:w="819"/>
        <w:gridCol w:w="818"/>
        <w:gridCol w:w="818"/>
        <w:gridCol w:w="912"/>
        <w:gridCol w:w="820"/>
        <w:gridCol w:w="818"/>
        <w:gridCol w:w="818"/>
        <w:gridCol w:w="934"/>
      </w:tblGrid>
      <w:tr w:rsidR="009D54B7" w:rsidRPr="00F3076A" w14:paraId="5A41B085" w14:textId="77777777" w:rsidTr="003633F7">
        <w:trPr>
          <w:tblHeader/>
          <w:jc w:val="center"/>
        </w:trPr>
        <w:tc>
          <w:tcPr>
            <w:tcW w:w="1259" w:type="pct"/>
            <w:vMerge w:val="restart"/>
            <w:shd w:val="clear" w:color="auto" w:fill="365F91"/>
            <w:tcMar>
              <w:left w:w="43" w:type="dxa"/>
              <w:right w:w="43" w:type="dxa"/>
            </w:tcMar>
            <w:vAlign w:val="center"/>
          </w:tcPr>
          <w:p w14:paraId="69D6127B" w14:textId="6098E0A5" w:rsidR="009D54B7" w:rsidRPr="00F3076A" w:rsidRDefault="009D54B7" w:rsidP="003633F7">
            <w:pPr>
              <w:spacing w:before="20" w:after="20" w:line="240" w:lineRule="auto"/>
              <w:jc w:val="center"/>
              <w:rPr>
                <w:rFonts w:asciiTheme="minorHAnsi" w:hAnsiTheme="minorHAnsi" w:cstheme="minorHAnsi"/>
                <w:b/>
                <w:color w:val="FFFFFF" w:themeColor="background1"/>
                <w:sz w:val="22"/>
                <w:lang w:eastAsia="bg-BG"/>
              </w:rPr>
            </w:pPr>
            <w:r w:rsidRPr="00F3076A">
              <w:rPr>
                <w:rFonts w:asciiTheme="minorHAnsi" w:eastAsia="Times New Roman" w:hAnsiTheme="minorHAnsi" w:cstheme="minorHAnsi"/>
                <w:b/>
                <w:color w:val="FFFFFF" w:themeColor="background1"/>
                <w:sz w:val="22"/>
              </w:rPr>
              <w:t xml:space="preserve">Macroeconomic </w:t>
            </w:r>
            <w:r w:rsidR="004F0DA0" w:rsidRPr="00F3076A">
              <w:rPr>
                <w:rFonts w:asciiTheme="minorHAnsi" w:eastAsia="Times New Roman" w:hAnsiTheme="minorHAnsi" w:cstheme="minorHAnsi"/>
                <w:b/>
                <w:color w:val="FFFFFF" w:themeColor="background1"/>
                <w:sz w:val="22"/>
              </w:rPr>
              <w:t>variables</w:t>
            </w:r>
          </w:p>
        </w:tc>
        <w:tc>
          <w:tcPr>
            <w:tcW w:w="1862" w:type="pct"/>
            <w:gridSpan w:val="4"/>
            <w:shd w:val="clear" w:color="auto" w:fill="365F91"/>
            <w:tcMar>
              <w:left w:w="43" w:type="dxa"/>
              <w:right w:w="43" w:type="dxa"/>
            </w:tcMar>
            <w:vAlign w:val="center"/>
          </w:tcPr>
          <w:p w14:paraId="3F52E09B" w14:textId="0D8E73F9" w:rsidR="009D54B7" w:rsidRPr="00F3076A" w:rsidRDefault="009D54B7" w:rsidP="003633F7">
            <w:pPr>
              <w:spacing w:before="20" w:after="20" w:line="240" w:lineRule="auto"/>
              <w:jc w:val="center"/>
              <w:rPr>
                <w:rFonts w:asciiTheme="minorHAnsi" w:hAnsiTheme="minorHAnsi" w:cstheme="minorHAnsi"/>
                <w:b/>
                <w:color w:val="FFFFFF" w:themeColor="background1"/>
                <w:sz w:val="22"/>
                <w:lang w:eastAsia="bg-BG"/>
              </w:rPr>
            </w:pPr>
            <w:r w:rsidRPr="00F3076A">
              <w:rPr>
                <w:rFonts w:asciiTheme="minorHAnsi" w:eastAsia="Times New Roman" w:hAnsiTheme="minorHAnsi" w:cstheme="minorHAnsi"/>
                <w:b/>
                <w:color w:val="FFFFFF" w:themeColor="background1"/>
                <w:sz w:val="22"/>
              </w:rPr>
              <w:t>2°C</w:t>
            </w:r>
          </w:p>
        </w:tc>
        <w:tc>
          <w:tcPr>
            <w:tcW w:w="1878" w:type="pct"/>
            <w:gridSpan w:val="4"/>
            <w:shd w:val="clear" w:color="auto" w:fill="365F91"/>
            <w:tcMar>
              <w:left w:w="43" w:type="dxa"/>
              <w:right w:w="43" w:type="dxa"/>
            </w:tcMar>
            <w:vAlign w:val="center"/>
          </w:tcPr>
          <w:p w14:paraId="118FF1F3" w14:textId="2D03D98C" w:rsidR="009D54B7" w:rsidRPr="00F3076A" w:rsidRDefault="009D54B7" w:rsidP="003633F7">
            <w:pPr>
              <w:spacing w:before="20" w:after="20" w:line="240" w:lineRule="auto"/>
              <w:jc w:val="center"/>
              <w:rPr>
                <w:rFonts w:asciiTheme="minorHAnsi" w:hAnsiTheme="minorHAnsi" w:cstheme="minorHAnsi"/>
                <w:b/>
                <w:color w:val="FFFFFF" w:themeColor="background1"/>
                <w:sz w:val="22"/>
                <w:lang w:eastAsia="bg-BG"/>
              </w:rPr>
            </w:pPr>
            <w:r w:rsidRPr="00F3076A">
              <w:rPr>
                <w:rFonts w:asciiTheme="minorHAnsi" w:eastAsia="Times New Roman" w:hAnsiTheme="minorHAnsi" w:cstheme="minorHAnsi"/>
                <w:b/>
                <w:color w:val="FFFFFF" w:themeColor="background1"/>
                <w:sz w:val="22"/>
              </w:rPr>
              <w:t>4°C</w:t>
            </w:r>
          </w:p>
        </w:tc>
      </w:tr>
      <w:tr w:rsidR="003633F7" w:rsidRPr="00F3076A" w14:paraId="6149ECE0" w14:textId="77777777" w:rsidTr="003633F7">
        <w:trPr>
          <w:tblHeader/>
          <w:jc w:val="center"/>
        </w:trPr>
        <w:tc>
          <w:tcPr>
            <w:tcW w:w="1259" w:type="pct"/>
            <w:vMerge/>
            <w:tcMar>
              <w:left w:w="43" w:type="dxa"/>
              <w:right w:w="43" w:type="dxa"/>
            </w:tcMar>
            <w:vAlign w:val="center"/>
          </w:tcPr>
          <w:p w14:paraId="251DD5D4" w14:textId="77777777" w:rsidR="009D54B7" w:rsidRPr="00F3076A" w:rsidRDefault="009D54B7" w:rsidP="003633F7">
            <w:pPr>
              <w:spacing w:before="20" w:after="20" w:line="240" w:lineRule="auto"/>
              <w:jc w:val="center"/>
              <w:rPr>
                <w:rFonts w:asciiTheme="minorHAnsi" w:hAnsiTheme="minorHAnsi" w:cstheme="minorHAnsi"/>
                <w:sz w:val="22"/>
                <w:lang w:eastAsia="bg-BG"/>
              </w:rPr>
            </w:pPr>
          </w:p>
        </w:tc>
        <w:tc>
          <w:tcPr>
            <w:tcW w:w="453" w:type="pct"/>
            <w:shd w:val="clear" w:color="auto" w:fill="D9D9D9" w:themeFill="background1" w:themeFillShade="D9"/>
            <w:tcMar>
              <w:left w:w="43" w:type="dxa"/>
              <w:right w:w="43" w:type="dxa"/>
            </w:tcMar>
            <w:vAlign w:val="center"/>
          </w:tcPr>
          <w:p w14:paraId="04A0F4FE" w14:textId="051DBACF" w:rsidR="009D54B7" w:rsidRPr="00F3076A" w:rsidRDefault="009D54B7" w:rsidP="003633F7">
            <w:pPr>
              <w:spacing w:before="20" w:after="20" w:line="240" w:lineRule="auto"/>
              <w:jc w:val="center"/>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 xml:space="preserve">10 </w:t>
            </w:r>
            <w:r w:rsidR="004F0DA0" w:rsidRPr="00F3076A">
              <w:rPr>
                <w:rFonts w:asciiTheme="minorHAnsi" w:eastAsia="Times New Roman" w:hAnsiTheme="minorHAnsi" w:cstheme="minorHAnsi"/>
                <w:b/>
                <w:color w:val="000000"/>
                <w:sz w:val="22"/>
              </w:rPr>
              <w:t>percent</w:t>
            </w:r>
          </w:p>
        </w:tc>
        <w:tc>
          <w:tcPr>
            <w:tcW w:w="453" w:type="pct"/>
            <w:shd w:val="clear" w:color="auto" w:fill="D9D9D9" w:themeFill="background1" w:themeFillShade="D9"/>
            <w:tcMar>
              <w:left w:w="43" w:type="dxa"/>
              <w:right w:w="43" w:type="dxa"/>
            </w:tcMar>
            <w:vAlign w:val="center"/>
          </w:tcPr>
          <w:p w14:paraId="2DE378FC" w14:textId="7903C825" w:rsidR="009D54B7" w:rsidRPr="00F3076A" w:rsidRDefault="009D54B7" w:rsidP="003633F7">
            <w:pPr>
              <w:spacing w:before="20" w:after="20" w:line="240" w:lineRule="auto"/>
              <w:jc w:val="center"/>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 xml:space="preserve">20 </w:t>
            </w:r>
            <w:r w:rsidR="004F0DA0" w:rsidRPr="00F3076A">
              <w:rPr>
                <w:rFonts w:asciiTheme="minorHAnsi" w:eastAsia="Times New Roman" w:hAnsiTheme="minorHAnsi" w:cstheme="minorHAnsi"/>
                <w:b/>
                <w:color w:val="000000"/>
                <w:sz w:val="22"/>
              </w:rPr>
              <w:t>percent</w:t>
            </w:r>
          </w:p>
        </w:tc>
        <w:tc>
          <w:tcPr>
            <w:tcW w:w="453" w:type="pct"/>
            <w:shd w:val="clear" w:color="auto" w:fill="D9D9D9" w:themeFill="background1" w:themeFillShade="D9"/>
            <w:tcMar>
              <w:left w:w="43" w:type="dxa"/>
              <w:right w:w="43" w:type="dxa"/>
            </w:tcMar>
            <w:vAlign w:val="center"/>
          </w:tcPr>
          <w:p w14:paraId="0AA524AE" w14:textId="79853809" w:rsidR="009D54B7" w:rsidRPr="00F3076A" w:rsidRDefault="009D54B7" w:rsidP="003633F7">
            <w:pPr>
              <w:spacing w:before="20" w:after="20" w:line="240" w:lineRule="auto"/>
              <w:jc w:val="center"/>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 xml:space="preserve">30 </w:t>
            </w:r>
            <w:r w:rsidR="004F0DA0" w:rsidRPr="00F3076A">
              <w:rPr>
                <w:rFonts w:asciiTheme="minorHAnsi" w:eastAsia="Times New Roman" w:hAnsiTheme="minorHAnsi" w:cstheme="minorHAnsi"/>
                <w:b/>
                <w:color w:val="000000"/>
                <w:sz w:val="22"/>
              </w:rPr>
              <w:t>percent</w:t>
            </w:r>
          </w:p>
        </w:tc>
        <w:tc>
          <w:tcPr>
            <w:tcW w:w="505" w:type="pct"/>
            <w:shd w:val="clear" w:color="auto" w:fill="D9D9D9" w:themeFill="background1" w:themeFillShade="D9"/>
            <w:tcMar>
              <w:left w:w="43" w:type="dxa"/>
              <w:right w:w="43" w:type="dxa"/>
            </w:tcMar>
            <w:vAlign w:val="center"/>
          </w:tcPr>
          <w:p w14:paraId="7C7CE579" w14:textId="5ED6BE4D" w:rsidR="009D54B7" w:rsidRPr="00F3076A" w:rsidRDefault="009D54B7" w:rsidP="003633F7">
            <w:pPr>
              <w:spacing w:before="20" w:after="20" w:line="240" w:lineRule="auto"/>
              <w:jc w:val="center"/>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 xml:space="preserve">Policy 3: </w:t>
            </w:r>
            <w:r w:rsidR="007D0E91" w:rsidRPr="00F3076A">
              <w:rPr>
                <w:rFonts w:asciiTheme="minorHAnsi" w:eastAsia="Times New Roman" w:hAnsiTheme="minorHAnsi" w:cstheme="minorHAnsi"/>
                <w:b/>
                <w:color w:val="000000"/>
                <w:sz w:val="22"/>
              </w:rPr>
              <w:t>Capital</w:t>
            </w:r>
          </w:p>
        </w:tc>
        <w:tc>
          <w:tcPr>
            <w:tcW w:w="454" w:type="pct"/>
            <w:shd w:val="clear" w:color="auto" w:fill="D9D9D9" w:themeFill="background1" w:themeFillShade="D9"/>
            <w:tcMar>
              <w:left w:w="43" w:type="dxa"/>
              <w:right w:w="43" w:type="dxa"/>
            </w:tcMar>
            <w:vAlign w:val="center"/>
          </w:tcPr>
          <w:p w14:paraId="5E7C50FC" w14:textId="2EC88C21" w:rsidR="009D54B7" w:rsidRPr="00F3076A" w:rsidRDefault="009D54B7" w:rsidP="003633F7">
            <w:pPr>
              <w:spacing w:before="20" w:after="20" w:line="240" w:lineRule="auto"/>
              <w:jc w:val="center"/>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 xml:space="preserve">10 </w:t>
            </w:r>
            <w:r w:rsidR="004F0DA0" w:rsidRPr="00F3076A">
              <w:rPr>
                <w:rFonts w:asciiTheme="minorHAnsi" w:eastAsia="Times New Roman" w:hAnsiTheme="minorHAnsi" w:cstheme="minorHAnsi"/>
                <w:b/>
                <w:color w:val="000000"/>
                <w:sz w:val="22"/>
              </w:rPr>
              <w:t>percent</w:t>
            </w:r>
          </w:p>
        </w:tc>
        <w:tc>
          <w:tcPr>
            <w:tcW w:w="453" w:type="pct"/>
            <w:shd w:val="clear" w:color="auto" w:fill="D9D9D9" w:themeFill="background1" w:themeFillShade="D9"/>
            <w:tcMar>
              <w:left w:w="43" w:type="dxa"/>
              <w:right w:w="43" w:type="dxa"/>
            </w:tcMar>
            <w:vAlign w:val="center"/>
          </w:tcPr>
          <w:p w14:paraId="623BC177" w14:textId="5BFA7FF7" w:rsidR="009D54B7" w:rsidRPr="00F3076A" w:rsidRDefault="009D54B7" w:rsidP="003633F7">
            <w:pPr>
              <w:spacing w:before="20" w:after="20" w:line="240" w:lineRule="auto"/>
              <w:jc w:val="center"/>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 xml:space="preserve">20 </w:t>
            </w:r>
            <w:r w:rsidR="004F0DA0" w:rsidRPr="00F3076A">
              <w:rPr>
                <w:rFonts w:asciiTheme="minorHAnsi" w:eastAsia="Times New Roman" w:hAnsiTheme="minorHAnsi" w:cstheme="minorHAnsi"/>
                <w:b/>
                <w:color w:val="000000"/>
                <w:sz w:val="22"/>
              </w:rPr>
              <w:t>percent</w:t>
            </w:r>
          </w:p>
        </w:tc>
        <w:tc>
          <w:tcPr>
            <w:tcW w:w="453" w:type="pct"/>
            <w:shd w:val="clear" w:color="auto" w:fill="D9D9D9" w:themeFill="background1" w:themeFillShade="D9"/>
            <w:tcMar>
              <w:left w:w="43" w:type="dxa"/>
              <w:right w:w="43" w:type="dxa"/>
            </w:tcMar>
            <w:vAlign w:val="center"/>
          </w:tcPr>
          <w:p w14:paraId="2979DDFB" w14:textId="4765006F" w:rsidR="009D54B7" w:rsidRPr="00F3076A" w:rsidRDefault="009D54B7" w:rsidP="003633F7">
            <w:pPr>
              <w:spacing w:before="20" w:after="20" w:line="240" w:lineRule="auto"/>
              <w:jc w:val="center"/>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 xml:space="preserve">30 </w:t>
            </w:r>
            <w:r w:rsidR="004F0DA0" w:rsidRPr="00F3076A">
              <w:rPr>
                <w:rFonts w:asciiTheme="minorHAnsi" w:eastAsia="Times New Roman" w:hAnsiTheme="minorHAnsi" w:cstheme="minorHAnsi"/>
                <w:b/>
                <w:color w:val="000000"/>
                <w:sz w:val="22"/>
              </w:rPr>
              <w:t>percent</w:t>
            </w:r>
          </w:p>
        </w:tc>
        <w:tc>
          <w:tcPr>
            <w:tcW w:w="519" w:type="pct"/>
            <w:shd w:val="clear" w:color="auto" w:fill="D9D9D9" w:themeFill="background1" w:themeFillShade="D9"/>
            <w:tcMar>
              <w:left w:w="43" w:type="dxa"/>
              <w:right w:w="43" w:type="dxa"/>
            </w:tcMar>
            <w:vAlign w:val="center"/>
          </w:tcPr>
          <w:p w14:paraId="4345A14D" w14:textId="3F5466F0" w:rsidR="009D54B7" w:rsidRPr="00F3076A" w:rsidRDefault="009D54B7" w:rsidP="003633F7">
            <w:pPr>
              <w:spacing w:before="20" w:after="20" w:line="240" w:lineRule="auto"/>
              <w:jc w:val="center"/>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 xml:space="preserve">Policy 3: </w:t>
            </w:r>
            <w:r w:rsidR="007D0E91" w:rsidRPr="00F3076A">
              <w:rPr>
                <w:rFonts w:asciiTheme="minorHAnsi" w:eastAsia="Times New Roman" w:hAnsiTheme="minorHAnsi" w:cstheme="minorHAnsi"/>
                <w:b/>
                <w:color w:val="000000"/>
                <w:sz w:val="22"/>
              </w:rPr>
              <w:t>Capital</w:t>
            </w:r>
          </w:p>
        </w:tc>
      </w:tr>
      <w:tr w:rsidR="009D54B7" w:rsidRPr="00F3076A" w14:paraId="53E11B5A" w14:textId="77777777" w:rsidTr="003633F7">
        <w:trPr>
          <w:jc w:val="center"/>
        </w:trPr>
        <w:tc>
          <w:tcPr>
            <w:tcW w:w="1259" w:type="pct"/>
            <w:shd w:val="clear" w:color="auto" w:fill="B8CCE4"/>
            <w:tcMar>
              <w:left w:w="43" w:type="dxa"/>
              <w:right w:w="43" w:type="dxa"/>
            </w:tcMar>
          </w:tcPr>
          <w:p w14:paraId="6C112869" w14:textId="77777777" w:rsidR="009D54B7" w:rsidRPr="00F3076A" w:rsidRDefault="009D54B7" w:rsidP="003633F7">
            <w:pPr>
              <w:spacing w:before="20" w:after="20" w:line="240" w:lineRule="auto"/>
              <w:jc w:val="left"/>
              <w:rPr>
                <w:rFonts w:asciiTheme="minorHAnsi" w:hAnsiTheme="minorHAnsi" w:cstheme="minorHAnsi"/>
                <w:sz w:val="22"/>
                <w:lang w:eastAsia="bg-BG"/>
              </w:rPr>
            </w:pPr>
          </w:p>
        </w:tc>
        <w:tc>
          <w:tcPr>
            <w:tcW w:w="3741" w:type="pct"/>
            <w:gridSpan w:val="8"/>
            <w:shd w:val="clear" w:color="auto" w:fill="F2F2F2" w:themeFill="background1" w:themeFillShade="F2"/>
            <w:tcMar>
              <w:left w:w="43" w:type="dxa"/>
              <w:right w:w="43" w:type="dxa"/>
            </w:tcMar>
          </w:tcPr>
          <w:p w14:paraId="284E034B" w14:textId="04B4ACD3" w:rsidR="009D54B7" w:rsidRPr="00F3076A" w:rsidRDefault="009D54B7" w:rsidP="003633F7">
            <w:pPr>
              <w:spacing w:before="20" w:after="20" w:line="240" w:lineRule="auto"/>
              <w:jc w:val="center"/>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US</w:t>
            </w:r>
            <w:r w:rsidR="00C04D16" w:rsidRPr="00F3076A">
              <w:rPr>
                <w:rFonts w:asciiTheme="minorHAnsi" w:eastAsia="Times New Roman" w:hAnsiTheme="minorHAnsi" w:cstheme="minorHAnsi"/>
                <w:b/>
                <w:color w:val="000000"/>
                <w:sz w:val="22"/>
              </w:rPr>
              <w:t>$</w:t>
            </w:r>
            <w:r w:rsidR="00015332" w:rsidRPr="00F3076A">
              <w:rPr>
                <w:rFonts w:asciiTheme="minorHAnsi" w:eastAsia="Times New Roman" w:hAnsiTheme="minorHAnsi" w:cstheme="minorHAnsi"/>
                <w:b/>
                <w:color w:val="000000"/>
                <w:sz w:val="22"/>
              </w:rPr>
              <w:t>, millions</w:t>
            </w:r>
          </w:p>
        </w:tc>
      </w:tr>
      <w:tr w:rsidR="003633F7" w:rsidRPr="00F3076A" w14:paraId="1CB8EC41" w14:textId="77777777" w:rsidTr="003633F7">
        <w:trPr>
          <w:jc w:val="center"/>
        </w:trPr>
        <w:tc>
          <w:tcPr>
            <w:tcW w:w="1259" w:type="pct"/>
            <w:shd w:val="clear" w:color="auto" w:fill="B8CCE4"/>
            <w:tcMar>
              <w:left w:w="43" w:type="dxa"/>
              <w:right w:w="43" w:type="dxa"/>
            </w:tcMar>
          </w:tcPr>
          <w:p w14:paraId="7DE333FE" w14:textId="3F60740F" w:rsidR="009D54B7" w:rsidRPr="00F3076A" w:rsidRDefault="009D54B7" w:rsidP="003633F7">
            <w:pPr>
              <w:spacing w:before="20" w:after="20" w:line="240" w:lineRule="auto"/>
              <w:jc w:val="left"/>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GDP</w:t>
            </w:r>
          </w:p>
        </w:tc>
        <w:tc>
          <w:tcPr>
            <w:tcW w:w="453" w:type="pct"/>
            <w:tcMar>
              <w:left w:w="43" w:type="dxa"/>
              <w:right w:w="43" w:type="dxa"/>
            </w:tcMar>
          </w:tcPr>
          <w:p w14:paraId="104E917C" w14:textId="2FFC625D"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65</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341</w:t>
            </w:r>
          </w:p>
        </w:tc>
        <w:tc>
          <w:tcPr>
            <w:tcW w:w="453" w:type="pct"/>
            <w:tcMar>
              <w:left w:w="43" w:type="dxa"/>
              <w:right w:w="43" w:type="dxa"/>
            </w:tcMar>
          </w:tcPr>
          <w:p w14:paraId="312FFF6A" w14:textId="2692B63F"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65</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360</w:t>
            </w:r>
          </w:p>
        </w:tc>
        <w:tc>
          <w:tcPr>
            <w:tcW w:w="453" w:type="pct"/>
            <w:tcMar>
              <w:left w:w="43" w:type="dxa"/>
              <w:right w:w="43" w:type="dxa"/>
            </w:tcMar>
          </w:tcPr>
          <w:p w14:paraId="19665648" w14:textId="19795C44"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65</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380</w:t>
            </w:r>
          </w:p>
        </w:tc>
        <w:tc>
          <w:tcPr>
            <w:tcW w:w="505" w:type="pct"/>
            <w:tcMar>
              <w:left w:w="43" w:type="dxa"/>
              <w:right w:w="43" w:type="dxa"/>
            </w:tcMar>
          </w:tcPr>
          <w:p w14:paraId="0608DAA8" w14:textId="24138437"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65</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405</w:t>
            </w:r>
          </w:p>
        </w:tc>
        <w:tc>
          <w:tcPr>
            <w:tcW w:w="454" w:type="pct"/>
            <w:tcMar>
              <w:left w:w="43" w:type="dxa"/>
              <w:right w:w="43" w:type="dxa"/>
            </w:tcMar>
          </w:tcPr>
          <w:p w14:paraId="1CB911FC" w14:textId="781967A5"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65</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321</w:t>
            </w:r>
          </w:p>
        </w:tc>
        <w:tc>
          <w:tcPr>
            <w:tcW w:w="453" w:type="pct"/>
            <w:tcMar>
              <w:left w:w="43" w:type="dxa"/>
              <w:right w:w="43" w:type="dxa"/>
            </w:tcMar>
          </w:tcPr>
          <w:p w14:paraId="02F3B7CF" w14:textId="666F36D3"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65</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343</w:t>
            </w:r>
          </w:p>
        </w:tc>
        <w:tc>
          <w:tcPr>
            <w:tcW w:w="453" w:type="pct"/>
            <w:tcMar>
              <w:left w:w="43" w:type="dxa"/>
              <w:right w:w="43" w:type="dxa"/>
            </w:tcMar>
          </w:tcPr>
          <w:p w14:paraId="5ADF29B5" w14:textId="5EC8AF10"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65</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364</w:t>
            </w:r>
          </w:p>
        </w:tc>
        <w:tc>
          <w:tcPr>
            <w:tcW w:w="519" w:type="pct"/>
            <w:tcMar>
              <w:left w:w="43" w:type="dxa"/>
              <w:right w:w="43" w:type="dxa"/>
            </w:tcMar>
          </w:tcPr>
          <w:p w14:paraId="3E4FF6B9" w14:textId="0C9A9AD7"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65</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387</w:t>
            </w:r>
          </w:p>
        </w:tc>
      </w:tr>
      <w:tr w:rsidR="003633F7" w:rsidRPr="00F3076A" w14:paraId="610CC963" w14:textId="77777777" w:rsidTr="003633F7">
        <w:trPr>
          <w:jc w:val="center"/>
        </w:trPr>
        <w:tc>
          <w:tcPr>
            <w:tcW w:w="1259" w:type="pct"/>
            <w:shd w:val="clear" w:color="auto" w:fill="B8CCE4"/>
            <w:tcMar>
              <w:left w:w="43" w:type="dxa"/>
              <w:right w:w="43" w:type="dxa"/>
            </w:tcMar>
          </w:tcPr>
          <w:p w14:paraId="7D4C334E" w14:textId="72512AB4" w:rsidR="009D54B7" w:rsidRPr="00F3076A" w:rsidRDefault="009D54B7" w:rsidP="003633F7">
            <w:pPr>
              <w:spacing w:before="20" w:after="20" w:line="240" w:lineRule="auto"/>
              <w:jc w:val="left"/>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Welfare</w:t>
            </w:r>
          </w:p>
        </w:tc>
        <w:tc>
          <w:tcPr>
            <w:tcW w:w="453" w:type="pct"/>
            <w:tcMar>
              <w:left w:w="43" w:type="dxa"/>
              <w:right w:w="43" w:type="dxa"/>
            </w:tcMar>
          </w:tcPr>
          <w:p w14:paraId="6F59324A" w14:textId="77E882B2" w:rsidR="009D54B7" w:rsidRPr="00F3076A" w:rsidRDefault="004F0DA0"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55</w:t>
            </w:r>
          </w:p>
        </w:tc>
        <w:tc>
          <w:tcPr>
            <w:tcW w:w="453" w:type="pct"/>
            <w:tcMar>
              <w:left w:w="43" w:type="dxa"/>
              <w:right w:w="43" w:type="dxa"/>
            </w:tcMar>
          </w:tcPr>
          <w:p w14:paraId="4BEB43EF" w14:textId="2DEAD496" w:rsidR="009D54B7" w:rsidRPr="00F3076A" w:rsidRDefault="004F0DA0"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41</w:t>
            </w:r>
          </w:p>
        </w:tc>
        <w:tc>
          <w:tcPr>
            <w:tcW w:w="453" w:type="pct"/>
            <w:tcMar>
              <w:left w:w="43" w:type="dxa"/>
              <w:right w:w="43" w:type="dxa"/>
            </w:tcMar>
          </w:tcPr>
          <w:p w14:paraId="1B99F5D4" w14:textId="24EA43F4" w:rsidR="009D54B7" w:rsidRPr="00F3076A" w:rsidRDefault="004F0DA0"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26</w:t>
            </w:r>
          </w:p>
        </w:tc>
        <w:tc>
          <w:tcPr>
            <w:tcW w:w="505" w:type="pct"/>
            <w:tcMar>
              <w:left w:w="43" w:type="dxa"/>
              <w:right w:w="43" w:type="dxa"/>
            </w:tcMar>
          </w:tcPr>
          <w:p w14:paraId="7C787CDC" w14:textId="1DE8F62C"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19</w:t>
            </w:r>
          </w:p>
        </w:tc>
        <w:tc>
          <w:tcPr>
            <w:tcW w:w="454" w:type="pct"/>
            <w:tcMar>
              <w:left w:w="43" w:type="dxa"/>
              <w:right w:w="43" w:type="dxa"/>
            </w:tcMar>
          </w:tcPr>
          <w:p w14:paraId="355B02A0" w14:textId="4A3DA9BA" w:rsidR="009D54B7" w:rsidRPr="00F3076A" w:rsidRDefault="004F0DA0"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67</w:t>
            </w:r>
          </w:p>
        </w:tc>
        <w:tc>
          <w:tcPr>
            <w:tcW w:w="453" w:type="pct"/>
            <w:tcMar>
              <w:left w:w="43" w:type="dxa"/>
              <w:right w:w="43" w:type="dxa"/>
            </w:tcMar>
          </w:tcPr>
          <w:p w14:paraId="7F8093F4" w14:textId="3AA5265A" w:rsidR="009D54B7" w:rsidRPr="00F3076A" w:rsidRDefault="004F0DA0"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51</w:t>
            </w:r>
          </w:p>
        </w:tc>
        <w:tc>
          <w:tcPr>
            <w:tcW w:w="453" w:type="pct"/>
            <w:tcMar>
              <w:left w:w="43" w:type="dxa"/>
              <w:right w:w="43" w:type="dxa"/>
            </w:tcMar>
          </w:tcPr>
          <w:p w14:paraId="02B9040F" w14:textId="6CBD261B" w:rsidR="009D54B7" w:rsidRPr="00F3076A" w:rsidRDefault="004F0DA0"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36</w:t>
            </w:r>
          </w:p>
        </w:tc>
        <w:tc>
          <w:tcPr>
            <w:tcW w:w="519" w:type="pct"/>
            <w:tcMar>
              <w:left w:w="43" w:type="dxa"/>
              <w:right w:w="43" w:type="dxa"/>
            </w:tcMar>
          </w:tcPr>
          <w:p w14:paraId="0EDD7637" w14:textId="772C7130"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8</w:t>
            </w:r>
          </w:p>
        </w:tc>
      </w:tr>
      <w:tr w:rsidR="003633F7" w:rsidRPr="00F3076A" w14:paraId="0E0BDCAF" w14:textId="77777777" w:rsidTr="003633F7">
        <w:trPr>
          <w:jc w:val="center"/>
        </w:trPr>
        <w:tc>
          <w:tcPr>
            <w:tcW w:w="1259" w:type="pct"/>
            <w:shd w:val="clear" w:color="auto" w:fill="B8CCE4"/>
            <w:tcMar>
              <w:left w:w="43" w:type="dxa"/>
              <w:right w:w="43" w:type="dxa"/>
            </w:tcMar>
          </w:tcPr>
          <w:p w14:paraId="4296CEA7" w14:textId="2EE031A1" w:rsidR="009D54B7" w:rsidRPr="00F3076A" w:rsidRDefault="009D54B7" w:rsidP="003633F7">
            <w:pPr>
              <w:spacing w:before="20" w:after="20" w:line="240" w:lineRule="auto"/>
              <w:jc w:val="left"/>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Exports</w:t>
            </w:r>
          </w:p>
        </w:tc>
        <w:tc>
          <w:tcPr>
            <w:tcW w:w="453" w:type="pct"/>
            <w:tcMar>
              <w:left w:w="43" w:type="dxa"/>
              <w:right w:w="43" w:type="dxa"/>
            </w:tcMar>
          </w:tcPr>
          <w:p w14:paraId="2E82C7E4" w14:textId="3E347101"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1</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463</w:t>
            </w:r>
          </w:p>
        </w:tc>
        <w:tc>
          <w:tcPr>
            <w:tcW w:w="453" w:type="pct"/>
            <w:tcMar>
              <w:left w:w="43" w:type="dxa"/>
              <w:right w:w="43" w:type="dxa"/>
            </w:tcMar>
          </w:tcPr>
          <w:p w14:paraId="6A3B4CE4" w14:textId="6093FA2E"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1</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726</w:t>
            </w:r>
          </w:p>
        </w:tc>
        <w:tc>
          <w:tcPr>
            <w:tcW w:w="453" w:type="pct"/>
            <w:tcMar>
              <w:left w:w="43" w:type="dxa"/>
              <w:right w:w="43" w:type="dxa"/>
            </w:tcMar>
          </w:tcPr>
          <w:p w14:paraId="0001C995" w14:textId="62BBA357"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1</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984</w:t>
            </w:r>
          </w:p>
        </w:tc>
        <w:tc>
          <w:tcPr>
            <w:tcW w:w="505" w:type="pct"/>
            <w:tcMar>
              <w:left w:w="43" w:type="dxa"/>
              <w:right w:w="43" w:type="dxa"/>
            </w:tcMar>
          </w:tcPr>
          <w:p w14:paraId="5F9F0B2E" w14:textId="493D6132"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3</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979</w:t>
            </w:r>
          </w:p>
        </w:tc>
        <w:tc>
          <w:tcPr>
            <w:tcW w:w="454" w:type="pct"/>
            <w:tcMar>
              <w:left w:w="43" w:type="dxa"/>
              <w:right w:w="43" w:type="dxa"/>
            </w:tcMar>
          </w:tcPr>
          <w:p w14:paraId="737CCA70" w14:textId="0A83785A"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1</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254</w:t>
            </w:r>
          </w:p>
        </w:tc>
        <w:tc>
          <w:tcPr>
            <w:tcW w:w="453" w:type="pct"/>
            <w:tcMar>
              <w:left w:w="43" w:type="dxa"/>
              <w:right w:w="43" w:type="dxa"/>
            </w:tcMar>
          </w:tcPr>
          <w:p w14:paraId="156F1384" w14:textId="2943369F"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1</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530</w:t>
            </w:r>
          </w:p>
        </w:tc>
        <w:tc>
          <w:tcPr>
            <w:tcW w:w="453" w:type="pct"/>
            <w:tcMar>
              <w:left w:w="43" w:type="dxa"/>
              <w:right w:w="43" w:type="dxa"/>
            </w:tcMar>
          </w:tcPr>
          <w:p w14:paraId="614C66EC" w14:textId="741FEFFC"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1</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805</w:t>
            </w:r>
          </w:p>
        </w:tc>
        <w:tc>
          <w:tcPr>
            <w:tcW w:w="519" w:type="pct"/>
            <w:tcMar>
              <w:left w:w="43" w:type="dxa"/>
              <w:right w:w="43" w:type="dxa"/>
            </w:tcMar>
          </w:tcPr>
          <w:p w14:paraId="4B155FDF" w14:textId="52E07273"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3</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606</w:t>
            </w:r>
          </w:p>
        </w:tc>
      </w:tr>
      <w:tr w:rsidR="003633F7" w:rsidRPr="00F3076A" w14:paraId="2A6E85E2" w14:textId="77777777" w:rsidTr="003633F7">
        <w:trPr>
          <w:jc w:val="center"/>
        </w:trPr>
        <w:tc>
          <w:tcPr>
            <w:tcW w:w="1259" w:type="pct"/>
            <w:shd w:val="clear" w:color="auto" w:fill="B8CCE4"/>
            <w:tcMar>
              <w:left w:w="43" w:type="dxa"/>
              <w:right w:w="43" w:type="dxa"/>
            </w:tcMar>
          </w:tcPr>
          <w:p w14:paraId="781DE3E9" w14:textId="69DCB93D" w:rsidR="009D54B7" w:rsidRPr="00F3076A" w:rsidRDefault="009D54B7" w:rsidP="003633F7">
            <w:pPr>
              <w:spacing w:before="20" w:after="20" w:line="240" w:lineRule="auto"/>
              <w:jc w:val="left"/>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Imports</w:t>
            </w:r>
          </w:p>
        </w:tc>
        <w:tc>
          <w:tcPr>
            <w:tcW w:w="453" w:type="pct"/>
            <w:tcMar>
              <w:left w:w="43" w:type="dxa"/>
              <w:right w:w="43" w:type="dxa"/>
            </w:tcMar>
          </w:tcPr>
          <w:p w14:paraId="2DBD66A5" w14:textId="4026E559"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200</w:t>
            </w:r>
          </w:p>
        </w:tc>
        <w:tc>
          <w:tcPr>
            <w:tcW w:w="453" w:type="pct"/>
            <w:tcMar>
              <w:left w:w="43" w:type="dxa"/>
              <w:right w:w="43" w:type="dxa"/>
            </w:tcMar>
          </w:tcPr>
          <w:p w14:paraId="56178B4D" w14:textId="2F396046"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419</w:t>
            </w:r>
          </w:p>
        </w:tc>
        <w:tc>
          <w:tcPr>
            <w:tcW w:w="453" w:type="pct"/>
            <w:tcMar>
              <w:left w:w="43" w:type="dxa"/>
              <w:right w:w="43" w:type="dxa"/>
            </w:tcMar>
          </w:tcPr>
          <w:p w14:paraId="6047EE20" w14:textId="472F2835"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636</w:t>
            </w:r>
          </w:p>
        </w:tc>
        <w:tc>
          <w:tcPr>
            <w:tcW w:w="505" w:type="pct"/>
            <w:tcMar>
              <w:left w:w="43" w:type="dxa"/>
              <w:right w:w="43" w:type="dxa"/>
            </w:tcMar>
          </w:tcPr>
          <w:p w14:paraId="428723B5" w14:textId="2D7BBD8C"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4</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571</w:t>
            </w:r>
          </w:p>
        </w:tc>
        <w:tc>
          <w:tcPr>
            <w:tcW w:w="454" w:type="pct"/>
            <w:tcMar>
              <w:left w:w="43" w:type="dxa"/>
              <w:right w:w="43" w:type="dxa"/>
            </w:tcMar>
          </w:tcPr>
          <w:p w14:paraId="5571A7AD" w14:textId="15E6BF07"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183</w:t>
            </w:r>
          </w:p>
        </w:tc>
        <w:tc>
          <w:tcPr>
            <w:tcW w:w="453" w:type="pct"/>
            <w:tcMar>
              <w:left w:w="43" w:type="dxa"/>
              <w:right w:w="43" w:type="dxa"/>
            </w:tcMar>
          </w:tcPr>
          <w:p w14:paraId="043A7849" w14:textId="503B3F31"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400</w:t>
            </w:r>
          </w:p>
        </w:tc>
        <w:tc>
          <w:tcPr>
            <w:tcW w:w="453" w:type="pct"/>
            <w:tcMar>
              <w:left w:w="43" w:type="dxa"/>
              <w:right w:w="43" w:type="dxa"/>
            </w:tcMar>
          </w:tcPr>
          <w:p w14:paraId="5225333A" w14:textId="0BF417DD"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617</w:t>
            </w:r>
          </w:p>
        </w:tc>
        <w:tc>
          <w:tcPr>
            <w:tcW w:w="519" w:type="pct"/>
            <w:tcMar>
              <w:left w:w="43" w:type="dxa"/>
              <w:right w:w="43" w:type="dxa"/>
            </w:tcMar>
          </w:tcPr>
          <w:p w14:paraId="782B2670" w14:textId="35283C50"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4</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496</w:t>
            </w:r>
          </w:p>
        </w:tc>
      </w:tr>
      <w:tr w:rsidR="003633F7" w:rsidRPr="00F3076A" w14:paraId="243107E2" w14:textId="77777777" w:rsidTr="003633F7">
        <w:trPr>
          <w:jc w:val="center"/>
        </w:trPr>
        <w:tc>
          <w:tcPr>
            <w:tcW w:w="1259" w:type="pct"/>
            <w:shd w:val="clear" w:color="auto" w:fill="B8CCE4"/>
            <w:tcMar>
              <w:left w:w="43" w:type="dxa"/>
              <w:right w:w="43" w:type="dxa"/>
            </w:tcMar>
          </w:tcPr>
          <w:p w14:paraId="6D12F7DB" w14:textId="53BB4B80" w:rsidR="009D54B7" w:rsidRPr="00F3076A" w:rsidRDefault="009D54B7" w:rsidP="003633F7">
            <w:pPr>
              <w:spacing w:before="20" w:after="20" w:line="240" w:lineRule="auto"/>
              <w:jc w:val="left"/>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 xml:space="preserve">Investment </w:t>
            </w:r>
          </w:p>
        </w:tc>
        <w:tc>
          <w:tcPr>
            <w:tcW w:w="453" w:type="pct"/>
            <w:tcMar>
              <w:left w:w="43" w:type="dxa"/>
              <w:right w:w="43" w:type="dxa"/>
            </w:tcMar>
          </w:tcPr>
          <w:p w14:paraId="0BBB74B6" w14:textId="2F6BCABA" w:rsidR="009D54B7" w:rsidRPr="00F3076A" w:rsidRDefault="004F0DA0"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hAnsiTheme="minorHAnsi" w:cstheme="minorHAnsi"/>
                <w:color w:val="000000"/>
                <w:sz w:val="22"/>
              </w:rPr>
              <w:t>2</w:t>
            </w:r>
            <w:r w:rsidRPr="00F3076A">
              <w:rPr>
                <w:rFonts w:asciiTheme="minorHAnsi" w:hAnsiTheme="minorHAnsi" w:cstheme="minorHAnsi"/>
                <w:color w:val="000000"/>
                <w:sz w:val="22"/>
              </w:rPr>
              <w:t>,</w:t>
            </w:r>
            <w:r w:rsidR="009D54B7" w:rsidRPr="00F3076A">
              <w:rPr>
                <w:rFonts w:asciiTheme="minorHAnsi" w:hAnsiTheme="minorHAnsi" w:cstheme="minorHAnsi"/>
                <w:color w:val="000000"/>
                <w:sz w:val="22"/>
              </w:rPr>
              <w:t>275</w:t>
            </w:r>
          </w:p>
        </w:tc>
        <w:tc>
          <w:tcPr>
            <w:tcW w:w="453" w:type="pct"/>
            <w:tcMar>
              <w:left w:w="43" w:type="dxa"/>
              <w:right w:w="43" w:type="dxa"/>
            </w:tcMar>
          </w:tcPr>
          <w:p w14:paraId="3179302D" w14:textId="554D1138" w:rsidR="009D54B7" w:rsidRPr="00F3076A" w:rsidRDefault="004F0DA0"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hAnsiTheme="minorHAnsi" w:cstheme="minorHAnsi"/>
                <w:color w:val="000000"/>
                <w:sz w:val="22"/>
              </w:rPr>
              <w:t>2</w:t>
            </w:r>
            <w:r w:rsidRPr="00F3076A">
              <w:rPr>
                <w:rFonts w:asciiTheme="minorHAnsi" w:hAnsiTheme="minorHAnsi" w:cstheme="minorHAnsi"/>
                <w:color w:val="000000"/>
                <w:sz w:val="22"/>
              </w:rPr>
              <w:t>,</w:t>
            </w:r>
            <w:r w:rsidR="009D54B7" w:rsidRPr="00F3076A">
              <w:rPr>
                <w:rFonts w:asciiTheme="minorHAnsi" w:hAnsiTheme="minorHAnsi" w:cstheme="minorHAnsi"/>
                <w:color w:val="000000"/>
                <w:sz w:val="22"/>
              </w:rPr>
              <w:t>153</w:t>
            </w:r>
          </w:p>
        </w:tc>
        <w:tc>
          <w:tcPr>
            <w:tcW w:w="453" w:type="pct"/>
            <w:tcMar>
              <w:left w:w="43" w:type="dxa"/>
              <w:right w:w="43" w:type="dxa"/>
            </w:tcMar>
          </w:tcPr>
          <w:p w14:paraId="113A01D2" w14:textId="089A6E69" w:rsidR="009D54B7" w:rsidRPr="00F3076A" w:rsidRDefault="004F0DA0"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hAnsiTheme="minorHAnsi" w:cstheme="minorHAnsi"/>
                <w:color w:val="000000"/>
                <w:sz w:val="22"/>
              </w:rPr>
              <w:t>2</w:t>
            </w:r>
            <w:r w:rsidRPr="00F3076A">
              <w:rPr>
                <w:rFonts w:asciiTheme="minorHAnsi" w:hAnsiTheme="minorHAnsi" w:cstheme="minorHAnsi"/>
                <w:color w:val="000000"/>
                <w:sz w:val="22"/>
              </w:rPr>
              <w:t>,</w:t>
            </w:r>
            <w:r w:rsidR="009D54B7" w:rsidRPr="00F3076A">
              <w:rPr>
                <w:rFonts w:asciiTheme="minorHAnsi" w:hAnsiTheme="minorHAnsi" w:cstheme="minorHAnsi"/>
                <w:color w:val="000000"/>
                <w:sz w:val="22"/>
              </w:rPr>
              <w:t>028</w:t>
            </w:r>
          </w:p>
        </w:tc>
        <w:tc>
          <w:tcPr>
            <w:tcW w:w="505" w:type="pct"/>
            <w:tcMar>
              <w:left w:w="43" w:type="dxa"/>
              <w:right w:w="43" w:type="dxa"/>
            </w:tcMar>
          </w:tcPr>
          <w:p w14:paraId="79649619" w14:textId="3EBDBD29"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3</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812</w:t>
            </w:r>
          </w:p>
        </w:tc>
        <w:tc>
          <w:tcPr>
            <w:tcW w:w="454" w:type="pct"/>
            <w:tcMar>
              <w:left w:w="43" w:type="dxa"/>
              <w:right w:w="43" w:type="dxa"/>
            </w:tcMar>
          </w:tcPr>
          <w:p w14:paraId="22DF41DB" w14:textId="278A5630" w:rsidR="009D54B7" w:rsidRPr="00F3076A" w:rsidRDefault="004F0DA0"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hAnsiTheme="minorHAnsi" w:cstheme="minorHAnsi"/>
                <w:color w:val="000000"/>
                <w:sz w:val="22"/>
              </w:rPr>
              <w:t>3</w:t>
            </w:r>
            <w:r w:rsidRPr="00F3076A">
              <w:rPr>
                <w:rFonts w:asciiTheme="minorHAnsi" w:hAnsiTheme="minorHAnsi" w:cstheme="minorHAnsi"/>
                <w:color w:val="000000"/>
                <w:sz w:val="22"/>
              </w:rPr>
              <w:t>,</w:t>
            </w:r>
            <w:r w:rsidR="009D54B7" w:rsidRPr="00F3076A">
              <w:rPr>
                <w:rFonts w:asciiTheme="minorHAnsi" w:hAnsiTheme="minorHAnsi" w:cstheme="minorHAnsi"/>
                <w:color w:val="000000"/>
                <w:sz w:val="22"/>
              </w:rPr>
              <w:t>169</w:t>
            </w:r>
          </w:p>
        </w:tc>
        <w:tc>
          <w:tcPr>
            <w:tcW w:w="453" w:type="pct"/>
            <w:tcMar>
              <w:left w:w="43" w:type="dxa"/>
              <w:right w:w="43" w:type="dxa"/>
            </w:tcMar>
          </w:tcPr>
          <w:p w14:paraId="69EE434D" w14:textId="01193114" w:rsidR="009D54B7" w:rsidRPr="00F3076A" w:rsidRDefault="004F0DA0"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hAnsiTheme="minorHAnsi" w:cstheme="minorHAnsi"/>
                <w:color w:val="000000"/>
                <w:sz w:val="22"/>
              </w:rPr>
              <w:t>2</w:t>
            </w:r>
            <w:r w:rsidRPr="00F3076A">
              <w:rPr>
                <w:rFonts w:asciiTheme="minorHAnsi" w:hAnsiTheme="minorHAnsi" w:cstheme="minorHAnsi"/>
                <w:color w:val="000000"/>
                <w:sz w:val="22"/>
              </w:rPr>
              <w:t>,</w:t>
            </w:r>
            <w:r w:rsidR="009D54B7" w:rsidRPr="00F3076A">
              <w:rPr>
                <w:rFonts w:asciiTheme="minorHAnsi" w:hAnsiTheme="minorHAnsi" w:cstheme="minorHAnsi"/>
                <w:color w:val="000000"/>
                <w:sz w:val="22"/>
              </w:rPr>
              <w:t>937</w:t>
            </w:r>
          </w:p>
        </w:tc>
        <w:tc>
          <w:tcPr>
            <w:tcW w:w="453" w:type="pct"/>
            <w:tcMar>
              <w:left w:w="43" w:type="dxa"/>
              <w:right w:w="43" w:type="dxa"/>
            </w:tcMar>
          </w:tcPr>
          <w:p w14:paraId="7498CB85" w14:textId="3E7C843D" w:rsidR="009D54B7" w:rsidRPr="00F3076A" w:rsidRDefault="004F0DA0"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hAnsiTheme="minorHAnsi" w:cstheme="minorHAnsi"/>
                <w:color w:val="000000"/>
                <w:sz w:val="22"/>
              </w:rPr>
              <w:t>2</w:t>
            </w:r>
            <w:r w:rsidRPr="00F3076A">
              <w:rPr>
                <w:rFonts w:asciiTheme="minorHAnsi" w:hAnsiTheme="minorHAnsi" w:cstheme="minorHAnsi"/>
                <w:color w:val="000000"/>
                <w:sz w:val="22"/>
              </w:rPr>
              <w:t>,</w:t>
            </w:r>
            <w:r w:rsidR="009D54B7" w:rsidRPr="00F3076A">
              <w:rPr>
                <w:rFonts w:asciiTheme="minorHAnsi" w:hAnsiTheme="minorHAnsi" w:cstheme="minorHAnsi"/>
                <w:color w:val="000000"/>
                <w:sz w:val="22"/>
              </w:rPr>
              <w:t>705</w:t>
            </w:r>
          </w:p>
        </w:tc>
        <w:tc>
          <w:tcPr>
            <w:tcW w:w="519" w:type="pct"/>
            <w:tcMar>
              <w:left w:w="43" w:type="dxa"/>
              <w:right w:w="43" w:type="dxa"/>
            </w:tcMar>
          </w:tcPr>
          <w:p w14:paraId="24C49266" w14:textId="796CBCA1" w:rsidR="009D54B7" w:rsidRPr="00F3076A" w:rsidRDefault="009D54B7" w:rsidP="003633F7">
            <w:pPr>
              <w:spacing w:before="20" w:after="20" w:line="240" w:lineRule="auto"/>
              <w:jc w:val="center"/>
              <w:rPr>
                <w:rFonts w:asciiTheme="minorHAnsi" w:hAnsiTheme="minorHAnsi" w:cstheme="minorHAnsi"/>
                <w:sz w:val="22"/>
                <w:lang w:eastAsia="bg-BG"/>
              </w:rPr>
            </w:pPr>
            <w:r w:rsidRPr="00F3076A">
              <w:rPr>
                <w:rFonts w:asciiTheme="minorHAnsi" w:eastAsia="Times New Roman" w:hAnsiTheme="minorHAnsi" w:cstheme="minorHAnsi"/>
                <w:color w:val="000000"/>
                <w:sz w:val="22"/>
              </w:rPr>
              <w:t>3</w:t>
            </w:r>
            <w:r w:rsidR="004F0DA0" w:rsidRPr="00F3076A">
              <w:rPr>
                <w:rFonts w:asciiTheme="minorHAnsi" w:eastAsia="Times New Roman" w:hAnsiTheme="minorHAnsi" w:cstheme="minorHAnsi"/>
                <w:color w:val="000000"/>
                <w:sz w:val="22"/>
              </w:rPr>
              <w:t>,</w:t>
            </w:r>
            <w:r w:rsidRPr="00F3076A">
              <w:rPr>
                <w:rFonts w:asciiTheme="minorHAnsi" w:eastAsia="Times New Roman" w:hAnsiTheme="minorHAnsi" w:cstheme="minorHAnsi"/>
                <w:color w:val="000000"/>
                <w:sz w:val="22"/>
              </w:rPr>
              <w:t>047</w:t>
            </w:r>
          </w:p>
        </w:tc>
      </w:tr>
      <w:tr w:rsidR="009D54B7" w:rsidRPr="00F3076A" w14:paraId="09E10CD4" w14:textId="77777777" w:rsidTr="003633F7">
        <w:trPr>
          <w:jc w:val="center"/>
        </w:trPr>
        <w:tc>
          <w:tcPr>
            <w:tcW w:w="1259" w:type="pct"/>
            <w:shd w:val="clear" w:color="auto" w:fill="B8CCE4"/>
            <w:tcMar>
              <w:left w:w="43" w:type="dxa"/>
              <w:right w:w="43" w:type="dxa"/>
            </w:tcMar>
          </w:tcPr>
          <w:p w14:paraId="08081EC1" w14:textId="77777777" w:rsidR="009D54B7" w:rsidRPr="00F3076A" w:rsidRDefault="009D54B7" w:rsidP="003633F7">
            <w:pPr>
              <w:spacing w:before="20" w:after="20" w:line="240" w:lineRule="auto"/>
              <w:jc w:val="left"/>
              <w:rPr>
                <w:rFonts w:asciiTheme="minorHAnsi" w:hAnsiTheme="minorHAnsi" w:cstheme="minorHAnsi"/>
                <w:b/>
                <w:sz w:val="22"/>
                <w:lang w:eastAsia="bg-BG"/>
              </w:rPr>
            </w:pPr>
          </w:p>
        </w:tc>
        <w:tc>
          <w:tcPr>
            <w:tcW w:w="3741" w:type="pct"/>
            <w:gridSpan w:val="8"/>
            <w:shd w:val="clear" w:color="auto" w:fill="F2F2F2" w:themeFill="background1" w:themeFillShade="F2"/>
            <w:tcMar>
              <w:left w:w="43" w:type="dxa"/>
              <w:right w:w="43" w:type="dxa"/>
            </w:tcMar>
          </w:tcPr>
          <w:p w14:paraId="5F84EF66" w14:textId="643CED81" w:rsidR="009D54B7" w:rsidRPr="00F3076A" w:rsidRDefault="009D54B7" w:rsidP="003633F7">
            <w:pPr>
              <w:spacing w:before="20" w:after="20" w:line="240" w:lineRule="auto"/>
              <w:jc w:val="center"/>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Percent</w:t>
            </w:r>
            <w:r w:rsidR="00C04D16" w:rsidRPr="00F3076A">
              <w:rPr>
                <w:rFonts w:asciiTheme="minorHAnsi" w:eastAsia="Times New Roman" w:hAnsiTheme="minorHAnsi" w:cstheme="minorHAnsi"/>
                <w:b/>
                <w:color w:val="000000"/>
                <w:sz w:val="22"/>
              </w:rPr>
              <w:t>age of</w:t>
            </w:r>
            <w:r w:rsidRPr="00F3076A">
              <w:rPr>
                <w:rFonts w:asciiTheme="minorHAnsi" w:eastAsia="Times New Roman" w:hAnsiTheme="minorHAnsi" w:cstheme="minorHAnsi"/>
                <w:b/>
                <w:color w:val="000000"/>
                <w:sz w:val="22"/>
              </w:rPr>
              <w:t xml:space="preserve"> </w:t>
            </w:r>
            <w:r w:rsidR="004F0DA0" w:rsidRPr="00F3076A">
              <w:rPr>
                <w:rFonts w:asciiTheme="minorHAnsi" w:eastAsia="Times New Roman" w:hAnsiTheme="minorHAnsi" w:cstheme="minorHAnsi"/>
                <w:b/>
                <w:color w:val="000000"/>
                <w:sz w:val="22"/>
              </w:rPr>
              <w:t xml:space="preserve">change </w:t>
            </w:r>
            <w:r w:rsidRPr="00F3076A">
              <w:rPr>
                <w:rFonts w:asciiTheme="minorHAnsi" w:eastAsia="Times New Roman" w:hAnsiTheme="minorHAnsi" w:cstheme="minorHAnsi"/>
                <w:b/>
                <w:color w:val="000000"/>
                <w:sz w:val="22"/>
              </w:rPr>
              <w:t>from baseline</w:t>
            </w:r>
          </w:p>
        </w:tc>
      </w:tr>
      <w:tr w:rsidR="003633F7" w:rsidRPr="00F3076A" w14:paraId="00A02EF4" w14:textId="77777777" w:rsidTr="003633F7">
        <w:trPr>
          <w:jc w:val="center"/>
        </w:trPr>
        <w:tc>
          <w:tcPr>
            <w:tcW w:w="1259" w:type="pct"/>
            <w:shd w:val="clear" w:color="auto" w:fill="B8CCE4"/>
            <w:tcMar>
              <w:left w:w="43" w:type="dxa"/>
              <w:right w:w="43" w:type="dxa"/>
            </w:tcMar>
          </w:tcPr>
          <w:p w14:paraId="19B5D34C" w14:textId="06A8251F" w:rsidR="009D54B7" w:rsidRPr="00F3076A" w:rsidRDefault="009D54B7" w:rsidP="003633F7">
            <w:pPr>
              <w:spacing w:before="20" w:after="20" w:line="240" w:lineRule="auto"/>
              <w:jc w:val="left"/>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 xml:space="preserve">Consumer </w:t>
            </w:r>
            <w:r w:rsidR="004F0DA0" w:rsidRPr="00F3076A">
              <w:rPr>
                <w:rFonts w:asciiTheme="minorHAnsi" w:eastAsia="Times New Roman" w:hAnsiTheme="minorHAnsi" w:cstheme="minorHAnsi"/>
                <w:b/>
                <w:color w:val="000000"/>
                <w:sz w:val="22"/>
              </w:rPr>
              <w:t>price index</w:t>
            </w:r>
          </w:p>
        </w:tc>
        <w:tc>
          <w:tcPr>
            <w:tcW w:w="453" w:type="pct"/>
            <w:tcMar>
              <w:left w:w="43" w:type="dxa"/>
              <w:right w:w="43" w:type="dxa"/>
            </w:tcMar>
            <w:vAlign w:val="center"/>
          </w:tcPr>
          <w:p w14:paraId="6F77B983" w14:textId="49E9E5F0"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0.05</w:t>
            </w:r>
          </w:p>
        </w:tc>
        <w:tc>
          <w:tcPr>
            <w:tcW w:w="453" w:type="pct"/>
            <w:tcMar>
              <w:left w:w="43" w:type="dxa"/>
              <w:right w:w="43" w:type="dxa"/>
            </w:tcMar>
            <w:vAlign w:val="center"/>
          </w:tcPr>
          <w:p w14:paraId="5F14CB8D" w14:textId="2D26FBF5"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0.05</w:t>
            </w:r>
          </w:p>
        </w:tc>
        <w:tc>
          <w:tcPr>
            <w:tcW w:w="453" w:type="pct"/>
            <w:tcMar>
              <w:left w:w="43" w:type="dxa"/>
              <w:right w:w="43" w:type="dxa"/>
            </w:tcMar>
            <w:vAlign w:val="center"/>
          </w:tcPr>
          <w:p w14:paraId="3BD1CEE4" w14:textId="4B9CC2B1"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0.04</w:t>
            </w:r>
          </w:p>
        </w:tc>
        <w:tc>
          <w:tcPr>
            <w:tcW w:w="505" w:type="pct"/>
            <w:tcMar>
              <w:left w:w="43" w:type="dxa"/>
              <w:right w:w="43" w:type="dxa"/>
            </w:tcMar>
            <w:vAlign w:val="center"/>
          </w:tcPr>
          <w:p w14:paraId="7AFAE587" w14:textId="57E5CE3A"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0.06</w:t>
            </w:r>
          </w:p>
        </w:tc>
        <w:tc>
          <w:tcPr>
            <w:tcW w:w="454" w:type="pct"/>
            <w:tcMar>
              <w:left w:w="43" w:type="dxa"/>
              <w:right w:w="43" w:type="dxa"/>
            </w:tcMar>
            <w:vAlign w:val="center"/>
          </w:tcPr>
          <w:p w14:paraId="0644710B" w14:textId="26255D51"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0.06</w:t>
            </w:r>
          </w:p>
        </w:tc>
        <w:tc>
          <w:tcPr>
            <w:tcW w:w="453" w:type="pct"/>
            <w:tcMar>
              <w:left w:w="43" w:type="dxa"/>
              <w:right w:w="43" w:type="dxa"/>
            </w:tcMar>
            <w:vAlign w:val="center"/>
          </w:tcPr>
          <w:p w14:paraId="0AB1765C" w14:textId="0279A287"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0.05</w:t>
            </w:r>
          </w:p>
        </w:tc>
        <w:tc>
          <w:tcPr>
            <w:tcW w:w="453" w:type="pct"/>
            <w:tcMar>
              <w:left w:w="43" w:type="dxa"/>
              <w:right w:w="43" w:type="dxa"/>
            </w:tcMar>
            <w:vAlign w:val="center"/>
          </w:tcPr>
          <w:p w14:paraId="55166636" w14:textId="0F5CCE11"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0.04</w:t>
            </w:r>
          </w:p>
        </w:tc>
        <w:tc>
          <w:tcPr>
            <w:tcW w:w="519" w:type="pct"/>
            <w:tcMar>
              <w:left w:w="43" w:type="dxa"/>
              <w:right w:w="43" w:type="dxa"/>
            </w:tcMar>
            <w:vAlign w:val="center"/>
          </w:tcPr>
          <w:p w14:paraId="575C07B2" w14:textId="765A1E6B"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0.07</w:t>
            </w:r>
          </w:p>
        </w:tc>
      </w:tr>
      <w:tr w:rsidR="003633F7" w:rsidRPr="00F3076A" w14:paraId="57C41EEF" w14:textId="77777777" w:rsidTr="003633F7">
        <w:trPr>
          <w:jc w:val="center"/>
        </w:trPr>
        <w:tc>
          <w:tcPr>
            <w:tcW w:w="1259" w:type="pct"/>
            <w:shd w:val="clear" w:color="auto" w:fill="B8CCE4"/>
            <w:tcMar>
              <w:left w:w="43" w:type="dxa"/>
              <w:right w:w="43" w:type="dxa"/>
            </w:tcMar>
          </w:tcPr>
          <w:p w14:paraId="1C3600B6" w14:textId="560B4E24" w:rsidR="009D54B7" w:rsidRPr="00F3076A" w:rsidRDefault="009D54B7" w:rsidP="003633F7">
            <w:pPr>
              <w:spacing w:before="20" w:after="20" w:line="240" w:lineRule="auto"/>
              <w:jc w:val="left"/>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 xml:space="preserve">Real </w:t>
            </w:r>
            <w:r w:rsidR="004F0DA0" w:rsidRPr="00F3076A">
              <w:rPr>
                <w:rFonts w:asciiTheme="minorHAnsi" w:eastAsia="Times New Roman" w:hAnsiTheme="minorHAnsi" w:cstheme="minorHAnsi"/>
                <w:b/>
                <w:color w:val="000000"/>
                <w:sz w:val="22"/>
              </w:rPr>
              <w:t xml:space="preserve">wages </w:t>
            </w:r>
            <w:r w:rsidRPr="00F3076A">
              <w:rPr>
                <w:rFonts w:asciiTheme="minorHAnsi" w:eastAsia="Times New Roman" w:hAnsiTheme="minorHAnsi" w:cstheme="minorHAnsi"/>
                <w:b/>
                <w:color w:val="000000"/>
                <w:sz w:val="22"/>
              </w:rPr>
              <w:t>(</w:t>
            </w:r>
            <w:r w:rsidR="004F0DA0" w:rsidRPr="00F3076A">
              <w:rPr>
                <w:rFonts w:asciiTheme="minorHAnsi" w:eastAsia="Times New Roman" w:hAnsiTheme="minorHAnsi" w:cstheme="minorHAnsi"/>
                <w:b/>
                <w:color w:val="000000"/>
                <w:sz w:val="22"/>
              </w:rPr>
              <w:t>unskilled l</w:t>
            </w:r>
            <w:r w:rsidRPr="00F3076A">
              <w:rPr>
                <w:rFonts w:asciiTheme="minorHAnsi" w:eastAsia="Times New Roman" w:hAnsiTheme="minorHAnsi" w:cstheme="minorHAnsi"/>
                <w:b/>
                <w:color w:val="000000"/>
                <w:sz w:val="22"/>
              </w:rPr>
              <w:t>abor)</w:t>
            </w:r>
          </w:p>
        </w:tc>
        <w:tc>
          <w:tcPr>
            <w:tcW w:w="453" w:type="pct"/>
            <w:tcMar>
              <w:left w:w="43" w:type="dxa"/>
              <w:right w:w="43" w:type="dxa"/>
            </w:tcMar>
            <w:vAlign w:val="center"/>
          </w:tcPr>
          <w:p w14:paraId="5EC61730" w14:textId="7A4DE135"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0.14</w:t>
            </w:r>
          </w:p>
        </w:tc>
        <w:tc>
          <w:tcPr>
            <w:tcW w:w="453" w:type="pct"/>
            <w:tcMar>
              <w:left w:w="43" w:type="dxa"/>
              <w:right w:w="43" w:type="dxa"/>
            </w:tcMar>
            <w:vAlign w:val="center"/>
          </w:tcPr>
          <w:p w14:paraId="7074864E" w14:textId="18C5B5A7"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0.10</w:t>
            </w:r>
          </w:p>
        </w:tc>
        <w:tc>
          <w:tcPr>
            <w:tcW w:w="453" w:type="pct"/>
            <w:tcMar>
              <w:left w:w="43" w:type="dxa"/>
              <w:right w:w="43" w:type="dxa"/>
            </w:tcMar>
            <w:vAlign w:val="center"/>
          </w:tcPr>
          <w:p w14:paraId="41515C37" w14:textId="73D683D5"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0.07</w:t>
            </w:r>
          </w:p>
        </w:tc>
        <w:tc>
          <w:tcPr>
            <w:tcW w:w="505" w:type="pct"/>
            <w:tcMar>
              <w:left w:w="43" w:type="dxa"/>
              <w:right w:w="43" w:type="dxa"/>
            </w:tcMar>
            <w:vAlign w:val="center"/>
          </w:tcPr>
          <w:p w14:paraId="694B89D0" w14:textId="078C7D1D"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0.07</w:t>
            </w:r>
          </w:p>
        </w:tc>
        <w:tc>
          <w:tcPr>
            <w:tcW w:w="454" w:type="pct"/>
            <w:tcMar>
              <w:left w:w="43" w:type="dxa"/>
              <w:right w:w="43" w:type="dxa"/>
            </w:tcMar>
            <w:vAlign w:val="center"/>
          </w:tcPr>
          <w:p w14:paraId="11F2D69E" w14:textId="33A88964"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0.19</w:t>
            </w:r>
          </w:p>
        </w:tc>
        <w:tc>
          <w:tcPr>
            <w:tcW w:w="453" w:type="pct"/>
            <w:tcMar>
              <w:left w:w="43" w:type="dxa"/>
              <w:right w:w="43" w:type="dxa"/>
            </w:tcMar>
            <w:vAlign w:val="center"/>
          </w:tcPr>
          <w:p w14:paraId="2C202E03" w14:textId="63ABA295"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0.15</w:t>
            </w:r>
          </w:p>
        </w:tc>
        <w:tc>
          <w:tcPr>
            <w:tcW w:w="453" w:type="pct"/>
            <w:tcMar>
              <w:left w:w="43" w:type="dxa"/>
              <w:right w:w="43" w:type="dxa"/>
            </w:tcMar>
            <w:vAlign w:val="center"/>
          </w:tcPr>
          <w:p w14:paraId="6991EEEC" w14:textId="4A89257D"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0.11</w:t>
            </w:r>
          </w:p>
        </w:tc>
        <w:tc>
          <w:tcPr>
            <w:tcW w:w="519" w:type="pct"/>
            <w:tcMar>
              <w:left w:w="43" w:type="dxa"/>
              <w:right w:w="43" w:type="dxa"/>
            </w:tcMar>
            <w:vAlign w:val="center"/>
          </w:tcPr>
          <w:p w14:paraId="1E87B8AA" w14:textId="0A7013D1"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0.10</w:t>
            </w:r>
          </w:p>
        </w:tc>
      </w:tr>
      <w:tr w:rsidR="003633F7" w:rsidRPr="00F3076A" w14:paraId="790E7CEB" w14:textId="77777777" w:rsidTr="003633F7">
        <w:trPr>
          <w:jc w:val="center"/>
        </w:trPr>
        <w:tc>
          <w:tcPr>
            <w:tcW w:w="1259" w:type="pct"/>
            <w:shd w:val="clear" w:color="auto" w:fill="B8CCE4"/>
            <w:tcMar>
              <w:left w:w="43" w:type="dxa"/>
              <w:right w:w="43" w:type="dxa"/>
            </w:tcMar>
          </w:tcPr>
          <w:p w14:paraId="19E3941D" w14:textId="0700869E" w:rsidR="009D54B7" w:rsidRPr="00F3076A" w:rsidRDefault="009D54B7" w:rsidP="003633F7">
            <w:pPr>
              <w:spacing w:before="20" w:after="20" w:line="240" w:lineRule="auto"/>
              <w:jc w:val="left"/>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 xml:space="preserve">Household </w:t>
            </w:r>
            <w:r w:rsidR="004F0DA0" w:rsidRPr="00F3076A">
              <w:rPr>
                <w:rFonts w:asciiTheme="minorHAnsi" w:eastAsia="Times New Roman" w:hAnsiTheme="minorHAnsi" w:cstheme="minorHAnsi"/>
                <w:b/>
                <w:color w:val="000000"/>
                <w:sz w:val="22"/>
              </w:rPr>
              <w:t>income</w:t>
            </w:r>
          </w:p>
        </w:tc>
        <w:tc>
          <w:tcPr>
            <w:tcW w:w="453" w:type="pct"/>
            <w:tcMar>
              <w:left w:w="43" w:type="dxa"/>
              <w:right w:w="43" w:type="dxa"/>
            </w:tcMar>
            <w:vAlign w:val="center"/>
          </w:tcPr>
          <w:p w14:paraId="4AB5D57B" w14:textId="08B4DF84"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0.15</w:t>
            </w:r>
          </w:p>
        </w:tc>
        <w:tc>
          <w:tcPr>
            <w:tcW w:w="453" w:type="pct"/>
            <w:tcMar>
              <w:left w:w="43" w:type="dxa"/>
              <w:right w:w="43" w:type="dxa"/>
            </w:tcMar>
            <w:vAlign w:val="center"/>
          </w:tcPr>
          <w:p w14:paraId="3CCBAB52" w14:textId="1DEF9356"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0.12</w:t>
            </w:r>
          </w:p>
        </w:tc>
        <w:tc>
          <w:tcPr>
            <w:tcW w:w="453" w:type="pct"/>
            <w:tcMar>
              <w:left w:w="43" w:type="dxa"/>
              <w:right w:w="43" w:type="dxa"/>
            </w:tcMar>
            <w:vAlign w:val="center"/>
          </w:tcPr>
          <w:p w14:paraId="6C78483F" w14:textId="0AF40F8E"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0.09</w:t>
            </w:r>
          </w:p>
        </w:tc>
        <w:tc>
          <w:tcPr>
            <w:tcW w:w="505" w:type="pct"/>
            <w:tcMar>
              <w:left w:w="43" w:type="dxa"/>
              <w:right w:w="43" w:type="dxa"/>
            </w:tcMar>
            <w:vAlign w:val="center"/>
          </w:tcPr>
          <w:p w14:paraId="5D788276" w14:textId="50056EBC"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0.04</w:t>
            </w:r>
          </w:p>
        </w:tc>
        <w:tc>
          <w:tcPr>
            <w:tcW w:w="454" w:type="pct"/>
            <w:tcMar>
              <w:left w:w="43" w:type="dxa"/>
              <w:right w:w="43" w:type="dxa"/>
            </w:tcMar>
            <w:vAlign w:val="center"/>
          </w:tcPr>
          <w:p w14:paraId="7331C028" w14:textId="7B760C51"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0.18</w:t>
            </w:r>
          </w:p>
        </w:tc>
        <w:tc>
          <w:tcPr>
            <w:tcW w:w="453" w:type="pct"/>
            <w:tcMar>
              <w:left w:w="43" w:type="dxa"/>
              <w:right w:w="43" w:type="dxa"/>
            </w:tcMar>
            <w:vAlign w:val="center"/>
          </w:tcPr>
          <w:p w14:paraId="56A5AFD2" w14:textId="7AC38073"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0.15</w:t>
            </w:r>
          </w:p>
        </w:tc>
        <w:tc>
          <w:tcPr>
            <w:tcW w:w="453" w:type="pct"/>
            <w:tcMar>
              <w:left w:w="43" w:type="dxa"/>
              <w:right w:w="43" w:type="dxa"/>
            </w:tcMar>
            <w:vAlign w:val="center"/>
          </w:tcPr>
          <w:p w14:paraId="2D56FDB5" w14:textId="3923B3E3"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0.11</w:t>
            </w:r>
          </w:p>
        </w:tc>
        <w:tc>
          <w:tcPr>
            <w:tcW w:w="519" w:type="pct"/>
            <w:tcMar>
              <w:left w:w="43" w:type="dxa"/>
              <w:right w:w="43" w:type="dxa"/>
            </w:tcMar>
            <w:vAlign w:val="center"/>
          </w:tcPr>
          <w:p w14:paraId="7D4FCA3D" w14:textId="29B8EBE6" w:rsidR="009D54B7" w:rsidRPr="00F3076A" w:rsidRDefault="004F0DA0"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w:t>
            </w:r>
            <w:r w:rsidR="009D54B7" w:rsidRPr="00F3076A">
              <w:rPr>
                <w:rFonts w:asciiTheme="minorHAnsi" w:eastAsia="Times New Roman" w:hAnsiTheme="minorHAnsi" w:cstheme="minorHAnsi"/>
                <w:color w:val="000000"/>
                <w:sz w:val="22"/>
              </w:rPr>
              <w:t>0.07</w:t>
            </w:r>
          </w:p>
        </w:tc>
      </w:tr>
      <w:tr w:rsidR="003633F7" w:rsidRPr="00F3076A" w14:paraId="3D92DEAF" w14:textId="77777777" w:rsidTr="003633F7">
        <w:trPr>
          <w:trHeight w:val="163"/>
          <w:jc w:val="center"/>
        </w:trPr>
        <w:tc>
          <w:tcPr>
            <w:tcW w:w="1259" w:type="pct"/>
            <w:shd w:val="clear" w:color="auto" w:fill="B8CCE4"/>
            <w:tcMar>
              <w:left w:w="43" w:type="dxa"/>
              <w:right w:w="43" w:type="dxa"/>
            </w:tcMar>
          </w:tcPr>
          <w:p w14:paraId="3BDB3FD4" w14:textId="25210B5D" w:rsidR="009D54B7" w:rsidRPr="00F3076A" w:rsidRDefault="009D54B7" w:rsidP="003633F7">
            <w:pPr>
              <w:spacing w:before="20" w:after="20" w:line="240" w:lineRule="auto"/>
              <w:jc w:val="left"/>
              <w:rPr>
                <w:rFonts w:asciiTheme="minorHAnsi" w:hAnsiTheme="minorHAnsi" w:cstheme="minorHAnsi"/>
                <w:b/>
                <w:sz w:val="22"/>
                <w:lang w:eastAsia="bg-BG"/>
              </w:rPr>
            </w:pPr>
            <w:r w:rsidRPr="00F3076A">
              <w:rPr>
                <w:rFonts w:asciiTheme="minorHAnsi" w:eastAsia="Times New Roman" w:hAnsiTheme="minorHAnsi" w:cstheme="minorHAnsi"/>
                <w:b/>
                <w:color w:val="000000"/>
                <w:sz w:val="22"/>
              </w:rPr>
              <w:t>Investment</w:t>
            </w:r>
          </w:p>
        </w:tc>
        <w:tc>
          <w:tcPr>
            <w:tcW w:w="453" w:type="pct"/>
            <w:tcMar>
              <w:left w:w="43" w:type="dxa"/>
              <w:right w:w="43" w:type="dxa"/>
            </w:tcMar>
            <w:vAlign w:val="center"/>
          </w:tcPr>
          <w:p w14:paraId="652C769D" w14:textId="56AAD4C2" w:rsidR="009D54B7" w:rsidRPr="00F3076A" w:rsidRDefault="009D54B7"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0.011</w:t>
            </w:r>
          </w:p>
        </w:tc>
        <w:tc>
          <w:tcPr>
            <w:tcW w:w="453" w:type="pct"/>
            <w:tcMar>
              <w:left w:w="43" w:type="dxa"/>
              <w:right w:w="43" w:type="dxa"/>
            </w:tcMar>
            <w:vAlign w:val="center"/>
          </w:tcPr>
          <w:p w14:paraId="75CF53A0" w14:textId="72B0FE8D" w:rsidR="009D54B7" w:rsidRPr="00F3076A" w:rsidRDefault="009D54B7"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0.012</w:t>
            </w:r>
          </w:p>
        </w:tc>
        <w:tc>
          <w:tcPr>
            <w:tcW w:w="453" w:type="pct"/>
            <w:tcMar>
              <w:left w:w="43" w:type="dxa"/>
              <w:right w:w="43" w:type="dxa"/>
            </w:tcMar>
            <w:vAlign w:val="center"/>
          </w:tcPr>
          <w:p w14:paraId="2DC8253A" w14:textId="0B224C87" w:rsidR="009D54B7" w:rsidRPr="00F3076A" w:rsidRDefault="009D54B7"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0.014</w:t>
            </w:r>
          </w:p>
        </w:tc>
        <w:tc>
          <w:tcPr>
            <w:tcW w:w="505" w:type="pct"/>
            <w:tcMar>
              <w:left w:w="43" w:type="dxa"/>
              <w:right w:w="43" w:type="dxa"/>
            </w:tcMar>
            <w:vAlign w:val="center"/>
          </w:tcPr>
          <w:p w14:paraId="7248DE89" w14:textId="3DDEA0B3" w:rsidR="009D54B7" w:rsidRPr="00F3076A" w:rsidRDefault="009D54B7"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0.131</w:t>
            </w:r>
          </w:p>
        </w:tc>
        <w:tc>
          <w:tcPr>
            <w:tcW w:w="454" w:type="pct"/>
            <w:tcMar>
              <w:left w:w="43" w:type="dxa"/>
              <w:right w:w="43" w:type="dxa"/>
            </w:tcMar>
            <w:vAlign w:val="center"/>
          </w:tcPr>
          <w:p w14:paraId="708E1E02" w14:textId="20C7BBB6" w:rsidR="009D54B7" w:rsidRPr="00F3076A" w:rsidRDefault="009D54B7"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0.015</w:t>
            </w:r>
          </w:p>
        </w:tc>
        <w:tc>
          <w:tcPr>
            <w:tcW w:w="453" w:type="pct"/>
            <w:tcMar>
              <w:left w:w="43" w:type="dxa"/>
              <w:right w:w="43" w:type="dxa"/>
            </w:tcMar>
            <w:vAlign w:val="center"/>
          </w:tcPr>
          <w:p w14:paraId="172236D4" w14:textId="2978EFF0" w:rsidR="009D54B7" w:rsidRPr="00F3076A" w:rsidRDefault="009D54B7"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0.017</w:t>
            </w:r>
          </w:p>
        </w:tc>
        <w:tc>
          <w:tcPr>
            <w:tcW w:w="453" w:type="pct"/>
            <w:tcMar>
              <w:left w:w="43" w:type="dxa"/>
              <w:right w:w="43" w:type="dxa"/>
            </w:tcMar>
            <w:vAlign w:val="center"/>
          </w:tcPr>
          <w:p w14:paraId="169E1F7C" w14:textId="1F999438" w:rsidR="009D54B7" w:rsidRPr="00F3076A" w:rsidRDefault="009D54B7"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0.019</w:t>
            </w:r>
          </w:p>
        </w:tc>
        <w:tc>
          <w:tcPr>
            <w:tcW w:w="519" w:type="pct"/>
            <w:tcMar>
              <w:left w:w="43" w:type="dxa"/>
              <w:right w:w="43" w:type="dxa"/>
            </w:tcMar>
            <w:vAlign w:val="center"/>
          </w:tcPr>
          <w:p w14:paraId="4B2AA1ED" w14:textId="61D7ED80" w:rsidR="009D54B7" w:rsidRPr="00F3076A" w:rsidRDefault="009D54B7" w:rsidP="003633F7">
            <w:pPr>
              <w:tabs>
                <w:tab w:val="decimal" w:pos="449"/>
              </w:tabs>
              <w:spacing w:before="20" w:after="20" w:line="240" w:lineRule="auto"/>
              <w:rPr>
                <w:rFonts w:asciiTheme="minorHAnsi" w:hAnsiTheme="minorHAnsi" w:cstheme="minorHAnsi"/>
                <w:sz w:val="22"/>
                <w:lang w:eastAsia="bg-BG"/>
              </w:rPr>
            </w:pPr>
            <w:r w:rsidRPr="00F3076A">
              <w:rPr>
                <w:rFonts w:asciiTheme="minorHAnsi" w:eastAsia="Times New Roman" w:hAnsiTheme="minorHAnsi" w:cstheme="minorHAnsi"/>
                <w:color w:val="000000"/>
                <w:sz w:val="22"/>
              </w:rPr>
              <w:t>0.143</w:t>
            </w:r>
          </w:p>
        </w:tc>
      </w:tr>
    </w:tbl>
    <w:p w14:paraId="08D3A3C0" w14:textId="29DAFBAC" w:rsidR="00FC4AB1" w:rsidRPr="001C3EDC" w:rsidRDefault="00FC4AB1" w:rsidP="00724F7C">
      <w:pPr>
        <w:pStyle w:val="Source"/>
      </w:pPr>
      <w:r w:rsidRPr="001C3EDC">
        <w:t>Source: Model simulations</w:t>
      </w:r>
      <w:r w:rsidR="009D54B7" w:rsidRPr="001C3EDC">
        <w:t>.</w:t>
      </w:r>
    </w:p>
    <w:p w14:paraId="6A4B4200" w14:textId="12873C43" w:rsidR="00FC4AB1" w:rsidRPr="001C3EDC" w:rsidRDefault="00FC4AB1" w:rsidP="00CA5CD0">
      <w:pPr>
        <w:pStyle w:val="BodyText"/>
        <w:tabs>
          <w:tab w:val="left" w:pos="720"/>
        </w:tabs>
        <w:ind w:left="0" w:firstLine="0"/>
      </w:pPr>
      <w:r w:rsidRPr="001C3EDC">
        <w:rPr>
          <w:b/>
          <w:bCs/>
          <w:i/>
          <w:iCs/>
        </w:rPr>
        <w:t xml:space="preserve">Table </w:t>
      </w:r>
      <w:r w:rsidR="003A1E47" w:rsidRPr="001C3EDC">
        <w:rPr>
          <w:b/>
          <w:bCs/>
          <w:i/>
          <w:iCs/>
        </w:rPr>
        <w:t>7</w:t>
      </w:r>
      <w:r w:rsidRPr="001C3EDC">
        <w:t xml:space="preserve"> shows the range of adaptation measures and their impact on key macroeconomic variables of interest. The results are shown in two alternative scenarios of the anticipated climate change in Bulgaria</w:t>
      </w:r>
      <w:r w:rsidR="007D0E91" w:rsidRPr="001C3EDC">
        <w:t>,</w:t>
      </w:r>
      <w:r w:rsidRPr="001C3EDC">
        <w:t xml:space="preserve"> </w:t>
      </w:r>
      <w:r w:rsidR="007D0E91" w:rsidRPr="001C3EDC">
        <w:t>that is,</w:t>
      </w:r>
      <w:r w:rsidRPr="001C3EDC">
        <w:t xml:space="preserve"> 2°C and 4°C global temperature rise by 2050. The columns within these two broad categories represent the level of adaptation that is assumed to have occurred by 2050. For example, the first column (</w:t>
      </w:r>
      <w:r w:rsidR="007D0E91" w:rsidRPr="001C3EDC">
        <w:t>‘</w:t>
      </w:r>
      <w:r w:rsidRPr="001C3EDC">
        <w:t>10 percent</w:t>
      </w:r>
      <w:r w:rsidR="007D0E91" w:rsidRPr="001C3EDC">
        <w:t>’</w:t>
      </w:r>
      <w:r w:rsidRPr="001C3EDC">
        <w:t xml:space="preserve">) means that Bulgaria was able to introduce a planned adaptation measure that reduced the impact of climate change by 10 percent by 2050. The </w:t>
      </w:r>
      <w:r w:rsidR="007D0E91" w:rsidRPr="001C3EDC">
        <w:t>‘</w:t>
      </w:r>
      <w:r w:rsidRPr="001C3EDC">
        <w:t>Capital</w:t>
      </w:r>
      <w:r w:rsidR="007D0E91" w:rsidRPr="001C3EDC">
        <w:t>’</w:t>
      </w:r>
      <w:r w:rsidRPr="001C3EDC">
        <w:t xml:space="preserve"> column shows an adaptation measure where capital is allowed to grow in all sectors that happen to employ this important factor of production. In short, this last scenario represents the case where there is an economy</w:t>
      </w:r>
      <w:r w:rsidR="007D0E91" w:rsidRPr="001C3EDC">
        <w:t>-</w:t>
      </w:r>
      <w:r w:rsidRPr="001C3EDC">
        <w:t xml:space="preserve">wide improvement in the use of capital in Bulgaria. In the other scenarios, capital is allowed to change/improve only </w:t>
      </w:r>
      <w:r w:rsidR="00D57448" w:rsidRPr="001C3EDC">
        <w:t>in</w:t>
      </w:r>
      <w:r w:rsidRPr="001C3EDC">
        <w:t xml:space="preserve"> the agricultural and tourism sectors. </w:t>
      </w:r>
    </w:p>
    <w:p w14:paraId="642FED50" w14:textId="526AB7C7" w:rsidR="00FC4AB1" w:rsidRPr="001C3EDC" w:rsidRDefault="00FC4AB1" w:rsidP="00CA5CD0">
      <w:pPr>
        <w:pStyle w:val="BodyText"/>
        <w:tabs>
          <w:tab w:val="left" w:pos="720"/>
        </w:tabs>
        <w:ind w:left="0" w:firstLine="0"/>
      </w:pPr>
      <w:r w:rsidRPr="001C3EDC">
        <w:t xml:space="preserve">The general picture from </w:t>
      </w:r>
      <w:r w:rsidR="00BB1B8F" w:rsidRPr="001C3EDC">
        <w:rPr>
          <w:b/>
          <w:bCs/>
          <w:i/>
          <w:iCs/>
        </w:rPr>
        <w:t>T</w:t>
      </w:r>
      <w:r w:rsidRPr="001C3EDC">
        <w:rPr>
          <w:b/>
          <w:bCs/>
          <w:i/>
          <w:iCs/>
        </w:rPr>
        <w:t xml:space="preserve">able </w:t>
      </w:r>
      <w:r w:rsidR="007D0E91" w:rsidRPr="001C3EDC">
        <w:rPr>
          <w:b/>
          <w:bCs/>
          <w:i/>
          <w:iCs/>
        </w:rPr>
        <w:t>7</w:t>
      </w:r>
      <w:r w:rsidR="007D0E91" w:rsidRPr="001C3EDC">
        <w:t xml:space="preserve"> </w:t>
      </w:r>
      <w:r w:rsidRPr="001C3EDC">
        <w:t>can be summarized as follows. First, the bigger the adaptation effort, as measured in the percent</w:t>
      </w:r>
      <w:r w:rsidR="00DE4B65" w:rsidRPr="001C3EDC">
        <w:t>age</w:t>
      </w:r>
      <w:r w:rsidRPr="001C3EDC">
        <w:t xml:space="preserve"> of damages reduced, the greater the overall benefit to society</w:t>
      </w:r>
      <w:r w:rsidR="00926F6E" w:rsidRPr="001C3EDC">
        <w:t>,</w:t>
      </w:r>
      <w:r w:rsidRPr="001C3EDC">
        <w:t xml:space="preserve"> </w:t>
      </w:r>
      <w:r w:rsidR="00926F6E" w:rsidRPr="001C3EDC">
        <w:t>that is,</w:t>
      </w:r>
      <w:r w:rsidRPr="001C3EDC">
        <w:t xml:space="preserve"> there is an improvement in welfare, albeit </w:t>
      </w:r>
      <w:r w:rsidR="00926F6E" w:rsidRPr="001C3EDC">
        <w:t xml:space="preserve">in </w:t>
      </w:r>
      <w:r w:rsidRPr="001C3EDC">
        <w:t xml:space="preserve">small magnitude. </w:t>
      </w:r>
      <w:r w:rsidR="00D57448" w:rsidRPr="001C3EDC">
        <w:t>Second, t</w:t>
      </w:r>
      <w:r w:rsidRPr="001C3EDC">
        <w:t xml:space="preserve">he </w:t>
      </w:r>
      <w:r w:rsidR="00926F6E" w:rsidRPr="001C3EDC">
        <w:t>‘</w:t>
      </w:r>
      <w:r w:rsidRPr="001C3EDC">
        <w:t>Capital</w:t>
      </w:r>
      <w:r w:rsidR="00926F6E" w:rsidRPr="001C3EDC">
        <w:t>’</w:t>
      </w:r>
      <w:r w:rsidRPr="001C3EDC">
        <w:t xml:space="preserve"> column</w:t>
      </w:r>
      <w:r w:rsidR="00D57448" w:rsidRPr="001C3EDC">
        <w:t xml:space="preserve"> </w:t>
      </w:r>
      <w:r w:rsidRPr="001C3EDC">
        <w:t xml:space="preserve">shows a positive gain if the adaption </w:t>
      </w:r>
      <w:r w:rsidR="00D57448" w:rsidRPr="001C3EDC">
        <w:t>policy</w:t>
      </w:r>
      <w:r w:rsidRPr="001C3EDC">
        <w:t xml:space="preserve"> improves the use of capital in all sectors in Bulgaria. Third, the impact of all these alternative measures of adaptation seem</w:t>
      </w:r>
      <w:r w:rsidR="005D10FB" w:rsidRPr="001C3EDC">
        <w:t>s</w:t>
      </w:r>
      <w:r w:rsidRPr="001C3EDC">
        <w:t xml:space="preserve"> to have little impact on consumer price index, real returns to unskilled labor, and household. While the general trend reported in </w:t>
      </w:r>
      <w:r w:rsidR="00BB1B8F" w:rsidRPr="001C3EDC">
        <w:rPr>
          <w:b/>
          <w:bCs/>
          <w:i/>
          <w:iCs/>
        </w:rPr>
        <w:t>T</w:t>
      </w:r>
      <w:r w:rsidRPr="001C3EDC">
        <w:rPr>
          <w:b/>
          <w:bCs/>
          <w:i/>
          <w:iCs/>
        </w:rPr>
        <w:t xml:space="preserve">able </w:t>
      </w:r>
      <w:r w:rsidR="005D10FB" w:rsidRPr="001C3EDC">
        <w:rPr>
          <w:b/>
          <w:bCs/>
          <w:i/>
          <w:iCs/>
        </w:rPr>
        <w:t>7</w:t>
      </w:r>
      <w:r w:rsidR="005D10FB" w:rsidRPr="001C3EDC">
        <w:t xml:space="preserve"> </w:t>
      </w:r>
      <w:r w:rsidRPr="001C3EDC">
        <w:t>shows negative outcomes for all these variables, the magnitudes are rather small.</w:t>
      </w:r>
      <w:r w:rsidR="00CB62AC" w:rsidRPr="001C3EDC">
        <w:t xml:space="preserve"> </w:t>
      </w:r>
      <w:r w:rsidRPr="001C3EDC">
        <w:t>This may not be surprising in a general equilibrium setup where unskilled labor is allowed to move across sectors following changes in output. That is, the fact that labor is allowed to move across sectors helps mitigate some of the negative impacts of climate change and/or adaptation by moving to sectors wh</w:t>
      </w:r>
      <w:r w:rsidR="00494BEB" w:rsidRPr="001C3EDC">
        <w:t>ere there is a new opportunity.</w:t>
      </w:r>
    </w:p>
    <w:p w14:paraId="04B53E83" w14:textId="75BB92AE" w:rsidR="00FC4AB1" w:rsidRPr="001C3EDC" w:rsidRDefault="00FC4AB1" w:rsidP="00CA5CD0">
      <w:pPr>
        <w:pStyle w:val="BodyText"/>
        <w:tabs>
          <w:tab w:val="left" w:pos="720"/>
        </w:tabs>
        <w:ind w:left="0" w:firstLine="0"/>
      </w:pPr>
      <w:r w:rsidRPr="001C3EDC">
        <w:t xml:space="preserve">In all </w:t>
      </w:r>
      <w:r w:rsidR="00DE4B65" w:rsidRPr="001C3EDC">
        <w:t xml:space="preserve">the </w:t>
      </w:r>
      <w:r w:rsidRPr="001C3EDC">
        <w:t>measures summarized above, 30 percent reduction in climate damages is the most optimal adaptation scenario if the capital growth is only focused on agricultural and tourism sectors and 2</w:t>
      </w:r>
      <w:r w:rsidRPr="001C3EDC">
        <w:rPr>
          <w:rFonts w:eastAsia="Times New Roman"/>
          <w:color w:val="000000"/>
        </w:rPr>
        <w:t xml:space="preserve">°C is </w:t>
      </w:r>
      <w:r w:rsidR="00494BEB" w:rsidRPr="001C3EDC">
        <w:rPr>
          <w:rFonts w:eastAsia="Times New Roman"/>
          <w:color w:val="000000"/>
        </w:rPr>
        <w:t>the least damaging possibility.</w:t>
      </w:r>
    </w:p>
    <w:p w14:paraId="681E5599" w14:textId="34C26B36" w:rsidR="00BF03EC" w:rsidRPr="001C3EDC" w:rsidRDefault="00FC4AB1" w:rsidP="00BF03EC">
      <w:pPr>
        <w:pStyle w:val="BodyText"/>
        <w:tabs>
          <w:tab w:val="left" w:pos="720"/>
        </w:tabs>
        <w:ind w:left="0" w:firstLine="0"/>
      </w:pPr>
      <w:r w:rsidRPr="001C3EDC">
        <w:t>The capital scenario is even more optimal than the other scenarios, even with just 10</w:t>
      </w:r>
      <w:r w:rsidR="00E32958" w:rsidRPr="001C3EDC">
        <w:t xml:space="preserve"> percent</w:t>
      </w:r>
      <w:r w:rsidRPr="001C3EDC">
        <w:t xml:space="preserve"> reduction in damage by climate change. </w:t>
      </w:r>
      <w:r w:rsidR="00D57448" w:rsidRPr="001C3EDC">
        <w:t xml:space="preserve"> </w:t>
      </w:r>
      <w:r w:rsidRPr="001C3EDC">
        <w:t>It results in greater availability of capital in every industry, thereby infusing a lot of economic positivity across the board, with expansion in output and value added, partly outweighing the climate damage in some sectors.</w:t>
      </w:r>
      <w:r w:rsidR="00CB62AC" w:rsidRPr="001C3EDC">
        <w:t xml:space="preserve"> </w:t>
      </w:r>
    </w:p>
    <w:p w14:paraId="2197C080" w14:textId="34DF75A4" w:rsidR="001C3EDC" w:rsidRPr="001C3EDC" w:rsidRDefault="001C3EDC" w:rsidP="001C3EDC">
      <w:pPr>
        <w:pStyle w:val="BodyText"/>
        <w:numPr>
          <w:ilvl w:val="0"/>
          <w:numId w:val="0"/>
        </w:numPr>
        <w:tabs>
          <w:tab w:val="left" w:pos="720"/>
        </w:tabs>
        <w:ind w:left="360" w:hanging="360"/>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1C3EDC" w:rsidRPr="001C3EDC" w14:paraId="162303AA" w14:textId="77777777" w:rsidTr="00F84F84">
        <w:trPr>
          <w:jc w:val="center"/>
        </w:trPr>
        <w:tc>
          <w:tcPr>
            <w:tcW w:w="8545" w:type="dxa"/>
            <w:shd w:val="clear" w:color="auto" w:fill="B8CCE4"/>
          </w:tcPr>
          <w:p w14:paraId="080308DF" w14:textId="15BF5CC6" w:rsidR="001C3EDC" w:rsidRPr="001C3EDC" w:rsidRDefault="001C3EDC" w:rsidP="00F84F84">
            <w:pPr>
              <w:pStyle w:val="TablesFigures"/>
              <w:rPr>
                <w:iCs/>
                <w:lang w:val="en-US"/>
              </w:rPr>
            </w:pPr>
            <w:bookmarkStart w:id="152" w:name="_Toc514272986"/>
            <w:bookmarkStart w:id="153" w:name="_Toc522036528"/>
            <w:r w:rsidRPr="001C3EDC">
              <w:rPr>
                <w:iCs/>
                <w:lang w:val="en-US"/>
              </w:rPr>
              <w:lastRenderedPageBreak/>
              <w:t xml:space="preserve">Box </w:t>
            </w:r>
            <w:r w:rsidRPr="001C3EDC">
              <w:rPr>
                <w:iCs/>
                <w:lang w:val="en-US"/>
              </w:rPr>
              <w:fldChar w:fldCharType="begin"/>
            </w:r>
            <w:r w:rsidRPr="001C3EDC">
              <w:rPr>
                <w:iCs/>
                <w:lang w:val="en-US"/>
              </w:rPr>
              <w:instrText xml:space="preserve"> SEQ Box \* ARABIC </w:instrText>
            </w:r>
            <w:r w:rsidRPr="001C3EDC">
              <w:rPr>
                <w:iCs/>
                <w:lang w:val="en-US"/>
              </w:rPr>
              <w:fldChar w:fldCharType="separate"/>
            </w:r>
            <w:r w:rsidR="00F84F84">
              <w:rPr>
                <w:iCs/>
                <w:noProof/>
                <w:lang w:val="en-US"/>
              </w:rPr>
              <w:t>3</w:t>
            </w:r>
            <w:r w:rsidRPr="001C3EDC">
              <w:rPr>
                <w:lang w:val="en-US"/>
              </w:rPr>
              <w:fldChar w:fldCharType="end"/>
            </w:r>
            <w:r w:rsidRPr="001C3EDC">
              <w:rPr>
                <w:iCs/>
                <w:lang w:val="en-US"/>
              </w:rPr>
              <w:t>. Greenhouse gas implications</w:t>
            </w:r>
            <w:bookmarkEnd w:id="152"/>
            <w:bookmarkEnd w:id="153"/>
          </w:p>
          <w:p w14:paraId="5BBF0AE9" w14:textId="77777777" w:rsidR="001C3EDC" w:rsidRPr="001C3EDC" w:rsidRDefault="001C3EDC" w:rsidP="001C3EDC">
            <w:pPr>
              <w:spacing w:before="40" w:after="40"/>
              <w:rPr>
                <w:rFonts w:asciiTheme="minorHAnsi" w:hAnsiTheme="minorHAnsi" w:cs="Times New Roman"/>
                <w:sz w:val="22"/>
              </w:rPr>
            </w:pPr>
            <w:r w:rsidRPr="001C3EDC">
              <w:rPr>
                <w:rFonts w:asciiTheme="minorHAnsi" w:hAnsiTheme="minorHAnsi" w:cs="Times New Roman"/>
                <w:sz w:val="22"/>
              </w:rPr>
              <w:t xml:space="preserve">This analysis also estimated annual greenhouse gas emissions by 2050, in all scenarios (see on </w:t>
            </w:r>
            <w:r w:rsidRPr="001C3EDC">
              <w:rPr>
                <w:rFonts w:asciiTheme="minorHAnsi" w:hAnsiTheme="minorHAnsi" w:cs="Times New Roman"/>
                <w:b/>
                <w:bCs/>
                <w:i/>
                <w:iCs/>
                <w:sz w:val="22"/>
              </w:rPr>
              <w:t>Table 8</w:t>
            </w:r>
            <w:r w:rsidRPr="001C3EDC">
              <w:rPr>
                <w:rFonts w:asciiTheme="minorHAnsi" w:hAnsiTheme="minorHAnsi" w:cs="Times New Roman"/>
                <w:sz w:val="22"/>
              </w:rPr>
              <w:t>). In the baseline scenario, emissions amount to over 69.3 million metric tons of carbon dioxide (MtCO</w:t>
            </w:r>
            <w:r w:rsidRPr="001C3EDC">
              <w:rPr>
                <w:rFonts w:asciiTheme="minorHAnsi" w:hAnsiTheme="minorHAnsi" w:cs="Times New Roman"/>
                <w:sz w:val="22"/>
                <w:vertAlign w:val="subscript"/>
              </w:rPr>
              <w:t>2</w:t>
            </w:r>
            <w:r w:rsidRPr="001C3EDC">
              <w:rPr>
                <w:rFonts w:asciiTheme="minorHAnsi" w:hAnsiTheme="minorHAnsi" w:cs="Times New Roman"/>
                <w:sz w:val="22"/>
              </w:rPr>
              <w:t>) in 2050. In all the other scenarios (climate change with or without adaptation), emissions are slightly lower than this, by 1 or 2 percent in most cases, 4 percent in only one instance. This is because of the contraction of economic activity arising from climate change (and not totally offset with adaptation). In the model, emissions are a function of economic activity and therefore the former rises and falls with the latter.</w:t>
            </w:r>
          </w:p>
          <w:p w14:paraId="4B126A88" w14:textId="77777777" w:rsidR="001C3EDC" w:rsidRPr="001C3EDC" w:rsidRDefault="001C3EDC" w:rsidP="001C3EDC">
            <w:pPr>
              <w:spacing w:before="40" w:after="40"/>
              <w:rPr>
                <w:rFonts w:asciiTheme="minorHAnsi" w:hAnsiTheme="minorHAnsi" w:cs="Times New Roman"/>
                <w:sz w:val="22"/>
              </w:rPr>
            </w:pPr>
            <w:r w:rsidRPr="001C3EDC">
              <w:rPr>
                <w:rFonts w:asciiTheme="minorHAnsi" w:hAnsiTheme="minorHAnsi" w:cs="Times New Roman"/>
                <w:sz w:val="22"/>
              </w:rPr>
              <w:t>In the 2°C optimistic scenario without adaptation for instance, emissions amount to about 68.5 MtCO</w:t>
            </w:r>
            <w:r w:rsidRPr="001C3EDC">
              <w:rPr>
                <w:rFonts w:asciiTheme="minorHAnsi" w:hAnsiTheme="minorHAnsi" w:cs="Times New Roman"/>
                <w:sz w:val="22"/>
                <w:vertAlign w:val="subscript"/>
              </w:rPr>
              <w:t>2</w:t>
            </w:r>
            <w:r w:rsidRPr="001C3EDC">
              <w:rPr>
                <w:rFonts w:asciiTheme="minorHAnsi" w:hAnsiTheme="minorHAnsi" w:cs="Times New Roman"/>
                <w:sz w:val="22"/>
              </w:rPr>
              <w:t>, which is about 0.8 MtCO</w:t>
            </w:r>
            <w:r w:rsidRPr="001C3EDC">
              <w:rPr>
                <w:rFonts w:asciiTheme="minorHAnsi" w:hAnsiTheme="minorHAnsi" w:cs="Times New Roman"/>
                <w:sz w:val="22"/>
                <w:vertAlign w:val="subscript"/>
              </w:rPr>
              <w:t xml:space="preserve">2 </w:t>
            </w:r>
            <w:r w:rsidRPr="001C3EDC">
              <w:rPr>
                <w:rFonts w:asciiTheme="minorHAnsi" w:hAnsiTheme="minorHAnsi" w:cs="Times New Roman"/>
                <w:sz w:val="22"/>
              </w:rPr>
              <w:t>less than in the baseline scenario. However, the same scenario, with adaptation, leads to slightly higher emissions, at 68.6 MtCO</w:t>
            </w:r>
            <w:r w:rsidRPr="001C3EDC">
              <w:rPr>
                <w:rFonts w:asciiTheme="minorHAnsi" w:hAnsiTheme="minorHAnsi" w:cs="Times New Roman"/>
                <w:sz w:val="22"/>
                <w:vertAlign w:val="subscript"/>
              </w:rPr>
              <w:t>2</w:t>
            </w:r>
            <w:r w:rsidRPr="001C3EDC">
              <w:rPr>
                <w:rFonts w:asciiTheme="minorHAnsi" w:hAnsiTheme="minorHAnsi" w:cs="Times New Roman"/>
                <w:sz w:val="22"/>
              </w:rPr>
              <w:t xml:space="preserve"> since adaptation eases the downward pressure on economic activity, but still below the baseline. In general, adaptation leads to higher emissions than no adaptation, all other things being equal (extent of rise in temperature and optimistic/pessimistic scenario, to be specific). Furthermore, the pessimistic scenarios result in lower emissions than the corresponding optimistic scenarios, again because of the greater economic activity in the optimistic scenario (since such a scenario assumes lower damages to the economy as a whole). Such a pattern may also be noted between the 2°C and 4°C scenarios, the former resulting in greater emissions than the latter, due to the smaller climate damages in the former than the latter.</w:t>
            </w:r>
          </w:p>
          <w:p w14:paraId="1C8DADBD" w14:textId="38B450ED" w:rsidR="001C3EDC" w:rsidRPr="001C3EDC" w:rsidRDefault="001C3EDC" w:rsidP="001C3EDC">
            <w:pPr>
              <w:spacing w:before="40" w:after="40"/>
              <w:rPr>
                <w:rFonts w:asciiTheme="minorHAnsi" w:hAnsiTheme="minorHAnsi" w:cs="Times New Roman"/>
                <w:sz w:val="22"/>
              </w:rPr>
            </w:pPr>
            <w:r w:rsidRPr="001C3EDC">
              <w:rPr>
                <w:rFonts w:asciiTheme="minorHAnsi" w:hAnsiTheme="minorHAnsi" w:cs="Times New Roman"/>
                <w:sz w:val="22"/>
              </w:rPr>
              <w:t>Those are only preliminary estimates of the greenhouse gas implications of the different climate change impact/adaptation scenarios considered in this study. An in-depth analysis of the synergies between adaptation and mitigation would require further refinements to the model (notably on energy and agriculture, forestry and other land use sectors, considerations of all greenhouse gases) for a more accurate of description of economic activities and their impact on emissions.</w:t>
            </w:r>
          </w:p>
          <w:p w14:paraId="0F449D1D" w14:textId="2DEF6BBB" w:rsidR="001C3EDC" w:rsidRPr="001C3EDC" w:rsidRDefault="001C3EDC" w:rsidP="001C3EDC">
            <w:pPr>
              <w:pStyle w:val="Caption"/>
              <w:spacing w:after="80"/>
              <w:rPr>
                <w:rFonts w:ascii="Calibri" w:hAnsi="Calibri"/>
                <w:i/>
                <w:color w:val="44546A"/>
                <w:sz w:val="22"/>
                <w:szCs w:val="18"/>
              </w:rPr>
            </w:pPr>
            <w:bookmarkStart w:id="154" w:name="_Toc522036521"/>
            <w:r w:rsidRPr="001C3EDC">
              <w:rPr>
                <w:rFonts w:ascii="Calibri" w:hAnsi="Calibri"/>
                <w:i/>
                <w:color w:val="44546A"/>
                <w:sz w:val="22"/>
                <w:szCs w:val="18"/>
              </w:rPr>
              <w:t xml:space="preserve">Table </w:t>
            </w:r>
            <w:r w:rsidRPr="001C3EDC">
              <w:rPr>
                <w:rFonts w:ascii="Calibri" w:hAnsi="Calibri"/>
                <w:i/>
                <w:color w:val="44546A"/>
                <w:sz w:val="22"/>
                <w:szCs w:val="18"/>
              </w:rPr>
              <w:fldChar w:fldCharType="begin"/>
            </w:r>
            <w:r w:rsidRPr="001C3EDC">
              <w:rPr>
                <w:rFonts w:ascii="Calibri" w:hAnsi="Calibri"/>
                <w:i/>
                <w:color w:val="44546A"/>
                <w:sz w:val="22"/>
                <w:szCs w:val="18"/>
              </w:rPr>
              <w:instrText xml:space="preserve"> SEQ Table \* ARABIC </w:instrText>
            </w:r>
            <w:r w:rsidRPr="001C3EDC">
              <w:rPr>
                <w:rFonts w:ascii="Calibri" w:hAnsi="Calibri"/>
                <w:i/>
                <w:color w:val="44546A"/>
                <w:sz w:val="22"/>
                <w:szCs w:val="18"/>
              </w:rPr>
              <w:fldChar w:fldCharType="separate"/>
            </w:r>
            <w:r w:rsidR="00F84F84">
              <w:rPr>
                <w:rFonts w:ascii="Calibri" w:hAnsi="Calibri"/>
                <w:i/>
                <w:noProof/>
                <w:color w:val="44546A"/>
                <w:sz w:val="22"/>
                <w:szCs w:val="18"/>
              </w:rPr>
              <w:t>8</w:t>
            </w:r>
            <w:r w:rsidRPr="001C3EDC">
              <w:rPr>
                <w:rFonts w:ascii="Calibri" w:hAnsi="Calibri"/>
                <w:i/>
                <w:color w:val="44546A"/>
                <w:sz w:val="22"/>
                <w:szCs w:val="18"/>
              </w:rPr>
              <w:fldChar w:fldCharType="end"/>
            </w:r>
            <w:r w:rsidRPr="001C3EDC">
              <w:rPr>
                <w:rFonts w:ascii="Calibri" w:hAnsi="Calibri"/>
                <w:i/>
                <w:color w:val="44546A"/>
                <w:sz w:val="22"/>
                <w:szCs w:val="18"/>
              </w:rPr>
              <w:t>. Annual greenhouse gas emissions*, by 2050, across all scenarios</w:t>
            </w:r>
            <w:bookmarkEnd w:id="154"/>
          </w:p>
          <w:tbl>
            <w:tblPr>
              <w:tblStyle w:val="GridTable4-Accent11"/>
              <w:tblW w:w="5663"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890"/>
              <w:gridCol w:w="766"/>
              <w:gridCol w:w="1192"/>
              <w:gridCol w:w="1815"/>
            </w:tblGrid>
            <w:tr w:rsidR="001C3EDC" w:rsidRPr="001C3EDC" w14:paraId="2508AAD6" w14:textId="77777777" w:rsidTr="0088558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48" w:type="dxa"/>
                  <w:gridSpan w:val="3"/>
                  <w:tcBorders>
                    <w:top w:val="none" w:sz="0" w:space="0" w:color="auto"/>
                    <w:left w:val="none" w:sz="0" w:space="0" w:color="auto"/>
                    <w:bottom w:val="none" w:sz="0" w:space="0" w:color="auto"/>
                    <w:right w:val="none" w:sz="0" w:space="0" w:color="auto"/>
                  </w:tcBorders>
                  <w:shd w:val="clear" w:color="auto" w:fill="365F91"/>
                  <w:noWrap/>
                  <w:vAlign w:val="center"/>
                  <w:hideMark/>
                </w:tcPr>
                <w:p w14:paraId="564C08F2" w14:textId="77777777" w:rsidR="001C3EDC" w:rsidRPr="001C3EDC" w:rsidRDefault="001C3EDC" w:rsidP="001C3EDC">
                  <w:pPr>
                    <w:spacing w:before="40" w:after="40" w:line="240" w:lineRule="auto"/>
                    <w:jc w:val="center"/>
                    <w:rPr>
                      <w:rFonts w:asciiTheme="minorHAnsi" w:eastAsia="Times New Roman" w:hAnsiTheme="minorHAnsi" w:cstheme="minorHAnsi"/>
                      <w:sz w:val="20"/>
                      <w:szCs w:val="20"/>
                    </w:rPr>
                  </w:pPr>
                  <w:r w:rsidRPr="001C3EDC">
                    <w:rPr>
                      <w:rFonts w:asciiTheme="minorHAnsi" w:eastAsia="Times New Roman" w:hAnsiTheme="minorHAnsi" w:cstheme="minorHAnsi"/>
                      <w:sz w:val="20"/>
                      <w:szCs w:val="20"/>
                    </w:rPr>
                    <w:t>Scenarios</w:t>
                  </w:r>
                </w:p>
              </w:tc>
              <w:tc>
                <w:tcPr>
                  <w:tcW w:w="1815" w:type="dxa"/>
                  <w:tcBorders>
                    <w:top w:val="none" w:sz="0" w:space="0" w:color="auto"/>
                    <w:left w:val="none" w:sz="0" w:space="0" w:color="auto"/>
                    <w:bottom w:val="none" w:sz="0" w:space="0" w:color="auto"/>
                    <w:right w:val="none" w:sz="0" w:space="0" w:color="auto"/>
                  </w:tcBorders>
                  <w:shd w:val="clear" w:color="auto" w:fill="365F91"/>
                  <w:noWrap/>
                  <w:vAlign w:val="center"/>
                  <w:hideMark/>
                </w:tcPr>
                <w:p w14:paraId="3E001A95" w14:textId="011876FC" w:rsidR="001C3EDC" w:rsidRPr="001C3EDC" w:rsidRDefault="001C3EDC" w:rsidP="001C3ED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1C3EDC">
                    <w:rPr>
                      <w:rFonts w:asciiTheme="minorHAnsi" w:eastAsia="Times New Roman" w:hAnsiTheme="minorHAnsi" w:cstheme="minorHAnsi"/>
                      <w:sz w:val="20"/>
                      <w:szCs w:val="20"/>
                    </w:rPr>
                    <w:t>Greenhouse gas emissions (MtCO</w:t>
                  </w:r>
                  <w:r w:rsidRPr="001C3EDC">
                    <w:rPr>
                      <w:rFonts w:asciiTheme="minorHAnsi" w:eastAsia="Times New Roman" w:hAnsiTheme="minorHAnsi" w:cstheme="minorHAnsi"/>
                      <w:sz w:val="20"/>
                      <w:szCs w:val="20"/>
                      <w:vertAlign w:val="subscript"/>
                    </w:rPr>
                    <w:t>2</w:t>
                  </w:r>
                  <w:r w:rsidRPr="001C3EDC">
                    <w:rPr>
                      <w:rFonts w:asciiTheme="minorHAnsi" w:eastAsia="Times New Roman" w:hAnsiTheme="minorHAnsi" w:cstheme="minorHAnsi"/>
                      <w:sz w:val="20"/>
                      <w:szCs w:val="20"/>
                    </w:rPr>
                    <w:t>)</w:t>
                  </w:r>
                </w:p>
              </w:tc>
            </w:tr>
            <w:tr w:rsidR="001C3EDC" w:rsidRPr="001C3EDC" w14:paraId="23F388D9" w14:textId="77777777" w:rsidTr="0088558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848" w:type="dxa"/>
                  <w:gridSpan w:val="3"/>
                  <w:noWrap/>
                  <w:hideMark/>
                </w:tcPr>
                <w:p w14:paraId="588E8C03" w14:textId="77777777" w:rsidR="001C3EDC" w:rsidRPr="001C3EDC" w:rsidRDefault="001C3EDC" w:rsidP="001C3EDC">
                  <w:pPr>
                    <w:spacing w:before="20" w:after="20" w:line="240" w:lineRule="auto"/>
                    <w:jc w:val="left"/>
                    <w:rPr>
                      <w:rFonts w:asciiTheme="minorHAnsi" w:eastAsia="Times New Roman" w:hAnsiTheme="minorHAnsi" w:cstheme="minorHAnsi"/>
                      <w:b w:val="0"/>
                      <w:sz w:val="20"/>
                      <w:szCs w:val="20"/>
                    </w:rPr>
                  </w:pPr>
                  <w:r w:rsidRPr="001C3EDC">
                    <w:rPr>
                      <w:rFonts w:asciiTheme="minorHAnsi" w:eastAsia="Times New Roman" w:hAnsiTheme="minorHAnsi" w:cstheme="minorHAnsi"/>
                      <w:b w:val="0"/>
                      <w:color w:val="000000"/>
                      <w:sz w:val="20"/>
                      <w:szCs w:val="20"/>
                    </w:rPr>
                    <w:t>Baseline</w:t>
                  </w:r>
                </w:p>
              </w:tc>
              <w:tc>
                <w:tcPr>
                  <w:tcW w:w="1815" w:type="dxa"/>
                  <w:noWrap/>
                  <w:hideMark/>
                </w:tcPr>
                <w:p w14:paraId="6F9E38BC" w14:textId="77777777" w:rsidR="001C3EDC" w:rsidRPr="001C3EDC" w:rsidRDefault="001C3EDC" w:rsidP="001C3ED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p>
              </w:tc>
            </w:tr>
            <w:tr w:rsidR="001C3EDC" w:rsidRPr="001C3EDC" w14:paraId="77E79F72" w14:textId="77777777" w:rsidTr="0088558E">
              <w:trPr>
                <w:trHeight w:val="60"/>
                <w:jc w:val="center"/>
              </w:trPr>
              <w:tc>
                <w:tcPr>
                  <w:cnfStyle w:val="001000000000" w:firstRow="0" w:lastRow="0" w:firstColumn="1" w:lastColumn="0" w:oddVBand="0" w:evenVBand="0" w:oddHBand="0" w:evenHBand="0" w:firstRowFirstColumn="0" w:firstRowLastColumn="0" w:lastRowFirstColumn="0" w:lastRowLastColumn="0"/>
                  <w:tcW w:w="1890" w:type="dxa"/>
                  <w:vMerge w:val="restart"/>
                  <w:noWrap/>
                  <w:vAlign w:val="center"/>
                  <w:hideMark/>
                </w:tcPr>
                <w:p w14:paraId="50D5ACBF" w14:textId="77777777" w:rsidR="001C3EDC" w:rsidRPr="001C3EDC" w:rsidRDefault="001C3EDC" w:rsidP="001C3EDC">
                  <w:pPr>
                    <w:spacing w:before="20" w:after="20" w:line="240" w:lineRule="auto"/>
                    <w:jc w:val="left"/>
                    <w:rPr>
                      <w:rFonts w:asciiTheme="minorHAnsi" w:eastAsia="Times New Roman" w:hAnsiTheme="minorHAnsi" w:cstheme="minorHAnsi"/>
                      <w:b w:val="0"/>
                      <w:color w:val="000000"/>
                      <w:sz w:val="20"/>
                      <w:szCs w:val="20"/>
                    </w:rPr>
                  </w:pPr>
                  <w:r w:rsidRPr="001C3EDC">
                    <w:rPr>
                      <w:rFonts w:asciiTheme="minorHAnsi" w:eastAsia="Times New Roman" w:hAnsiTheme="minorHAnsi" w:cstheme="minorHAnsi"/>
                      <w:b w:val="0"/>
                      <w:color w:val="000000"/>
                      <w:sz w:val="20"/>
                      <w:szCs w:val="20"/>
                    </w:rPr>
                    <w:t>Without adaptation</w:t>
                  </w:r>
                </w:p>
              </w:tc>
              <w:tc>
                <w:tcPr>
                  <w:tcW w:w="766" w:type="dxa"/>
                  <w:vMerge w:val="restart"/>
                  <w:noWrap/>
                  <w:vAlign w:val="center"/>
                  <w:hideMark/>
                </w:tcPr>
                <w:p w14:paraId="3050F2E7" w14:textId="77777777" w:rsidR="001C3EDC" w:rsidRPr="001C3EDC" w:rsidRDefault="001C3EDC" w:rsidP="001C3ED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hAnsiTheme="minorHAnsi" w:cstheme="minorHAnsi"/>
                      <w:sz w:val="20"/>
                      <w:szCs w:val="20"/>
                    </w:rPr>
                    <w:t>2°C</w:t>
                  </w:r>
                </w:p>
              </w:tc>
              <w:tc>
                <w:tcPr>
                  <w:tcW w:w="1192" w:type="dxa"/>
                  <w:noWrap/>
                  <w:vAlign w:val="center"/>
                  <w:hideMark/>
                </w:tcPr>
                <w:p w14:paraId="2C8367C1" w14:textId="77777777" w:rsidR="001C3EDC" w:rsidRPr="001C3EDC" w:rsidRDefault="001C3EDC" w:rsidP="001C3ED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Optimistic</w:t>
                  </w:r>
                </w:p>
              </w:tc>
              <w:tc>
                <w:tcPr>
                  <w:tcW w:w="1815" w:type="dxa"/>
                  <w:noWrap/>
                  <w:hideMark/>
                </w:tcPr>
                <w:p w14:paraId="483016CD" w14:textId="77777777" w:rsidR="001C3EDC" w:rsidRPr="001C3EDC" w:rsidRDefault="001C3EDC" w:rsidP="001C3ED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68.504</w:t>
                  </w:r>
                </w:p>
              </w:tc>
            </w:tr>
            <w:tr w:rsidR="001C3EDC" w:rsidRPr="001C3EDC" w14:paraId="73C81A2A" w14:textId="77777777" w:rsidTr="0088558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890" w:type="dxa"/>
                  <w:vMerge/>
                  <w:noWrap/>
                  <w:vAlign w:val="center"/>
                  <w:hideMark/>
                </w:tcPr>
                <w:p w14:paraId="0BDCC49D" w14:textId="77777777" w:rsidR="001C3EDC" w:rsidRPr="001C3EDC" w:rsidRDefault="001C3EDC" w:rsidP="001C3EDC">
                  <w:pPr>
                    <w:spacing w:before="20" w:after="20" w:line="240" w:lineRule="auto"/>
                    <w:jc w:val="left"/>
                    <w:rPr>
                      <w:rFonts w:asciiTheme="minorHAnsi" w:eastAsia="Times New Roman" w:hAnsiTheme="minorHAnsi" w:cstheme="minorHAnsi"/>
                      <w:b w:val="0"/>
                      <w:sz w:val="20"/>
                      <w:szCs w:val="20"/>
                    </w:rPr>
                  </w:pPr>
                </w:p>
              </w:tc>
              <w:tc>
                <w:tcPr>
                  <w:tcW w:w="766" w:type="dxa"/>
                  <w:vMerge/>
                  <w:noWrap/>
                  <w:vAlign w:val="center"/>
                  <w:hideMark/>
                </w:tcPr>
                <w:p w14:paraId="2F6F799A" w14:textId="77777777" w:rsidR="001C3EDC" w:rsidRPr="001C3EDC" w:rsidRDefault="001C3EDC" w:rsidP="001C3ED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p>
              </w:tc>
              <w:tc>
                <w:tcPr>
                  <w:tcW w:w="1192" w:type="dxa"/>
                  <w:noWrap/>
                  <w:vAlign w:val="center"/>
                  <w:hideMark/>
                </w:tcPr>
                <w:p w14:paraId="6298D61F" w14:textId="77777777" w:rsidR="001C3EDC" w:rsidRPr="001C3EDC" w:rsidRDefault="001C3EDC" w:rsidP="001C3ED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Pessimistic</w:t>
                  </w:r>
                </w:p>
              </w:tc>
              <w:tc>
                <w:tcPr>
                  <w:tcW w:w="1815" w:type="dxa"/>
                  <w:noWrap/>
                  <w:hideMark/>
                </w:tcPr>
                <w:p w14:paraId="1C5B408D" w14:textId="77777777" w:rsidR="001C3EDC" w:rsidRPr="001C3EDC" w:rsidRDefault="001C3EDC" w:rsidP="001C3ED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67.911</w:t>
                  </w:r>
                </w:p>
              </w:tc>
            </w:tr>
            <w:tr w:rsidR="001C3EDC" w:rsidRPr="001C3EDC" w14:paraId="29E9F718" w14:textId="77777777" w:rsidTr="0088558E">
              <w:trPr>
                <w:trHeight w:val="60"/>
                <w:jc w:val="center"/>
              </w:trPr>
              <w:tc>
                <w:tcPr>
                  <w:cnfStyle w:val="001000000000" w:firstRow="0" w:lastRow="0" w:firstColumn="1" w:lastColumn="0" w:oddVBand="0" w:evenVBand="0" w:oddHBand="0" w:evenHBand="0" w:firstRowFirstColumn="0" w:firstRowLastColumn="0" w:lastRowFirstColumn="0" w:lastRowLastColumn="0"/>
                  <w:tcW w:w="1890" w:type="dxa"/>
                  <w:vMerge/>
                  <w:noWrap/>
                  <w:vAlign w:val="center"/>
                  <w:hideMark/>
                </w:tcPr>
                <w:p w14:paraId="5EA0BF42" w14:textId="77777777" w:rsidR="001C3EDC" w:rsidRPr="001C3EDC" w:rsidRDefault="001C3EDC" w:rsidP="001C3EDC">
                  <w:pPr>
                    <w:spacing w:before="20" w:after="20" w:line="240" w:lineRule="auto"/>
                    <w:jc w:val="left"/>
                    <w:rPr>
                      <w:rFonts w:asciiTheme="minorHAnsi" w:eastAsia="Times New Roman" w:hAnsiTheme="minorHAnsi" w:cstheme="minorHAnsi"/>
                      <w:b w:val="0"/>
                      <w:sz w:val="20"/>
                      <w:szCs w:val="20"/>
                    </w:rPr>
                  </w:pPr>
                </w:p>
              </w:tc>
              <w:tc>
                <w:tcPr>
                  <w:tcW w:w="766" w:type="dxa"/>
                  <w:vMerge w:val="restart"/>
                  <w:noWrap/>
                  <w:vAlign w:val="center"/>
                  <w:hideMark/>
                </w:tcPr>
                <w:p w14:paraId="57D62682" w14:textId="77777777" w:rsidR="001C3EDC" w:rsidRPr="001C3EDC" w:rsidRDefault="001C3EDC" w:rsidP="001C3ED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hAnsiTheme="minorHAnsi" w:cstheme="minorHAnsi"/>
                      <w:sz w:val="20"/>
                      <w:szCs w:val="20"/>
                    </w:rPr>
                    <w:t>4°C</w:t>
                  </w:r>
                </w:p>
              </w:tc>
              <w:tc>
                <w:tcPr>
                  <w:tcW w:w="1192" w:type="dxa"/>
                  <w:noWrap/>
                  <w:vAlign w:val="center"/>
                  <w:hideMark/>
                </w:tcPr>
                <w:p w14:paraId="4D9039C5" w14:textId="77777777" w:rsidR="001C3EDC" w:rsidRPr="001C3EDC" w:rsidRDefault="001C3EDC" w:rsidP="001C3ED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Optimistic</w:t>
                  </w:r>
                </w:p>
              </w:tc>
              <w:tc>
                <w:tcPr>
                  <w:tcW w:w="1815" w:type="dxa"/>
                  <w:noWrap/>
                  <w:hideMark/>
                </w:tcPr>
                <w:p w14:paraId="31050DAA" w14:textId="77777777" w:rsidR="001C3EDC" w:rsidRPr="001C3EDC" w:rsidRDefault="001C3EDC" w:rsidP="001C3ED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68.262</w:t>
                  </w:r>
                </w:p>
              </w:tc>
            </w:tr>
            <w:tr w:rsidR="001C3EDC" w:rsidRPr="001C3EDC" w14:paraId="4AA2F880" w14:textId="77777777" w:rsidTr="0088558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890" w:type="dxa"/>
                  <w:vMerge/>
                  <w:noWrap/>
                  <w:vAlign w:val="center"/>
                  <w:hideMark/>
                </w:tcPr>
                <w:p w14:paraId="0FB92060" w14:textId="77777777" w:rsidR="001C3EDC" w:rsidRPr="001C3EDC" w:rsidRDefault="001C3EDC" w:rsidP="001C3EDC">
                  <w:pPr>
                    <w:spacing w:before="20" w:after="20" w:line="240" w:lineRule="auto"/>
                    <w:jc w:val="left"/>
                    <w:rPr>
                      <w:rFonts w:asciiTheme="minorHAnsi" w:eastAsia="Times New Roman" w:hAnsiTheme="minorHAnsi" w:cstheme="minorHAnsi"/>
                      <w:b w:val="0"/>
                      <w:sz w:val="20"/>
                      <w:szCs w:val="20"/>
                    </w:rPr>
                  </w:pPr>
                </w:p>
              </w:tc>
              <w:tc>
                <w:tcPr>
                  <w:tcW w:w="766" w:type="dxa"/>
                  <w:vMerge/>
                  <w:noWrap/>
                  <w:vAlign w:val="center"/>
                  <w:hideMark/>
                </w:tcPr>
                <w:p w14:paraId="4C1BAF62" w14:textId="77777777" w:rsidR="001C3EDC" w:rsidRPr="001C3EDC" w:rsidRDefault="001C3EDC" w:rsidP="001C3ED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p>
              </w:tc>
              <w:tc>
                <w:tcPr>
                  <w:tcW w:w="1192" w:type="dxa"/>
                  <w:noWrap/>
                  <w:vAlign w:val="center"/>
                  <w:hideMark/>
                </w:tcPr>
                <w:p w14:paraId="5D241865" w14:textId="77777777" w:rsidR="001C3EDC" w:rsidRPr="001C3EDC" w:rsidRDefault="001C3EDC" w:rsidP="001C3ED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Pessimistic</w:t>
                  </w:r>
                </w:p>
              </w:tc>
              <w:tc>
                <w:tcPr>
                  <w:tcW w:w="1815" w:type="dxa"/>
                  <w:noWrap/>
                  <w:hideMark/>
                </w:tcPr>
                <w:p w14:paraId="4CC8B3B5" w14:textId="77777777" w:rsidR="001C3EDC" w:rsidRPr="001C3EDC" w:rsidRDefault="001C3EDC" w:rsidP="001C3ED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66.526</w:t>
                  </w:r>
                </w:p>
              </w:tc>
            </w:tr>
            <w:tr w:rsidR="001C3EDC" w:rsidRPr="001C3EDC" w14:paraId="1EDEE7D5" w14:textId="77777777" w:rsidTr="0088558E">
              <w:trPr>
                <w:trHeight w:val="60"/>
                <w:jc w:val="center"/>
              </w:trPr>
              <w:tc>
                <w:tcPr>
                  <w:cnfStyle w:val="001000000000" w:firstRow="0" w:lastRow="0" w:firstColumn="1" w:lastColumn="0" w:oddVBand="0" w:evenVBand="0" w:oddHBand="0" w:evenHBand="0" w:firstRowFirstColumn="0" w:firstRowLastColumn="0" w:lastRowFirstColumn="0" w:lastRowLastColumn="0"/>
                  <w:tcW w:w="1890" w:type="dxa"/>
                  <w:vMerge w:val="restart"/>
                  <w:noWrap/>
                  <w:vAlign w:val="center"/>
                  <w:hideMark/>
                </w:tcPr>
                <w:p w14:paraId="692426DB" w14:textId="77777777" w:rsidR="001C3EDC" w:rsidRPr="001C3EDC" w:rsidRDefault="001C3EDC" w:rsidP="001C3EDC">
                  <w:pPr>
                    <w:spacing w:before="20" w:after="20" w:line="240" w:lineRule="auto"/>
                    <w:jc w:val="left"/>
                    <w:rPr>
                      <w:rFonts w:asciiTheme="minorHAnsi" w:eastAsia="Times New Roman" w:hAnsiTheme="minorHAnsi" w:cstheme="minorHAnsi"/>
                      <w:b w:val="0"/>
                      <w:color w:val="000000"/>
                      <w:sz w:val="20"/>
                      <w:szCs w:val="20"/>
                    </w:rPr>
                  </w:pPr>
                  <w:r w:rsidRPr="001C3EDC">
                    <w:rPr>
                      <w:rFonts w:asciiTheme="minorHAnsi" w:eastAsia="Times New Roman" w:hAnsiTheme="minorHAnsi" w:cstheme="minorHAnsi"/>
                      <w:b w:val="0"/>
                      <w:color w:val="000000"/>
                      <w:sz w:val="20"/>
                      <w:szCs w:val="20"/>
                    </w:rPr>
                    <w:t>With adaptation</w:t>
                  </w:r>
                </w:p>
              </w:tc>
              <w:tc>
                <w:tcPr>
                  <w:tcW w:w="766" w:type="dxa"/>
                  <w:vMerge w:val="restart"/>
                  <w:noWrap/>
                  <w:vAlign w:val="center"/>
                  <w:hideMark/>
                </w:tcPr>
                <w:p w14:paraId="2AF39007" w14:textId="77777777" w:rsidR="001C3EDC" w:rsidRPr="001C3EDC" w:rsidRDefault="001C3EDC" w:rsidP="001C3ED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hAnsiTheme="minorHAnsi" w:cstheme="minorHAnsi"/>
                      <w:sz w:val="20"/>
                      <w:szCs w:val="20"/>
                    </w:rPr>
                    <w:t>2°C</w:t>
                  </w:r>
                </w:p>
              </w:tc>
              <w:tc>
                <w:tcPr>
                  <w:tcW w:w="1192" w:type="dxa"/>
                  <w:noWrap/>
                  <w:vAlign w:val="center"/>
                  <w:hideMark/>
                </w:tcPr>
                <w:p w14:paraId="5CE928AB" w14:textId="77777777" w:rsidR="001C3EDC" w:rsidRPr="001C3EDC" w:rsidRDefault="001C3EDC" w:rsidP="001C3ED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Optimistic</w:t>
                  </w:r>
                </w:p>
              </w:tc>
              <w:tc>
                <w:tcPr>
                  <w:tcW w:w="1815" w:type="dxa"/>
                  <w:noWrap/>
                  <w:hideMark/>
                </w:tcPr>
                <w:p w14:paraId="77CA16F0" w14:textId="77777777" w:rsidR="001C3EDC" w:rsidRPr="001C3EDC" w:rsidRDefault="001C3EDC" w:rsidP="001C3ED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68.573</w:t>
                  </w:r>
                </w:p>
              </w:tc>
            </w:tr>
            <w:tr w:rsidR="001C3EDC" w:rsidRPr="001C3EDC" w14:paraId="38E6F341" w14:textId="77777777" w:rsidTr="0088558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890" w:type="dxa"/>
                  <w:vMerge/>
                  <w:noWrap/>
                  <w:hideMark/>
                </w:tcPr>
                <w:p w14:paraId="6870868E" w14:textId="77777777" w:rsidR="001C3EDC" w:rsidRPr="001C3EDC" w:rsidRDefault="001C3EDC" w:rsidP="001C3EDC">
                  <w:pPr>
                    <w:spacing w:before="20" w:after="20" w:line="240" w:lineRule="auto"/>
                    <w:jc w:val="left"/>
                    <w:rPr>
                      <w:rFonts w:asciiTheme="minorHAnsi" w:eastAsia="Times New Roman" w:hAnsiTheme="minorHAnsi" w:cstheme="minorHAnsi"/>
                      <w:b w:val="0"/>
                      <w:sz w:val="20"/>
                      <w:szCs w:val="20"/>
                    </w:rPr>
                  </w:pPr>
                </w:p>
              </w:tc>
              <w:tc>
                <w:tcPr>
                  <w:tcW w:w="766" w:type="dxa"/>
                  <w:vMerge/>
                  <w:noWrap/>
                  <w:vAlign w:val="center"/>
                  <w:hideMark/>
                </w:tcPr>
                <w:p w14:paraId="3FE6EDEC" w14:textId="77777777" w:rsidR="001C3EDC" w:rsidRPr="001C3EDC" w:rsidRDefault="001C3EDC" w:rsidP="001C3ED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p>
              </w:tc>
              <w:tc>
                <w:tcPr>
                  <w:tcW w:w="1192" w:type="dxa"/>
                  <w:noWrap/>
                  <w:vAlign w:val="center"/>
                  <w:hideMark/>
                </w:tcPr>
                <w:p w14:paraId="194245A3" w14:textId="77777777" w:rsidR="001C3EDC" w:rsidRPr="001C3EDC" w:rsidRDefault="001C3EDC" w:rsidP="001C3ED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Pessimistic</w:t>
                  </w:r>
                </w:p>
              </w:tc>
              <w:tc>
                <w:tcPr>
                  <w:tcW w:w="1815" w:type="dxa"/>
                  <w:noWrap/>
                  <w:hideMark/>
                </w:tcPr>
                <w:p w14:paraId="1E763BF5" w14:textId="77777777" w:rsidR="001C3EDC" w:rsidRPr="001C3EDC" w:rsidRDefault="001C3EDC" w:rsidP="001C3ED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67.977</w:t>
                  </w:r>
                </w:p>
              </w:tc>
            </w:tr>
            <w:tr w:rsidR="001C3EDC" w:rsidRPr="001C3EDC" w14:paraId="68CD87B0" w14:textId="77777777" w:rsidTr="0088558E">
              <w:trPr>
                <w:trHeight w:val="60"/>
                <w:jc w:val="center"/>
              </w:trPr>
              <w:tc>
                <w:tcPr>
                  <w:cnfStyle w:val="001000000000" w:firstRow="0" w:lastRow="0" w:firstColumn="1" w:lastColumn="0" w:oddVBand="0" w:evenVBand="0" w:oddHBand="0" w:evenHBand="0" w:firstRowFirstColumn="0" w:firstRowLastColumn="0" w:lastRowFirstColumn="0" w:lastRowLastColumn="0"/>
                  <w:tcW w:w="1890" w:type="dxa"/>
                  <w:vMerge/>
                  <w:noWrap/>
                  <w:hideMark/>
                </w:tcPr>
                <w:p w14:paraId="0F0EE8DF" w14:textId="77777777" w:rsidR="001C3EDC" w:rsidRPr="001C3EDC" w:rsidRDefault="001C3EDC" w:rsidP="001C3EDC">
                  <w:pPr>
                    <w:spacing w:before="20" w:after="20" w:line="240" w:lineRule="auto"/>
                    <w:jc w:val="left"/>
                    <w:rPr>
                      <w:rFonts w:asciiTheme="minorHAnsi" w:eastAsia="Times New Roman" w:hAnsiTheme="minorHAnsi" w:cstheme="minorHAnsi"/>
                      <w:b w:val="0"/>
                      <w:sz w:val="20"/>
                      <w:szCs w:val="20"/>
                    </w:rPr>
                  </w:pPr>
                </w:p>
              </w:tc>
              <w:tc>
                <w:tcPr>
                  <w:tcW w:w="766" w:type="dxa"/>
                  <w:vMerge w:val="restart"/>
                  <w:noWrap/>
                  <w:vAlign w:val="center"/>
                  <w:hideMark/>
                </w:tcPr>
                <w:p w14:paraId="4A0867D6" w14:textId="77777777" w:rsidR="001C3EDC" w:rsidRPr="001C3EDC" w:rsidRDefault="001C3EDC" w:rsidP="001C3ED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hAnsiTheme="minorHAnsi" w:cstheme="minorHAnsi"/>
                      <w:sz w:val="20"/>
                      <w:szCs w:val="20"/>
                    </w:rPr>
                    <w:t>4°C</w:t>
                  </w:r>
                </w:p>
              </w:tc>
              <w:tc>
                <w:tcPr>
                  <w:tcW w:w="1192" w:type="dxa"/>
                  <w:noWrap/>
                  <w:vAlign w:val="center"/>
                  <w:hideMark/>
                </w:tcPr>
                <w:p w14:paraId="3F8458C1" w14:textId="77777777" w:rsidR="001C3EDC" w:rsidRPr="001C3EDC" w:rsidRDefault="001C3EDC" w:rsidP="001C3ED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Optimistic</w:t>
                  </w:r>
                </w:p>
              </w:tc>
              <w:tc>
                <w:tcPr>
                  <w:tcW w:w="1815" w:type="dxa"/>
                  <w:noWrap/>
                  <w:hideMark/>
                </w:tcPr>
                <w:p w14:paraId="534DC00D" w14:textId="77777777" w:rsidR="001C3EDC" w:rsidRPr="001C3EDC" w:rsidRDefault="001C3EDC" w:rsidP="001C3EDC">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68.352</w:t>
                  </w:r>
                </w:p>
              </w:tc>
            </w:tr>
            <w:tr w:rsidR="001C3EDC" w:rsidRPr="001C3EDC" w14:paraId="0EC9D967" w14:textId="77777777" w:rsidTr="0088558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890" w:type="dxa"/>
                  <w:vMerge/>
                  <w:noWrap/>
                  <w:hideMark/>
                </w:tcPr>
                <w:p w14:paraId="2FDB6A64" w14:textId="77777777" w:rsidR="001C3EDC" w:rsidRPr="001C3EDC" w:rsidRDefault="001C3EDC" w:rsidP="001C3EDC">
                  <w:pPr>
                    <w:spacing w:before="20" w:after="20" w:line="240" w:lineRule="auto"/>
                    <w:jc w:val="left"/>
                    <w:rPr>
                      <w:rFonts w:asciiTheme="minorHAnsi" w:eastAsia="Times New Roman" w:hAnsiTheme="minorHAnsi" w:cstheme="minorHAnsi"/>
                      <w:sz w:val="20"/>
                      <w:szCs w:val="20"/>
                    </w:rPr>
                  </w:pPr>
                </w:p>
              </w:tc>
              <w:tc>
                <w:tcPr>
                  <w:tcW w:w="766" w:type="dxa"/>
                  <w:vMerge/>
                  <w:noWrap/>
                  <w:hideMark/>
                </w:tcPr>
                <w:p w14:paraId="0F8D570C" w14:textId="77777777" w:rsidR="001C3EDC" w:rsidRPr="001C3EDC" w:rsidRDefault="001C3EDC" w:rsidP="001C3EDC">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p>
              </w:tc>
              <w:tc>
                <w:tcPr>
                  <w:tcW w:w="1192" w:type="dxa"/>
                  <w:noWrap/>
                  <w:vAlign w:val="center"/>
                  <w:hideMark/>
                </w:tcPr>
                <w:p w14:paraId="3C511D3C" w14:textId="77777777" w:rsidR="001C3EDC" w:rsidRPr="001C3EDC" w:rsidRDefault="001C3EDC" w:rsidP="001C3ED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Pessimistic</w:t>
                  </w:r>
                </w:p>
              </w:tc>
              <w:tc>
                <w:tcPr>
                  <w:tcW w:w="1815" w:type="dxa"/>
                  <w:noWrap/>
                  <w:hideMark/>
                </w:tcPr>
                <w:p w14:paraId="0EDB5147" w14:textId="77777777" w:rsidR="001C3EDC" w:rsidRPr="001C3EDC" w:rsidRDefault="001C3EDC" w:rsidP="001C3ED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1C3EDC">
                    <w:rPr>
                      <w:rFonts w:asciiTheme="minorHAnsi" w:eastAsia="Times New Roman" w:hAnsiTheme="minorHAnsi" w:cstheme="minorHAnsi"/>
                      <w:color w:val="000000"/>
                      <w:sz w:val="20"/>
                      <w:szCs w:val="20"/>
                    </w:rPr>
                    <w:t>67.561</w:t>
                  </w:r>
                </w:p>
              </w:tc>
            </w:tr>
          </w:tbl>
          <w:p w14:paraId="70A5F844" w14:textId="77777777" w:rsidR="001C3EDC" w:rsidRPr="001C3EDC" w:rsidRDefault="001C3EDC" w:rsidP="001C3EDC">
            <w:pPr>
              <w:pStyle w:val="Source"/>
              <w:spacing w:after="60"/>
            </w:pPr>
            <w:r w:rsidRPr="001C3EDC">
              <w:t>*: CO2 only, from all sectors.</w:t>
            </w:r>
          </w:p>
          <w:p w14:paraId="3655D6ED" w14:textId="3FA65381" w:rsidR="001C3EDC" w:rsidRPr="001C3EDC" w:rsidRDefault="001C3EDC" w:rsidP="001C3EDC">
            <w:pPr>
              <w:pStyle w:val="Source"/>
              <w:spacing w:after="60"/>
            </w:pPr>
            <w:r w:rsidRPr="001C3EDC">
              <w:t>Source: Model simulations.</w:t>
            </w:r>
          </w:p>
        </w:tc>
      </w:tr>
    </w:tbl>
    <w:p w14:paraId="28E74F66" w14:textId="6F54EB72" w:rsidR="001C3EDC" w:rsidRPr="001C3EDC" w:rsidRDefault="001C3EDC" w:rsidP="001C3EDC">
      <w:pPr>
        <w:pStyle w:val="BodyText"/>
        <w:numPr>
          <w:ilvl w:val="0"/>
          <w:numId w:val="0"/>
        </w:numPr>
        <w:tabs>
          <w:tab w:val="left" w:pos="720"/>
        </w:tabs>
        <w:ind w:left="360" w:hanging="360"/>
      </w:pPr>
    </w:p>
    <w:p w14:paraId="27D974D8" w14:textId="1E434F21" w:rsidR="001C3EDC" w:rsidRPr="001C3EDC" w:rsidRDefault="001C3EDC" w:rsidP="001C3EDC">
      <w:pPr>
        <w:pStyle w:val="BodyText"/>
        <w:numPr>
          <w:ilvl w:val="0"/>
          <w:numId w:val="0"/>
        </w:numPr>
        <w:tabs>
          <w:tab w:val="left" w:pos="720"/>
        </w:tabs>
        <w:ind w:left="360" w:hanging="360"/>
      </w:pPr>
    </w:p>
    <w:p w14:paraId="173F67C1" w14:textId="582BDFEB" w:rsidR="001C3EDC" w:rsidRPr="001C3EDC" w:rsidRDefault="001C3EDC" w:rsidP="001C3EDC">
      <w:pPr>
        <w:pStyle w:val="BodyText"/>
        <w:numPr>
          <w:ilvl w:val="0"/>
          <w:numId w:val="0"/>
        </w:numPr>
        <w:tabs>
          <w:tab w:val="left" w:pos="720"/>
        </w:tabs>
        <w:ind w:left="360" w:hanging="360"/>
      </w:pPr>
    </w:p>
    <w:p w14:paraId="11CEC90B" w14:textId="4D86ACD7" w:rsidR="005F5ACD" w:rsidRPr="001C3EDC" w:rsidRDefault="009252CE" w:rsidP="002B6EE2">
      <w:pPr>
        <w:pStyle w:val="Heading1"/>
      </w:pPr>
      <w:bookmarkStart w:id="155" w:name="_Toc522036468"/>
      <w:r w:rsidRPr="001C3EDC">
        <w:lastRenderedPageBreak/>
        <w:t xml:space="preserve">5. </w:t>
      </w:r>
      <w:r w:rsidRPr="001C3EDC">
        <w:tab/>
        <w:t>Conclusion</w:t>
      </w:r>
      <w:bookmarkEnd w:id="155"/>
    </w:p>
    <w:p w14:paraId="2D78905C" w14:textId="14EC7F47" w:rsidR="00C65952" w:rsidRPr="001C3EDC" w:rsidRDefault="009252CE" w:rsidP="00CA5CD0">
      <w:pPr>
        <w:pStyle w:val="BodyText"/>
        <w:tabs>
          <w:tab w:val="left" w:pos="720"/>
        </w:tabs>
        <w:ind w:left="0" w:firstLine="0"/>
      </w:pPr>
      <w:r w:rsidRPr="001C3EDC">
        <w:t xml:space="preserve">Bulgaria is likely to face serious impediments to economic growth till 2050; demographic slowdown and barriers to economic diversification are the most important among them. </w:t>
      </w:r>
      <w:r w:rsidR="00C85368" w:rsidRPr="001C3EDC">
        <w:t xml:space="preserve"> </w:t>
      </w:r>
      <w:r w:rsidR="00C65952" w:rsidRPr="001C3EDC">
        <w:t>Climate change will add to these challenges.</w:t>
      </w:r>
    </w:p>
    <w:p w14:paraId="3E4A6944" w14:textId="77777777" w:rsidR="00EB67EA" w:rsidRPr="001C3EDC" w:rsidRDefault="00901959" w:rsidP="00CA5CD0">
      <w:pPr>
        <w:pStyle w:val="BodyText"/>
        <w:tabs>
          <w:tab w:val="left" w:pos="720"/>
        </w:tabs>
        <w:ind w:left="0" w:firstLine="0"/>
      </w:pPr>
      <w:r w:rsidRPr="001C3EDC">
        <w:t xml:space="preserve">The present analysis evaluates the social and economic implications of climate change and adaptation actions in Bulgaria and highlights the costs of inaction and the benefits of climate action within an economy-wide framework. It provides elements in answer to the following questions: what are the most vulnerable sectors to climate change, how effective is adaptation to its most significant impacts, </w:t>
      </w:r>
      <w:r w:rsidR="00EB67EA" w:rsidRPr="001C3EDC">
        <w:t xml:space="preserve">and </w:t>
      </w:r>
      <w:r w:rsidRPr="001C3EDC">
        <w:t>what are overall funding needs and potential financing mechanisms</w:t>
      </w:r>
      <w:r w:rsidR="00EB67EA" w:rsidRPr="001C3EDC">
        <w:t>?</w:t>
      </w:r>
      <w:r w:rsidRPr="001C3EDC">
        <w:t xml:space="preserve"> </w:t>
      </w:r>
    </w:p>
    <w:p w14:paraId="5372E886" w14:textId="0D5254A5" w:rsidR="00901959" w:rsidRPr="001C3EDC" w:rsidRDefault="00901959" w:rsidP="00CA5CD0">
      <w:pPr>
        <w:pStyle w:val="BodyText"/>
        <w:tabs>
          <w:tab w:val="left" w:pos="720"/>
        </w:tabs>
        <w:ind w:left="0" w:firstLine="0"/>
      </w:pPr>
      <w:r w:rsidRPr="001C3EDC">
        <w:t>This analysis is the first attempt to build an integrated assessment model on climate adaptation for Bulgaria, by coupling a macro-economic model with environmental modules.  Given significant knowledge gaps, not all the channels through which climate change is likely to affect natural resources, human settlements, and economic activities can be captured in the model. Despite this partial coverage, the model nonetheless represents climate change impacts in the sectors considered the most vulnerable to climate change, such as agriculture, coastal zones, energy, human health, and tourism. The analysis considers two climate change scenarios, contrasting a climate sensitive-scenario (a 2°C warmer world) and a carbon intensive-scenario (a 4°C warmer world).</w:t>
      </w:r>
    </w:p>
    <w:p w14:paraId="2BA8746D" w14:textId="41492F36" w:rsidR="005C703F" w:rsidRPr="001C3EDC" w:rsidRDefault="00901959" w:rsidP="001A0A09">
      <w:pPr>
        <w:pStyle w:val="BodyText"/>
        <w:tabs>
          <w:tab w:val="left" w:pos="720"/>
        </w:tabs>
        <w:ind w:left="0" w:firstLine="0"/>
      </w:pPr>
      <w:r w:rsidRPr="001C3EDC">
        <w:t xml:space="preserve">In terms of vulnerability to climate change, </w:t>
      </w:r>
      <w:r w:rsidR="007E2FE2" w:rsidRPr="001C3EDC">
        <w:t>the</w:t>
      </w:r>
      <w:r w:rsidR="005C703F" w:rsidRPr="001C3EDC">
        <w:t xml:space="preserve"> present analysis finds that economi</w:t>
      </w:r>
      <w:r w:rsidR="00D55A6F" w:rsidRPr="001C3EDC">
        <w:t xml:space="preserve">c growth in Bulgaria can be </w:t>
      </w:r>
      <w:r w:rsidR="00E3796F">
        <w:t>restricted</w:t>
      </w:r>
      <w:r w:rsidR="00D55A6F" w:rsidRPr="001C3EDC">
        <w:t xml:space="preserve"> by 2050 because of climate change.  GDP is projected to grow annually by 1.7 percent by mid-century and t</w:t>
      </w:r>
      <w:r w:rsidR="005C703F" w:rsidRPr="001C3EDC">
        <w:t xml:space="preserve">he negative impact of climate change </w:t>
      </w:r>
      <w:r w:rsidR="00D55A6F" w:rsidRPr="001C3EDC">
        <w:t xml:space="preserve">systematically </w:t>
      </w:r>
      <w:r w:rsidR="005C703F" w:rsidRPr="001C3EDC">
        <w:t xml:space="preserve">outweighs economic growth </w:t>
      </w:r>
      <w:r w:rsidR="00D55A6F" w:rsidRPr="001C3EDC">
        <w:t xml:space="preserve">in a 4°C warmer world, and in most cases, in a 2°C warmer world. </w:t>
      </w:r>
      <w:r w:rsidR="00BE514E" w:rsidRPr="001C3EDC">
        <w:t>Impact on economic growth by 2050 ranges from -1.3 to -4.</w:t>
      </w:r>
      <w:r w:rsidR="00AF4402" w:rsidRPr="001C3EDC">
        <w:t>3</w:t>
      </w:r>
      <w:r w:rsidR="00BE514E" w:rsidRPr="001C3EDC">
        <w:t xml:space="preserve"> percent across the climate change scenarios considered.  </w:t>
      </w:r>
      <w:r w:rsidR="005C703F" w:rsidRPr="001C3EDC">
        <w:t xml:space="preserve">These results fall between the range of the findings from available studies on the economic impacts of 2°C change in Southern Europe. For instance, the PESETA project (2014) estimates the overall macroeconomic impact of climate change around 2.8 percent </w:t>
      </w:r>
      <w:r w:rsidR="00F07797" w:rsidRPr="001C3EDC">
        <w:t xml:space="preserve">of </w:t>
      </w:r>
      <w:r w:rsidR="005C703F" w:rsidRPr="001C3EDC">
        <w:t xml:space="preserve">GDP in 2080; the TopDad project estimates a 0.15 percent slowdown in Southern European economic growth; and the Climate Cost project estimates </w:t>
      </w:r>
      <w:r w:rsidR="00F07797" w:rsidRPr="001C3EDC">
        <w:t xml:space="preserve">a </w:t>
      </w:r>
      <w:r w:rsidR="005C703F" w:rsidRPr="001C3EDC">
        <w:t>0.5</w:t>
      </w:r>
      <w:r w:rsidR="00F07797" w:rsidRPr="001C3EDC">
        <w:t xml:space="preserve"> to</w:t>
      </w:r>
      <w:r w:rsidR="005C703F" w:rsidRPr="001C3EDC">
        <w:t xml:space="preserve">1 percent GDP loss by 2100. These studies date from a few years back and unfortunately there are no updates yet regarding the potential impact of a 4°C temperature change. </w:t>
      </w:r>
    </w:p>
    <w:p w14:paraId="25C1939F" w14:textId="738F514E" w:rsidR="00456B97" w:rsidRPr="001C3EDC" w:rsidRDefault="005C703F" w:rsidP="001A0A09">
      <w:pPr>
        <w:pStyle w:val="BodyText"/>
        <w:ind w:left="0" w:firstLine="0"/>
      </w:pPr>
      <w:r w:rsidRPr="001C3EDC">
        <w:t xml:space="preserve">Beyond the impact on GDP, it is equally important to highlight the welfare impacts of climate change. </w:t>
      </w:r>
      <w:r w:rsidR="00BE514E" w:rsidRPr="001C3EDC">
        <w:t>Welfare losses by 2050 range from 1 to 3.5 percent of GDP, from the most optimistic scenario to the most pessimistic one. W</w:t>
      </w:r>
      <w:r w:rsidRPr="001C3EDC">
        <w:t>elfare losses</w:t>
      </w:r>
      <w:r w:rsidR="00BE514E" w:rsidRPr="001C3EDC">
        <w:t xml:space="preserve"> can be broken down into three components</w:t>
      </w:r>
      <w:r w:rsidR="009D4FBE" w:rsidRPr="001C3EDC">
        <w:t xml:space="preserve">: </w:t>
      </w:r>
      <w:r w:rsidRPr="001C3EDC">
        <w:t xml:space="preserve">direct impacts, efficiency, and terms of trade. </w:t>
      </w:r>
      <w:r w:rsidR="009D4FBE" w:rsidRPr="001C3EDC">
        <w:t xml:space="preserve">Findings from the model simulations </w:t>
      </w:r>
      <w:r w:rsidR="00F07797" w:rsidRPr="001C3EDC">
        <w:t xml:space="preserve">first </w:t>
      </w:r>
      <w:r w:rsidR="009D4FBE" w:rsidRPr="001C3EDC">
        <w:t>show that</w:t>
      </w:r>
      <w:r w:rsidR="001A0A09" w:rsidRPr="001C3EDC">
        <w:t xml:space="preserve"> </w:t>
      </w:r>
      <w:r w:rsidR="00456B97" w:rsidRPr="001C3EDC">
        <w:t xml:space="preserve">the </w:t>
      </w:r>
      <w:r w:rsidR="009D4FBE" w:rsidRPr="001C3EDC">
        <w:t>direct impacts of climate change are the main driver of welfare losses</w:t>
      </w:r>
      <w:r w:rsidR="001A0A09" w:rsidRPr="001C3EDC">
        <w:t xml:space="preserve">, reflecting a </w:t>
      </w:r>
      <w:r w:rsidRPr="001C3EDC">
        <w:t>general worsening of production conditions in Bulgaria</w:t>
      </w:r>
      <w:r w:rsidR="001A0A09" w:rsidRPr="001C3EDC">
        <w:t xml:space="preserve">, growing in severity with more intense warming. Second, climate change coupled with sub-optimal economic policies leads to further welfare losses, linked to economic inefficiency, but those are one order of magnitude lower than losses from direct impacts. Third, the impact of </w:t>
      </w:r>
      <w:r w:rsidR="001A0A09" w:rsidRPr="001C3EDC">
        <w:lastRenderedPageBreak/>
        <w:t xml:space="preserve">climate change on the terms of trade </w:t>
      </w:r>
      <w:r w:rsidR="00456B97" w:rsidRPr="001C3EDC">
        <w:t>translates into welfare gains, of about the same magnitude (in absolute value) as the welfare losses linked to efficiency. As a result, terms of trade welfare gains can mitigate welfare losses linked to economic inefficiency but cannot outweigh the much larger welfare losses linked to the direct impacts of climate change.</w:t>
      </w:r>
    </w:p>
    <w:p w14:paraId="0669BF78" w14:textId="714C0938" w:rsidR="00456B97" w:rsidRPr="001C3EDC" w:rsidRDefault="005C703F" w:rsidP="000A09C6">
      <w:pPr>
        <w:pStyle w:val="BodyText"/>
        <w:ind w:left="0" w:firstLine="0"/>
      </w:pPr>
      <w:r w:rsidRPr="001C3EDC">
        <w:t xml:space="preserve">At the sectoral level, the model simulations show </w:t>
      </w:r>
      <w:r w:rsidR="000A09C6" w:rsidRPr="001C3EDC">
        <w:t xml:space="preserve">that agriculture is among the most vulnerable sectors, with </w:t>
      </w:r>
      <w:r w:rsidRPr="001C3EDC">
        <w:t>differentiated impact on grains (</w:t>
      </w:r>
      <w:r w:rsidR="000A09C6" w:rsidRPr="001C3EDC">
        <w:t>like</w:t>
      </w:r>
      <w:r w:rsidRPr="001C3EDC">
        <w:t xml:space="preserve"> wheat, maize, </w:t>
      </w:r>
      <w:r w:rsidR="000A09C6" w:rsidRPr="001C3EDC">
        <w:t xml:space="preserve">or </w:t>
      </w:r>
      <w:r w:rsidRPr="001C3EDC">
        <w:t xml:space="preserve">barley) and other crops (like vegetables and fruits). While </w:t>
      </w:r>
      <w:r w:rsidR="000A09C6" w:rsidRPr="001C3EDC">
        <w:t xml:space="preserve">the </w:t>
      </w:r>
      <w:r w:rsidRPr="001C3EDC">
        <w:t>adaptation polic</w:t>
      </w:r>
      <w:r w:rsidR="000A09C6" w:rsidRPr="001C3EDC">
        <w:t>ies</w:t>
      </w:r>
      <w:r w:rsidRPr="001C3EDC">
        <w:t xml:space="preserve"> considered here help </w:t>
      </w:r>
      <w:r w:rsidR="000A09C6" w:rsidRPr="001C3EDC">
        <w:t>mitigate</w:t>
      </w:r>
      <w:r w:rsidRPr="001C3EDC">
        <w:t xml:space="preserve"> the impact of cl</w:t>
      </w:r>
      <w:r w:rsidR="000A09C6" w:rsidRPr="001C3EDC">
        <w:t>imate change on grains, they do not,</w:t>
      </w:r>
      <w:r w:rsidRPr="001C3EDC">
        <w:t xml:space="preserve"> however</w:t>
      </w:r>
      <w:r w:rsidR="000A09C6" w:rsidRPr="001C3EDC">
        <w:t>,</w:t>
      </w:r>
      <w:r w:rsidRPr="001C3EDC">
        <w:t xml:space="preserve"> totally offset </w:t>
      </w:r>
      <w:r w:rsidR="000A09C6" w:rsidRPr="001C3EDC">
        <w:t>its</w:t>
      </w:r>
      <w:r w:rsidRPr="001C3EDC">
        <w:t xml:space="preserve"> negative impact </w:t>
      </w:r>
      <w:r w:rsidR="000A09C6" w:rsidRPr="001C3EDC">
        <w:t>on</w:t>
      </w:r>
      <w:r w:rsidRPr="001C3EDC">
        <w:t xml:space="preserve"> </w:t>
      </w:r>
      <w:r w:rsidR="000A09C6" w:rsidRPr="001C3EDC">
        <w:t>the agriculture</w:t>
      </w:r>
      <w:r w:rsidRPr="001C3EDC">
        <w:t xml:space="preserve"> sector. This calls for a differentiated approach to climate change adaptation policy for </w:t>
      </w:r>
      <w:r w:rsidR="000A09C6" w:rsidRPr="001C3EDC">
        <w:t>this sector</w:t>
      </w:r>
      <w:r w:rsidRPr="001C3EDC">
        <w:t xml:space="preserve"> in Bulgaria. </w:t>
      </w:r>
      <w:r w:rsidR="00CA0334" w:rsidRPr="001C3EDC">
        <w:t xml:space="preserve"> Grains experience the highest negative impacts across all the four river basins in Bulgaria. The Danube river basin (where the agricultural productivity is the highest) is the region that suffers the most from climate change.</w:t>
      </w:r>
    </w:p>
    <w:p w14:paraId="1B09A09F" w14:textId="77777777" w:rsidR="00414947" w:rsidRPr="001C3EDC" w:rsidRDefault="005C703F" w:rsidP="00CA5CD0">
      <w:pPr>
        <w:pStyle w:val="BodyText"/>
        <w:ind w:left="0" w:firstLine="0"/>
      </w:pPr>
      <w:r w:rsidRPr="001C3EDC">
        <w:t>The energy sector, comprise</w:t>
      </w:r>
      <w:r w:rsidR="000618ED" w:rsidRPr="001C3EDC">
        <w:t>d</w:t>
      </w:r>
      <w:r w:rsidRPr="001C3EDC">
        <w:t xml:space="preserve"> of refined petroleum products and other fuels, is another sector that is highly impacted </w:t>
      </w:r>
      <w:r w:rsidR="00456B97" w:rsidRPr="001C3EDC">
        <w:t>under</w:t>
      </w:r>
      <w:r w:rsidRPr="001C3EDC">
        <w:t xml:space="preserve"> any of the climate change scenarios considered in the present analysis. Energy demand for heating (in cold days) will decrease </w:t>
      </w:r>
      <w:r w:rsidR="00414947" w:rsidRPr="001C3EDC">
        <w:t>significantly and</w:t>
      </w:r>
      <w:r w:rsidRPr="001C3EDC">
        <w:t xml:space="preserve"> pull down the overall demand for electricity used for heating despite a slight increase in electricity demand for air conditioning (in hot days).</w:t>
      </w:r>
    </w:p>
    <w:p w14:paraId="515DDCFE" w14:textId="57BA2426" w:rsidR="005C703F" w:rsidRPr="001C3EDC" w:rsidRDefault="005C703F" w:rsidP="00CA5CD0">
      <w:pPr>
        <w:pStyle w:val="BodyText"/>
        <w:ind w:left="0" w:firstLine="0"/>
      </w:pPr>
      <w:r w:rsidRPr="001C3EDC">
        <w:t>Another cluster of sectors experiencing a negative outcome is transport and communication. The overall decline in economic activity accounts for the decline in demand for output for these sectors.</w:t>
      </w:r>
    </w:p>
    <w:p w14:paraId="18F3DF8E" w14:textId="573F617A" w:rsidR="005C703F" w:rsidRPr="001C3EDC" w:rsidRDefault="009374C7" w:rsidP="00CA5CD0">
      <w:pPr>
        <w:pStyle w:val="BodyText"/>
        <w:ind w:left="0" w:firstLine="0"/>
      </w:pPr>
      <w:r w:rsidRPr="001C3EDC">
        <w:t>Finally, a</w:t>
      </w:r>
      <w:r w:rsidR="005C703F" w:rsidRPr="001C3EDC">
        <w:t xml:space="preserve"> positive output response is observed </w:t>
      </w:r>
      <w:r w:rsidRPr="001C3EDC">
        <w:t xml:space="preserve">for </w:t>
      </w:r>
      <w:r w:rsidR="00CA0334" w:rsidRPr="001C3EDC">
        <w:t>the</w:t>
      </w:r>
      <w:r w:rsidR="005C703F" w:rsidRPr="001C3EDC">
        <w:t xml:space="preserve"> energy</w:t>
      </w:r>
      <w:r w:rsidR="00CA0334" w:rsidRPr="001C3EDC">
        <w:t>-</w:t>
      </w:r>
      <w:r w:rsidR="005C703F" w:rsidRPr="001C3EDC">
        <w:t>intensive trade</w:t>
      </w:r>
      <w:r w:rsidR="00CA0334" w:rsidRPr="001C3EDC">
        <w:t>-</w:t>
      </w:r>
      <w:r w:rsidR="005C703F" w:rsidRPr="001C3EDC">
        <w:t>exposed sectors, which includes sectors such as chemicals, steel, aluminum, cement, and ceramics.</w:t>
      </w:r>
    </w:p>
    <w:p w14:paraId="6B6D8767" w14:textId="27B5F734" w:rsidR="000618ED" w:rsidRPr="001C3EDC" w:rsidRDefault="009374C7" w:rsidP="00AF4402">
      <w:pPr>
        <w:pStyle w:val="BodyText"/>
        <w:ind w:left="0" w:firstLine="0"/>
        <w:rPr>
          <w:color w:val="000000"/>
        </w:rPr>
      </w:pPr>
      <w:r w:rsidRPr="001C3EDC">
        <w:rPr>
          <w:color w:val="000000"/>
        </w:rPr>
        <w:t xml:space="preserve">Climate change is also very likely to push more people into poverty in Bulgaria. </w:t>
      </w:r>
      <w:r w:rsidR="000618ED" w:rsidRPr="001C3EDC">
        <w:rPr>
          <w:color w:val="000000"/>
        </w:rPr>
        <w:t>An e</w:t>
      </w:r>
      <w:r w:rsidR="005C703F" w:rsidRPr="001C3EDC">
        <w:rPr>
          <w:color w:val="000000"/>
        </w:rPr>
        <w:t xml:space="preserve">conomy-wide increase in real price </w:t>
      </w:r>
      <w:r w:rsidR="000618ED" w:rsidRPr="001C3EDC">
        <w:rPr>
          <w:color w:val="000000"/>
        </w:rPr>
        <w:t xml:space="preserve">is observed across all climate change scenarios. </w:t>
      </w:r>
      <w:r w:rsidR="005C703F" w:rsidRPr="001C3EDC">
        <w:rPr>
          <w:color w:val="000000"/>
        </w:rPr>
        <w:t xml:space="preserve">Rising prices for commodities are likely to result in a substantial reduction in real income – and an increase in poverty – for </w:t>
      </w:r>
      <w:r w:rsidR="000618ED" w:rsidRPr="001C3EDC">
        <w:rPr>
          <w:color w:val="000000"/>
        </w:rPr>
        <w:t xml:space="preserve">those </w:t>
      </w:r>
      <w:r w:rsidR="005C703F" w:rsidRPr="001C3EDC">
        <w:rPr>
          <w:color w:val="000000"/>
        </w:rPr>
        <w:t xml:space="preserve">households </w:t>
      </w:r>
      <w:r w:rsidR="000618ED" w:rsidRPr="001C3EDC">
        <w:rPr>
          <w:color w:val="000000"/>
        </w:rPr>
        <w:t>that spend</w:t>
      </w:r>
      <w:r w:rsidR="005C703F" w:rsidRPr="001C3EDC">
        <w:rPr>
          <w:color w:val="000000"/>
        </w:rPr>
        <w:t xml:space="preserve"> a large share of their income on </w:t>
      </w:r>
      <w:r w:rsidR="000618ED" w:rsidRPr="001C3EDC">
        <w:rPr>
          <w:color w:val="000000"/>
        </w:rPr>
        <w:t xml:space="preserve">those </w:t>
      </w:r>
      <w:r w:rsidR="005C703F" w:rsidRPr="001C3EDC">
        <w:rPr>
          <w:color w:val="000000"/>
        </w:rPr>
        <w:t xml:space="preserve">commodities whose </w:t>
      </w:r>
      <w:r w:rsidR="005C703F" w:rsidRPr="001C3EDC">
        <w:t>price</w:t>
      </w:r>
      <w:r w:rsidR="005C703F" w:rsidRPr="001C3EDC">
        <w:rPr>
          <w:color w:val="000000"/>
        </w:rPr>
        <w:t xml:space="preserve"> rose substantially.</w:t>
      </w:r>
      <w:r w:rsidR="000618ED" w:rsidRPr="001C3EDC">
        <w:rPr>
          <w:color w:val="000000"/>
        </w:rPr>
        <w:t xml:space="preserve"> </w:t>
      </w:r>
      <w:r w:rsidR="005C703F" w:rsidRPr="001C3EDC">
        <w:rPr>
          <w:color w:val="000000"/>
        </w:rPr>
        <w:t xml:space="preserve">However, the well-being of households depends not only on changes in the cost of living, but also on changes in earnings. In general, earnings from both skilled and unskilled labor will decline in all analyzed scenarios. </w:t>
      </w:r>
      <w:r w:rsidR="000618ED" w:rsidRPr="001C3EDC">
        <w:rPr>
          <w:color w:val="000000"/>
        </w:rPr>
        <w:t>M</w:t>
      </w:r>
      <w:r w:rsidR="005C703F" w:rsidRPr="001C3EDC">
        <w:rPr>
          <w:color w:val="000000"/>
        </w:rPr>
        <w:t xml:space="preserve">ore people are </w:t>
      </w:r>
      <w:r w:rsidR="000618ED" w:rsidRPr="001C3EDC">
        <w:rPr>
          <w:color w:val="000000"/>
        </w:rPr>
        <w:t xml:space="preserve">therefore </w:t>
      </w:r>
      <w:r w:rsidR="005C703F" w:rsidRPr="001C3EDC">
        <w:rPr>
          <w:color w:val="000000"/>
        </w:rPr>
        <w:t>expected</w:t>
      </w:r>
      <w:r w:rsidR="000618ED" w:rsidRPr="001C3EDC">
        <w:rPr>
          <w:color w:val="000000"/>
        </w:rPr>
        <w:t xml:space="preserve"> to fall below the poverty line under the combined effect of rising real prices and declining earnings from labor.</w:t>
      </w:r>
    </w:p>
    <w:p w14:paraId="1C1255AE" w14:textId="3F9BA26C" w:rsidR="00AC2F74" w:rsidRPr="001C3EDC" w:rsidRDefault="00AF4402" w:rsidP="00AC2F74">
      <w:pPr>
        <w:pStyle w:val="BodyText"/>
        <w:tabs>
          <w:tab w:val="left" w:pos="720"/>
        </w:tabs>
        <w:spacing w:before="120"/>
        <w:ind w:left="0" w:firstLine="0"/>
      </w:pPr>
      <w:r w:rsidRPr="001C3EDC">
        <w:t xml:space="preserve">The scope of the present macroeconomic analysis is to inform high-level policy dialogue, on the rationale to adapt to climate change (comparing the costs of action with the costs of inaction) and on overall funding needs and potential financing mechanisms for adaptation. </w:t>
      </w:r>
      <w:r w:rsidR="005D05BC" w:rsidRPr="001C3EDC">
        <w:t xml:space="preserve">In the absence of comprehensive technical and economic information on adaptation measures and their costs at sectoral levels that could be readily integrated into the model, no marginal adaptation cost curve could be derived bottom-up. Instead an implicit, top-down cost curve is being used, based on similar integrated modeling exercises, around the assumption that </w:t>
      </w:r>
      <w:r w:rsidR="00AC2F74" w:rsidRPr="001C3EDC">
        <w:t xml:space="preserve">that adaptation can reduce 30 percent of the gross impact from climate change at little cost to the economy (0.1 percent in GDP).  </w:t>
      </w:r>
    </w:p>
    <w:p w14:paraId="4A5A4A84" w14:textId="77777777" w:rsidR="00414947" w:rsidRPr="001C3EDC" w:rsidRDefault="00AF4402" w:rsidP="00AC2F74">
      <w:pPr>
        <w:pStyle w:val="BodyText"/>
        <w:tabs>
          <w:tab w:val="left" w:pos="720"/>
        </w:tabs>
        <w:spacing w:before="120"/>
        <w:ind w:left="0" w:firstLine="0"/>
      </w:pPr>
      <w:r w:rsidRPr="001C3EDC">
        <w:lastRenderedPageBreak/>
        <w:t xml:space="preserve">Findings first demonstrate the large benefits from adaptation, whereby adaptation can help mitigate the adverse impact of climate change. The benefits from adaptation are higher in the 4°C scenario, where the negative impact of climate change on growth is almost halved (from 4.3 percent to 2.6 percent GDP). In terms of resource mobilization, the model simulations show that it is possible to finance adaptation </w:t>
      </w:r>
      <w:r w:rsidR="00B13192" w:rsidRPr="001C3EDC">
        <w:t xml:space="preserve">via </w:t>
      </w:r>
      <w:r w:rsidR="00414947" w:rsidRPr="001C3EDC">
        <w:t xml:space="preserve">a </w:t>
      </w:r>
      <w:r w:rsidR="00B13192" w:rsidRPr="001C3EDC">
        <w:t>2 percent climate contribution levied on consumption goods without hampering the prospects for growth. This climate contribution leads to a slight negative impact on consumer welfare in the 2°C scenario only; in the 4°C scenario, where there is more scope for adaptation, improvements in economic efficiency and competitiveness in international trade override the adverse impact of this fiscal policy.</w:t>
      </w:r>
    </w:p>
    <w:p w14:paraId="2976429A" w14:textId="12971DAE" w:rsidR="00AC2F74" w:rsidRPr="001C3EDC" w:rsidRDefault="005D05BC" w:rsidP="00AC2F74">
      <w:pPr>
        <w:pStyle w:val="BodyText"/>
        <w:tabs>
          <w:tab w:val="left" w:pos="720"/>
        </w:tabs>
        <w:spacing w:before="120"/>
        <w:ind w:left="0" w:firstLine="0"/>
      </w:pPr>
      <w:r w:rsidRPr="001C3EDC">
        <w:t xml:space="preserve">Other alternatives include orienting foreign funds, such as structural funds from the European Union, or their successors, or other bi- or multi-lateral mechanism focused on climate finance, towards adaptation. In terms of allocating adaptation funding, the model simulations </w:t>
      </w:r>
      <w:r w:rsidR="00AC2F74" w:rsidRPr="001C3EDC">
        <w:t>show that orienting adaptation resources across sectors (and not only to the most vulnerable sectors) yields more benefits to the Bulgarian economy and citizens, since it increases availability of capital in productive sectors, with expansion in output and value added, partly outweighing the negative impacts from climate change.</w:t>
      </w:r>
    </w:p>
    <w:p w14:paraId="565013E7" w14:textId="504A2D10" w:rsidR="00AA7E52" w:rsidRPr="001C3EDC" w:rsidRDefault="00AA7E52" w:rsidP="00C9437E">
      <w:pPr>
        <w:pStyle w:val="BodyText"/>
        <w:tabs>
          <w:tab w:val="left" w:pos="720"/>
        </w:tabs>
        <w:spacing w:before="120"/>
        <w:ind w:left="0" w:firstLine="0"/>
      </w:pPr>
      <w:r w:rsidRPr="001C3EDC">
        <w:t>These results are based on the first attempt to build an integrated assessment model on climate adaptation for Bulgaria. There was a particular focus on agriculture as one of the most vulnerable sectors to climate change and the model can analyze well the link between natural assets such as land and water that are vulnerable to climate change and primary production factors for agriculture. Based on policy interest and available microeconomic and technical information at sectoral level, the model could be further enhanced to similarly improve the representation of climate vulnerability and adaptation potential in other sectors or to analyze mitigation issues. Those are potential directions for further research.</w:t>
      </w:r>
    </w:p>
    <w:p w14:paraId="65594356" w14:textId="380F0732" w:rsidR="005E4694" w:rsidRPr="001C3EDC" w:rsidRDefault="005E4694" w:rsidP="00CA5CD0">
      <w:pPr>
        <w:pStyle w:val="BodyText"/>
        <w:tabs>
          <w:tab w:val="left" w:pos="720"/>
        </w:tabs>
        <w:ind w:left="0" w:firstLine="0"/>
        <w:rPr>
          <w:rFonts w:ascii="Calibri" w:eastAsia="Times New Roman" w:hAnsi="Calibri"/>
          <w:b/>
          <w:bCs/>
          <w:color w:val="365F91" w:themeColor="accent1" w:themeShade="BF"/>
          <w:kern w:val="36"/>
          <w:sz w:val="32"/>
          <w:szCs w:val="18"/>
        </w:rPr>
      </w:pPr>
      <w:r w:rsidRPr="001C3EDC">
        <w:br w:type="page"/>
      </w:r>
    </w:p>
    <w:p w14:paraId="5563E2EE" w14:textId="1F4F8D40" w:rsidR="006E662F" w:rsidRPr="001C3EDC" w:rsidRDefault="006E662F" w:rsidP="002B6EE2">
      <w:pPr>
        <w:pStyle w:val="Heading1"/>
      </w:pPr>
      <w:bookmarkStart w:id="156" w:name="_Toc510004097"/>
      <w:bookmarkStart w:id="157" w:name="_Toc522036469"/>
      <w:r w:rsidRPr="001C3EDC">
        <w:lastRenderedPageBreak/>
        <w:t>References</w:t>
      </w:r>
      <w:bookmarkEnd w:id="140"/>
      <w:bookmarkEnd w:id="156"/>
      <w:bookmarkEnd w:id="157"/>
    </w:p>
    <w:p w14:paraId="16F51F67" w14:textId="314D46AC" w:rsidR="009252CE" w:rsidRPr="001C3EDC" w:rsidRDefault="009252CE" w:rsidP="00C25D49">
      <w:pPr>
        <w:spacing w:after="120" w:line="276" w:lineRule="auto"/>
        <w:ind w:left="720" w:hanging="720"/>
        <w:rPr>
          <w:rFonts w:eastAsia="Calibri" w:cs="Times New Roman"/>
          <w:szCs w:val="24"/>
        </w:rPr>
      </w:pPr>
      <w:r w:rsidRPr="001C3EDC">
        <w:t>Adger, W.</w:t>
      </w:r>
      <w:r w:rsidR="002950EA" w:rsidRPr="001C3EDC">
        <w:t xml:space="preserve"> </w:t>
      </w:r>
      <w:r w:rsidRPr="001C3EDC">
        <w:t>N., S. Agrawala, M.</w:t>
      </w:r>
      <w:r w:rsidR="002950EA" w:rsidRPr="001C3EDC">
        <w:t xml:space="preserve"> </w:t>
      </w:r>
      <w:r w:rsidRPr="001C3EDC">
        <w:t>M.</w:t>
      </w:r>
      <w:r w:rsidR="002950EA" w:rsidRPr="001C3EDC">
        <w:t xml:space="preserve"> </w:t>
      </w:r>
      <w:r w:rsidRPr="001C3EDC">
        <w:t>Q. Mirza, C. Conde, K. O’Brien, J. Pulhin, R. Pulwarty, B. Smit</w:t>
      </w:r>
      <w:r w:rsidR="002950EA" w:rsidRPr="001C3EDC">
        <w:t>,</w:t>
      </w:r>
      <w:r w:rsidRPr="001C3EDC">
        <w:t xml:space="preserve"> and K. Takahashi</w:t>
      </w:r>
      <w:r w:rsidR="002950EA" w:rsidRPr="001C3EDC">
        <w:t>.</w:t>
      </w:r>
      <w:r w:rsidRPr="001C3EDC">
        <w:t xml:space="preserve"> 2007</w:t>
      </w:r>
      <w:r w:rsidR="002950EA" w:rsidRPr="001C3EDC">
        <w:t>.</w:t>
      </w:r>
      <w:r w:rsidRPr="001C3EDC">
        <w:t xml:space="preserve"> </w:t>
      </w:r>
      <w:r w:rsidR="002950EA" w:rsidRPr="001C3EDC">
        <w:t>“</w:t>
      </w:r>
      <w:r w:rsidRPr="001C3EDC">
        <w:t xml:space="preserve">Assessment of </w:t>
      </w:r>
      <w:r w:rsidR="002950EA" w:rsidRPr="001C3EDC">
        <w:t>A</w:t>
      </w:r>
      <w:r w:rsidRPr="001C3EDC">
        <w:t xml:space="preserve">daptation </w:t>
      </w:r>
      <w:r w:rsidR="002950EA" w:rsidRPr="001C3EDC">
        <w:t>P</w:t>
      </w:r>
      <w:r w:rsidRPr="001C3EDC">
        <w:t xml:space="preserve">ractices, </w:t>
      </w:r>
      <w:r w:rsidR="002950EA" w:rsidRPr="001C3EDC">
        <w:t>O</w:t>
      </w:r>
      <w:r w:rsidRPr="001C3EDC">
        <w:t xml:space="preserve">ptions, </w:t>
      </w:r>
      <w:r w:rsidR="002950EA" w:rsidRPr="001C3EDC">
        <w:t>C</w:t>
      </w:r>
      <w:r w:rsidRPr="001C3EDC">
        <w:t xml:space="preserve">onstraints and </w:t>
      </w:r>
      <w:r w:rsidR="002950EA" w:rsidRPr="001C3EDC">
        <w:t>C</w:t>
      </w:r>
      <w:r w:rsidRPr="001C3EDC">
        <w:t>apacity.</w:t>
      </w:r>
      <w:r w:rsidR="002950EA" w:rsidRPr="001C3EDC">
        <w:t>”</w:t>
      </w:r>
      <w:r w:rsidRPr="001C3EDC">
        <w:t xml:space="preserve"> </w:t>
      </w:r>
      <w:r w:rsidR="002950EA" w:rsidRPr="001C3EDC">
        <w:t xml:space="preserve">In </w:t>
      </w:r>
      <w:r w:rsidRPr="001C3EDC">
        <w:rPr>
          <w:i/>
        </w:rPr>
        <w:t>Climate Change 2007: Impacts, Adaptation and Vulnerability. Contribution of Working Group II to the Fourth Assessment Report of the Intergovernmental Panel on Climate Change</w:t>
      </w:r>
      <w:r w:rsidRPr="001C3EDC">
        <w:t xml:space="preserve">, </w:t>
      </w:r>
      <w:r w:rsidR="002950EA" w:rsidRPr="001C3EDC">
        <w:t xml:space="preserve">edited by </w:t>
      </w:r>
      <w:r w:rsidRPr="001C3EDC">
        <w:t>M.</w:t>
      </w:r>
      <w:r w:rsidR="002950EA" w:rsidRPr="001C3EDC">
        <w:t xml:space="preserve"> </w:t>
      </w:r>
      <w:r w:rsidRPr="001C3EDC">
        <w:t>L. Parry, O.</w:t>
      </w:r>
      <w:r w:rsidR="002950EA" w:rsidRPr="001C3EDC">
        <w:t xml:space="preserve"> </w:t>
      </w:r>
      <w:r w:rsidRPr="001C3EDC">
        <w:t>F. Canziani, J.</w:t>
      </w:r>
      <w:r w:rsidR="002950EA" w:rsidRPr="001C3EDC">
        <w:t xml:space="preserve"> </w:t>
      </w:r>
      <w:r w:rsidRPr="001C3EDC">
        <w:t>P. Palutikof, P.</w:t>
      </w:r>
      <w:r w:rsidR="002950EA" w:rsidRPr="001C3EDC">
        <w:t xml:space="preserve"> </w:t>
      </w:r>
      <w:r w:rsidRPr="001C3EDC">
        <w:t>J. van der Linden</w:t>
      </w:r>
      <w:r w:rsidR="002950EA" w:rsidRPr="001C3EDC">
        <w:t>,</w:t>
      </w:r>
      <w:r w:rsidRPr="001C3EDC">
        <w:t xml:space="preserve"> and C.E. Hanson</w:t>
      </w:r>
      <w:r w:rsidR="002950EA" w:rsidRPr="001C3EDC">
        <w:t>.</w:t>
      </w:r>
      <w:r w:rsidRPr="001C3EDC">
        <w:t xml:space="preserve"> </w:t>
      </w:r>
      <w:r w:rsidR="002950EA" w:rsidRPr="001C3EDC">
        <w:t xml:space="preserve">Cambridge, U.K.: </w:t>
      </w:r>
      <w:r w:rsidRPr="001C3EDC">
        <w:t>Cambridge University Press, 717</w:t>
      </w:r>
      <w:r w:rsidR="002950EA" w:rsidRPr="001C3EDC">
        <w:t>–</w:t>
      </w:r>
      <w:r w:rsidRPr="001C3EDC">
        <w:t>743.</w:t>
      </w:r>
    </w:p>
    <w:p w14:paraId="74059C80" w14:textId="41C8CF00" w:rsidR="000830BF" w:rsidRPr="001C3EDC" w:rsidRDefault="000830BF" w:rsidP="00C25D49">
      <w:pPr>
        <w:spacing w:after="120" w:line="276" w:lineRule="auto"/>
        <w:ind w:left="720" w:hanging="720"/>
        <w:rPr>
          <w:rFonts w:eastAsia="Calibri" w:cs="Times New Roman"/>
          <w:szCs w:val="24"/>
        </w:rPr>
      </w:pPr>
      <w:r w:rsidRPr="001C3EDC">
        <w:rPr>
          <w:rFonts w:eastAsia="Calibri" w:cs="Times New Roman"/>
          <w:szCs w:val="24"/>
        </w:rPr>
        <w:t>Baldos</w:t>
      </w:r>
      <w:r w:rsidR="002950EA" w:rsidRPr="001C3EDC">
        <w:rPr>
          <w:rFonts w:eastAsia="Calibri" w:cs="Times New Roman"/>
          <w:szCs w:val="24"/>
        </w:rPr>
        <w:t>,</w:t>
      </w:r>
      <w:r w:rsidRPr="001C3EDC">
        <w:rPr>
          <w:rFonts w:eastAsia="Calibri" w:cs="Times New Roman"/>
          <w:szCs w:val="24"/>
        </w:rPr>
        <w:t xml:space="preserve"> U.</w:t>
      </w:r>
      <w:r w:rsidR="002950EA" w:rsidRPr="001C3EDC">
        <w:rPr>
          <w:rFonts w:eastAsia="Calibri" w:cs="Times New Roman"/>
          <w:szCs w:val="24"/>
        </w:rPr>
        <w:t>,</w:t>
      </w:r>
      <w:r w:rsidRPr="001C3EDC">
        <w:rPr>
          <w:rFonts w:eastAsia="Calibri" w:cs="Times New Roman"/>
          <w:szCs w:val="24"/>
        </w:rPr>
        <w:t xml:space="preserve"> and T. </w:t>
      </w:r>
      <w:r w:rsidR="002950EA" w:rsidRPr="001C3EDC">
        <w:rPr>
          <w:rFonts w:eastAsia="Calibri" w:cs="Times New Roman"/>
          <w:szCs w:val="24"/>
        </w:rPr>
        <w:t xml:space="preserve">Hertel. </w:t>
      </w:r>
      <w:r w:rsidRPr="001C3EDC">
        <w:rPr>
          <w:rFonts w:eastAsia="Calibri" w:cs="Times New Roman"/>
          <w:szCs w:val="24"/>
        </w:rPr>
        <w:t>2015</w:t>
      </w:r>
      <w:r w:rsidR="002950EA" w:rsidRPr="001C3EDC">
        <w:rPr>
          <w:rFonts w:eastAsia="Calibri" w:cs="Times New Roman"/>
          <w:szCs w:val="24"/>
        </w:rPr>
        <w:t>.</w:t>
      </w:r>
      <w:r w:rsidRPr="001C3EDC">
        <w:rPr>
          <w:rFonts w:eastAsia="Calibri" w:cs="Times New Roman"/>
          <w:szCs w:val="24"/>
        </w:rPr>
        <w:t xml:space="preserve"> </w:t>
      </w:r>
      <w:r w:rsidRPr="001C3EDC">
        <w:rPr>
          <w:rFonts w:eastAsia="Calibri" w:cs="Times New Roman"/>
          <w:i/>
          <w:szCs w:val="24"/>
        </w:rPr>
        <w:t xml:space="preserve">The </w:t>
      </w:r>
      <w:r w:rsidR="00B479F7" w:rsidRPr="001C3EDC">
        <w:rPr>
          <w:rFonts w:eastAsia="Calibri" w:cs="Times New Roman"/>
          <w:i/>
          <w:szCs w:val="24"/>
        </w:rPr>
        <w:t>R</w:t>
      </w:r>
      <w:r w:rsidRPr="001C3EDC">
        <w:rPr>
          <w:rFonts w:eastAsia="Calibri" w:cs="Times New Roman"/>
          <w:i/>
          <w:szCs w:val="24"/>
        </w:rPr>
        <w:t xml:space="preserve">ole of </w:t>
      </w:r>
      <w:r w:rsidR="00B479F7" w:rsidRPr="001C3EDC">
        <w:rPr>
          <w:rFonts w:eastAsia="Calibri" w:cs="Times New Roman"/>
          <w:i/>
          <w:szCs w:val="24"/>
        </w:rPr>
        <w:t>I</w:t>
      </w:r>
      <w:r w:rsidRPr="001C3EDC">
        <w:rPr>
          <w:rFonts w:eastAsia="Calibri" w:cs="Times New Roman"/>
          <w:i/>
          <w:szCs w:val="24"/>
        </w:rPr>
        <w:t xml:space="preserve">nternational </w:t>
      </w:r>
      <w:r w:rsidR="00B479F7" w:rsidRPr="001C3EDC">
        <w:rPr>
          <w:rFonts w:eastAsia="Calibri" w:cs="Times New Roman"/>
          <w:i/>
          <w:szCs w:val="24"/>
        </w:rPr>
        <w:t>T</w:t>
      </w:r>
      <w:r w:rsidRPr="001C3EDC">
        <w:rPr>
          <w:rFonts w:eastAsia="Calibri" w:cs="Times New Roman"/>
          <w:i/>
          <w:szCs w:val="24"/>
        </w:rPr>
        <w:t xml:space="preserve">rade in </w:t>
      </w:r>
      <w:r w:rsidR="00B479F7" w:rsidRPr="001C3EDC">
        <w:rPr>
          <w:rFonts w:eastAsia="Calibri" w:cs="Times New Roman"/>
          <w:i/>
          <w:szCs w:val="24"/>
        </w:rPr>
        <w:t>M</w:t>
      </w:r>
      <w:r w:rsidRPr="001C3EDC">
        <w:rPr>
          <w:rFonts w:eastAsia="Calibri" w:cs="Times New Roman"/>
          <w:i/>
          <w:szCs w:val="24"/>
        </w:rPr>
        <w:t xml:space="preserve">anaging </w:t>
      </w:r>
      <w:r w:rsidR="00B479F7" w:rsidRPr="001C3EDC">
        <w:rPr>
          <w:rFonts w:eastAsia="Calibri" w:cs="Times New Roman"/>
          <w:i/>
          <w:szCs w:val="24"/>
        </w:rPr>
        <w:t>F</w:t>
      </w:r>
      <w:r w:rsidRPr="001C3EDC">
        <w:rPr>
          <w:rFonts w:eastAsia="Calibri" w:cs="Times New Roman"/>
          <w:i/>
          <w:szCs w:val="24"/>
        </w:rPr>
        <w:t xml:space="preserve">ood </w:t>
      </w:r>
      <w:r w:rsidR="00B479F7" w:rsidRPr="001C3EDC">
        <w:rPr>
          <w:rFonts w:eastAsia="Calibri" w:cs="Times New Roman"/>
          <w:i/>
          <w:szCs w:val="24"/>
        </w:rPr>
        <w:t>S</w:t>
      </w:r>
      <w:r w:rsidRPr="001C3EDC">
        <w:rPr>
          <w:rFonts w:eastAsia="Calibri" w:cs="Times New Roman"/>
          <w:i/>
          <w:szCs w:val="24"/>
        </w:rPr>
        <w:t xml:space="preserve">ecurity </w:t>
      </w:r>
      <w:r w:rsidR="00B479F7" w:rsidRPr="001C3EDC">
        <w:rPr>
          <w:rFonts w:eastAsia="Calibri" w:cs="Times New Roman"/>
          <w:i/>
          <w:szCs w:val="24"/>
        </w:rPr>
        <w:t>R</w:t>
      </w:r>
      <w:r w:rsidRPr="001C3EDC">
        <w:rPr>
          <w:rFonts w:eastAsia="Calibri" w:cs="Times New Roman"/>
          <w:i/>
          <w:szCs w:val="24"/>
        </w:rPr>
        <w:t xml:space="preserve">isks from </w:t>
      </w:r>
      <w:r w:rsidR="00B479F7" w:rsidRPr="001C3EDC">
        <w:rPr>
          <w:rFonts w:eastAsia="Calibri" w:cs="Times New Roman"/>
          <w:i/>
          <w:szCs w:val="24"/>
        </w:rPr>
        <w:t>C</w:t>
      </w:r>
      <w:r w:rsidRPr="001C3EDC">
        <w:rPr>
          <w:rFonts w:eastAsia="Calibri" w:cs="Times New Roman"/>
          <w:i/>
          <w:szCs w:val="24"/>
        </w:rPr>
        <w:t xml:space="preserve">limate </w:t>
      </w:r>
      <w:r w:rsidR="00B479F7" w:rsidRPr="001C3EDC">
        <w:rPr>
          <w:rFonts w:eastAsia="Calibri" w:cs="Times New Roman"/>
          <w:i/>
          <w:szCs w:val="24"/>
        </w:rPr>
        <w:t>C</w:t>
      </w:r>
      <w:r w:rsidRPr="001C3EDC">
        <w:rPr>
          <w:rFonts w:eastAsia="Calibri" w:cs="Times New Roman"/>
          <w:i/>
          <w:szCs w:val="24"/>
        </w:rPr>
        <w:t>hange</w:t>
      </w:r>
      <w:r w:rsidR="00B479F7" w:rsidRPr="001C3EDC">
        <w:rPr>
          <w:rFonts w:eastAsia="Calibri" w:cs="Times New Roman"/>
          <w:szCs w:val="24"/>
        </w:rPr>
        <w:t>.</w:t>
      </w:r>
      <w:r w:rsidRPr="001C3EDC">
        <w:rPr>
          <w:rFonts w:eastAsia="Calibri" w:cs="Times New Roman"/>
          <w:szCs w:val="24"/>
        </w:rPr>
        <w:t xml:space="preserve"> </w:t>
      </w:r>
      <w:r w:rsidR="00B479F7" w:rsidRPr="001C3EDC">
        <w:rPr>
          <w:rFonts w:eastAsia="Calibri" w:cs="Times New Roman"/>
          <w:szCs w:val="24"/>
        </w:rPr>
        <w:t xml:space="preserve">West Lafayette, IN, USA: </w:t>
      </w:r>
      <w:r w:rsidRPr="001C3EDC">
        <w:rPr>
          <w:rFonts w:eastAsia="Calibri" w:cs="Times New Roman"/>
          <w:szCs w:val="24"/>
        </w:rPr>
        <w:t>Department of Agricultural Economics, Purdue University.</w:t>
      </w:r>
    </w:p>
    <w:p w14:paraId="7D490CE0" w14:textId="0D4D02E0" w:rsidR="00013468" w:rsidRPr="001C3EDC" w:rsidRDefault="00013468" w:rsidP="00C25D49">
      <w:pPr>
        <w:spacing w:after="120" w:line="276" w:lineRule="auto"/>
        <w:ind w:left="720" w:hanging="720"/>
        <w:rPr>
          <w:rFonts w:eastAsia="Calibri" w:cs="Times New Roman"/>
          <w:szCs w:val="24"/>
        </w:rPr>
      </w:pPr>
      <w:r w:rsidRPr="001C3EDC">
        <w:rPr>
          <w:rFonts w:eastAsia="Calibri" w:cs="Times New Roman"/>
          <w:szCs w:val="24"/>
        </w:rPr>
        <w:t xml:space="preserve">Berrittella, Maria, </w:t>
      </w:r>
      <w:r w:rsidR="00B479F7" w:rsidRPr="001C3EDC">
        <w:rPr>
          <w:rFonts w:eastAsia="Calibri" w:cs="Times New Roman"/>
          <w:szCs w:val="24"/>
        </w:rPr>
        <w:t xml:space="preserve">Andrea </w:t>
      </w:r>
      <w:r w:rsidRPr="001C3EDC">
        <w:rPr>
          <w:rFonts w:eastAsia="Calibri" w:cs="Times New Roman"/>
          <w:szCs w:val="24"/>
        </w:rPr>
        <w:t xml:space="preserve">Bigano, </w:t>
      </w:r>
      <w:r w:rsidR="00B479F7" w:rsidRPr="001C3EDC">
        <w:rPr>
          <w:rFonts w:eastAsia="Calibri" w:cs="Times New Roman"/>
          <w:szCs w:val="24"/>
        </w:rPr>
        <w:t>Roberto</w:t>
      </w:r>
      <w:r w:rsidR="00B479F7" w:rsidRPr="001C3EDC" w:rsidDel="00B479F7">
        <w:rPr>
          <w:rFonts w:eastAsia="Calibri" w:cs="Times New Roman"/>
          <w:szCs w:val="24"/>
        </w:rPr>
        <w:t xml:space="preserve"> </w:t>
      </w:r>
      <w:r w:rsidRPr="001C3EDC">
        <w:rPr>
          <w:rFonts w:eastAsia="Calibri" w:cs="Times New Roman"/>
          <w:szCs w:val="24"/>
        </w:rPr>
        <w:t xml:space="preserve">Roson, and </w:t>
      </w:r>
      <w:r w:rsidR="00B479F7" w:rsidRPr="001C3EDC">
        <w:rPr>
          <w:rFonts w:eastAsia="Calibri" w:cs="Times New Roman"/>
          <w:szCs w:val="24"/>
        </w:rPr>
        <w:t xml:space="preserve">Richard </w:t>
      </w:r>
      <w:r w:rsidRPr="001C3EDC">
        <w:rPr>
          <w:rFonts w:eastAsia="Calibri" w:cs="Times New Roman"/>
          <w:szCs w:val="24"/>
        </w:rPr>
        <w:t>Tol</w:t>
      </w:r>
      <w:r w:rsidR="00B479F7" w:rsidRPr="001C3EDC">
        <w:rPr>
          <w:rFonts w:eastAsia="Calibri" w:cs="Times New Roman"/>
          <w:szCs w:val="24"/>
        </w:rPr>
        <w:t>.</w:t>
      </w:r>
      <w:r w:rsidRPr="001C3EDC">
        <w:rPr>
          <w:rFonts w:eastAsia="Calibri" w:cs="Times New Roman"/>
          <w:szCs w:val="24"/>
        </w:rPr>
        <w:t xml:space="preserve"> 2004</w:t>
      </w:r>
      <w:r w:rsidR="00B479F7" w:rsidRPr="001C3EDC">
        <w:rPr>
          <w:rFonts w:eastAsia="Calibri" w:cs="Times New Roman"/>
          <w:szCs w:val="24"/>
        </w:rPr>
        <w:t>.</w:t>
      </w:r>
      <w:r w:rsidRPr="001C3EDC">
        <w:rPr>
          <w:rFonts w:eastAsia="Calibri" w:cs="Times New Roman"/>
          <w:szCs w:val="24"/>
        </w:rPr>
        <w:t xml:space="preserve"> </w:t>
      </w:r>
      <w:r w:rsidR="00B479F7" w:rsidRPr="001C3EDC">
        <w:rPr>
          <w:rFonts w:eastAsia="Calibri" w:cs="Times New Roman"/>
          <w:szCs w:val="24"/>
        </w:rPr>
        <w:t>“</w:t>
      </w:r>
      <w:r w:rsidRPr="001C3EDC">
        <w:rPr>
          <w:rFonts w:eastAsia="Calibri" w:cs="Times New Roman"/>
          <w:szCs w:val="24"/>
        </w:rPr>
        <w:t>A General Equilibrium Analysis of Climate Change Impacts on Tourism</w:t>
      </w:r>
      <w:r w:rsidR="00B479F7" w:rsidRPr="001C3EDC">
        <w:rPr>
          <w:rFonts w:eastAsia="Calibri" w:cs="Times New Roman"/>
          <w:szCs w:val="24"/>
        </w:rPr>
        <w:t>.”</w:t>
      </w:r>
      <w:r w:rsidRPr="001C3EDC">
        <w:rPr>
          <w:rFonts w:eastAsia="Calibri" w:cs="Times New Roman"/>
          <w:szCs w:val="24"/>
        </w:rPr>
        <w:t xml:space="preserve"> No FNU-49, Working Papers, Research </w:t>
      </w:r>
      <w:r w:rsidR="00B479F7" w:rsidRPr="001C3EDC">
        <w:rPr>
          <w:rFonts w:eastAsia="Calibri" w:cs="Times New Roman"/>
          <w:szCs w:val="24"/>
        </w:rPr>
        <w:t xml:space="preserve">Unit </w:t>
      </w:r>
      <w:r w:rsidRPr="001C3EDC">
        <w:rPr>
          <w:rFonts w:eastAsia="Calibri" w:cs="Times New Roman"/>
          <w:szCs w:val="24"/>
        </w:rPr>
        <w:t>Sustainability and Global Change, Hamburg University</w:t>
      </w:r>
      <w:r w:rsidR="00B479F7" w:rsidRPr="001C3EDC">
        <w:rPr>
          <w:rFonts w:eastAsia="Calibri" w:cs="Times New Roman"/>
          <w:szCs w:val="24"/>
        </w:rPr>
        <w:t>.</w:t>
      </w:r>
      <w:r w:rsidRPr="001C3EDC">
        <w:rPr>
          <w:rFonts w:eastAsia="Calibri" w:cs="Times New Roman"/>
          <w:szCs w:val="24"/>
        </w:rPr>
        <w:t xml:space="preserve"> https://EconPapers.repec.org/RePEc:sgc:wpaper:49.</w:t>
      </w:r>
    </w:p>
    <w:p w14:paraId="09551B8B" w14:textId="3BBC2B03" w:rsidR="00FF5EE3" w:rsidRPr="001C3EDC" w:rsidRDefault="009252CE" w:rsidP="00C25D49">
      <w:pPr>
        <w:spacing w:after="120" w:line="276" w:lineRule="auto"/>
        <w:ind w:left="720" w:hanging="720"/>
        <w:rPr>
          <w:rFonts w:cs="Times New Roman"/>
          <w:color w:val="000000" w:themeColor="text1"/>
          <w:szCs w:val="24"/>
        </w:rPr>
      </w:pPr>
      <w:r w:rsidRPr="001C3EDC">
        <w:rPr>
          <w:rFonts w:cs="Times New Roman"/>
          <w:color w:val="000000" w:themeColor="text1"/>
          <w:szCs w:val="24"/>
          <w:shd w:val="clear" w:color="auto" w:fill="FFFFFF"/>
        </w:rPr>
        <w:t>D</w:t>
      </w:r>
      <w:r w:rsidR="00FF5EE3" w:rsidRPr="001C3EDC">
        <w:rPr>
          <w:rFonts w:cs="Times New Roman"/>
          <w:color w:val="000000" w:themeColor="text1"/>
          <w:szCs w:val="24"/>
          <w:shd w:val="clear" w:color="auto" w:fill="FFFFFF"/>
        </w:rPr>
        <w:t>e Bruin, K.</w:t>
      </w:r>
      <w:r w:rsidR="00AE6C65" w:rsidRPr="001C3EDC">
        <w:rPr>
          <w:rFonts w:cs="Times New Roman"/>
          <w:color w:val="000000" w:themeColor="text1"/>
          <w:szCs w:val="24"/>
          <w:shd w:val="clear" w:color="auto" w:fill="FFFFFF"/>
        </w:rPr>
        <w:t xml:space="preserve"> </w:t>
      </w:r>
      <w:r w:rsidR="00FF5EE3" w:rsidRPr="001C3EDC">
        <w:rPr>
          <w:rFonts w:cs="Times New Roman"/>
          <w:color w:val="000000" w:themeColor="text1"/>
          <w:szCs w:val="24"/>
          <w:shd w:val="clear" w:color="auto" w:fill="FFFFFF"/>
        </w:rPr>
        <w:t xml:space="preserve">C., </w:t>
      </w:r>
      <w:r w:rsidR="00AE6C65" w:rsidRPr="001C3EDC">
        <w:rPr>
          <w:rFonts w:cs="Times New Roman"/>
          <w:color w:val="000000" w:themeColor="text1"/>
          <w:szCs w:val="24"/>
          <w:shd w:val="clear" w:color="auto" w:fill="FFFFFF"/>
        </w:rPr>
        <w:t xml:space="preserve">R. B. </w:t>
      </w:r>
      <w:r w:rsidR="00FF5EE3" w:rsidRPr="001C3EDC">
        <w:rPr>
          <w:rFonts w:cs="Times New Roman"/>
          <w:color w:val="000000" w:themeColor="text1"/>
          <w:szCs w:val="24"/>
          <w:shd w:val="clear" w:color="auto" w:fill="FFFFFF"/>
        </w:rPr>
        <w:t xml:space="preserve">Dellink, and </w:t>
      </w:r>
      <w:r w:rsidR="00AE6C65" w:rsidRPr="001C3EDC">
        <w:rPr>
          <w:rFonts w:cs="Times New Roman"/>
          <w:color w:val="000000" w:themeColor="text1"/>
          <w:szCs w:val="24"/>
          <w:shd w:val="clear" w:color="auto" w:fill="FFFFFF"/>
        </w:rPr>
        <w:t xml:space="preserve">R. S. </w:t>
      </w:r>
      <w:r w:rsidR="00FF5EE3" w:rsidRPr="001C3EDC">
        <w:rPr>
          <w:rFonts w:cs="Times New Roman"/>
          <w:color w:val="000000" w:themeColor="text1"/>
          <w:szCs w:val="24"/>
          <w:shd w:val="clear" w:color="auto" w:fill="FFFFFF"/>
        </w:rPr>
        <w:t>Tol</w:t>
      </w:r>
      <w:r w:rsidR="00AE6C65" w:rsidRPr="001C3EDC">
        <w:rPr>
          <w:rFonts w:cs="Times New Roman"/>
          <w:color w:val="000000" w:themeColor="text1"/>
          <w:szCs w:val="24"/>
          <w:shd w:val="clear" w:color="auto" w:fill="FFFFFF"/>
        </w:rPr>
        <w:t>.</w:t>
      </w:r>
      <w:r w:rsidR="00FF5EE3" w:rsidRPr="001C3EDC">
        <w:rPr>
          <w:rFonts w:cs="Times New Roman"/>
          <w:color w:val="000000" w:themeColor="text1"/>
          <w:szCs w:val="24"/>
          <w:shd w:val="clear" w:color="auto" w:fill="FFFFFF"/>
        </w:rPr>
        <w:t xml:space="preserve"> 2009. </w:t>
      </w:r>
      <w:r w:rsidR="00AE6C65" w:rsidRPr="001C3EDC">
        <w:rPr>
          <w:rFonts w:cs="Times New Roman"/>
          <w:color w:val="000000" w:themeColor="text1"/>
          <w:szCs w:val="24"/>
          <w:shd w:val="clear" w:color="auto" w:fill="FFFFFF"/>
        </w:rPr>
        <w:t>“</w:t>
      </w:r>
      <w:r w:rsidR="00FF5EE3" w:rsidRPr="001C3EDC">
        <w:rPr>
          <w:rFonts w:cs="Times New Roman"/>
          <w:color w:val="000000" w:themeColor="text1"/>
          <w:szCs w:val="24"/>
          <w:shd w:val="clear" w:color="auto" w:fill="FFFFFF"/>
        </w:rPr>
        <w:t xml:space="preserve">AD-DICE: </w:t>
      </w:r>
      <w:r w:rsidR="00AE6C65" w:rsidRPr="001C3EDC">
        <w:rPr>
          <w:rFonts w:cs="Times New Roman"/>
          <w:color w:val="000000" w:themeColor="text1"/>
          <w:szCs w:val="24"/>
          <w:shd w:val="clear" w:color="auto" w:fill="FFFFFF"/>
        </w:rPr>
        <w:t>A</w:t>
      </w:r>
      <w:r w:rsidR="00FF5EE3" w:rsidRPr="001C3EDC">
        <w:rPr>
          <w:rFonts w:cs="Times New Roman"/>
          <w:color w:val="000000" w:themeColor="text1"/>
          <w:szCs w:val="24"/>
          <w:shd w:val="clear" w:color="auto" w:fill="FFFFFF"/>
        </w:rPr>
        <w:t xml:space="preserve">n </w:t>
      </w:r>
      <w:r w:rsidR="00AE6C65" w:rsidRPr="001C3EDC">
        <w:rPr>
          <w:rFonts w:cs="Times New Roman"/>
          <w:color w:val="000000" w:themeColor="text1"/>
          <w:szCs w:val="24"/>
          <w:shd w:val="clear" w:color="auto" w:fill="FFFFFF"/>
        </w:rPr>
        <w:t>I</w:t>
      </w:r>
      <w:r w:rsidR="00FF5EE3" w:rsidRPr="001C3EDC">
        <w:rPr>
          <w:rFonts w:cs="Times New Roman"/>
          <w:color w:val="000000" w:themeColor="text1"/>
          <w:szCs w:val="24"/>
          <w:shd w:val="clear" w:color="auto" w:fill="FFFFFF"/>
        </w:rPr>
        <w:t xml:space="preserve">mplementation of </w:t>
      </w:r>
      <w:r w:rsidR="00AE6C65" w:rsidRPr="001C3EDC">
        <w:rPr>
          <w:rFonts w:cs="Times New Roman"/>
          <w:color w:val="000000" w:themeColor="text1"/>
          <w:szCs w:val="24"/>
          <w:shd w:val="clear" w:color="auto" w:fill="FFFFFF"/>
        </w:rPr>
        <w:t>A</w:t>
      </w:r>
      <w:r w:rsidR="00FF5EE3" w:rsidRPr="001C3EDC">
        <w:rPr>
          <w:rFonts w:cs="Times New Roman"/>
          <w:color w:val="000000" w:themeColor="text1"/>
          <w:szCs w:val="24"/>
          <w:shd w:val="clear" w:color="auto" w:fill="FFFFFF"/>
        </w:rPr>
        <w:t xml:space="preserve">daptation in the DICE </w:t>
      </w:r>
      <w:r w:rsidR="00AE6C65" w:rsidRPr="001C3EDC">
        <w:rPr>
          <w:rFonts w:cs="Times New Roman"/>
          <w:color w:val="000000" w:themeColor="text1"/>
          <w:szCs w:val="24"/>
          <w:shd w:val="clear" w:color="auto" w:fill="FFFFFF"/>
        </w:rPr>
        <w:t>M</w:t>
      </w:r>
      <w:r w:rsidR="00FF5EE3" w:rsidRPr="001C3EDC">
        <w:rPr>
          <w:rFonts w:cs="Times New Roman"/>
          <w:color w:val="000000" w:themeColor="text1"/>
          <w:szCs w:val="24"/>
          <w:shd w:val="clear" w:color="auto" w:fill="FFFFFF"/>
        </w:rPr>
        <w:t>odel.</w:t>
      </w:r>
      <w:r w:rsidR="00AE6C65" w:rsidRPr="001C3EDC">
        <w:rPr>
          <w:rFonts w:cs="Times New Roman"/>
          <w:color w:val="000000" w:themeColor="text1"/>
          <w:szCs w:val="24"/>
          <w:shd w:val="clear" w:color="auto" w:fill="FFFFFF"/>
        </w:rPr>
        <w:t>”</w:t>
      </w:r>
      <w:r w:rsidR="00632EF9" w:rsidRPr="001C3EDC">
        <w:rPr>
          <w:rFonts w:cs="Times New Roman"/>
          <w:color w:val="000000" w:themeColor="text1"/>
          <w:szCs w:val="24"/>
          <w:shd w:val="clear" w:color="auto" w:fill="FFFFFF"/>
        </w:rPr>
        <w:t xml:space="preserve"> </w:t>
      </w:r>
      <w:r w:rsidR="00FF5EE3" w:rsidRPr="001C3EDC">
        <w:rPr>
          <w:rFonts w:cs="Times New Roman"/>
          <w:i/>
          <w:iCs/>
          <w:color w:val="000000" w:themeColor="text1"/>
          <w:szCs w:val="24"/>
          <w:shd w:val="clear" w:color="auto" w:fill="FFFFFF"/>
        </w:rPr>
        <w:t>Climatic Change</w:t>
      </w:r>
      <w:r w:rsidR="00AE6C65" w:rsidRPr="001C3EDC">
        <w:rPr>
          <w:rFonts w:cs="Times New Roman"/>
          <w:color w:val="000000" w:themeColor="text1"/>
          <w:szCs w:val="24"/>
          <w:shd w:val="clear" w:color="auto" w:fill="FFFFFF"/>
        </w:rPr>
        <w:t xml:space="preserve"> </w:t>
      </w:r>
      <w:r w:rsidR="00FF5EE3" w:rsidRPr="001C3EDC">
        <w:rPr>
          <w:rFonts w:cs="Times New Roman"/>
          <w:iCs/>
          <w:color w:val="000000" w:themeColor="text1"/>
          <w:szCs w:val="24"/>
          <w:shd w:val="clear" w:color="auto" w:fill="FFFFFF"/>
        </w:rPr>
        <w:t>95</w:t>
      </w:r>
      <w:r w:rsidR="00AE6C65" w:rsidRPr="001C3EDC">
        <w:rPr>
          <w:rFonts w:cs="Times New Roman"/>
          <w:color w:val="000000" w:themeColor="text1"/>
          <w:szCs w:val="24"/>
          <w:shd w:val="clear" w:color="auto" w:fill="FFFFFF"/>
        </w:rPr>
        <w:t xml:space="preserve"> </w:t>
      </w:r>
      <w:r w:rsidR="00FF5EE3" w:rsidRPr="001C3EDC">
        <w:rPr>
          <w:rFonts w:cs="Times New Roman"/>
          <w:color w:val="000000" w:themeColor="text1"/>
          <w:szCs w:val="24"/>
          <w:shd w:val="clear" w:color="auto" w:fill="FFFFFF"/>
        </w:rPr>
        <w:t>(1</w:t>
      </w:r>
      <w:r w:rsidR="00AE6C65" w:rsidRPr="001C3EDC">
        <w:rPr>
          <w:rFonts w:cs="Times New Roman"/>
          <w:color w:val="000000" w:themeColor="text1"/>
          <w:szCs w:val="24"/>
          <w:shd w:val="clear" w:color="auto" w:fill="FFFFFF"/>
        </w:rPr>
        <w:t>–</w:t>
      </w:r>
      <w:r w:rsidR="00FF5EE3" w:rsidRPr="001C3EDC">
        <w:rPr>
          <w:rFonts w:cs="Times New Roman"/>
          <w:color w:val="000000" w:themeColor="text1"/>
          <w:szCs w:val="24"/>
          <w:shd w:val="clear" w:color="auto" w:fill="FFFFFF"/>
        </w:rPr>
        <w:t>2)</w:t>
      </w:r>
      <w:r w:rsidR="00AE6C65" w:rsidRPr="001C3EDC">
        <w:rPr>
          <w:rFonts w:cs="Times New Roman"/>
          <w:color w:val="000000" w:themeColor="text1"/>
          <w:szCs w:val="24"/>
          <w:shd w:val="clear" w:color="auto" w:fill="FFFFFF"/>
        </w:rPr>
        <w:t>:</w:t>
      </w:r>
      <w:r w:rsidR="007E56C0" w:rsidRPr="001C3EDC">
        <w:rPr>
          <w:rFonts w:cs="Times New Roman"/>
          <w:color w:val="000000" w:themeColor="text1"/>
          <w:szCs w:val="24"/>
          <w:shd w:val="clear" w:color="auto" w:fill="FFFFFF"/>
        </w:rPr>
        <w:t xml:space="preserve"> </w:t>
      </w:r>
      <w:r w:rsidR="00FF5EE3" w:rsidRPr="001C3EDC">
        <w:rPr>
          <w:rFonts w:cs="Times New Roman"/>
          <w:color w:val="000000" w:themeColor="text1"/>
          <w:szCs w:val="24"/>
          <w:shd w:val="clear" w:color="auto" w:fill="FFFFFF"/>
        </w:rPr>
        <w:t>63</w:t>
      </w:r>
      <w:r w:rsidR="00AE6C65" w:rsidRPr="001C3EDC">
        <w:rPr>
          <w:rFonts w:cs="Times New Roman"/>
          <w:color w:val="000000" w:themeColor="text1"/>
          <w:szCs w:val="24"/>
          <w:shd w:val="clear" w:color="auto" w:fill="FFFFFF"/>
        </w:rPr>
        <w:t>–</w:t>
      </w:r>
      <w:r w:rsidR="00FF5EE3" w:rsidRPr="001C3EDC">
        <w:rPr>
          <w:rFonts w:cs="Times New Roman"/>
          <w:color w:val="000000" w:themeColor="text1"/>
          <w:szCs w:val="24"/>
          <w:shd w:val="clear" w:color="auto" w:fill="FFFFFF"/>
        </w:rPr>
        <w:t>81.</w:t>
      </w:r>
    </w:p>
    <w:p w14:paraId="4D71B1E4" w14:textId="2AF96C7E" w:rsidR="000830BF" w:rsidRPr="001C3EDC" w:rsidRDefault="000830BF" w:rsidP="00C25D49">
      <w:pPr>
        <w:spacing w:after="120" w:line="276" w:lineRule="auto"/>
        <w:ind w:left="720" w:hanging="720"/>
        <w:rPr>
          <w:rFonts w:eastAsia="Calibri" w:cs="Times New Roman"/>
          <w:szCs w:val="24"/>
        </w:rPr>
      </w:pPr>
      <w:r w:rsidRPr="001C3EDC">
        <w:rPr>
          <w:rFonts w:eastAsia="Calibri" w:cs="Times New Roman"/>
          <w:szCs w:val="24"/>
        </w:rPr>
        <w:t>Hertel</w:t>
      </w:r>
      <w:r w:rsidR="00F773FE" w:rsidRPr="001C3EDC">
        <w:rPr>
          <w:rFonts w:eastAsia="Calibri" w:cs="Times New Roman"/>
          <w:szCs w:val="24"/>
        </w:rPr>
        <w:t>,</w:t>
      </w:r>
      <w:r w:rsidRPr="001C3EDC">
        <w:rPr>
          <w:rFonts w:eastAsia="Calibri" w:cs="Times New Roman"/>
          <w:szCs w:val="24"/>
        </w:rPr>
        <w:t xml:space="preserve"> T. 1997</w:t>
      </w:r>
      <w:r w:rsidR="00F773FE" w:rsidRPr="001C3EDC">
        <w:rPr>
          <w:rFonts w:eastAsia="Calibri" w:cs="Times New Roman"/>
          <w:szCs w:val="24"/>
        </w:rPr>
        <w:t>.</w:t>
      </w:r>
      <w:r w:rsidRPr="001C3EDC">
        <w:rPr>
          <w:rFonts w:eastAsia="Calibri" w:cs="Times New Roman"/>
          <w:szCs w:val="24"/>
        </w:rPr>
        <w:t xml:space="preserve"> </w:t>
      </w:r>
      <w:r w:rsidRPr="001C3EDC">
        <w:rPr>
          <w:rFonts w:eastAsia="Calibri" w:cs="Times New Roman"/>
          <w:i/>
          <w:szCs w:val="24"/>
        </w:rPr>
        <w:t>Global Trade Analysis, Modeling and Applications</w:t>
      </w:r>
      <w:r w:rsidR="00F773FE" w:rsidRPr="001C3EDC">
        <w:rPr>
          <w:rFonts w:eastAsia="Calibri" w:cs="Times New Roman"/>
          <w:i/>
          <w:szCs w:val="24"/>
        </w:rPr>
        <w:t>.</w:t>
      </w:r>
      <w:r w:rsidRPr="001C3EDC">
        <w:rPr>
          <w:rFonts w:eastAsia="Calibri" w:cs="Times New Roman"/>
          <w:szCs w:val="24"/>
        </w:rPr>
        <w:t xml:space="preserve"> </w:t>
      </w:r>
      <w:r w:rsidR="00F773FE" w:rsidRPr="001C3EDC">
        <w:rPr>
          <w:rFonts w:eastAsia="Calibri" w:cs="Times New Roman"/>
          <w:szCs w:val="24"/>
        </w:rPr>
        <w:t xml:space="preserve">Cambridge: </w:t>
      </w:r>
      <w:r w:rsidRPr="001C3EDC">
        <w:rPr>
          <w:rFonts w:eastAsia="Calibri" w:cs="Times New Roman"/>
          <w:szCs w:val="24"/>
        </w:rPr>
        <w:t xml:space="preserve">Cambridge University Press. </w:t>
      </w:r>
      <w:hyperlink r:id="rId64" w:history="1">
        <w:r w:rsidR="00A87D50" w:rsidRPr="001C3EDC">
          <w:rPr>
            <w:rStyle w:val="Hyperlink"/>
            <w:rFonts w:eastAsia="Calibri" w:cs="Times New Roman"/>
            <w:sz w:val="24"/>
            <w:szCs w:val="24"/>
          </w:rPr>
          <w:t>https://www.gtap.agecon.purdue.edu/resources/res_display.asp?RecordID=4840</w:t>
        </w:r>
      </w:hyperlink>
      <w:r w:rsidR="00CB62AC" w:rsidRPr="001C3EDC">
        <w:rPr>
          <w:rFonts w:eastAsia="Calibri" w:cs="Times New Roman"/>
          <w:szCs w:val="24"/>
        </w:rPr>
        <w:t xml:space="preserve"> </w:t>
      </w:r>
    </w:p>
    <w:p w14:paraId="6CD65022" w14:textId="58C33865" w:rsidR="00FF5EE3" w:rsidRPr="001C3EDC" w:rsidRDefault="00FF5EE3" w:rsidP="00C25D49">
      <w:pPr>
        <w:autoSpaceDE w:val="0"/>
        <w:autoSpaceDN w:val="0"/>
        <w:adjustRightInd w:val="0"/>
        <w:spacing w:after="120" w:line="276" w:lineRule="auto"/>
        <w:ind w:left="720" w:hanging="720"/>
        <w:rPr>
          <w:rFonts w:cs="Times New Roman"/>
          <w:szCs w:val="24"/>
        </w:rPr>
      </w:pPr>
      <w:r w:rsidRPr="001C3EDC">
        <w:rPr>
          <w:rFonts w:cs="Times New Roman"/>
          <w:szCs w:val="24"/>
        </w:rPr>
        <w:t>IPCC</w:t>
      </w:r>
      <w:r w:rsidR="000360B6" w:rsidRPr="001C3EDC">
        <w:rPr>
          <w:rFonts w:cs="Times New Roman"/>
          <w:szCs w:val="24"/>
        </w:rPr>
        <w:t xml:space="preserve"> (</w:t>
      </w:r>
      <w:r w:rsidR="000360B6" w:rsidRPr="001C3EDC">
        <w:t>Intergovernmental Panel on Climate Change)</w:t>
      </w:r>
      <w:r w:rsidR="00F773FE" w:rsidRPr="001C3EDC">
        <w:rPr>
          <w:rFonts w:cs="Times New Roman"/>
          <w:szCs w:val="24"/>
        </w:rPr>
        <w:t>.</w:t>
      </w:r>
      <w:r w:rsidRPr="001C3EDC">
        <w:rPr>
          <w:rFonts w:cs="Times New Roman"/>
          <w:szCs w:val="24"/>
        </w:rPr>
        <w:t xml:space="preserve"> 2007. </w:t>
      </w:r>
      <w:r w:rsidR="00CE7150" w:rsidRPr="001C3EDC">
        <w:rPr>
          <w:rFonts w:cs="Times New Roman"/>
          <w:szCs w:val="24"/>
        </w:rPr>
        <w:t>“</w:t>
      </w:r>
      <w:r w:rsidRPr="001C3EDC">
        <w:rPr>
          <w:rFonts w:cs="Times New Roman"/>
          <w:szCs w:val="24"/>
        </w:rPr>
        <w:t>Climate Change 2007: The Physical Science Basis.</w:t>
      </w:r>
      <w:r w:rsidR="00CE7150" w:rsidRPr="001C3EDC">
        <w:rPr>
          <w:rFonts w:cs="Times New Roman"/>
          <w:szCs w:val="24"/>
        </w:rPr>
        <w:t>”</w:t>
      </w:r>
      <w:r w:rsidRPr="001C3EDC">
        <w:rPr>
          <w:rFonts w:cs="Times New Roman"/>
          <w:szCs w:val="24"/>
        </w:rPr>
        <w:t xml:space="preserve"> </w:t>
      </w:r>
      <w:r w:rsidR="00CE7150" w:rsidRPr="001C3EDC">
        <w:rPr>
          <w:rFonts w:cs="Times New Roman"/>
          <w:szCs w:val="24"/>
        </w:rPr>
        <w:t xml:space="preserve">In </w:t>
      </w:r>
      <w:r w:rsidRPr="001C3EDC">
        <w:rPr>
          <w:rFonts w:cs="Times New Roman"/>
          <w:i/>
          <w:szCs w:val="24"/>
        </w:rPr>
        <w:t>Contribution of Working Group I to the Fourth Assessment Report of the Intergovernmental Panel on Climate Change</w:t>
      </w:r>
      <w:r w:rsidR="00C94D37" w:rsidRPr="001C3EDC">
        <w:rPr>
          <w:rFonts w:cs="Times New Roman"/>
          <w:i/>
          <w:szCs w:val="24"/>
        </w:rPr>
        <w:t xml:space="preserve">, </w:t>
      </w:r>
      <w:r w:rsidR="00C94D37" w:rsidRPr="001C3EDC">
        <w:rPr>
          <w:rFonts w:cs="Times New Roman"/>
          <w:szCs w:val="24"/>
        </w:rPr>
        <w:t xml:space="preserve">edited by </w:t>
      </w:r>
      <w:r w:rsidR="008419C4" w:rsidRPr="001C3EDC">
        <w:rPr>
          <w:rFonts w:cs="Times New Roman"/>
          <w:szCs w:val="24"/>
        </w:rPr>
        <w:t>S.</w:t>
      </w:r>
      <w:r w:rsidR="00CB62AC" w:rsidRPr="001C3EDC">
        <w:rPr>
          <w:rFonts w:cs="Times New Roman"/>
          <w:szCs w:val="24"/>
        </w:rPr>
        <w:t xml:space="preserve"> </w:t>
      </w:r>
      <w:r w:rsidRPr="001C3EDC">
        <w:rPr>
          <w:rFonts w:cs="Times New Roman"/>
          <w:szCs w:val="24"/>
        </w:rPr>
        <w:t>Solomon, D. Qin, M. Manning, Z. Chen, M. Marquis, K.</w:t>
      </w:r>
      <w:r w:rsidR="008419C4" w:rsidRPr="001C3EDC">
        <w:rPr>
          <w:rFonts w:cs="Times New Roman"/>
          <w:szCs w:val="24"/>
        </w:rPr>
        <w:t xml:space="preserve"> </w:t>
      </w:r>
      <w:r w:rsidRPr="001C3EDC">
        <w:rPr>
          <w:rFonts w:cs="Times New Roman"/>
          <w:szCs w:val="24"/>
        </w:rPr>
        <w:t>B. Averyt, M. Tignor</w:t>
      </w:r>
      <w:r w:rsidR="008419C4" w:rsidRPr="001C3EDC">
        <w:rPr>
          <w:rFonts w:cs="Times New Roman"/>
          <w:szCs w:val="24"/>
        </w:rPr>
        <w:t>,</w:t>
      </w:r>
      <w:r w:rsidRPr="001C3EDC">
        <w:rPr>
          <w:rFonts w:cs="Times New Roman"/>
          <w:szCs w:val="24"/>
        </w:rPr>
        <w:t xml:space="preserve"> and H.</w:t>
      </w:r>
      <w:r w:rsidR="008419C4" w:rsidRPr="001C3EDC">
        <w:rPr>
          <w:rFonts w:cs="Times New Roman"/>
          <w:szCs w:val="24"/>
        </w:rPr>
        <w:t xml:space="preserve"> </w:t>
      </w:r>
      <w:r w:rsidRPr="001C3EDC">
        <w:rPr>
          <w:rFonts w:cs="Times New Roman"/>
          <w:szCs w:val="24"/>
        </w:rPr>
        <w:t xml:space="preserve">L. Miller. </w:t>
      </w:r>
      <w:r w:rsidR="008419C4" w:rsidRPr="001C3EDC">
        <w:rPr>
          <w:rFonts w:cs="Times New Roman"/>
          <w:szCs w:val="24"/>
        </w:rPr>
        <w:t xml:space="preserve">Cambridge, U.K. and New York, NY, USA: </w:t>
      </w:r>
      <w:r w:rsidRPr="001C3EDC">
        <w:rPr>
          <w:rFonts w:cs="Times New Roman"/>
          <w:szCs w:val="24"/>
        </w:rPr>
        <w:t>Cambridge University Press</w:t>
      </w:r>
      <w:r w:rsidR="007E56C0" w:rsidRPr="001C3EDC">
        <w:rPr>
          <w:rFonts w:cs="Times New Roman"/>
          <w:szCs w:val="24"/>
        </w:rPr>
        <w:t>.</w:t>
      </w:r>
      <w:r w:rsidRPr="001C3EDC">
        <w:rPr>
          <w:rFonts w:cs="Times New Roman"/>
          <w:szCs w:val="24"/>
        </w:rPr>
        <w:t xml:space="preserve"> </w:t>
      </w:r>
    </w:p>
    <w:p w14:paraId="75394E27" w14:textId="218BEB0F" w:rsidR="00933969" w:rsidRPr="001C3EDC" w:rsidRDefault="00933969" w:rsidP="00C25D49">
      <w:pPr>
        <w:autoSpaceDE w:val="0"/>
        <w:autoSpaceDN w:val="0"/>
        <w:adjustRightInd w:val="0"/>
        <w:spacing w:after="120" w:line="276" w:lineRule="auto"/>
        <w:ind w:left="720" w:hanging="720"/>
        <w:rPr>
          <w:rFonts w:cs="Times New Roman"/>
          <w:szCs w:val="24"/>
        </w:rPr>
      </w:pPr>
      <w:r w:rsidRPr="001C3EDC">
        <w:rPr>
          <w:rFonts w:cs="Times New Roman"/>
          <w:szCs w:val="24"/>
        </w:rPr>
        <w:t>IPCC (</w:t>
      </w:r>
      <w:r w:rsidRPr="001C3EDC">
        <w:t>Intergovernmental Panel on Climate Change)</w:t>
      </w:r>
      <w:r w:rsidRPr="001C3EDC">
        <w:rPr>
          <w:rFonts w:cs="Times New Roman"/>
          <w:szCs w:val="24"/>
        </w:rPr>
        <w:t xml:space="preserve">. 2013. “Climate Change 2013: The Physical Science Basis.” In </w:t>
      </w:r>
      <w:r w:rsidRPr="001C3EDC">
        <w:rPr>
          <w:rFonts w:cs="Times New Roman"/>
          <w:i/>
          <w:szCs w:val="24"/>
        </w:rPr>
        <w:t xml:space="preserve">Contribution of Working Group I to the Fifth Assessment Report of the Intergovernmental Panel on Climate Change, </w:t>
      </w:r>
      <w:r w:rsidRPr="001C3EDC">
        <w:rPr>
          <w:rFonts w:cs="Times New Roman"/>
          <w:szCs w:val="24"/>
        </w:rPr>
        <w:t>edited by T. Stocker, D. Qin, G.-K.Plattner, S. Allen, J. Boschung, A. Nauels, Y. Xia, V. Bex, Migley P. Bex., and Z. M. Tignor. Cambridge, U.K. and New York, NY, USA: Cambridge University Press.</w:t>
      </w:r>
    </w:p>
    <w:p w14:paraId="3BAE8EF2" w14:textId="3974A8E8" w:rsidR="00FF5EE3" w:rsidRPr="001C3EDC" w:rsidRDefault="00FF5EE3" w:rsidP="00C25D49">
      <w:pPr>
        <w:spacing w:after="120" w:line="276" w:lineRule="auto"/>
        <w:ind w:left="720" w:hanging="720"/>
        <w:rPr>
          <w:rFonts w:eastAsia="Calibri" w:cs="Times New Roman"/>
          <w:szCs w:val="24"/>
        </w:rPr>
      </w:pPr>
      <w:r w:rsidRPr="001C3EDC">
        <w:rPr>
          <w:rFonts w:eastAsia="Calibri" w:cs="Times New Roman"/>
          <w:szCs w:val="24"/>
        </w:rPr>
        <w:t>Klein, R.</w:t>
      </w:r>
      <w:r w:rsidR="00491F2E" w:rsidRPr="001C3EDC">
        <w:rPr>
          <w:rFonts w:eastAsia="Calibri" w:cs="Times New Roman"/>
          <w:szCs w:val="24"/>
        </w:rPr>
        <w:t xml:space="preserve"> </w:t>
      </w:r>
      <w:r w:rsidRPr="001C3EDC">
        <w:rPr>
          <w:rFonts w:eastAsia="Calibri" w:cs="Times New Roman"/>
          <w:szCs w:val="24"/>
        </w:rPr>
        <w:t>J.</w:t>
      </w:r>
      <w:r w:rsidR="00491F2E" w:rsidRPr="001C3EDC">
        <w:rPr>
          <w:rFonts w:eastAsia="Calibri" w:cs="Times New Roman"/>
          <w:szCs w:val="24"/>
        </w:rPr>
        <w:t xml:space="preserve"> </w:t>
      </w:r>
      <w:r w:rsidRPr="001C3EDC">
        <w:rPr>
          <w:rFonts w:eastAsia="Calibri" w:cs="Times New Roman"/>
          <w:szCs w:val="24"/>
        </w:rPr>
        <w:t>T., G.</w:t>
      </w:r>
      <w:r w:rsidR="00491F2E" w:rsidRPr="001C3EDC">
        <w:rPr>
          <w:rFonts w:eastAsia="Calibri" w:cs="Times New Roman"/>
          <w:szCs w:val="24"/>
        </w:rPr>
        <w:t xml:space="preserve"> </w:t>
      </w:r>
      <w:r w:rsidRPr="001C3EDC">
        <w:rPr>
          <w:rFonts w:eastAsia="Calibri" w:cs="Times New Roman"/>
          <w:szCs w:val="24"/>
        </w:rPr>
        <w:t>F. Midgley, B.</w:t>
      </w:r>
      <w:r w:rsidR="00491F2E" w:rsidRPr="001C3EDC">
        <w:rPr>
          <w:rFonts w:eastAsia="Calibri" w:cs="Times New Roman"/>
          <w:szCs w:val="24"/>
        </w:rPr>
        <w:t xml:space="preserve"> </w:t>
      </w:r>
      <w:r w:rsidRPr="001C3EDC">
        <w:rPr>
          <w:rFonts w:eastAsia="Calibri" w:cs="Times New Roman"/>
          <w:szCs w:val="24"/>
        </w:rPr>
        <w:t>L. Preston, M. Alam, F.</w:t>
      </w:r>
      <w:r w:rsidR="00491F2E" w:rsidRPr="001C3EDC">
        <w:rPr>
          <w:rFonts w:eastAsia="Calibri" w:cs="Times New Roman"/>
          <w:szCs w:val="24"/>
        </w:rPr>
        <w:t xml:space="preserve"> </w:t>
      </w:r>
      <w:r w:rsidRPr="001C3EDC">
        <w:rPr>
          <w:rFonts w:eastAsia="Calibri" w:cs="Times New Roman"/>
          <w:szCs w:val="24"/>
        </w:rPr>
        <w:t>G.</w:t>
      </w:r>
      <w:r w:rsidR="00491F2E" w:rsidRPr="001C3EDC">
        <w:rPr>
          <w:rFonts w:eastAsia="Calibri" w:cs="Times New Roman"/>
          <w:szCs w:val="24"/>
        </w:rPr>
        <w:t xml:space="preserve"> </w:t>
      </w:r>
      <w:r w:rsidRPr="001C3EDC">
        <w:rPr>
          <w:rFonts w:eastAsia="Calibri" w:cs="Times New Roman"/>
          <w:szCs w:val="24"/>
        </w:rPr>
        <w:t>H. Berkhout, K. Dow, and M.</w:t>
      </w:r>
      <w:r w:rsidR="00491F2E" w:rsidRPr="001C3EDC">
        <w:rPr>
          <w:rFonts w:eastAsia="Calibri" w:cs="Times New Roman"/>
          <w:szCs w:val="24"/>
        </w:rPr>
        <w:t xml:space="preserve"> </w:t>
      </w:r>
      <w:r w:rsidRPr="001C3EDC">
        <w:rPr>
          <w:rFonts w:eastAsia="Calibri" w:cs="Times New Roman"/>
          <w:szCs w:val="24"/>
        </w:rPr>
        <w:t>R. Shaw</w:t>
      </w:r>
      <w:r w:rsidR="00491F2E" w:rsidRPr="001C3EDC">
        <w:rPr>
          <w:rFonts w:eastAsia="Calibri" w:cs="Times New Roman"/>
          <w:szCs w:val="24"/>
        </w:rPr>
        <w:t>.</w:t>
      </w:r>
      <w:r w:rsidRPr="001C3EDC">
        <w:rPr>
          <w:rFonts w:eastAsia="Calibri" w:cs="Times New Roman"/>
          <w:szCs w:val="24"/>
        </w:rPr>
        <w:t xml:space="preserve"> 2014</w:t>
      </w:r>
      <w:r w:rsidR="00491F2E" w:rsidRPr="001C3EDC">
        <w:rPr>
          <w:rFonts w:eastAsia="Calibri" w:cs="Times New Roman"/>
          <w:szCs w:val="24"/>
        </w:rPr>
        <w:t>.</w:t>
      </w:r>
      <w:r w:rsidRPr="001C3EDC">
        <w:rPr>
          <w:rFonts w:eastAsia="Calibri" w:cs="Times New Roman"/>
          <w:szCs w:val="24"/>
        </w:rPr>
        <w:t xml:space="preserve"> </w:t>
      </w:r>
      <w:r w:rsidR="00491F2E" w:rsidRPr="001C3EDC">
        <w:rPr>
          <w:rFonts w:eastAsia="Calibri" w:cs="Times New Roman"/>
          <w:szCs w:val="24"/>
        </w:rPr>
        <w:t>“</w:t>
      </w:r>
      <w:r w:rsidRPr="001C3EDC">
        <w:rPr>
          <w:rFonts w:eastAsia="Calibri" w:cs="Times New Roman"/>
          <w:szCs w:val="24"/>
        </w:rPr>
        <w:t xml:space="preserve">Adaptation </w:t>
      </w:r>
      <w:r w:rsidR="00491F2E" w:rsidRPr="001C3EDC">
        <w:rPr>
          <w:rFonts w:eastAsia="Calibri" w:cs="Times New Roman"/>
          <w:szCs w:val="24"/>
        </w:rPr>
        <w:t>O</w:t>
      </w:r>
      <w:r w:rsidRPr="001C3EDC">
        <w:rPr>
          <w:rFonts w:eastAsia="Calibri" w:cs="Times New Roman"/>
          <w:szCs w:val="24"/>
        </w:rPr>
        <w:t xml:space="preserve">pportunities, </w:t>
      </w:r>
      <w:r w:rsidR="00491F2E" w:rsidRPr="001C3EDC">
        <w:rPr>
          <w:rFonts w:eastAsia="Calibri" w:cs="Times New Roman"/>
          <w:szCs w:val="24"/>
        </w:rPr>
        <w:t>C</w:t>
      </w:r>
      <w:r w:rsidRPr="001C3EDC">
        <w:rPr>
          <w:rFonts w:eastAsia="Calibri" w:cs="Times New Roman"/>
          <w:szCs w:val="24"/>
        </w:rPr>
        <w:t xml:space="preserve">onstraints, and </w:t>
      </w:r>
      <w:r w:rsidR="00491F2E" w:rsidRPr="001C3EDC">
        <w:rPr>
          <w:rFonts w:eastAsia="Calibri" w:cs="Times New Roman"/>
          <w:szCs w:val="24"/>
        </w:rPr>
        <w:t>L</w:t>
      </w:r>
      <w:r w:rsidRPr="001C3EDC">
        <w:rPr>
          <w:rFonts w:eastAsia="Calibri" w:cs="Times New Roman"/>
          <w:szCs w:val="24"/>
        </w:rPr>
        <w:t>imits.</w:t>
      </w:r>
      <w:r w:rsidR="00491F2E" w:rsidRPr="001C3EDC">
        <w:rPr>
          <w:rFonts w:eastAsia="Calibri" w:cs="Times New Roman"/>
          <w:szCs w:val="24"/>
        </w:rPr>
        <w:t>”</w:t>
      </w:r>
      <w:r w:rsidRPr="001C3EDC">
        <w:rPr>
          <w:rFonts w:eastAsia="Calibri" w:cs="Times New Roman"/>
          <w:szCs w:val="24"/>
        </w:rPr>
        <w:t xml:space="preserve"> In </w:t>
      </w:r>
      <w:r w:rsidRPr="001C3EDC">
        <w:rPr>
          <w:rFonts w:eastAsia="Calibri" w:cs="Times New Roman"/>
          <w:i/>
          <w:szCs w:val="24"/>
        </w:rPr>
        <w:t>Climate Change 2014: Impacts, Adaptation, and Vulnerability. Part A: Global and Sectoral Aspects. Contribution of Working Group II to the Fifth Assessment Report of the Intergovernmental Panel on Climate Change</w:t>
      </w:r>
      <w:r w:rsidR="00304821" w:rsidRPr="001C3EDC">
        <w:rPr>
          <w:rFonts w:eastAsia="Calibri" w:cs="Times New Roman"/>
          <w:szCs w:val="24"/>
        </w:rPr>
        <w:t xml:space="preserve">, edited by </w:t>
      </w:r>
      <w:r w:rsidR="00017621" w:rsidRPr="001C3EDC">
        <w:rPr>
          <w:rFonts w:eastAsia="Calibri" w:cs="Times New Roman"/>
          <w:szCs w:val="24"/>
        </w:rPr>
        <w:t xml:space="preserve">C. B. </w:t>
      </w:r>
      <w:r w:rsidRPr="001C3EDC">
        <w:rPr>
          <w:rFonts w:eastAsia="Calibri" w:cs="Times New Roman"/>
          <w:szCs w:val="24"/>
        </w:rPr>
        <w:t>Field, V.</w:t>
      </w:r>
      <w:r w:rsidR="00017621" w:rsidRPr="001C3EDC">
        <w:rPr>
          <w:rFonts w:eastAsia="Calibri" w:cs="Times New Roman"/>
          <w:szCs w:val="24"/>
        </w:rPr>
        <w:t xml:space="preserve"> </w:t>
      </w:r>
      <w:r w:rsidRPr="001C3EDC">
        <w:rPr>
          <w:rFonts w:eastAsia="Calibri" w:cs="Times New Roman"/>
          <w:szCs w:val="24"/>
        </w:rPr>
        <w:t>R. Barros, D.</w:t>
      </w:r>
      <w:r w:rsidR="00017621" w:rsidRPr="001C3EDC">
        <w:rPr>
          <w:rFonts w:eastAsia="Calibri" w:cs="Times New Roman"/>
          <w:szCs w:val="24"/>
        </w:rPr>
        <w:t xml:space="preserve"> </w:t>
      </w:r>
      <w:r w:rsidRPr="001C3EDC">
        <w:rPr>
          <w:rFonts w:eastAsia="Calibri" w:cs="Times New Roman"/>
          <w:szCs w:val="24"/>
        </w:rPr>
        <w:t>J. Dokken, K.</w:t>
      </w:r>
      <w:r w:rsidR="00017621" w:rsidRPr="001C3EDC">
        <w:rPr>
          <w:rFonts w:eastAsia="Calibri" w:cs="Times New Roman"/>
          <w:szCs w:val="24"/>
        </w:rPr>
        <w:t xml:space="preserve"> </w:t>
      </w:r>
      <w:r w:rsidRPr="001C3EDC">
        <w:rPr>
          <w:rFonts w:eastAsia="Calibri" w:cs="Times New Roman"/>
          <w:szCs w:val="24"/>
        </w:rPr>
        <w:t>J. Mach, M.</w:t>
      </w:r>
      <w:r w:rsidR="00017621" w:rsidRPr="001C3EDC">
        <w:rPr>
          <w:rFonts w:eastAsia="Calibri" w:cs="Times New Roman"/>
          <w:szCs w:val="24"/>
        </w:rPr>
        <w:t xml:space="preserve"> </w:t>
      </w:r>
      <w:r w:rsidRPr="001C3EDC">
        <w:rPr>
          <w:rFonts w:eastAsia="Calibri" w:cs="Times New Roman"/>
          <w:szCs w:val="24"/>
        </w:rPr>
        <w:t>D. Mastrandrea, T.</w:t>
      </w:r>
      <w:r w:rsidR="00017621" w:rsidRPr="001C3EDC">
        <w:rPr>
          <w:rFonts w:eastAsia="Calibri" w:cs="Times New Roman"/>
          <w:szCs w:val="24"/>
        </w:rPr>
        <w:t xml:space="preserve"> </w:t>
      </w:r>
      <w:r w:rsidRPr="001C3EDC">
        <w:rPr>
          <w:rFonts w:eastAsia="Calibri" w:cs="Times New Roman"/>
          <w:szCs w:val="24"/>
        </w:rPr>
        <w:t>E. Bilir, M. Chatterjee, K.</w:t>
      </w:r>
      <w:r w:rsidR="00017621" w:rsidRPr="001C3EDC">
        <w:rPr>
          <w:rFonts w:eastAsia="Calibri" w:cs="Times New Roman"/>
          <w:szCs w:val="24"/>
        </w:rPr>
        <w:t xml:space="preserve"> </w:t>
      </w:r>
      <w:r w:rsidRPr="001C3EDC">
        <w:rPr>
          <w:rFonts w:eastAsia="Calibri" w:cs="Times New Roman"/>
          <w:szCs w:val="24"/>
        </w:rPr>
        <w:t>L. Ebi, Y.</w:t>
      </w:r>
      <w:r w:rsidR="00017621" w:rsidRPr="001C3EDC">
        <w:rPr>
          <w:rFonts w:eastAsia="Calibri" w:cs="Times New Roman"/>
          <w:szCs w:val="24"/>
        </w:rPr>
        <w:t xml:space="preserve"> </w:t>
      </w:r>
      <w:r w:rsidRPr="001C3EDC">
        <w:rPr>
          <w:rFonts w:eastAsia="Calibri" w:cs="Times New Roman"/>
          <w:szCs w:val="24"/>
        </w:rPr>
        <w:t>O. Estrada, R.</w:t>
      </w:r>
      <w:r w:rsidR="00017621" w:rsidRPr="001C3EDC">
        <w:rPr>
          <w:rFonts w:eastAsia="Calibri" w:cs="Times New Roman"/>
          <w:szCs w:val="24"/>
        </w:rPr>
        <w:t xml:space="preserve"> </w:t>
      </w:r>
      <w:r w:rsidRPr="001C3EDC">
        <w:rPr>
          <w:rFonts w:eastAsia="Calibri" w:cs="Times New Roman"/>
          <w:szCs w:val="24"/>
        </w:rPr>
        <w:t>C. Genova, B. Girma, E.</w:t>
      </w:r>
      <w:r w:rsidR="00017621" w:rsidRPr="001C3EDC">
        <w:rPr>
          <w:rFonts w:eastAsia="Calibri" w:cs="Times New Roman"/>
          <w:szCs w:val="24"/>
        </w:rPr>
        <w:t xml:space="preserve"> </w:t>
      </w:r>
      <w:r w:rsidRPr="001C3EDC">
        <w:rPr>
          <w:rFonts w:eastAsia="Calibri" w:cs="Times New Roman"/>
          <w:szCs w:val="24"/>
        </w:rPr>
        <w:t>S. Kissel, A.</w:t>
      </w:r>
      <w:r w:rsidR="00017621" w:rsidRPr="001C3EDC">
        <w:rPr>
          <w:rFonts w:eastAsia="Calibri" w:cs="Times New Roman"/>
          <w:szCs w:val="24"/>
        </w:rPr>
        <w:t xml:space="preserve"> </w:t>
      </w:r>
      <w:r w:rsidRPr="001C3EDC">
        <w:rPr>
          <w:rFonts w:eastAsia="Calibri" w:cs="Times New Roman"/>
          <w:szCs w:val="24"/>
        </w:rPr>
        <w:t>N. Levy, S. MacCracken, P.</w:t>
      </w:r>
      <w:r w:rsidR="00017621" w:rsidRPr="001C3EDC">
        <w:rPr>
          <w:rFonts w:eastAsia="Calibri" w:cs="Times New Roman"/>
          <w:szCs w:val="24"/>
        </w:rPr>
        <w:t xml:space="preserve"> </w:t>
      </w:r>
      <w:r w:rsidRPr="001C3EDC">
        <w:rPr>
          <w:rFonts w:eastAsia="Calibri" w:cs="Times New Roman"/>
          <w:szCs w:val="24"/>
        </w:rPr>
        <w:t xml:space="preserve">R. </w:t>
      </w:r>
      <w:r w:rsidRPr="001C3EDC">
        <w:rPr>
          <w:rFonts w:eastAsia="Calibri" w:cs="Times New Roman"/>
          <w:szCs w:val="24"/>
        </w:rPr>
        <w:lastRenderedPageBreak/>
        <w:t>Mastrandrea, and L.</w:t>
      </w:r>
      <w:r w:rsidR="00017621" w:rsidRPr="001C3EDC">
        <w:rPr>
          <w:rFonts w:eastAsia="Calibri" w:cs="Times New Roman"/>
          <w:szCs w:val="24"/>
        </w:rPr>
        <w:t xml:space="preserve"> </w:t>
      </w:r>
      <w:r w:rsidRPr="001C3EDC">
        <w:rPr>
          <w:rFonts w:eastAsia="Calibri" w:cs="Times New Roman"/>
          <w:szCs w:val="24"/>
        </w:rPr>
        <w:t xml:space="preserve">L.White. </w:t>
      </w:r>
      <w:r w:rsidR="00017621" w:rsidRPr="001C3EDC">
        <w:rPr>
          <w:rFonts w:eastAsia="Calibri" w:cs="Times New Roman"/>
          <w:szCs w:val="24"/>
        </w:rPr>
        <w:t xml:space="preserve">Cambridge, U.K. and New York, NY, USA: </w:t>
      </w:r>
      <w:r w:rsidRPr="001C3EDC">
        <w:rPr>
          <w:rFonts w:eastAsia="Calibri" w:cs="Times New Roman"/>
          <w:szCs w:val="24"/>
        </w:rPr>
        <w:t>Cambridge University Press, 899</w:t>
      </w:r>
      <w:r w:rsidR="00017621" w:rsidRPr="001C3EDC">
        <w:rPr>
          <w:rFonts w:eastAsia="Calibri" w:cs="Times New Roman"/>
          <w:szCs w:val="24"/>
        </w:rPr>
        <w:t>–</w:t>
      </w:r>
      <w:r w:rsidRPr="001C3EDC">
        <w:rPr>
          <w:rFonts w:eastAsia="Calibri" w:cs="Times New Roman"/>
          <w:szCs w:val="24"/>
        </w:rPr>
        <w:t>943</w:t>
      </w:r>
      <w:r w:rsidR="00017621" w:rsidRPr="001C3EDC">
        <w:rPr>
          <w:rFonts w:eastAsia="Calibri" w:cs="Times New Roman"/>
          <w:szCs w:val="24"/>
        </w:rPr>
        <w:t>.</w:t>
      </w:r>
    </w:p>
    <w:p w14:paraId="6B792301" w14:textId="5144D1F1" w:rsidR="000830BF" w:rsidRPr="001C3EDC" w:rsidRDefault="000830BF" w:rsidP="00C25D49">
      <w:pPr>
        <w:spacing w:after="120" w:line="276" w:lineRule="auto"/>
        <w:ind w:left="720" w:hanging="720"/>
        <w:rPr>
          <w:rFonts w:eastAsia="Calibri" w:cs="Times New Roman"/>
          <w:szCs w:val="24"/>
        </w:rPr>
      </w:pPr>
      <w:r w:rsidRPr="001C3EDC">
        <w:rPr>
          <w:rFonts w:eastAsia="Calibri" w:cs="Times New Roman"/>
          <w:szCs w:val="24"/>
        </w:rPr>
        <w:t>Kolev</w:t>
      </w:r>
      <w:r w:rsidR="008D7214" w:rsidRPr="001C3EDC">
        <w:rPr>
          <w:rFonts w:eastAsia="Calibri" w:cs="Times New Roman"/>
          <w:szCs w:val="24"/>
        </w:rPr>
        <w:t>, B. 2016.</w:t>
      </w:r>
      <w:r w:rsidRPr="001C3EDC">
        <w:rPr>
          <w:rFonts w:eastAsia="Calibri" w:cs="Times New Roman"/>
          <w:szCs w:val="24"/>
        </w:rPr>
        <w:t xml:space="preserve"> </w:t>
      </w:r>
      <w:r w:rsidR="008D7214" w:rsidRPr="001C3EDC">
        <w:rPr>
          <w:rFonts w:eastAsia="Calibri" w:cs="Times New Roman"/>
          <w:szCs w:val="24"/>
        </w:rPr>
        <w:t>“</w:t>
      </w:r>
      <w:r w:rsidRPr="001C3EDC">
        <w:rPr>
          <w:rFonts w:eastAsia="Calibri" w:cs="Times New Roman"/>
          <w:szCs w:val="24"/>
        </w:rPr>
        <w:t>Development of a GIS Database for Agro-Ecological Characterization of the Ra</w:t>
      </w:r>
      <w:r w:rsidR="008D7214" w:rsidRPr="001C3EDC">
        <w:rPr>
          <w:rFonts w:eastAsia="Calibri" w:cs="Times New Roman"/>
          <w:szCs w:val="24"/>
        </w:rPr>
        <w:t>zlog Region (Southern Bulgaria).”</w:t>
      </w:r>
      <w:r w:rsidRPr="001C3EDC">
        <w:rPr>
          <w:rFonts w:eastAsia="Calibri" w:cs="Times New Roman"/>
          <w:szCs w:val="24"/>
        </w:rPr>
        <w:t xml:space="preserve"> Proceedings of the 6th International Conference on Cartography and GIS, June </w:t>
      </w:r>
      <w:r w:rsidR="008D7214" w:rsidRPr="001C3EDC">
        <w:rPr>
          <w:rFonts w:eastAsia="Calibri" w:cs="Times New Roman"/>
          <w:szCs w:val="24"/>
        </w:rPr>
        <w:t>13–17</w:t>
      </w:r>
      <w:r w:rsidRPr="001C3EDC">
        <w:rPr>
          <w:rFonts w:eastAsia="Calibri" w:cs="Times New Roman"/>
          <w:szCs w:val="24"/>
        </w:rPr>
        <w:t>, Bulgaria</w:t>
      </w:r>
      <w:r w:rsidR="00B32571" w:rsidRPr="001C3EDC">
        <w:rPr>
          <w:rFonts w:eastAsia="Calibri" w:cs="Times New Roman"/>
          <w:szCs w:val="24"/>
        </w:rPr>
        <w:t>.</w:t>
      </w:r>
    </w:p>
    <w:p w14:paraId="507835BC" w14:textId="6E6DEA0A" w:rsidR="000830BF" w:rsidRPr="001C3EDC" w:rsidRDefault="000830BF" w:rsidP="00C25D49">
      <w:pPr>
        <w:spacing w:after="120" w:line="276" w:lineRule="auto"/>
        <w:ind w:left="720" w:hanging="720"/>
        <w:rPr>
          <w:rFonts w:eastAsia="Calibri" w:cs="Times New Roman"/>
          <w:szCs w:val="24"/>
        </w:rPr>
      </w:pPr>
      <w:r w:rsidRPr="001C3EDC">
        <w:rPr>
          <w:rFonts w:eastAsia="Calibri" w:cs="Times New Roman"/>
          <w:szCs w:val="24"/>
        </w:rPr>
        <w:t>Lee, Huey-Lin, Thomas Hertel, Brent Sohngen</w:t>
      </w:r>
      <w:r w:rsidR="008D7214" w:rsidRPr="001C3EDC">
        <w:rPr>
          <w:rFonts w:eastAsia="Calibri" w:cs="Times New Roman"/>
          <w:szCs w:val="24"/>
        </w:rPr>
        <w:t>,</w:t>
      </w:r>
      <w:r w:rsidRPr="001C3EDC">
        <w:rPr>
          <w:rFonts w:eastAsia="Calibri" w:cs="Times New Roman"/>
          <w:szCs w:val="24"/>
        </w:rPr>
        <w:t xml:space="preserve"> and Navin Ramankutty</w:t>
      </w:r>
      <w:r w:rsidR="008D7214" w:rsidRPr="001C3EDC">
        <w:rPr>
          <w:rFonts w:eastAsia="Calibri" w:cs="Times New Roman"/>
          <w:szCs w:val="24"/>
        </w:rPr>
        <w:t>. 2005.</w:t>
      </w:r>
      <w:r w:rsidRPr="001C3EDC">
        <w:rPr>
          <w:rFonts w:eastAsia="Calibri" w:cs="Times New Roman"/>
          <w:szCs w:val="24"/>
        </w:rPr>
        <w:t xml:space="preserve"> in Global Agricultural Land Use Data for Climate Change Analysis, Global Forestry Data for the Economic Modeling of Land Use, and An Integrated Global Land Use Data Base for CGE Analysis of Climate Policy Options supersede GTAP Technical Paper No. 25. Towards an Integrated Land Use Database for Assessing the Potential for Greenhouse Gas Mitigation.</w:t>
      </w:r>
    </w:p>
    <w:p w14:paraId="2EB2530D" w14:textId="24C05D2A" w:rsidR="000830BF" w:rsidRPr="001C3EDC" w:rsidRDefault="000830BF" w:rsidP="00C25D49">
      <w:pPr>
        <w:spacing w:after="120" w:line="276" w:lineRule="auto"/>
        <w:ind w:left="720" w:hanging="720"/>
        <w:rPr>
          <w:rFonts w:eastAsia="Calibri" w:cs="Times New Roman"/>
          <w:szCs w:val="24"/>
        </w:rPr>
      </w:pPr>
      <w:r w:rsidRPr="001C3EDC">
        <w:rPr>
          <w:rFonts w:eastAsia="Calibri" w:cs="Times New Roman"/>
          <w:szCs w:val="24"/>
        </w:rPr>
        <w:t>Liu</w:t>
      </w:r>
      <w:r w:rsidR="00F07819" w:rsidRPr="001C3EDC">
        <w:rPr>
          <w:rFonts w:eastAsia="Calibri" w:cs="Times New Roman"/>
          <w:szCs w:val="24"/>
        </w:rPr>
        <w:t>,</w:t>
      </w:r>
      <w:r w:rsidRPr="001C3EDC">
        <w:rPr>
          <w:rFonts w:eastAsia="Calibri" w:cs="Times New Roman"/>
          <w:szCs w:val="24"/>
        </w:rPr>
        <w:t xml:space="preserve"> J., </w:t>
      </w:r>
      <w:r w:rsidR="00F07819" w:rsidRPr="001C3EDC">
        <w:rPr>
          <w:rFonts w:eastAsia="Calibri" w:cs="Times New Roman"/>
          <w:szCs w:val="24"/>
        </w:rPr>
        <w:t xml:space="preserve">T. </w:t>
      </w:r>
      <w:r w:rsidRPr="001C3EDC">
        <w:rPr>
          <w:rFonts w:eastAsia="Calibri" w:cs="Times New Roman"/>
          <w:szCs w:val="24"/>
        </w:rPr>
        <w:t xml:space="preserve">Hertel, </w:t>
      </w:r>
      <w:r w:rsidR="00F07819" w:rsidRPr="001C3EDC">
        <w:rPr>
          <w:rFonts w:eastAsia="Calibri" w:cs="Times New Roman"/>
          <w:szCs w:val="24"/>
        </w:rPr>
        <w:t xml:space="preserve">F. </w:t>
      </w:r>
      <w:r w:rsidRPr="001C3EDC">
        <w:rPr>
          <w:rFonts w:eastAsia="Calibri" w:cs="Times New Roman"/>
          <w:szCs w:val="24"/>
        </w:rPr>
        <w:t xml:space="preserve">Taheripour, </w:t>
      </w:r>
      <w:r w:rsidR="00F07819" w:rsidRPr="001C3EDC">
        <w:rPr>
          <w:rFonts w:eastAsia="Calibri" w:cs="Times New Roman"/>
          <w:szCs w:val="24"/>
        </w:rPr>
        <w:t xml:space="preserve">T. </w:t>
      </w:r>
      <w:r w:rsidRPr="001C3EDC">
        <w:rPr>
          <w:rFonts w:eastAsia="Calibri" w:cs="Times New Roman"/>
          <w:szCs w:val="24"/>
        </w:rPr>
        <w:t xml:space="preserve">Zhu, and </w:t>
      </w:r>
      <w:r w:rsidR="00F07819" w:rsidRPr="001C3EDC">
        <w:rPr>
          <w:rFonts w:eastAsia="Calibri" w:cs="Times New Roman"/>
          <w:szCs w:val="24"/>
        </w:rPr>
        <w:t xml:space="preserve">C. </w:t>
      </w:r>
      <w:r w:rsidRPr="001C3EDC">
        <w:rPr>
          <w:rFonts w:eastAsia="Calibri" w:cs="Times New Roman"/>
          <w:szCs w:val="24"/>
        </w:rPr>
        <w:t>Ringler</w:t>
      </w:r>
      <w:r w:rsidR="00F07819" w:rsidRPr="001C3EDC">
        <w:rPr>
          <w:rFonts w:eastAsia="Calibri" w:cs="Times New Roman"/>
          <w:szCs w:val="24"/>
        </w:rPr>
        <w:t>.</w:t>
      </w:r>
      <w:r w:rsidRPr="001C3EDC">
        <w:rPr>
          <w:rFonts w:eastAsia="Calibri" w:cs="Times New Roman"/>
          <w:szCs w:val="24"/>
        </w:rPr>
        <w:t xml:space="preserve"> </w:t>
      </w:r>
      <w:r w:rsidR="00F07819" w:rsidRPr="001C3EDC">
        <w:rPr>
          <w:rFonts w:eastAsia="Calibri" w:cs="Times New Roman"/>
          <w:szCs w:val="24"/>
        </w:rPr>
        <w:t>2013.</w:t>
      </w:r>
      <w:r w:rsidRPr="001C3EDC">
        <w:rPr>
          <w:rFonts w:eastAsia="Calibri" w:cs="Times New Roman"/>
          <w:szCs w:val="24"/>
        </w:rPr>
        <w:t xml:space="preserve"> </w:t>
      </w:r>
      <w:r w:rsidR="00F07819" w:rsidRPr="001C3EDC">
        <w:rPr>
          <w:rFonts w:eastAsia="Calibri" w:cs="Times New Roman"/>
          <w:szCs w:val="24"/>
        </w:rPr>
        <w:t>“</w:t>
      </w:r>
      <w:r w:rsidRPr="001C3EDC">
        <w:rPr>
          <w:rFonts w:eastAsia="Calibri" w:cs="Times New Roman"/>
          <w:szCs w:val="24"/>
        </w:rPr>
        <w:t>Water Scarcity and International Agric</w:t>
      </w:r>
      <w:r w:rsidR="00F07819" w:rsidRPr="001C3EDC">
        <w:rPr>
          <w:rFonts w:eastAsia="Calibri" w:cs="Times New Roman"/>
          <w:szCs w:val="24"/>
        </w:rPr>
        <w:t>ultural Trade.”</w:t>
      </w:r>
      <w:r w:rsidRPr="001C3EDC">
        <w:rPr>
          <w:rFonts w:eastAsia="Calibri" w:cs="Times New Roman"/>
          <w:szCs w:val="24"/>
        </w:rPr>
        <w:t xml:space="preserve"> </w:t>
      </w:r>
      <w:r w:rsidRPr="001C3EDC">
        <w:rPr>
          <w:rFonts w:eastAsia="Calibri" w:cs="Times New Roman"/>
          <w:i/>
          <w:szCs w:val="24"/>
        </w:rPr>
        <w:t>Global Environmental Change</w:t>
      </w:r>
      <w:r w:rsidR="00F07819" w:rsidRPr="001C3EDC">
        <w:rPr>
          <w:rFonts w:eastAsia="Calibri" w:cs="Times New Roman"/>
          <w:szCs w:val="24"/>
        </w:rPr>
        <w:t xml:space="preserve"> 29:</w:t>
      </w:r>
      <w:r w:rsidRPr="001C3EDC">
        <w:rPr>
          <w:rFonts w:eastAsia="Calibri" w:cs="Times New Roman"/>
          <w:szCs w:val="24"/>
        </w:rPr>
        <w:t xml:space="preserve"> 22</w:t>
      </w:r>
      <w:r w:rsidR="00F07819" w:rsidRPr="001C3EDC">
        <w:rPr>
          <w:rFonts w:eastAsia="Calibri" w:cs="Times New Roman"/>
          <w:szCs w:val="24"/>
        </w:rPr>
        <w:t>–</w:t>
      </w:r>
      <w:r w:rsidRPr="001C3EDC">
        <w:rPr>
          <w:rFonts w:eastAsia="Calibri" w:cs="Times New Roman"/>
          <w:szCs w:val="24"/>
        </w:rPr>
        <w:t xml:space="preserve">31. </w:t>
      </w:r>
    </w:p>
    <w:p w14:paraId="0A28E6D4" w14:textId="01BC1196" w:rsidR="000830BF" w:rsidRPr="001C3EDC" w:rsidRDefault="001D3ECF" w:rsidP="00C25D49">
      <w:pPr>
        <w:shd w:val="clear" w:color="auto" w:fill="FFFFFF"/>
        <w:spacing w:after="120" w:line="240" w:lineRule="auto"/>
        <w:ind w:left="720" w:hanging="720"/>
        <w:rPr>
          <w:rFonts w:eastAsia="Calibri" w:cs="Times New Roman"/>
          <w:szCs w:val="24"/>
        </w:rPr>
      </w:pPr>
      <w:r w:rsidRPr="001C3EDC">
        <w:rPr>
          <w:rFonts w:eastAsia="Calibri" w:cs="Times New Roman"/>
          <w:szCs w:val="24"/>
        </w:rPr>
        <w:t>Lobell</w:t>
      </w:r>
      <w:r w:rsidR="006346FC" w:rsidRPr="001C3EDC">
        <w:rPr>
          <w:rFonts w:eastAsia="Calibri" w:cs="Times New Roman"/>
          <w:szCs w:val="24"/>
        </w:rPr>
        <w:t>, David B.,</w:t>
      </w:r>
      <w:r w:rsidRPr="001C3EDC">
        <w:rPr>
          <w:rFonts w:eastAsia="Calibri" w:cs="Times New Roman"/>
          <w:szCs w:val="24"/>
        </w:rPr>
        <w:t xml:space="preserve"> Marshall B. Burke</w:t>
      </w:r>
      <w:r w:rsidR="006346FC" w:rsidRPr="001C3EDC">
        <w:rPr>
          <w:rFonts w:eastAsia="Calibri" w:cs="Times New Roman"/>
          <w:szCs w:val="24"/>
        </w:rPr>
        <w:t>,</w:t>
      </w:r>
      <w:r w:rsidRPr="001C3EDC">
        <w:rPr>
          <w:rFonts w:eastAsia="Calibri" w:cs="Times New Roman"/>
          <w:szCs w:val="24"/>
        </w:rPr>
        <w:t xml:space="preserve"> Claudia Tebaldi</w:t>
      </w:r>
      <w:r w:rsidR="006346FC" w:rsidRPr="001C3EDC">
        <w:rPr>
          <w:rFonts w:eastAsia="Calibri" w:cs="Times New Roman"/>
          <w:szCs w:val="24"/>
        </w:rPr>
        <w:t>,</w:t>
      </w:r>
      <w:r w:rsidRPr="001C3EDC">
        <w:rPr>
          <w:rFonts w:eastAsia="Calibri" w:cs="Times New Roman"/>
          <w:szCs w:val="24"/>
        </w:rPr>
        <w:t xml:space="preserve"> Michael D. Mastrandrea</w:t>
      </w:r>
      <w:r w:rsidR="006346FC" w:rsidRPr="001C3EDC">
        <w:rPr>
          <w:rFonts w:eastAsia="Calibri" w:cs="Times New Roman"/>
          <w:szCs w:val="24"/>
        </w:rPr>
        <w:t>,</w:t>
      </w:r>
      <w:r w:rsidRPr="001C3EDC">
        <w:rPr>
          <w:rFonts w:eastAsia="Calibri" w:cs="Times New Roman"/>
          <w:szCs w:val="24"/>
        </w:rPr>
        <w:t xml:space="preserve"> Walter P. Falcon</w:t>
      </w:r>
      <w:r w:rsidR="006346FC" w:rsidRPr="001C3EDC">
        <w:rPr>
          <w:rFonts w:eastAsia="Calibri" w:cs="Times New Roman"/>
          <w:szCs w:val="24"/>
        </w:rPr>
        <w:t>, and</w:t>
      </w:r>
      <w:r w:rsidRPr="001C3EDC">
        <w:rPr>
          <w:rFonts w:eastAsia="Calibri" w:cs="Times New Roman"/>
          <w:szCs w:val="24"/>
        </w:rPr>
        <w:t xml:space="preserve"> Rosamond L. Naylor,</w:t>
      </w:r>
      <w:r w:rsidRPr="001C3EDC">
        <w:rPr>
          <w:rFonts w:ascii="Arial" w:eastAsia="Times New Roman" w:hAnsi="Arial" w:cs="Arial"/>
          <w:color w:val="666666"/>
          <w:szCs w:val="24"/>
        </w:rPr>
        <w:t xml:space="preserve"> </w:t>
      </w:r>
      <w:r w:rsidR="00F07819" w:rsidRPr="001C3EDC">
        <w:rPr>
          <w:rFonts w:eastAsia="Calibri" w:cs="Times New Roman"/>
          <w:szCs w:val="24"/>
        </w:rPr>
        <w:t>. 2008.</w:t>
      </w:r>
      <w:r w:rsidR="000830BF" w:rsidRPr="001C3EDC">
        <w:rPr>
          <w:rFonts w:eastAsia="Calibri" w:cs="Times New Roman"/>
          <w:szCs w:val="24"/>
        </w:rPr>
        <w:t xml:space="preserve"> </w:t>
      </w:r>
      <w:r w:rsidR="00F07819" w:rsidRPr="001C3EDC">
        <w:rPr>
          <w:rFonts w:eastAsia="Calibri" w:cs="Times New Roman"/>
          <w:szCs w:val="24"/>
        </w:rPr>
        <w:t>“</w:t>
      </w:r>
      <w:r w:rsidR="000830BF" w:rsidRPr="001C3EDC">
        <w:rPr>
          <w:rFonts w:eastAsia="Calibri" w:cs="Times New Roman"/>
          <w:szCs w:val="24"/>
        </w:rPr>
        <w:t>Prioritizing Climate Change Adaptation Needs for Food Security in 2030.</w:t>
      </w:r>
      <w:r w:rsidR="00F07819" w:rsidRPr="001C3EDC">
        <w:rPr>
          <w:rFonts w:eastAsia="Calibri" w:cs="Times New Roman"/>
          <w:szCs w:val="24"/>
        </w:rPr>
        <w:t>”</w:t>
      </w:r>
      <w:r w:rsidR="000830BF" w:rsidRPr="001C3EDC">
        <w:rPr>
          <w:rFonts w:eastAsia="Calibri" w:cs="Times New Roman"/>
          <w:szCs w:val="24"/>
        </w:rPr>
        <w:t xml:space="preserve"> </w:t>
      </w:r>
      <w:r w:rsidR="000830BF" w:rsidRPr="001C3EDC">
        <w:rPr>
          <w:rFonts w:eastAsia="Calibri" w:cs="Times New Roman"/>
          <w:i/>
          <w:szCs w:val="24"/>
        </w:rPr>
        <w:t>Science</w:t>
      </w:r>
      <w:r w:rsidR="00F07819" w:rsidRPr="001C3EDC">
        <w:rPr>
          <w:rFonts w:eastAsia="Calibri" w:cs="Times New Roman"/>
          <w:szCs w:val="24"/>
        </w:rPr>
        <w:t xml:space="preserve"> 319: </w:t>
      </w:r>
      <w:r w:rsidR="000830BF" w:rsidRPr="001C3EDC">
        <w:rPr>
          <w:rFonts w:eastAsia="Calibri" w:cs="Times New Roman"/>
          <w:szCs w:val="24"/>
        </w:rPr>
        <w:t>607</w:t>
      </w:r>
      <w:r w:rsidR="00F07819" w:rsidRPr="001C3EDC">
        <w:rPr>
          <w:rFonts w:eastAsia="Calibri" w:cs="Times New Roman"/>
          <w:szCs w:val="24"/>
        </w:rPr>
        <w:t>–</w:t>
      </w:r>
      <w:r w:rsidR="000830BF" w:rsidRPr="001C3EDC">
        <w:rPr>
          <w:rFonts w:eastAsia="Calibri" w:cs="Times New Roman"/>
          <w:szCs w:val="24"/>
        </w:rPr>
        <w:t xml:space="preserve">610. </w:t>
      </w:r>
    </w:p>
    <w:p w14:paraId="597AC786" w14:textId="62B40A3E" w:rsidR="000830BF" w:rsidRPr="001C3EDC" w:rsidRDefault="000830BF" w:rsidP="00C25D49">
      <w:pPr>
        <w:spacing w:after="120" w:line="276" w:lineRule="auto"/>
        <w:ind w:left="720" w:hanging="720"/>
        <w:rPr>
          <w:rFonts w:eastAsia="Calibri" w:cs="Times New Roman"/>
          <w:szCs w:val="24"/>
        </w:rPr>
      </w:pPr>
      <w:r w:rsidRPr="001C3EDC">
        <w:rPr>
          <w:rFonts w:eastAsia="Calibri" w:cs="Times New Roman"/>
          <w:szCs w:val="24"/>
        </w:rPr>
        <w:t>Marshal</w:t>
      </w:r>
      <w:r w:rsidR="001D3ECF" w:rsidRPr="001C3EDC">
        <w:rPr>
          <w:rFonts w:eastAsia="Calibri" w:cs="Times New Roman"/>
          <w:szCs w:val="24"/>
        </w:rPr>
        <w:t xml:space="preserve"> L, Aillery M., Malcolm S., and Williams R.</w:t>
      </w:r>
      <w:r w:rsidR="00F07819" w:rsidRPr="001C3EDC">
        <w:rPr>
          <w:rFonts w:eastAsia="Calibri" w:cs="Times New Roman"/>
          <w:szCs w:val="24"/>
        </w:rPr>
        <w:t>. 2014.</w:t>
      </w:r>
      <w:r w:rsidRPr="001C3EDC">
        <w:rPr>
          <w:rFonts w:eastAsia="Calibri" w:cs="Times New Roman"/>
          <w:szCs w:val="24"/>
        </w:rPr>
        <w:t xml:space="preserve"> </w:t>
      </w:r>
      <w:r w:rsidR="00F07819" w:rsidRPr="001C3EDC">
        <w:rPr>
          <w:rFonts w:eastAsia="Calibri" w:cs="Times New Roman"/>
          <w:szCs w:val="24"/>
        </w:rPr>
        <w:t>“</w:t>
      </w:r>
      <w:r w:rsidRPr="001C3EDC">
        <w:rPr>
          <w:rFonts w:eastAsia="Calibri" w:cs="Times New Roman"/>
          <w:szCs w:val="24"/>
        </w:rPr>
        <w:t xml:space="preserve">Agricultural </w:t>
      </w:r>
      <w:r w:rsidR="00F07819" w:rsidRPr="001C3EDC">
        <w:rPr>
          <w:rFonts w:eastAsia="Calibri" w:cs="Times New Roman"/>
          <w:szCs w:val="24"/>
        </w:rPr>
        <w:t>P</w:t>
      </w:r>
      <w:r w:rsidRPr="001C3EDC">
        <w:rPr>
          <w:rFonts w:eastAsia="Calibri" w:cs="Times New Roman"/>
          <w:szCs w:val="24"/>
        </w:rPr>
        <w:t xml:space="preserve">roduction under </w:t>
      </w:r>
      <w:r w:rsidR="00F07819" w:rsidRPr="001C3EDC">
        <w:rPr>
          <w:rFonts w:eastAsia="Calibri" w:cs="Times New Roman"/>
          <w:szCs w:val="24"/>
        </w:rPr>
        <w:t>C</w:t>
      </w:r>
      <w:r w:rsidRPr="001C3EDC">
        <w:rPr>
          <w:rFonts w:eastAsia="Calibri" w:cs="Times New Roman"/>
          <w:szCs w:val="24"/>
        </w:rPr>
        <w:t xml:space="preserve">limate </w:t>
      </w:r>
      <w:r w:rsidR="00F07819" w:rsidRPr="001C3EDC">
        <w:rPr>
          <w:rFonts w:eastAsia="Calibri" w:cs="Times New Roman"/>
          <w:szCs w:val="24"/>
        </w:rPr>
        <w:t>C</w:t>
      </w:r>
      <w:r w:rsidRPr="001C3EDC">
        <w:rPr>
          <w:rFonts w:eastAsia="Calibri" w:cs="Times New Roman"/>
          <w:szCs w:val="24"/>
        </w:rPr>
        <w:t xml:space="preserve">hange: The </w:t>
      </w:r>
      <w:r w:rsidR="00F07819" w:rsidRPr="001C3EDC">
        <w:rPr>
          <w:rFonts w:eastAsia="Calibri" w:cs="Times New Roman"/>
          <w:szCs w:val="24"/>
        </w:rPr>
        <w:t>P</w:t>
      </w:r>
      <w:r w:rsidRPr="001C3EDC">
        <w:rPr>
          <w:rFonts w:eastAsia="Calibri" w:cs="Times New Roman"/>
          <w:szCs w:val="24"/>
        </w:rPr>
        <w:t xml:space="preserve">otential </w:t>
      </w:r>
      <w:r w:rsidR="00F07819" w:rsidRPr="001C3EDC">
        <w:rPr>
          <w:rFonts w:eastAsia="Calibri" w:cs="Times New Roman"/>
          <w:szCs w:val="24"/>
        </w:rPr>
        <w:t>I</w:t>
      </w:r>
      <w:r w:rsidRPr="001C3EDC">
        <w:rPr>
          <w:rFonts w:eastAsia="Calibri" w:cs="Times New Roman"/>
          <w:szCs w:val="24"/>
        </w:rPr>
        <w:t xml:space="preserve">mpacts of </w:t>
      </w:r>
      <w:r w:rsidR="00F07819" w:rsidRPr="001C3EDC">
        <w:rPr>
          <w:rFonts w:eastAsia="Calibri" w:cs="Times New Roman"/>
          <w:szCs w:val="24"/>
        </w:rPr>
        <w:t>S</w:t>
      </w:r>
      <w:r w:rsidRPr="001C3EDC">
        <w:rPr>
          <w:rFonts w:eastAsia="Calibri" w:cs="Times New Roman"/>
          <w:szCs w:val="24"/>
        </w:rPr>
        <w:t xml:space="preserve">hifting </w:t>
      </w:r>
      <w:r w:rsidR="00F07819" w:rsidRPr="001C3EDC">
        <w:rPr>
          <w:rFonts w:eastAsia="Calibri" w:cs="Times New Roman"/>
          <w:szCs w:val="24"/>
        </w:rPr>
        <w:t>R</w:t>
      </w:r>
      <w:r w:rsidRPr="001C3EDC">
        <w:rPr>
          <w:rFonts w:eastAsia="Calibri" w:cs="Times New Roman"/>
          <w:szCs w:val="24"/>
        </w:rPr>
        <w:t xml:space="preserve">egional </w:t>
      </w:r>
      <w:r w:rsidR="00F07819" w:rsidRPr="001C3EDC">
        <w:rPr>
          <w:rFonts w:eastAsia="Calibri" w:cs="Times New Roman"/>
          <w:szCs w:val="24"/>
        </w:rPr>
        <w:t>W</w:t>
      </w:r>
      <w:r w:rsidRPr="001C3EDC">
        <w:rPr>
          <w:rFonts w:eastAsia="Calibri" w:cs="Times New Roman"/>
          <w:szCs w:val="24"/>
        </w:rPr>
        <w:t xml:space="preserve">ater </w:t>
      </w:r>
      <w:r w:rsidR="00F07819" w:rsidRPr="001C3EDC">
        <w:rPr>
          <w:rFonts w:eastAsia="Calibri" w:cs="Times New Roman"/>
          <w:szCs w:val="24"/>
        </w:rPr>
        <w:t>B</w:t>
      </w:r>
      <w:r w:rsidRPr="001C3EDC">
        <w:rPr>
          <w:rFonts w:eastAsia="Calibri" w:cs="Times New Roman"/>
          <w:szCs w:val="24"/>
        </w:rPr>
        <w:t>alances in the U.S.</w:t>
      </w:r>
      <w:r w:rsidR="00F07819" w:rsidRPr="001C3EDC">
        <w:rPr>
          <w:rFonts w:eastAsia="Calibri" w:cs="Times New Roman"/>
          <w:szCs w:val="24"/>
        </w:rPr>
        <w:t>”</w:t>
      </w:r>
      <w:r w:rsidRPr="001C3EDC">
        <w:rPr>
          <w:rFonts w:eastAsia="Calibri" w:cs="Times New Roman"/>
          <w:szCs w:val="24"/>
        </w:rPr>
        <w:t xml:space="preserve"> AAEA Annual Meeting, Minneapolis, MN.</w:t>
      </w:r>
    </w:p>
    <w:p w14:paraId="149ED94F" w14:textId="0A3DEA4F" w:rsidR="00683540" w:rsidRPr="001C3EDC" w:rsidRDefault="00683540" w:rsidP="00C25D49">
      <w:pPr>
        <w:spacing w:after="120" w:line="276" w:lineRule="auto"/>
        <w:ind w:left="720" w:hanging="720"/>
        <w:rPr>
          <w:rFonts w:eastAsia="Calibri" w:cs="Times New Roman"/>
          <w:szCs w:val="24"/>
        </w:rPr>
      </w:pPr>
      <w:r w:rsidRPr="001C3EDC">
        <w:rPr>
          <w:rFonts w:eastAsia="Calibri" w:cs="Times New Roman"/>
          <w:szCs w:val="24"/>
        </w:rPr>
        <w:t>MoEW (Ministry of Environment and Water). 2014. “Risk and Vulnerability Analysis and Assessment of the Bulgarian Economic Sectors to Climate Change”, Ministry of Environment and Water, Sofia.</w:t>
      </w:r>
    </w:p>
    <w:p w14:paraId="38F31288" w14:textId="2FF9C683" w:rsidR="000830BF" w:rsidRPr="001C3EDC" w:rsidRDefault="000830BF" w:rsidP="00C25D49">
      <w:pPr>
        <w:spacing w:after="120" w:line="276" w:lineRule="auto"/>
        <w:ind w:left="720" w:hanging="720"/>
        <w:rPr>
          <w:rFonts w:eastAsia="Calibri" w:cs="Times New Roman"/>
          <w:szCs w:val="24"/>
        </w:rPr>
      </w:pPr>
      <w:r w:rsidRPr="001C3EDC">
        <w:rPr>
          <w:rFonts w:eastAsia="Calibri" w:cs="Times New Roman"/>
          <w:szCs w:val="24"/>
        </w:rPr>
        <w:t>Nelson</w:t>
      </w:r>
      <w:r w:rsidR="00295F1A" w:rsidRPr="001C3EDC">
        <w:rPr>
          <w:rFonts w:eastAsia="Calibri" w:cs="Times New Roman"/>
          <w:szCs w:val="24"/>
        </w:rPr>
        <w:t>,</w:t>
      </w:r>
      <w:r w:rsidR="00E506BE" w:rsidRPr="001C3EDC">
        <w:rPr>
          <w:rFonts w:eastAsia="Calibri" w:cs="Times New Roman"/>
          <w:szCs w:val="24"/>
        </w:rPr>
        <w:t xml:space="preserve"> </w:t>
      </w:r>
      <w:r w:rsidR="00E506BE" w:rsidRPr="001C3EDC">
        <w:rPr>
          <w:rStyle w:val="field"/>
        </w:rPr>
        <w:t>G. C., Rosegrant W.M., Palazzo A.,  Gray I., Ingersoll C., Robertson D., Tokgoz S., Zhu T., Sulser T., Ringler C., Msangi S., and L. You</w:t>
      </w:r>
      <w:r w:rsidRPr="001C3EDC">
        <w:rPr>
          <w:rFonts w:eastAsia="Calibri" w:cs="Times New Roman"/>
          <w:szCs w:val="24"/>
        </w:rPr>
        <w:t xml:space="preserve">  2010</w:t>
      </w:r>
      <w:r w:rsidR="00295F1A" w:rsidRPr="001C3EDC">
        <w:rPr>
          <w:rFonts w:eastAsia="Calibri" w:cs="Times New Roman"/>
          <w:szCs w:val="24"/>
        </w:rPr>
        <w:t>.</w:t>
      </w:r>
      <w:r w:rsidRPr="001C3EDC">
        <w:rPr>
          <w:rFonts w:eastAsia="Calibri" w:cs="Times New Roman"/>
          <w:szCs w:val="24"/>
        </w:rPr>
        <w:t xml:space="preserve"> </w:t>
      </w:r>
      <w:r w:rsidRPr="001C3EDC">
        <w:rPr>
          <w:rFonts w:eastAsia="Calibri" w:cs="Times New Roman"/>
          <w:i/>
          <w:szCs w:val="24"/>
        </w:rPr>
        <w:t>Food Security, Farming, and Climate Change to 2050: Scenarios, Results, Policy Options</w:t>
      </w:r>
      <w:r w:rsidR="00295F1A" w:rsidRPr="001C3EDC">
        <w:rPr>
          <w:rFonts w:eastAsia="Calibri" w:cs="Times New Roman"/>
          <w:i/>
          <w:szCs w:val="24"/>
        </w:rPr>
        <w:t>.</w:t>
      </w:r>
      <w:r w:rsidRPr="001C3EDC">
        <w:rPr>
          <w:rFonts w:eastAsia="Calibri" w:cs="Times New Roman"/>
          <w:szCs w:val="24"/>
        </w:rPr>
        <w:t xml:space="preserve"> </w:t>
      </w:r>
      <w:r w:rsidR="0073311E" w:rsidRPr="001C3EDC">
        <w:rPr>
          <w:rFonts w:eastAsia="Calibri" w:cs="Times New Roman"/>
          <w:szCs w:val="24"/>
        </w:rPr>
        <w:t xml:space="preserve">Washington, DC: </w:t>
      </w:r>
      <w:r w:rsidRPr="001C3EDC">
        <w:rPr>
          <w:rFonts w:eastAsia="Calibri" w:cs="Times New Roman"/>
          <w:szCs w:val="24"/>
        </w:rPr>
        <w:t>International Food Policy Research Institute.</w:t>
      </w:r>
    </w:p>
    <w:p w14:paraId="0078C7BD" w14:textId="57B02E90" w:rsidR="00FF5EE3" w:rsidRPr="001C3EDC" w:rsidRDefault="000830BF" w:rsidP="00C25D49">
      <w:pPr>
        <w:spacing w:after="120" w:line="276" w:lineRule="auto"/>
        <w:ind w:left="720" w:hanging="720"/>
        <w:rPr>
          <w:rFonts w:eastAsia="Calibri" w:cs="Times New Roman"/>
          <w:szCs w:val="24"/>
        </w:rPr>
      </w:pPr>
      <w:r w:rsidRPr="001C3EDC">
        <w:rPr>
          <w:rFonts w:eastAsia="Calibri" w:cs="Times New Roman"/>
          <w:szCs w:val="24"/>
        </w:rPr>
        <w:t>OECD</w:t>
      </w:r>
      <w:r w:rsidR="0037516B" w:rsidRPr="001C3EDC">
        <w:rPr>
          <w:rFonts w:eastAsia="Calibri" w:cs="Times New Roman"/>
          <w:szCs w:val="24"/>
        </w:rPr>
        <w:t xml:space="preserve"> (</w:t>
      </w:r>
      <w:r w:rsidR="0037516B" w:rsidRPr="001C3EDC">
        <w:t>Organisation for Economic Cooperation and Development)</w:t>
      </w:r>
      <w:r w:rsidR="0073311E" w:rsidRPr="001C3EDC">
        <w:rPr>
          <w:rFonts w:eastAsia="Calibri" w:cs="Times New Roman"/>
          <w:szCs w:val="24"/>
        </w:rPr>
        <w:t>.</w:t>
      </w:r>
      <w:r w:rsidRPr="001C3EDC">
        <w:rPr>
          <w:rFonts w:eastAsia="Calibri" w:cs="Times New Roman"/>
          <w:szCs w:val="24"/>
        </w:rPr>
        <w:t xml:space="preserve"> 2015</w:t>
      </w:r>
      <w:r w:rsidR="0073311E" w:rsidRPr="001C3EDC">
        <w:rPr>
          <w:rFonts w:eastAsia="Calibri" w:cs="Times New Roman"/>
          <w:szCs w:val="24"/>
        </w:rPr>
        <w:t>.</w:t>
      </w:r>
      <w:r w:rsidRPr="001C3EDC">
        <w:rPr>
          <w:rFonts w:eastAsia="Calibri" w:cs="Times New Roman"/>
          <w:szCs w:val="24"/>
        </w:rPr>
        <w:t xml:space="preserve"> </w:t>
      </w:r>
      <w:r w:rsidR="0073311E" w:rsidRPr="001C3EDC">
        <w:rPr>
          <w:rFonts w:eastAsia="Calibri" w:cs="Times New Roman"/>
          <w:szCs w:val="24"/>
        </w:rPr>
        <w:t>“</w:t>
      </w:r>
      <w:r w:rsidRPr="001C3EDC">
        <w:rPr>
          <w:rFonts w:eastAsia="Calibri" w:cs="Times New Roman"/>
          <w:szCs w:val="24"/>
        </w:rPr>
        <w:t>The Economic Consequences of Climate Change.</w:t>
      </w:r>
      <w:r w:rsidR="0073311E" w:rsidRPr="001C3EDC">
        <w:rPr>
          <w:rFonts w:eastAsia="Calibri" w:cs="Times New Roman"/>
          <w:szCs w:val="24"/>
        </w:rPr>
        <w:t>”</w:t>
      </w:r>
      <w:r w:rsidRPr="001C3EDC">
        <w:rPr>
          <w:rFonts w:eastAsia="Calibri" w:cs="Times New Roman"/>
          <w:szCs w:val="24"/>
        </w:rPr>
        <w:t xml:space="preserve"> ENV/EPOC (2015)12/REV1</w:t>
      </w:r>
      <w:r w:rsidR="0073311E" w:rsidRPr="001C3EDC">
        <w:rPr>
          <w:rFonts w:eastAsia="Calibri" w:cs="Times New Roman"/>
          <w:szCs w:val="24"/>
        </w:rPr>
        <w:t>.</w:t>
      </w:r>
      <w:r w:rsidRPr="001C3EDC">
        <w:rPr>
          <w:rFonts w:eastAsia="Calibri" w:cs="Times New Roman"/>
          <w:szCs w:val="24"/>
        </w:rPr>
        <w:t xml:space="preserve"> </w:t>
      </w:r>
    </w:p>
    <w:p w14:paraId="57FAB8E9" w14:textId="7EB3D934" w:rsidR="000830BF" w:rsidRPr="001C3EDC" w:rsidRDefault="000830BF" w:rsidP="00C25D49">
      <w:pPr>
        <w:spacing w:after="120" w:line="276" w:lineRule="auto"/>
        <w:ind w:left="720" w:hanging="720"/>
        <w:rPr>
          <w:rFonts w:eastAsia="Calibri" w:cs="Times New Roman"/>
          <w:szCs w:val="24"/>
        </w:rPr>
      </w:pPr>
      <w:r w:rsidRPr="001C3EDC">
        <w:rPr>
          <w:rFonts w:eastAsia="Calibri" w:cs="Times New Roman"/>
          <w:szCs w:val="24"/>
        </w:rPr>
        <w:t>Reilly</w:t>
      </w:r>
      <w:r w:rsidR="0041544E" w:rsidRPr="001C3EDC">
        <w:rPr>
          <w:rFonts w:eastAsia="Calibri" w:cs="Times New Roman"/>
          <w:szCs w:val="24"/>
        </w:rPr>
        <w:t xml:space="preserve"> J.</w:t>
      </w:r>
      <w:r w:rsidR="0083141F" w:rsidRPr="001C3EDC">
        <w:rPr>
          <w:rFonts w:eastAsia="Calibri" w:cs="Times New Roman"/>
          <w:szCs w:val="24"/>
        </w:rPr>
        <w:t>,</w:t>
      </w:r>
      <w:r w:rsidR="0041544E" w:rsidRPr="001C3EDC">
        <w:rPr>
          <w:rFonts w:eastAsia="Calibri" w:cs="Times New Roman"/>
          <w:szCs w:val="24"/>
        </w:rPr>
        <w:t xml:space="preserve"> Graham J., and J. Hrubovcak</w:t>
      </w:r>
      <w:r w:rsidRPr="001C3EDC">
        <w:rPr>
          <w:rFonts w:eastAsia="Calibri" w:cs="Times New Roman"/>
          <w:szCs w:val="24"/>
        </w:rPr>
        <w:t>. 2002</w:t>
      </w:r>
      <w:r w:rsidR="0083141F" w:rsidRPr="001C3EDC">
        <w:rPr>
          <w:rFonts w:eastAsia="Calibri" w:cs="Times New Roman"/>
          <w:szCs w:val="24"/>
        </w:rPr>
        <w:t>.</w:t>
      </w:r>
      <w:r w:rsidRPr="001C3EDC">
        <w:rPr>
          <w:rFonts w:eastAsia="Calibri" w:cs="Times New Roman"/>
          <w:szCs w:val="24"/>
        </w:rPr>
        <w:t xml:space="preserve"> </w:t>
      </w:r>
      <w:r w:rsidRPr="001C3EDC">
        <w:rPr>
          <w:rFonts w:eastAsia="Calibri" w:cs="Times New Roman"/>
          <w:i/>
          <w:szCs w:val="24"/>
        </w:rPr>
        <w:t>Changing Climate and Changing Agriculture</w:t>
      </w:r>
      <w:r w:rsidR="0083141F" w:rsidRPr="001C3EDC">
        <w:rPr>
          <w:rFonts w:eastAsia="Calibri" w:cs="Times New Roman"/>
          <w:szCs w:val="24"/>
        </w:rPr>
        <w:t>.</w:t>
      </w:r>
      <w:r w:rsidRPr="001C3EDC">
        <w:rPr>
          <w:rFonts w:eastAsia="Calibri" w:cs="Times New Roman"/>
          <w:szCs w:val="24"/>
        </w:rPr>
        <w:t xml:space="preserve"> New York, </w:t>
      </w:r>
      <w:r w:rsidR="006346FC" w:rsidRPr="001C3EDC">
        <w:rPr>
          <w:rFonts w:eastAsia="Calibri" w:cs="Times New Roman"/>
          <w:szCs w:val="24"/>
        </w:rPr>
        <w:t>NY: Cambridge University Press.</w:t>
      </w:r>
    </w:p>
    <w:p w14:paraId="6D0552B7" w14:textId="665C19F8" w:rsidR="00013468" w:rsidRPr="001C3EDC" w:rsidRDefault="00C25D49" w:rsidP="00C25D49">
      <w:pPr>
        <w:spacing w:after="120" w:line="276" w:lineRule="auto"/>
        <w:ind w:left="720" w:hanging="720"/>
        <w:rPr>
          <w:rFonts w:eastAsia="Calibri" w:cs="Times New Roman"/>
          <w:szCs w:val="24"/>
        </w:rPr>
      </w:pPr>
      <w:r w:rsidRPr="001C3EDC">
        <w:rPr>
          <w:rFonts w:eastAsia="Calibri" w:cs="Times New Roman"/>
          <w:szCs w:val="24"/>
        </w:rPr>
        <w:t>Roson, R.</w:t>
      </w:r>
      <w:r w:rsidR="00013468" w:rsidRPr="001C3EDC">
        <w:rPr>
          <w:rFonts w:eastAsia="Calibri" w:cs="Times New Roman"/>
          <w:szCs w:val="24"/>
        </w:rPr>
        <w:t xml:space="preserve">, </w:t>
      </w:r>
      <w:r w:rsidR="001D6778" w:rsidRPr="001C3EDC">
        <w:rPr>
          <w:rFonts w:eastAsia="Calibri" w:cs="Times New Roman"/>
          <w:szCs w:val="24"/>
        </w:rPr>
        <w:t>and</w:t>
      </w:r>
      <w:r w:rsidR="00013468" w:rsidRPr="001C3EDC">
        <w:rPr>
          <w:rFonts w:eastAsia="Calibri" w:cs="Times New Roman"/>
          <w:szCs w:val="24"/>
        </w:rPr>
        <w:t xml:space="preserve"> M</w:t>
      </w:r>
      <w:r w:rsidRPr="001C3EDC">
        <w:rPr>
          <w:rFonts w:eastAsia="Calibri" w:cs="Times New Roman"/>
          <w:szCs w:val="24"/>
        </w:rPr>
        <w:t>.</w:t>
      </w:r>
      <w:r w:rsidR="00013468" w:rsidRPr="001C3EDC">
        <w:rPr>
          <w:rFonts w:eastAsia="Calibri" w:cs="Times New Roman"/>
          <w:szCs w:val="24"/>
        </w:rPr>
        <w:t xml:space="preserve"> Sartori</w:t>
      </w:r>
      <w:r w:rsidR="001D6778" w:rsidRPr="001C3EDC">
        <w:rPr>
          <w:rFonts w:eastAsia="Calibri" w:cs="Times New Roman"/>
          <w:szCs w:val="24"/>
        </w:rPr>
        <w:t>.</w:t>
      </w:r>
      <w:r w:rsidR="00DF1000" w:rsidRPr="001C3EDC">
        <w:rPr>
          <w:rFonts w:eastAsia="Calibri" w:cs="Times New Roman"/>
          <w:szCs w:val="24"/>
        </w:rPr>
        <w:t xml:space="preserve"> 2016</w:t>
      </w:r>
      <w:r w:rsidR="00013468" w:rsidRPr="001C3EDC">
        <w:rPr>
          <w:rFonts w:eastAsia="Calibri" w:cs="Times New Roman"/>
          <w:szCs w:val="24"/>
        </w:rPr>
        <w:t xml:space="preserve">. </w:t>
      </w:r>
      <w:r w:rsidR="001D6778" w:rsidRPr="001C3EDC">
        <w:rPr>
          <w:rFonts w:eastAsia="Calibri" w:cs="Times New Roman"/>
          <w:szCs w:val="24"/>
        </w:rPr>
        <w:t>“</w:t>
      </w:r>
      <w:r w:rsidR="00013468" w:rsidRPr="001C3EDC">
        <w:rPr>
          <w:rFonts w:eastAsia="Calibri" w:cs="Times New Roman"/>
          <w:szCs w:val="24"/>
        </w:rPr>
        <w:t>Estimation of Climate Change Damage Functions for 140 Regions in the GTAP 9 Data Base.</w:t>
      </w:r>
      <w:r w:rsidR="001D6778" w:rsidRPr="001C3EDC">
        <w:rPr>
          <w:rFonts w:eastAsia="Calibri" w:cs="Times New Roman"/>
          <w:szCs w:val="24"/>
        </w:rPr>
        <w:t>”</w:t>
      </w:r>
      <w:r w:rsidR="00013468" w:rsidRPr="001C3EDC">
        <w:rPr>
          <w:rFonts w:eastAsia="Calibri" w:cs="Times New Roman"/>
          <w:szCs w:val="24"/>
        </w:rPr>
        <w:t xml:space="preserve"> </w:t>
      </w:r>
      <w:r w:rsidR="00013468" w:rsidRPr="001C3EDC">
        <w:rPr>
          <w:rFonts w:eastAsia="Calibri" w:cs="Times New Roman"/>
          <w:i/>
          <w:szCs w:val="24"/>
        </w:rPr>
        <w:t>Journal of Global Economic Analysis</w:t>
      </w:r>
      <w:r w:rsidR="00013468" w:rsidRPr="001C3EDC">
        <w:rPr>
          <w:rFonts w:eastAsia="Calibri" w:cs="Times New Roman"/>
          <w:szCs w:val="24"/>
        </w:rPr>
        <w:t xml:space="preserve"> 1</w:t>
      </w:r>
      <w:r w:rsidR="001D6778" w:rsidRPr="001C3EDC">
        <w:rPr>
          <w:rFonts w:eastAsia="Calibri" w:cs="Times New Roman"/>
          <w:szCs w:val="24"/>
        </w:rPr>
        <w:t xml:space="preserve"> (</w:t>
      </w:r>
      <w:r w:rsidR="00013468" w:rsidRPr="001C3EDC">
        <w:rPr>
          <w:rFonts w:eastAsia="Calibri" w:cs="Times New Roman"/>
          <w:szCs w:val="24"/>
        </w:rPr>
        <w:t>2</w:t>
      </w:r>
      <w:r w:rsidR="001D6778" w:rsidRPr="001C3EDC">
        <w:rPr>
          <w:rFonts w:eastAsia="Calibri" w:cs="Times New Roman"/>
          <w:szCs w:val="24"/>
        </w:rPr>
        <w:t>)</w:t>
      </w:r>
      <w:r w:rsidR="00013468" w:rsidRPr="001C3EDC">
        <w:rPr>
          <w:rFonts w:eastAsia="Calibri" w:cs="Times New Roman"/>
          <w:szCs w:val="24"/>
        </w:rPr>
        <w:t>: 78</w:t>
      </w:r>
      <w:r w:rsidR="001D6778" w:rsidRPr="001C3EDC">
        <w:rPr>
          <w:rFonts w:eastAsia="Calibri" w:cs="Times New Roman"/>
          <w:szCs w:val="24"/>
        </w:rPr>
        <w:t>–</w:t>
      </w:r>
      <w:r w:rsidR="00013468" w:rsidRPr="001C3EDC">
        <w:rPr>
          <w:rFonts w:eastAsia="Calibri" w:cs="Times New Roman"/>
          <w:szCs w:val="24"/>
        </w:rPr>
        <w:t>115.</w:t>
      </w:r>
    </w:p>
    <w:p w14:paraId="6081E378" w14:textId="302B2F1F" w:rsidR="004C3206" w:rsidRPr="001C3EDC" w:rsidRDefault="0063197C" w:rsidP="00C25D49">
      <w:pPr>
        <w:spacing w:after="120" w:line="276" w:lineRule="auto"/>
        <w:ind w:left="720" w:hanging="720"/>
        <w:rPr>
          <w:rFonts w:eastAsia="Calibri" w:cs="Times New Roman"/>
          <w:szCs w:val="24"/>
        </w:rPr>
      </w:pPr>
      <w:r w:rsidRPr="001C3EDC">
        <w:rPr>
          <w:rFonts w:eastAsia="Calibri" w:cs="Times New Roman"/>
          <w:szCs w:val="24"/>
        </w:rPr>
        <w:t>Taheripour</w:t>
      </w:r>
      <w:r w:rsidR="001D6778" w:rsidRPr="001C3EDC">
        <w:rPr>
          <w:rFonts w:eastAsia="Calibri" w:cs="Times New Roman"/>
          <w:szCs w:val="24"/>
        </w:rPr>
        <w:t>,</w:t>
      </w:r>
      <w:r w:rsidRPr="001C3EDC">
        <w:rPr>
          <w:rFonts w:eastAsia="Calibri" w:cs="Times New Roman"/>
          <w:szCs w:val="24"/>
        </w:rPr>
        <w:t xml:space="preserve"> F., </w:t>
      </w:r>
      <w:r w:rsidR="001D6778" w:rsidRPr="001C3EDC">
        <w:rPr>
          <w:rFonts w:eastAsia="Calibri" w:cs="Times New Roman"/>
          <w:szCs w:val="24"/>
        </w:rPr>
        <w:t xml:space="preserve">T. </w:t>
      </w:r>
      <w:r w:rsidRPr="001C3EDC">
        <w:rPr>
          <w:rFonts w:eastAsia="Calibri" w:cs="Times New Roman"/>
          <w:szCs w:val="24"/>
        </w:rPr>
        <w:t xml:space="preserve">Hertel, </w:t>
      </w:r>
      <w:r w:rsidR="00F02826" w:rsidRPr="001C3EDC">
        <w:rPr>
          <w:rFonts w:eastAsia="Calibri" w:cs="Times New Roman"/>
          <w:szCs w:val="24"/>
        </w:rPr>
        <w:t xml:space="preserve">B. </w:t>
      </w:r>
      <w:r w:rsidRPr="001C3EDC">
        <w:rPr>
          <w:rFonts w:eastAsia="Calibri" w:cs="Times New Roman"/>
          <w:szCs w:val="24"/>
        </w:rPr>
        <w:t xml:space="preserve">Narayanan, </w:t>
      </w:r>
      <w:r w:rsidR="00F02826" w:rsidRPr="001C3EDC">
        <w:rPr>
          <w:rFonts w:eastAsia="Calibri" w:cs="Times New Roman"/>
          <w:szCs w:val="24"/>
        </w:rPr>
        <w:t xml:space="preserve">S. </w:t>
      </w:r>
      <w:r w:rsidRPr="001C3EDC">
        <w:rPr>
          <w:rFonts w:eastAsia="Calibri" w:cs="Times New Roman"/>
          <w:szCs w:val="24"/>
        </w:rPr>
        <w:t>Sahin</w:t>
      </w:r>
      <w:r w:rsidR="00F02826" w:rsidRPr="001C3EDC">
        <w:rPr>
          <w:rFonts w:eastAsia="Calibri" w:cs="Times New Roman"/>
          <w:szCs w:val="24"/>
        </w:rPr>
        <w:t>,</w:t>
      </w:r>
      <w:r w:rsidRPr="001C3EDC">
        <w:rPr>
          <w:rFonts w:eastAsia="Calibri" w:cs="Times New Roman"/>
          <w:szCs w:val="24"/>
        </w:rPr>
        <w:t xml:space="preserve"> and B.</w:t>
      </w:r>
      <w:r w:rsidR="00F02826" w:rsidRPr="001C3EDC">
        <w:rPr>
          <w:rFonts w:eastAsia="Calibri" w:cs="Times New Roman"/>
          <w:szCs w:val="24"/>
        </w:rPr>
        <w:t xml:space="preserve"> </w:t>
      </w:r>
      <w:r w:rsidRPr="001C3EDC">
        <w:rPr>
          <w:rFonts w:eastAsia="Calibri" w:cs="Times New Roman"/>
          <w:szCs w:val="24"/>
        </w:rPr>
        <w:t>K. Mitra</w:t>
      </w:r>
      <w:r w:rsidR="00F02826" w:rsidRPr="001C3EDC">
        <w:rPr>
          <w:rFonts w:eastAsia="Calibri" w:cs="Times New Roman"/>
          <w:szCs w:val="24"/>
        </w:rPr>
        <w:t>. 2016.</w:t>
      </w:r>
      <w:r w:rsidRPr="001C3EDC">
        <w:rPr>
          <w:rFonts w:eastAsia="Calibri" w:cs="Times New Roman"/>
          <w:szCs w:val="24"/>
        </w:rPr>
        <w:t xml:space="preserve"> “Economic and Land Use Impacts of Improving Water Use Efficiency in Irrigation in South Asia</w:t>
      </w:r>
      <w:r w:rsidR="00F02826" w:rsidRPr="001C3EDC">
        <w:rPr>
          <w:rFonts w:eastAsia="Calibri" w:cs="Times New Roman"/>
          <w:szCs w:val="24"/>
        </w:rPr>
        <w:t>.</w:t>
      </w:r>
      <w:r w:rsidRPr="001C3EDC">
        <w:rPr>
          <w:rFonts w:eastAsia="Calibri" w:cs="Times New Roman"/>
          <w:szCs w:val="24"/>
        </w:rPr>
        <w:t xml:space="preserve">” </w:t>
      </w:r>
      <w:r w:rsidRPr="001C3EDC">
        <w:rPr>
          <w:rFonts w:eastAsia="Calibri" w:cs="Times New Roman"/>
          <w:i/>
          <w:szCs w:val="24"/>
        </w:rPr>
        <w:t>Journal of Environmental Protection</w:t>
      </w:r>
      <w:r w:rsidRPr="001C3EDC">
        <w:rPr>
          <w:rFonts w:eastAsia="Calibri" w:cs="Times New Roman"/>
          <w:szCs w:val="24"/>
        </w:rPr>
        <w:t xml:space="preserve"> 7</w:t>
      </w:r>
      <w:r w:rsidR="00F02826" w:rsidRPr="001C3EDC">
        <w:rPr>
          <w:rFonts w:eastAsia="Calibri" w:cs="Times New Roman"/>
          <w:szCs w:val="24"/>
        </w:rPr>
        <w:t>:</w:t>
      </w:r>
      <w:r w:rsidRPr="001C3EDC">
        <w:rPr>
          <w:rFonts w:eastAsia="Calibri" w:cs="Times New Roman"/>
          <w:szCs w:val="24"/>
        </w:rPr>
        <w:t xml:space="preserve"> 1571</w:t>
      </w:r>
      <w:r w:rsidR="00F02826" w:rsidRPr="001C3EDC">
        <w:rPr>
          <w:rFonts w:eastAsia="Calibri" w:cs="Times New Roman"/>
          <w:szCs w:val="24"/>
        </w:rPr>
        <w:t>–</w:t>
      </w:r>
      <w:r w:rsidRPr="001C3EDC">
        <w:rPr>
          <w:rFonts w:eastAsia="Calibri" w:cs="Times New Roman"/>
          <w:szCs w:val="24"/>
        </w:rPr>
        <w:t xml:space="preserve">1591. </w:t>
      </w:r>
    </w:p>
    <w:p w14:paraId="489499A3" w14:textId="63D4B7BC" w:rsidR="000830BF" w:rsidRPr="001C3EDC" w:rsidRDefault="004C3206" w:rsidP="00C25D49">
      <w:pPr>
        <w:spacing w:after="120" w:line="276" w:lineRule="auto"/>
        <w:ind w:left="720" w:hanging="720"/>
        <w:rPr>
          <w:rFonts w:eastAsia="Calibri" w:cs="Times New Roman"/>
          <w:szCs w:val="24"/>
        </w:rPr>
      </w:pPr>
      <w:r w:rsidRPr="001C3EDC">
        <w:rPr>
          <w:rFonts w:eastAsia="Calibri" w:cs="Times New Roman"/>
          <w:szCs w:val="24"/>
        </w:rPr>
        <w:t xml:space="preserve">Taheripour, F., T. Hertel, and W. Tyner. 2011. “Implications of Biofuels Mandates for the Global Livestock Industry: A Computable General Equilibrium Analysis.” </w:t>
      </w:r>
      <w:r w:rsidRPr="001C3EDC">
        <w:rPr>
          <w:rFonts w:eastAsia="Calibri" w:cs="Times New Roman"/>
          <w:i/>
          <w:szCs w:val="24"/>
        </w:rPr>
        <w:t>Agricultural Economics</w:t>
      </w:r>
      <w:r w:rsidRPr="001C3EDC">
        <w:rPr>
          <w:rFonts w:eastAsia="Calibri" w:cs="Times New Roman"/>
          <w:szCs w:val="24"/>
        </w:rPr>
        <w:t xml:space="preserve"> 42 (3):</w:t>
      </w:r>
      <w:r w:rsidR="006346FC" w:rsidRPr="001C3EDC">
        <w:rPr>
          <w:rFonts w:eastAsia="Calibri" w:cs="Times New Roman"/>
          <w:szCs w:val="24"/>
        </w:rPr>
        <w:t xml:space="preserve"> 325–342.</w:t>
      </w:r>
    </w:p>
    <w:p w14:paraId="4E462BC3" w14:textId="77777777" w:rsidR="00BB6CAF" w:rsidRPr="001C3EDC" w:rsidRDefault="00BB6CAF" w:rsidP="00C25D49">
      <w:pPr>
        <w:spacing w:after="120" w:line="276" w:lineRule="auto"/>
        <w:ind w:left="720" w:hanging="720"/>
        <w:rPr>
          <w:rFonts w:eastAsia="Calibri" w:cs="Times New Roman"/>
          <w:szCs w:val="24"/>
        </w:rPr>
      </w:pPr>
      <w:r w:rsidRPr="001C3EDC">
        <w:rPr>
          <w:rFonts w:eastAsia="Calibri" w:cs="Times New Roman"/>
          <w:szCs w:val="24"/>
        </w:rPr>
        <w:lastRenderedPageBreak/>
        <w:t xml:space="preserve">Tol, R., and S. Fankhauser. 1998. “The Value of Human Life in Global Warming Impacts: A Comment.” </w:t>
      </w:r>
      <w:r w:rsidRPr="001C3EDC">
        <w:rPr>
          <w:rFonts w:eastAsia="Calibri" w:cs="Times New Roman"/>
          <w:i/>
          <w:szCs w:val="24"/>
        </w:rPr>
        <w:t>Mitigation and Adaptation Strategies for Global Change</w:t>
      </w:r>
      <w:r w:rsidRPr="001C3EDC">
        <w:rPr>
          <w:rFonts w:eastAsia="Calibri" w:cs="Times New Roman"/>
          <w:szCs w:val="24"/>
        </w:rPr>
        <w:t xml:space="preserve"> 3: 87–88.</w:t>
      </w:r>
    </w:p>
    <w:p w14:paraId="1E3DFBEA" w14:textId="0EA44012" w:rsidR="000830BF" w:rsidRPr="001C3EDC" w:rsidRDefault="000830BF" w:rsidP="00C25D49">
      <w:pPr>
        <w:spacing w:after="120" w:line="276" w:lineRule="auto"/>
        <w:ind w:left="720" w:hanging="720"/>
        <w:rPr>
          <w:rFonts w:eastAsia="Calibri" w:cs="Times New Roman"/>
          <w:szCs w:val="24"/>
        </w:rPr>
      </w:pPr>
      <w:r w:rsidRPr="001C3EDC">
        <w:rPr>
          <w:rFonts w:eastAsia="Calibri" w:cs="Times New Roman"/>
          <w:szCs w:val="24"/>
        </w:rPr>
        <w:t>Tyner</w:t>
      </w:r>
      <w:r w:rsidR="006A1411" w:rsidRPr="001C3EDC">
        <w:rPr>
          <w:rFonts w:eastAsia="Calibri" w:cs="Times New Roman"/>
          <w:szCs w:val="24"/>
        </w:rPr>
        <w:t>,</w:t>
      </w:r>
      <w:r w:rsidRPr="001C3EDC">
        <w:rPr>
          <w:rFonts w:eastAsia="Calibri" w:cs="Times New Roman"/>
          <w:szCs w:val="24"/>
        </w:rPr>
        <w:t xml:space="preserve"> W., </w:t>
      </w:r>
      <w:r w:rsidR="006A1411" w:rsidRPr="001C3EDC">
        <w:rPr>
          <w:rFonts w:eastAsia="Calibri" w:cs="Times New Roman"/>
          <w:szCs w:val="24"/>
        </w:rPr>
        <w:t xml:space="preserve">F. </w:t>
      </w:r>
      <w:r w:rsidRPr="001C3EDC">
        <w:rPr>
          <w:rFonts w:eastAsia="Calibri" w:cs="Times New Roman"/>
          <w:szCs w:val="24"/>
        </w:rPr>
        <w:t xml:space="preserve">Taheripour, </w:t>
      </w:r>
      <w:r w:rsidR="006A1411" w:rsidRPr="001C3EDC">
        <w:rPr>
          <w:rFonts w:eastAsia="Calibri" w:cs="Times New Roman"/>
          <w:szCs w:val="24"/>
        </w:rPr>
        <w:t xml:space="preserve">Q. </w:t>
      </w:r>
      <w:r w:rsidRPr="001C3EDC">
        <w:rPr>
          <w:rFonts w:eastAsia="Calibri" w:cs="Times New Roman"/>
          <w:szCs w:val="24"/>
        </w:rPr>
        <w:t xml:space="preserve">Zhuang, </w:t>
      </w:r>
      <w:r w:rsidR="006A1411" w:rsidRPr="001C3EDC">
        <w:rPr>
          <w:rFonts w:eastAsia="Calibri" w:cs="Times New Roman"/>
          <w:szCs w:val="24"/>
        </w:rPr>
        <w:t xml:space="preserve">D. </w:t>
      </w:r>
      <w:r w:rsidRPr="001C3EDC">
        <w:rPr>
          <w:rFonts w:eastAsia="Calibri" w:cs="Times New Roman"/>
          <w:szCs w:val="24"/>
        </w:rPr>
        <w:t xml:space="preserve">Birur, </w:t>
      </w:r>
      <w:r w:rsidR="006A1411" w:rsidRPr="001C3EDC">
        <w:rPr>
          <w:rFonts w:eastAsia="Calibri" w:cs="Times New Roman"/>
          <w:szCs w:val="24"/>
        </w:rPr>
        <w:t xml:space="preserve">and U. </w:t>
      </w:r>
      <w:r w:rsidRPr="001C3EDC">
        <w:rPr>
          <w:rFonts w:eastAsia="Calibri" w:cs="Times New Roman"/>
          <w:szCs w:val="24"/>
        </w:rPr>
        <w:t>Baldos</w:t>
      </w:r>
      <w:r w:rsidR="006A1411" w:rsidRPr="001C3EDC">
        <w:rPr>
          <w:rFonts w:eastAsia="Calibri" w:cs="Times New Roman"/>
          <w:szCs w:val="24"/>
        </w:rPr>
        <w:t>.</w:t>
      </w:r>
      <w:r w:rsidRPr="001C3EDC">
        <w:rPr>
          <w:rFonts w:eastAsia="Calibri" w:cs="Times New Roman"/>
          <w:szCs w:val="24"/>
        </w:rPr>
        <w:t xml:space="preserve"> 2011</w:t>
      </w:r>
      <w:r w:rsidR="006A1411" w:rsidRPr="001C3EDC">
        <w:rPr>
          <w:rFonts w:eastAsia="Calibri" w:cs="Times New Roman"/>
          <w:szCs w:val="24"/>
        </w:rPr>
        <w:t>.</w:t>
      </w:r>
      <w:r w:rsidRPr="001C3EDC">
        <w:rPr>
          <w:rFonts w:eastAsia="Calibri" w:cs="Times New Roman"/>
          <w:szCs w:val="24"/>
        </w:rPr>
        <w:t xml:space="preserve"> </w:t>
      </w:r>
      <w:r w:rsidRPr="001C3EDC">
        <w:rPr>
          <w:rFonts w:eastAsia="Calibri" w:cs="Times New Roman"/>
          <w:i/>
          <w:szCs w:val="24"/>
        </w:rPr>
        <w:t>Land Use Changes and Consequent CO</w:t>
      </w:r>
      <w:r w:rsidRPr="001C3EDC">
        <w:rPr>
          <w:rFonts w:eastAsia="Calibri" w:cs="Times New Roman"/>
          <w:i/>
          <w:szCs w:val="24"/>
          <w:vertAlign w:val="subscript"/>
        </w:rPr>
        <w:t>2</w:t>
      </w:r>
      <w:r w:rsidRPr="001C3EDC">
        <w:rPr>
          <w:rFonts w:eastAsia="Calibri" w:cs="Times New Roman"/>
          <w:i/>
          <w:szCs w:val="24"/>
        </w:rPr>
        <w:t xml:space="preserve"> Emissions due to US Corn Ethanol Production: A Comprehensive Analysis</w:t>
      </w:r>
      <w:r w:rsidR="006A1411" w:rsidRPr="001C3EDC">
        <w:rPr>
          <w:rFonts w:eastAsia="Calibri" w:cs="Times New Roman"/>
          <w:szCs w:val="24"/>
        </w:rPr>
        <w:t>.</w:t>
      </w:r>
      <w:r w:rsidRPr="001C3EDC">
        <w:rPr>
          <w:rFonts w:eastAsia="Calibri" w:cs="Times New Roman"/>
          <w:szCs w:val="24"/>
        </w:rPr>
        <w:t xml:space="preserve"> Report to Argonne National Laboratory, Department of Agricultural Economics, Purdue University. West Lafayette, IN, USA. </w:t>
      </w:r>
    </w:p>
    <w:p w14:paraId="4AF5F55B" w14:textId="427DFB41" w:rsidR="000830BF" w:rsidRPr="001C3EDC" w:rsidRDefault="000830BF" w:rsidP="00C25D49">
      <w:pPr>
        <w:spacing w:after="120" w:line="276" w:lineRule="auto"/>
        <w:ind w:left="720" w:hanging="720"/>
        <w:rPr>
          <w:rFonts w:eastAsia="Calibri" w:cs="Times New Roman"/>
          <w:szCs w:val="24"/>
        </w:rPr>
      </w:pPr>
      <w:r w:rsidRPr="001C3EDC">
        <w:rPr>
          <w:rFonts w:eastAsia="Calibri" w:cs="Times New Roman"/>
          <w:szCs w:val="24"/>
        </w:rPr>
        <w:t>Willis</w:t>
      </w:r>
      <w:r w:rsidR="00CC26A9" w:rsidRPr="001C3EDC">
        <w:rPr>
          <w:rFonts w:eastAsia="Calibri" w:cs="Times New Roman"/>
          <w:szCs w:val="24"/>
        </w:rPr>
        <w:t xml:space="preserve"> D, Rainwater K., Tewari R., Stovall J., Hayhoe K., Hernandez A., Mauget S., Leiker G., and J. Johnson</w:t>
      </w:r>
      <w:r w:rsidRPr="001C3EDC">
        <w:rPr>
          <w:rFonts w:eastAsia="Calibri" w:cs="Times New Roman"/>
          <w:szCs w:val="24"/>
        </w:rPr>
        <w:t>. 2014</w:t>
      </w:r>
      <w:r w:rsidR="00D21C21" w:rsidRPr="001C3EDC">
        <w:rPr>
          <w:rFonts w:eastAsia="Calibri" w:cs="Times New Roman"/>
          <w:szCs w:val="24"/>
        </w:rPr>
        <w:t>.</w:t>
      </w:r>
      <w:r w:rsidRPr="001C3EDC">
        <w:rPr>
          <w:rFonts w:eastAsia="Calibri" w:cs="Times New Roman"/>
          <w:szCs w:val="24"/>
        </w:rPr>
        <w:t xml:space="preserve"> </w:t>
      </w:r>
      <w:r w:rsidR="00D21C21" w:rsidRPr="001C3EDC">
        <w:rPr>
          <w:rFonts w:eastAsia="Calibri" w:cs="Times New Roman"/>
          <w:szCs w:val="24"/>
        </w:rPr>
        <w:t>“</w:t>
      </w:r>
      <w:r w:rsidRPr="001C3EDC">
        <w:rPr>
          <w:rFonts w:eastAsia="Calibri" w:cs="Times New Roman"/>
          <w:szCs w:val="24"/>
        </w:rPr>
        <w:t xml:space="preserve">Projecting the </w:t>
      </w:r>
      <w:r w:rsidR="00D21C21" w:rsidRPr="001C3EDC">
        <w:rPr>
          <w:rFonts w:eastAsia="Calibri" w:cs="Times New Roman"/>
          <w:szCs w:val="24"/>
        </w:rPr>
        <w:t>E</w:t>
      </w:r>
      <w:r w:rsidRPr="001C3EDC">
        <w:rPr>
          <w:rFonts w:eastAsia="Calibri" w:cs="Times New Roman"/>
          <w:szCs w:val="24"/>
        </w:rPr>
        <w:t xml:space="preserve">conomic </w:t>
      </w:r>
      <w:r w:rsidR="00D21C21" w:rsidRPr="001C3EDC">
        <w:rPr>
          <w:rFonts w:eastAsia="Calibri" w:cs="Times New Roman"/>
          <w:szCs w:val="24"/>
        </w:rPr>
        <w:t>I</w:t>
      </w:r>
      <w:r w:rsidRPr="001C3EDC">
        <w:rPr>
          <w:rFonts w:eastAsia="Calibri" w:cs="Times New Roman"/>
          <w:szCs w:val="24"/>
        </w:rPr>
        <w:t xml:space="preserve">mpact and </w:t>
      </w:r>
      <w:r w:rsidR="00D21C21" w:rsidRPr="001C3EDC">
        <w:rPr>
          <w:rFonts w:eastAsia="Calibri" w:cs="Times New Roman"/>
          <w:szCs w:val="24"/>
        </w:rPr>
        <w:t>L</w:t>
      </w:r>
      <w:r w:rsidRPr="001C3EDC">
        <w:rPr>
          <w:rFonts w:eastAsia="Calibri" w:cs="Times New Roman"/>
          <w:szCs w:val="24"/>
        </w:rPr>
        <w:t xml:space="preserve">evel of </w:t>
      </w:r>
      <w:r w:rsidR="00D21C21" w:rsidRPr="001C3EDC">
        <w:rPr>
          <w:rFonts w:eastAsia="Calibri" w:cs="Times New Roman"/>
          <w:szCs w:val="24"/>
        </w:rPr>
        <w:t>G</w:t>
      </w:r>
      <w:r w:rsidRPr="001C3EDC">
        <w:rPr>
          <w:rFonts w:eastAsia="Calibri" w:cs="Times New Roman"/>
          <w:szCs w:val="24"/>
        </w:rPr>
        <w:t xml:space="preserve">roundwater </w:t>
      </w:r>
      <w:r w:rsidR="00D21C21" w:rsidRPr="001C3EDC">
        <w:rPr>
          <w:rFonts w:eastAsia="Calibri" w:cs="Times New Roman"/>
          <w:szCs w:val="24"/>
        </w:rPr>
        <w:t>U</w:t>
      </w:r>
      <w:r w:rsidRPr="001C3EDC">
        <w:rPr>
          <w:rFonts w:eastAsia="Calibri" w:cs="Times New Roman"/>
          <w:szCs w:val="24"/>
        </w:rPr>
        <w:t xml:space="preserve">se in the Southern High Plains under </w:t>
      </w:r>
      <w:r w:rsidR="00D21C21" w:rsidRPr="001C3EDC">
        <w:rPr>
          <w:rFonts w:eastAsia="Calibri" w:cs="Times New Roman"/>
          <w:szCs w:val="24"/>
        </w:rPr>
        <w:t>A</w:t>
      </w:r>
      <w:r w:rsidRPr="001C3EDC">
        <w:rPr>
          <w:rFonts w:eastAsia="Calibri" w:cs="Times New Roman"/>
          <w:szCs w:val="24"/>
        </w:rPr>
        <w:t xml:space="preserve">lternative </w:t>
      </w:r>
      <w:r w:rsidR="00D21C21" w:rsidRPr="001C3EDC">
        <w:rPr>
          <w:rFonts w:eastAsia="Calibri" w:cs="Times New Roman"/>
          <w:szCs w:val="24"/>
        </w:rPr>
        <w:t>C</w:t>
      </w:r>
      <w:r w:rsidRPr="001C3EDC">
        <w:rPr>
          <w:rFonts w:eastAsia="Calibri" w:cs="Times New Roman"/>
          <w:szCs w:val="24"/>
        </w:rPr>
        <w:t xml:space="preserve">limate </w:t>
      </w:r>
      <w:r w:rsidR="00D21C21" w:rsidRPr="001C3EDC">
        <w:rPr>
          <w:rFonts w:eastAsia="Calibri" w:cs="Times New Roman"/>
          <w:szCs w:val="24"/>
        </w:rPr>
        <w:t>C</w:t>
      </w:r>
      <w:r w:rsidRPr="001C3EDC">
        <w:rPr>
          <w:rFonts w:eastAsia="Calibri" w:cs="Times New Roman"/>
          <w:szCs w:val="24"/>
        </w:rPr>
        <w:t xml:space="preserve">hange </w:t>
      </w:r>
      <w:r w:rsidR="00D21C21" w:rsidRPr="001C3EDC">
        <w:rPr>
          <w:rFonts w:eastAsia="Calibri" w:cs="Times New Roman"/>
          <w:szCs w:val="24"/>
        </w:rPr>
        <w:t>F</w:t>
      </w:r>
      <w:r w:rsidRPr="001C3EDC">
        <w:rPr>
          <w:rFonts w:eastAsia="Calibri" w:cs="Times New Roman"/>
          <w:szCs w:val="24"/>
        </w:rPr>
        <w:t xml:space="preserve">orecasts using a </w:t>
      </w:r>
      <w:r w:rsidR="00D21C21" w:rsidRPr="001C3EDC">
        <w:rPr>
          <w:rFonts w:eastAsia="Calibri" w:cs="Times New Roman"/>
          <w:szCs w:val="24"/>
        </w:rPr>
        <w:t>C</w:t>
      </w:r>
      <w:r w:rsidRPr="001C3EDC">
        <w:rPr>
          <w:rFonts w:eastAsia="Calibri" w:cs="Times New Roman"/>
          <w:szCs w:val="24"/>
        </w:rPr>
        <w:t xml:space="preserve">oupled </w:t>
      </w:r>
      <w:r w:rsidR="00D21C21" w:rsidRPr="001C3EDC">
        <w:rPr>
          <w:rFonts w:eastAsia="Calibri" w:cs="Times New Roman"/>
          <w:szCs w:val="24"/>
        </w:rPr>
        <w:t>E</w:t>
      </w:r>
      <w:r w:rsidRPr="001C3EDC">
        <w:rPr>
          <w:rFonts w:eastAsia="Calibri" w:cs="Times New Roman"/>
          <w:szCs w:val="24"/>
        </w:rPr>
        <w:t xml:space="preserve">conomic and </w:t>
      </w:r>
      <w:r w:rsidR="00D21C21" w:rsidRPr="001C3EDC">
        <w:rPr>
          <w:rFonts w:eastAsia="Calibri" w:cs="Times New Roman"/>
          <w:szCs w:val="24"/>
        </w:rPr>
        <w:t>H</w:t>
      </w:r>
      <w:r w:rsidRPr="001C3EDC">
        <w:rPr>
          <w:rFonts w:eastAsia="Calibri" w:cs="Times New Roman"/>
          <w:szCs w:val="24"/>
        </w:rPr>
        <w:t xml:space="preserve">ydrologic </w:t>
      </w:r>
      <w:r w:rsidR="00D21C21" w:rsidRPr="001C3EDC">
        <w:rPr>
          <w:rFonts w:eastAsia="Calibri" w:cs="Times New Roman"/>
          <w:szCs w:val="24"/>
        </w:rPr>
        <w:t>M</w:t>
      </w:r>
      <w:r w:rsidRPr="001C3EDC">
        <w:rPr>
          <w:rFonts w:eastAsia="Calibri" w:cs="Times New Roman"/>
          <w:szCs w:val="24"/>
        </w:rPr>
        <w:t>odel</w:t>
      </w:r>
      <w:r w:rsidR="00D21C21" w:rsidRPr="001C3EDC">
        <w:rPr>
          <w:rFonts w:eastAsia="Calibri" w:cs="Times New Roman"/>
          <w:szCs w:val="24"/>
        </w:rPr>
        <w:t>.”</w:t>
      </w:r>
      <w:r w:rsidRPr="001C3EDC">
        <w:rPr>
          <w:rFonts w:eastAsia="Calibri" w:cs="Times New Roman"/>
          <w:szCs w:val="24"/>
        </w:rPr>
        <w:t xml:space="preserve"> AAEA Annual Meeting, Minneapolis, MN.</w:t>
      </w:r>
    </w:p>
    <w:p w14:paraId="58D28A7C" w14:textId="1D3FA0AE" w:rsidR="000830BF" w:rsidRPr="001C3EDC" w:rsidRDefault="000830BF" w:rsidP="00C25D49">
      <w:pPr>
        <w:spacing w:after="120" w:line="276" w:lineRule="auto"/>
        <w:ind w:left="720" w:hanging="720"/>
        <w:rPr>
          <w:rFonts w:eastAsia="Calibri" w:cs="Times New Roman"/>
          <w:szCs w:val="24"/>
        </w:rPr>
      </w:pPr>
      <w:r w:rsidRPr="001C3EDC">
        <w:rPr>
          <w:rFonts w:eastAsia="Calibri" w:cs="Times New Roman"/>
          <w:szCs w:val="24"/>
        </w:rPr>
        <w:t>World Bank</w:t>
      </w:r>
      <w:r w:rsidR="00EA0119" w:rsidRPr="001C3EDC">
        <w:rPr>
          <w:rFonts w:eastAsia="Calibri" w:cs="Times New Roman"/>
          <w:szCs w:val="24"/>
        </w:rPr>
        <w:t>.</w:t>
      </w:r>
      <w:r w:rsidRPr="001C3EDC">
        <w:rPr>
          <w:rFonts w:eastAsia="Calibri" w:cs="Times New Roman"/>
          <w:szCs w:val="24"/>
        </w:rPr>
        <w:t xml:space="preserve"> 2012</w:t>
      </w:r>
      <w:r w:rsidR="00EA0119" w:rsidRPr="001C3EDC">
        <w:rPr>
          <w:rFonts w:eastAsia="Calibri" w:cs="Times New Roman"/>
          <w:szCs w:val="24"/>
        </w:rPr>
        <w:t>.</w:t>
      </w:r>
      <w:r w:rsidRPr="001C3EDC">
        <w:rPr>
          <w:rFonts w:eastAsia="Calibri" w:cs="Times New Roman"/>
          <w:szCs w:val="24"/>
        </w:rPr>
        <w:t xml:space="preserve"> </w:t>
      </w:r>
      <w:r w:rsidRPr="001C3EDC">
        <w:rPr>
          <w:rFonts w:eastAsia="Calibri" w:cs="Times New Roman"/>
          <w:i/>
          <w:szCs w:val="24"/>
        </w:rPr>
        <w:t>Greening India’s Growth</w:t>
      </w:r>
      <w:r w:rsidR="00EA0119" w:rsidRPr="001C3EDC">
        <w:rPr>
          <w:rFonts w:eastAsia="Calibri" w:cs="Times New Roman"/>
          <w:szCs w:val="24"/>
        </w:rPr>
        <w:t>.</w:t>
      </w:r>
      <w:r w:rsidRPr="001C3EDC">
        <w:rPr>
          <w:rFonts w:eastAsia="Calibri" w:cs="Times New Roman"/>
          <w:szCs w:val="24"/>
        </w:rPr>
        <w:t xml:space="preserve"> Washington</w:t>
      </w:r>
      <w:r w:rsidR="00EA0119" w:rsidRPr="001C3EDC">
        <w:rPr>
          <w:rFonts w:eastAsia="Calibri" w:cs="Times New Roman"/>
          <w:szCs w:val="24"/>
        </w:rPr>
        <w:t>,</w:t>
      </w:r>
      <w:r w:rsidRPr="001C3EDC">
        <w:rPr>
          <w:rFonts w:eastAsia="Calibri" w:cs="Times New Roman"/>
          <w:szCs w:val="24"/>
        </w:rPr>
        <w:t xml:space="preserve"> DC</w:t>
      </w:r>
      <w:r w:rsidR="00EA0119" w:rsidRPr="001C3EDC">
        <w:rPr>
          <w:rFonts w:eastAsia="Calibri" w:cs="Times New Roman"/>
          <w:szCs w:val="24"/>
        </w:rPr>
        <w:t>: World Bank</w:t>
      </w:r>
      <w:r w:rsidRPr="001C3EDC">
        <w:rPr>
          <w:rFonts w:eastAsia="Calibri" w:cs="Times New Roman"/>
          <w:szCs w:val="24"/>
        </w:rPr>
        <w:t>.</w:t>
      </w:r>
    </w:p>
    <w:p w14:paraId="20179C81" w14:textId="7AC3612D" w:rsidR="000830BF" w:rsidRPr="001C3EDC" w:rsidRDefault="00DE696D" w:rsidP="00C25D49">
      <w:pPr>
        <w:spacing w:after="120" w:line="276" w:lineRule="auto"/>
        <w:ind w:left="720" w:hanging="720"/>
        <w:rPr>
          <w:rFonts w:eastAsia="Calibri" w:cs="Times New Roman"/>
          <w:szCs w:val="24"/>
        </w:rPr>
      </w:pPr>
      <w:r w:rsidRPr="001C3EDC">
        <w:rPr>
          <w:rFonts w:eastAsia="Calibri" w:cs="Times New Roman"/>
          <w:szCs w:val="24"/>
        </w:rPr>
        <w:t>———</w:t>
      </w:r>
      <w:r w:rsidR="00EA0119" w:rsidRPr="001C3EDC">
        <w:rPr>
          <w:rFonts w:eastAsia="Calibri" w:cs="Times New Roman"/>
          <w:szCs w:val="24"/>
        </w:rPr>
        <w:t>.</w:t>
      </w:r>
      <w:r w:rsidR="000830BF" w:rsidRPr="001C3EDC">
        <w:rPr>
          <w:rFonts w:eastAsia="Calibri" w:cs="Times New Roman"/>
          <w:szCs w:val="24"/>
        </w:rPr>
        <w:t xml:space="preserve"> 2016</w:t>
      </w:r>
      <w:r w:rsidRPr="001C3EDC">
        <w:rPr>
          <w:rFonts w:eastAsia="Calibri" w:cs="Times New Roman"/>
          <w:szCs w:val="24"/>
        </w:rPr>
        <w:t>a</w:t>
      </w:r>
      <w:r w:rsidR="00EA0119" w:rsidRPr="001C3EDC">
        <w:rPr>
          <w:rFonts w:eastAsia="Calibri" w:cs="Times New Roman"/>
          <w:szCs w:val="24"/>
        </w:rPr>
        <w:t>.</w:t>
      </w:r>
      <w:r w:rsidR="000830BF" w:rsidRPr="001C3EDC">
        <w:rPr>
          <w:rFonts w:eastAsia="Calibri" w:cs="Times New Roman"/>
          <w:szCs w:val="24"/>
        </w:rPr>
        <w:t xml:space="preserve"> </w:t>
      </w:r>
      <w:r w:rsidR="000830BF" w:rsidRPr="001C3EDC">
        <w:rPr>
          <w:rFonts w:eastAsia="Calibri" w:cs="Times New Roman"/>
          <w:i/>
          <w:szCs w:val="24"/>
        </w:rPr>
        <w:t>Georgia Country Environmental Analysis</w:t>
      </w:r>
      <w:r w:rsidR="00EA0119" w:rsidRPr="001C3EDC">
        <w:rPr>
          <w:rFonts w:eastAsia="Calibri" w:cs="Times New Roman"/>
          <w:szCs w:val="24"/>
        </w:rPr>
        <w:t>.</w:t>
      </w:r>
      <w:r w:rsidR="000830BF" w:rsidRPr="001C3EDC">
        <w:rPr>
          <w:rFonts w:eastAsia="Calibri" w:cs="Times New Roman"/>
          <w:szCs w:val="24"/>
        </w:rPr>
        <w:t xml:space="preserve"> Washington</w:t>
      </w:r>
      <w:r w:rsidR="00EA0119" w:rsidRPr="001C3EDC">
        <w:rPr>
          <w:rFonts w:eastAsia="Calibri" w:cs="Times New Roman"/>
          <w:szCs w:val="24"/>
        </w:rPr>
        <w:t>,</w:t>
      </w:r>
      <w:r w:rsidR="000830BF" w:rsidRPr="001C3EDC">
        <w:rPr>
          <w:rFonts w:eastAsia="Calibri" w:cs="Times New Roman"/>
          <w:szCs w:val="24"/>
        </w:rPr>
        <w:t xml:space="preserve"> DC</w:t>
      </w:r>
      <w:r w:rsidR="00EA0119" w:rsidRPr="001C3EDC">
        <w:rPr>
          <w:rFonts w:eastAsia="Calibri" w:cs="Times New Roman"/>
          <w:szCs w:val="24"/>
        </w:rPr>
        <w:t>: World Bank</w:t>
      </w:r>
      <w:r w:rsidR="000830BF" w:rsidRPr="001C3EDC">
        <w:rPr>
          <w:rFonts w:eastAsia="Calibri" w:cs="Times New Roman"/>
          <w:szCs w:val="24"/>
        </w:rPr>
        <w:t xml:space="preserve">. </w:t>
      </w:r>
    </w:p>
    <w:p w14:paraId="44DBB217" w14:textId="59EE6581" w:rsidR="000830BF" w:rsidRPr="001C3EDC" w:rsidRDefault="00DE696D" w:rsidP="00C25D49">
      <w:pPr>
        <w:spacing w:after="120" w:line="276" w:lineRule="auto"/>
        <w:ind w:left="720" w:hanging="720"/>
        <w:rPr>
          <w:rFonts w:eastAsia="Calibri" w:cs="Times New Roman"/>
          <w:szCs w:val="24"/>
        </w:rPr>
      </w:pPr>
      <w:r w:rsidRPr="001C3EDC">
        <w:rPr>
          <w:rFonts w:eastAsia="Calibri" w:cs="Times New Roman"/>
          <w:szCs w:val="24"/>
        </w:rPr>
        <w:t>———</w:t>
      </w:r>
      <w:r w:rsidR="00EA0119" w:rsidRPr="001C3EDC">
        <w:rPr>
          <w:rFonts w:eastAsia="Calibri" w:cs="Times New Roman"/>
          <w:szCs w:val="24"/>
        </w:rPr>
        <w:t>.</w:t>
      </w:r>
      <w:r w:rsidR="000830BF" w:rsidRPr="001C3EDC">
        <w:rPr>
          <w:rFonts w:eastAsia="Calibri" w:cs="Times New Roman"/>
          <w:szCs w:val="24"/>
        </w:rPr>
        <w:t xml:space="preserve"> 2016</w:t>
      </w:r>
      <w:r w:rsidRPr="001C3EDC">
        <w:rPr>
          <w:rFonts w:eastAsia="Calibri" w:cs="Times New Roman"/>
          <w:szCs w:val="24"/>
        </w:rPr>
        <w:t>b</w:t>
      </w:r>
      <w:r w:rsidR="00EA0119" w:rsidRPr="001C3EDC">
        <w:rPr>
          <w:rFonts w:eastAsia="Calibri" w:cs="Times New Roman"/>
          <w:szCs w:val="24"/>
        </w:rPr>
        <w:t>.</w:t>
      </w:r>
      <w:r w:rsidR="000830BF" w:rsidRPr="001C3EDC">
        <w:rPr>
          <w:rFonts w:eastAsia="Calibri" w:cs="Times New Roman"/>
          <w:szCs w:val="24"/>
        </w:rPr>
        <w:t xml:space="preserve"> </w:t>
      </w:r>
      <w:r w:rsidR="000830BF" w:rsidRPr="001C3EDC">
        <w:rPr>
          <w:rFonts w:eastAsia="Calibri" w:cs="Times New Roman"/>
          <w:i/>
          <w:szCs w:val="24"/>
        </w:rPr>
        <w:t>An Evaluation of Climate Change on Water Resources in the Sava River Basin</w:t>
      </w:r>
      <w:r w:rsidR="00EA0119" w:rsidRPr="001C3EDC">
        <w:rPr>
          <w:rFonts w:eastAsia="Calibri" w:cs="Times New Roman"/>
          <w:szCs w:val="24"/>
        </w:rPr>
        <w:t>.</w:t>
      </w:r>
      <w:r w:rsidR="000830BF" w:rsidRPr="001C3EDC">
        <w:rPr>
          <w:rFonts w:eastAsia="Calibri" w:cs="Times New Roman"/>
          <w:szCs w:val="24"/>
        </w:rPr>
        <w:t xml:space="preserve"> Washington</w:t>
      </w:r>
      <w:r w:rsidR="0092189F" w:rsidRPr="001C3EDC">
        <w:rPr>
          <w:rFonts w:eastAsia="Calibri" w:cs="Times New Roman"/>
          <w:szCs w:val="24"/>
        </w:rPr>
        <w:t>,</w:t>
      </w:r>
      <w:r w:rsidR="000830BF" w:rsidRPr="001C3EDC">
        <w:rPr>
          <w:rFonts w:eastAsia="Calibri" w:cs="Times New Roman"/>
          <w:szCs w:val="24"/>
        </w:rPr>
        <w:t xml:space="preserve"> DC</w:t>
      </w:r>
      <w:r w:rsidR="00EA0119" w:rsidRPr="001C3EDC">
        <w:rPr>
          <w:rFonts w:eastAsia="Calibri" w:cs="Times New Roman"/>
          <w:szCs w:val="24"/>
        </w:rPr>
        <w:t>: World Bank</w:t>
      </w:r>
      <w:r w:rsidR="000830BF" w:rsidRPr="001C3EDC">
        <w:rPr>
          <w:rFonts w:eastAsia="Calibri" w:cs="Times New Roman"/>
          <w:szCs w:val="24"/>
        </w:rPr>
        <w:t xml:space="preserve">. </w:t>
      </w:r>
    </w:p>
    <w:p w14:paraId="281F5338" w14:textId="77777777" w:rsidR="006E662F" w:rsidRPr="001C3EDC" w:rsidRDefault="006E662F" w:rsidP="00C25D49">
      <w:pPr>
        <w:spacing w:after="160" w:line="256" w:lineRule="auto"/>
        <w:rPr>
          <w:rFonts w:ascii="Calibri" w:eastAsia="Calibri" w:hAnsi="Calibri" w:cs="Calibri"/>
          <w:sz w:val="22"/>
        </w:rPr>
      </w:pPr>
      <w:r w:rsidRPr="001C3EDC">
        <w:rPr>
          <w:rFonts w:ascii="Calibri" w:eastAsia="Calibri" w:hAnsi="Calibri" w:cs="Calibri"/>
          <w:sz w:val="22"/>
        </w:rPr>
        <w:br w:type="page"/>
      </w:r>
    </w:p>
    <w:p w14:paraId="54C84DCE" w14:textId="5AD0AB36" w:rsidR="001779C0" w:rsidRPr="001C3EDC" w:rsidRDefault="006E662F" w:rsidP="002B6EE2">
      <w:pPr>
        <w:pStyle w:val="Heading1"/>
      </w:pPr>
      <w:bookmarkStart w:id="158" w:name="_Toc505600287"/>
      <w:bookmarkStart w:id="159" w:name="_Toc510004098"/>
      <w:bookmarkStart w:id="160" w:name="_Toc522036470"/>
      <w:r w:rsidRPr="001C3EDC">
        <w:lastRenderedPageBreak/>
        <w:t>Annex</w:t>
      </w:r>
      <w:r w:rsidR="00A87D50" w:rsidRPr="001C3EDC">
        <w:t xml:space="preserve"> 1</w:t>
      </w:r>
      <w:r w:rsidR="002E5859" w:rsidRPr="001C3EDC">
        <w:t>.</w:t>
      </w:r>
      <w:r w:rsidR="00676134" w:rsidRPr="001C3EDC">
        <w:t xml:space="preserve"> </w:t>
      </w:r>
      <w:r w:rsidR="00945E51" w:rsidRPr="001C3EDC">
        <w:t>Classification and Mapping Used for Analysis</w:t>
      </w:r>
      <w:bookmarkEnd w:id="158"/>
      <w:bookmarkEnd w:id="159"/>
      <w:bookmarkEnd w:id="160"/>
    </w:p>
    <w:p w14:paraId="450C7DF1" w14:textId="465F8148" w:rsidR="008A62ED" w:rsidRPr="001C3EDC" w:rsidRDefault="007A1395" w:rsidP="004F7F4A">
      <w:pPr>
        <w:pStyle w:val="Caption"/>
        <w:spacing w:before="200"/>
        <w:rPr>
          <w:rFonts w:ascii="Calibri" w:hAnsi="Calibri"/>
          <w:i/>
          <w:color w:val="44546A"/>
          <w:sz w:val="22"/>
          <w:szCs w:val="18"/>
        </w:rPr>
      </w:pPr>
      <w:bookmarkStart w:id="161" w:name="_Toc505612609"/>
      <w:bookmarkStart w:id="162" w:name="_Toc522036522"/>
      <w:r w:rsidRPr="001C3EDC">
        <w:rPr>
          <w:rFonts w:ascii="Calibri" w:hAnsi="Calibri"/>
          <w:i/>
          <w:color w:val="44546A"/>
          <w:sz w:val="22"/>
          <w:szCs w:val="18"/>
        </w:rPr>
        <w:t>Table 1.</w:t>
      </w:r>
      <w:r w:rsidRPr="001C3EDC">
        <w:rPr>
          <w:rFonts w:ascii="Calibri" w:hAnsi="Calibri"/>
          <w:i/>
          <w:color w:val="44546A"/>
          <w:sz w:val="22"/>
          <w:szCs w:val="18"/>
        </w:rPr>
        <w:fldChar w:fldCharType="begin"/>
      </w:r>
      <w:r w:rsidRPr="001C3EDC">
        <w:rPr>
          <w:rFonts w:ascii="Calibri" w:hAnsi="Calibri"/>
          <w:i/>
          <w:color w:val="44546A"/>
          <w:sz w:val="22"/>
          <w:szCs w:val="18"/>
        </w:rPr>
        <w:instrText xml:space="preserve"> SEQ Table_1. \* ARABIC </w:instrText>
      </w:r>
      <w:r w:rsidRPr="001C3EDC">
        <w:rPr>
          <w:rFonts w:ascii="Calibri" w:hAnsi="Calibri"/>
          <w:i/>
          <w:color w:val="44546A"/>
          <w:sz w:val="22"/>
          <w:szCs w:val="18"/>
        </w:rPr>
        <w:fldChar w:fldCharType="separate"/>
      </w:r>
      <w:r w:rsidR="00F84F84">
        <w:rPr>
          <w:rFonts w:ascii="Calibri" w:hAnsi="Calibri"/>
          <w:i/>
          <w:noProof/>
          <w:color w:val="44546A"/>
          <w:sz w:val="22"/>
          <w:szCs w:val="18"/>
        </w:rPr>
        <w:t>1</w:t>
      </w:r>
      <w:r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8A62ED" w:rsidRPr="001C3EDC">
        <w:rPr>
          <w:rFonts w:ascii="Calibri" w:hAnsi="Calibri"/>
          <w:i/>
          <w:color w:val="44546A"/>
          <w:sz w:val="22"/>
          <w:szCs w:val="18"/>
        </w:rPr>
        <w:t xml:space="preserve">GTAP 57 sector classification and mapping used for analysis </w:t>
      </w:r>
      <w:r w:rsidR="000057D5" w:rsidRPr="001C3EDC">
        <w:rPr>
          <w:rFonts w:ascii="Calibri" w:hAnsi="Calibri"/>
          <w:i/>
          <w:color w:val="44546A"/>
          <w:sz w:val="22"/>
          <w:szCs w:val="18"/>
        </w:rPr>
        <w:t>(</w:t>
      </w:r>
      <w:r w:rsidR="00B24FC1" w:rsidRPr="001C3EDC">
        <w:rPr>
          <w:rFonts w:ascii="Calibri" w:hAnsi="Calibri"/>
          <w:i/>
          <w:color w:val="44546A"/>
          <w:sz w:val="22"/>
          <w:szCs w:val="18"/>
        </w:rPr>
        <w:t>13</w:t>
      </w:r>
      <w:r w:rsidR="000057D5" w:rsidRPr="001C3EDC">
        <w:rPr>
          <w:rFonts w:ascii="Calibri" w:hAnsi="Calibri"/>
          <w:i/>
          <w:color w:val="44546A"/>
          <w:sz w:val="22"/>
          <w:szCs w:val="18"/>
        </w:rPr>
        <w:t xml:space="preserve"> aggregate sectors)</w:t>
      </w:r>
      <w:bookmarkEnd w:id="161"/>
      <w:bookmarkEnd w:id="162"/>
    </w:p>
    <w:tbl>
      <w:tblPr>
        <w:tblStyle w:val="ListTable1Light"/>
        <w:tblW w:w="901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60"/>
        <w:gridCol w:w="1086"/>
        <w:gridCol w:w="3440"/>
        <w:gridCol w:w="3529"/>
      </w:tblGrid>
      <w:tr w:rsidR="008A62ED" w:rsidRPr="003633F7" w14:paraId="32CA4D11" w14:textId="77777777" w:rsidTr="003633F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960" w:type="dxa"/>
            <w:tcBorders>
              <w:bottom w:val="none" w:sz="0" w:space="0" w:color="auto"/>
            </w:tcBorders>
            <w:shd w:val="clear" w:color="auto" w:fill="365F91" w:themeFill="accent1" w:themeFillShade="BF"/>
            <w:noWrap/>
            <w:vAlign w:val="center"/>
            <w:hideMark/>
          </w:tcPr>
          <w:p w14:paraId="0B486231" w14:textId="77777777" w:rsidR="008A62ED" w:rsidRPr="003633F7" w:rsidRDefault="008A62ED" w:rsidP="003633F7">
            <w:pPr>
              <w:spacing w:before="60" w:line="240" w:lineRule="auto"/>
              <w:jc w:val="center"/>
              <w:rPr>
                <w:rFonts w:asciiTheme="minorHAnsi" w:eastAsia="Times New Roman" w:hAnsiTheme="minorHAnsi" w:cstheme="minorHAnsi"/>
                <w:color w:val="FFFFFF" w:themeColor="background1"/>
                <w:sz w:val="22"/>
              </w:rPr>
            </w:pPr>
            <w:r w:rsidRPr="003633F7">
              <w:rPr>
                <w:rFonts w:asciiTheme="minorHAnsi" w:eastAsia="Times New Roman" w:hAnsiTheme="minorHAnsi" w:cstheme="minorHAnsi"/>
                <w:color w:val="FFFFFF" w:themeColor="background1"/>
                <w:sz w:val="22"/>
              </w:rPr>
              <w:t>No.</w:t>
            </w:r>
          </w:p>
        </w:tc>
        <w:tc>
          <w:tcPr>
            <w:tcW w:w="1086" w:type="dxa"/>
            <w:tcBorders>
              <w:bottom w:val="none" w:sz="0" w:space="0" w:color="auto"/>
            </w:tcBorders>
            <w:shd w:val="clear" w:color="auto" w:fill="365F91" w:themeFill="accent1" w:themeFillShade="BF"/>
            <w:noWrap/>
            <w:vAlign w:val="center"/>
            <w:hideMark/>
          </w:tcPr>
          <w:p w14:paraId="72EBAAE5" w14:textId="77777777" w:rsidR="008A62ED" w:rsidRPr="003633F7" w:rsidRDefault="008A62ED" w:rsidP="003633F7">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2"/>
              </w:rPr>
            </w:pPr>
            <w:r w:rsidRPr="003633F7">
              <w:rPr>
                <w:rFonts w:asciiTheme="minorHAnsi" w:eastAsia="Times New Roman" w:hAnsiTheme="minorHAnsi" w:cstheme="minorHAnsi"/>
                <w:color w:val="FFFFFF" w:themeColor="background1"/>
                <w:sz w:val="22"/>
              </w:rPr>
              <w:t>GTAP 57</w:t>
            </w:r>
          </w:p>
        </w:tc>
        <w:tc>
          <w:tcPr>
            <w:tcW w:w="3440" w:type="dxa"/>
            <w:tcBorders>
              <w:bottom w:val="none" w:sz="0" w:space="0" w:color="auto"/>
            </w:tcBorders>
            <w:shd w:val="clear" w:color="auto" w:fill="365F91" w:themeFill="accent1" w:themeFillShade="BF"/>
            <w:noWrap/>
            <w:vAlign w:val="center"/>
            <w:hideMark/>
          </w:tcPr>
          <w:p w14:paraId="5607FCC4" w14:textId="675D77D5" w:rsidR="008A62ED" w:rsidRPr="003633F7" w:rsidRDefault="008A62ED" w:rsidP="003633F7">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2"/>
              </w:rPr>
            </w:pPr>
            <w:r w:rsidRPr="003633F7">
              <w:rPr>
                <w:rFonts w:asciiTheme="minorHAnsi" w:eastAsia="Times New Roman" w:hAnsiTheme="minorHAnsi" w:cstheme="minorHAnsi"/>
                <w:color w:val="FFFFFF" w:themeColor="background1"/>
                <w:sz w:val="22"/>
              </w:rPr>
              <w:t xml:space="preserve">Long </w:t>
            </w:r>
            <w:r w:rsidR="007F644A" w:rsidRPr="003633F7">
              <w:rPr>
                <w:rFonts w:asciiTheme="minorHAnsi" w:eastAsia="Times New Roman" w:hAnsiTheme="minorHAnsi" w:cstheme="minorHAnsi"/>
                <w:color w:val="FFFFFF" w:themeColor="background1"/>
                <w:sz w:val="22"/>
              </w:rPr>
              <w:t>name</w:t>
            </w:r>
          </w:p>
        </w:tc>
        <w:tc>
          <w:tcPr>
            <w:tcW w:w="3529" w:type="dxa"/>
            <w:tcBorders>
              <w:bottom w:val="none" w:sz="0" w:space="0" w:color="auto"/>
            </w:tcBorders>
            <w:shd w:val="clear" w:color="auto" w:fill="365F91" w:themeFill="accent1" w:themeFillShade="BF"/>
            <w:noWrap/>
            <w:vAlign w:val="center"/>
            <w:hideMark/>
          </w:tcPr>
          <w:p w14:paraId="0B78C280" w14:textId="0BD03CFC" w:rsidR="008A62ED" w:rsidRPr="003633F7" w:rsidRDefault="008A62ED" w:rsidP="003633F7">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2"/>
              </w:rPr>
            </w:pPr>
            <w:r w:rsidRPr="003633F7">
              <w:rPr>
                <w:rFonts w:asciiTheme="minorHAnsi" w:eastAsia="Times New Roman" w:hAnsiTheme="minorHAnsi" w:cstheme="minorHAnsi"/>
                <w:color w:val="FFFFFF" w:themeColor="background1"/>
                <w:sz w:val="22"/>
              </w:rPr>
              <w:t xml:space="preserve">Aggregate </w:t>
            </w:r>
            <w:r w:rsidR="007F644A" w:rsidRPr="003633F7">
              <w:rPr>
                <w:rFonts w:asciiTheme="minorHAnsi" w:eastAsia="Times New Roman" w:hAnsiTheme="minorHAnsi" w:cstheme="minorHAnsi"/>
                <w:color w:val="FFFFFF" w:themeColor="background1"/>
                <w:sz w:val="22"/>
              </w:rPr>
              <w:t>sectors</w:t>
            </w:r>
          </w:p>
        </w:tc>
      </w:tr>
      <w:tr w:rsidR="00777172" w:rsidRPr="003633F7" w14:paraId="34ACB112"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15FB513B"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1</w:t>
            </w:r>
          </w:p>
        </w:tc>
        <w:tc>
          <w:tcPr>
            <w:tcW w:w="1086" w:type="dxa"/>
            <w:shd w:val="clear" w:color="auto" w:fill="auto"/>
            <w:noWrap/>
            <w:hideMark/>
          </w:tcPr>
          <w:p w14:paraId="656805EB"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pdr</w:t>
            </w:r>
          </w:p>
        </w:tc>
        <w:tc>
          <w:tcPr>
            <w:tcW w:w="3440" w:type="dxa"/>
            <w:shd w:val="clear" w:color="auto" w:fill="auto"/>
            <w:noWrap/>
            <w:hideMark/>
          </w:tcPr>
          <w:p w14:paraId="62B7FF21"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Paddy rice</w:t>
            </w:r>
          </w:p>
        </w:tc>
        <w:tc>
          <w:tcPr>
            <w:tcW w:w="3529" w:type="dxa"/>
            <w:shd w:val="clear" w:color="auto" w:fill="auto"/>
            <w:noWrap/>
            <w:hideMark/>
          </w:tcPr>
          <w:p w14:paraId="47C3915E" w14:textId="220F48AD"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Grains</w:t>
            </w:r>
          </w:p>
        </w:tc>
      </w:tr>
      <w:tr w:rsidR="00777172" w:rsidRPr="003633F7" w14:paraId="2077223B"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6011C4EC"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2</w:t>
            </w:r>
          </w:p>
        </w:tc>
        <w:tc>
          <w:tcPr>
            <w:tcW w:w="1086" w:type="dxa"/>
            <w:shd w:val="clear" w:color="auto" w:fill="F2F2F2" w:themeFill="background1" w:themeFillShade="F2"/>
            <w:noWrap/>
            <w:hideMark/>
          </w:tcPr>
          <w:p w14:paraId="24BC7338"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wht</w:t>
            </w:r>
          </w:p>
        </w:tc>
        <w:tc>
          <w:tcPr>
            <w:tcW w:w="3440" w:type="dxa"/>
            <w:shd w:val="clear" w:color="auto" w:fill="F2F2F2" w:themeFill="background1" w:themeFillShade="F2"/>
            <w:noWrap/>
            <w:hideMark/>
          </w:tcPr>
          <w:p w14:paraId="6C9CEAE1"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Wheat</w:t>
            </w:r>
          </w:p>
        </w:tc>
        <w:tc>
          <w:tcPr>
            <w:tcW w:w="3529" w:type="dxa"/>
            <w:shd w:val="clear" w:color="auto" w:fill="F2F2F2" w:themeFill="background1" w:themeFillShade="F2"/>
            <w:noWrap/>
            <w:hideMark/>
          </w:tcPr>
          <w:p w14:paraId="5AEBBB23" w14:textId="754A8451"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Grains</w:t>
            </w:r>
          </w:p>
        </w:tc>
      </w:tr>
      <w:tr w:rsidR="00777172" w:rsidRPr="003633F7" w14:paraId="33D3463C"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1568F638"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3</w:t>
            </w:r>
          </w:p>
        </w:tc>
        <w:tc>
          <w:tcPr>
            <w:tcW w:w="1086" w:type="dxa"/>
            <w:shd w:val="clear" w:color="auto" w:fill="auto"/>
            <w:noWrap/>
            <w:hideMark/>
          </w:tcPr>
          <w:p w14:paraId="76BA9270"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gro</w:t>
            </w:r>
          </w:p>
        </w:tc>
        <w:tc>
          <w:tcPr>
            <w:tcW w:w="3440" w:type="dxa"/>
            <w:shd w:val="clear" w:color="auto" w:fill="auto"/>
            <w:noWrap/>
            <w:hideMark/>
          </w:tcPr>
          <w:p w14:paraId="6E90D98E"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Cereal grains nec</w:t>
            </w:r>
          </w:p>
        </w:tc>
        <w:tc>
          <w:tcPr>
            <w:tcW w:w="3529" w:type="dxa"/>
            <w:shd w:val="clear" w:color="auto" w:fill="auto"/>
            <w:noWrap/>
            <w:hideMark/>
          </w:tcPr>
          <w:p w14:paraId="45F71AFD" w14:textId="447CD819"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Grains</w:t>
            </w:r>
          </w:p>
        </w:tc>
      </w:tr>
      <w:tr w:rsidR="00777172" w:rsidRPr="003633F7" w14:paraId="73BF373E"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B3A3BF8"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4</w:t>
            </w:r>
          </w:p>
        </w:tc>
        <w:tc>
          <w:tcPr>
            <w:tcW w:w="1086" w:type="dxa"/>
            <w:shd w:val="clear" w:color="auto" w:fill="F2F2F2" w:themeFill="background1" w:themeFillShade="F2"/>
            <w:noWrap/>
            <w:hideMark/>
          </w:tcPr>
          <w:p w14:paraId="141B8093"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v_f</w:t>
            </w:r>
          </w:p>
        </w:tc>
        <w:tc>
          <w:tcPr>
            <w:tcW w:w="3440" w:type="dxa"/>
            <w:shd w:val="clear" w:color="auto" w:fill="F2F2F2" w:themeFill="background1" w:themeFillShade="F2"/>
            <w:noWrap/>
            <w:hideMark/>
          </w:tcPr>
          <w:p w14:paraId="7E2034F5"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Vegetables, fruit, nuts</w:t>
            </w:r>
          </w:p>
        </w:tc>
        <w:tc>
          <w:tcPr>
            <w:tcW w:w="3529" w:type="dxa"/>
            <w:shd w:val="clear" w:color="auto" w:fill="F2F2F2" w:themeFill="background1" w:themeFillShade="F2"/>
            <w:noWrap/>
            <w:hideMark/>
          </w:tcPr>
          <w:p w14:paraId="349C85A1" w14:textId="0161929B"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Crops</w:t>
            </w:r>
          </w:p>
        </w:tc>
      </w:tr>
      <w:tr w:rsidR="00777172" w:rsidRPr="003633F7" w14:paraId="4368F740"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09B749DA"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5</w:t>
            </w:r>
          </w:p>
        </w:tc>
        <w:tc>
          <w:tcPr>
            <w:tcW w:w="1086" w:type="dxa"/>
            <w:shd w:val="clear" w:color="auto" w:fill="auto"/>
            <w:noWrap/>
            <w:hideMark/>
          </w:tcPr>
          <w:p w14:paraId="5798DB47"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osd</w:t>
            </w:r>
          </w:p>
        </w:tc>
        <w:tc>
          <w:tcPr>
            <w:tcW w:w="3440" w:type="dxa"/>
            <w:shd w:val="clear" w:color="auto" w:fill="auto"/>
            <w:noWrap/>
            <w:hideMark/>
          </w:tcPr>
          <w:p w14:paraId="1E211DA5"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Oil seeds</w:t>
            </w:r>
          </w:p>
        </w:tc>
        <w:tc>
          <w:tcPr>
            <w:tcW w:w="3529" w:type="dxa"/>
            <w:shd w:val="clear" w:color="auto" w:fill="auto"/>
            <w:noWrap/>
            <w:hideMark/>
          </w:tcPr>
          <w:p w14:paraId="777AF72A" w14:textId="5AD3F449"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Crops</w:t>
            </w:r>
          </w:p>
        </w:tc>
      </w:tr>
      <w:tr w:rsidR="00777172" w:rsidRPr="003633F7" w14:paraId="57756A2F"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2CE228CB"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6</w:t>
            </w:r>
          </w:p>
        </w:tc>
        <w:tc>
          <w:tcPr>
            <w:tcW w:w="1086" w:type="dxa"/>
            <w:shd w:val="clear" w:color="auto" w:fill="F2F2F2" w:themeFill="background1" w:themeFillShade="F2"/>
            <w:noWrap/>
            <w:hideMark/>
          </w:tcPr>
          <w:p w14:paraId="7B43C5B7"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c_b</w:t>
            </w:r>
          </w:p>
        </w:tc>
        <w:tc>
          <w:tcPr>
            <w:tcW w:w="3440" w:type="dxa"/>
            <w:shd w:val="clear" w:color="auto" w:fill="F2F2F2" w:themeFill="background1" w:themeFillShade="F2"/>
            <w:noWrap/>
            <w:hideMark/>
          </w:tcPr>
          <w:p w14:paraId="7204F2BE" w14:textId="070AEB05" w:rsidR="00777172" w:rsidRPr="003633F7" w:rsidRDefault="000154BD"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Sugar</w:t>
            </w:r>
            <w:r w:rsidR="00777172" w:rsidRPr="003633F7">
              <w:rPr>
                <w:rFonts w:asciiTheme="minorHAnsi" w:eastAsia="Times New Roman" w:hAnsiTheme="minorHAnsi" w:cstheme="minorHAnsi"/>
                <w:color w:val="000000"/>
                <w:sz w:val="22"/>
              </w:rPr>
              <w:t>cane, sugar beet</w:t>
            </w:r>
          </w:p>
        </w:tc>
        <w:tc>
          <w:tcPr>
            <w:tcW w:w="3529" w:type="dxa"/>
            <w:shd w:val="clear" w:color="auto" w:fill="F2F2F2" w:themeFill="background1" w:themeFillShade="F2"/>
            <w:noWrap/>
            <w:hideMark/>
          </w:tcPr>
          <w:p w14:paraId="42E14734" w14:textId="51650B56"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Crops</w:t>
            </w:r>
          </w:p>
        </w:tc>
      </w:tr>
      <w:tr w:rsidR="00777172" w:rsidRPr="003633F7" w14:paraId="11AC620D"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E77742D"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7</w:t>
            </w:r>
          </w:p>
        </w:tc>
        <w:tc>
          <w:tcPr>
            <w:tcW w:w="1086" w:type="dxa"/>
            <w:shd w:val="clear" w:color="auto" w:fill="auto"/>
            <w:noWrap/>
            <w:hideMark/>
          </w:tcPr>
          <w:p w14:paraId="57B0B9CA"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pfb</w:t>
            </w:r>
          </w:p>
        </w:tc>
        <w:tc>
          <w:tcPr>
            <w:tcW w:w="3440" w:type="dxa"/>
            <w:shd w:val="clear" w:color="auto" w:fill="auto"/>
            <w:noWrap/>
            <w:hideMark/>
          </w:tcPr>
          <w:p w14:paraId="31D45340"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Plant-based fibers</w:t>
            </w:r>
          </w:p>
        </w:tc>
        <w:tc>
          <w:tcPr>
            <w:tcW w:w="3529" w:type="dxa"/>
            <w:shd w:val="clear" w:color="auto" w:fill="auto"/>
            <w:noWrap/>
            <w:hideMark/>
          </w:tcPr>
          <w:p w14:paraId="398A8210" w14:textId="7E702654"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Crops</w:t>
            </w:r>
          </w:p>
        </w:tc>
      </w:tr>
      <w:tr w:rsidR="00777172" w:rsidRPr="003633F7" w14:paraId="640CE514"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1D3A5614"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8</w:t>
            </w:r>
          </w:p>
        </w:tc>
        <w:tc>
          <w:tcPr>
            <w:tcW w:w="1086" w:type="dxa"/>
            <w:shd w:val="clear" w:color="auto" w:fill="F2F2F2" w:themeFill="background1" w:themeFillShade="F2"/>
            <w:noWrap/>
            <w:hideMark/>
          </w:tcPr>
          <w:p w14:paraId="6205106F"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ocr</w:t>
            </w:r>
          </w:p>
        </w:tc>
        <w:tc>
          <w:tcPr>
            <w:tcW w:w="3440" w:type="dxa"/>
            <w:shd w:val="clear" w:color="auto" w:fill="F2F2F2" w:themeFill="background1" w:themeFillShade="F2"/>
            <w:noWrap/>
            <w:hideMark/>
          </w:tcPr>
          <w:p w14:paraId="775463FD"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Crops nec</w:t>
            </w:r>
          </w:p>
        </w:tc>
        <w:tc>
          <w:tcPr>
            <w:tcW w:w="3529" w:type="dxa"/>
            <w:shd w:val="clear" w:color="auto" w:fill="F2F2F2" w:themeFill="background1" w:themeFillShade="F2"/>
            <w:noWrap/>
            <w:hideMark/>
          </w:tcPr>
          <w:p w14:paraId="7B8CCFCD" w14:textId="2B667D82"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Crops</w:t>
            </w:r>
          </w:p>
        </w:tc>
      </w:tr>
      <w:tr w:rsidR="00777172" w:rsidRPr="003633F7" w14:paraId="3A7507C5"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DBD28F9"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9</w:t>
            </w:r>
          </w:p>
        </w:tc>
        <w:tc>
          <w:tcPr>
            <w:tcW w:w="1086" w:type="dxa"/>
            <w:shd w:val="clear" w:color="auto" w:fill="auto"/>
            <w:noWrap/>
            <w:hideMark/>
          </w:tcPr>
          <w:p w14:paraId="3CD9CA33"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ctl</w:t>
            </w:r>
          </w:p>
        </w:tc>
        <w:tc>
          <w:tcPr>
            <w:tcW w:w="3440" w:type="dxa"/>
            <w:shd w:val="clear" w:color="auto" w:fill="auto"/>
            <w:noWrap/>
            <w:hideMark/>
          </w:tcPr>
          <w:p w14:paraId="0A2ED608" w14:textId="05021E6F"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Cattle,</w:t>
            </w:r>
            <w:r w:rsidR="007F644A" w:rsidRPr="003633F7">
              <w:rPr>
                <w:rFonts w:asciiTheme="minorHAnsi" w:eastAsia="Times New Roman" w:hAnsiTheme="minorHAnsi" w:cstheme="minorHAnsi"/>
                <w:color w:val="000000"/>
                <w:sz w:val="22"/>
              </w:rPr>
              <w:t xml:space="preserve"> </w:t>
            </w:r>
            <w:r w:rsidRPr="003633F7">
              <w:rPr>
                <w:rFonts w:asciiTheme="minorHAnsi" w:eastAsia="Times New Roman" w:hAnsiTheme="minorHAnsi" w:cstheme="minorHAnsi"/>
                <w:color w:val="000000"/>
                <w:sz w:val="22"/>
              </w:rPr>
              <w:t>sheep,</w:t>
            </w:r>
            <w:r w:rsidR="007F644A" w:rsidRPr="003633F7">
              <w:rPr>
                <w:rFonts w:asciiTheme="minorHAnsi" w:eastAsia="Times New Roman" w:hAnsiTheme="minorHAnsi" w:cstheme="minorHAnsi"/>
                <w:color w:val="000000"/>
                <w:sz w:val="22"/>
              </w:rPr>
              <w:t xml:space="preserve"> </w:t>
            </w:r>
            <w:r w:rsidRPr="003633F7">
              <w:rPr>
                <w:rFonts w:asciiTheme="minorHAnsi" w:eastAsia="Times New Roman" w:hAnsiTheme="minorHAnsi" w:cstheme="minorHAnsi"/>
                <w:color w:val="000000"/>
                <w:sz w:val="22"/>
              </w:rPr>
              <w:t>goats,</w:t>
            </w:r>
            <w:r w:rsidR="007F644A" w:rsidRPr="003633F7">
              <w:rPr>
                <w:rFonts w:asciiTheme="minorHAnsi" w:eastAsia="Times New Roman" w:hAnsiTheme="minorHAnsi" w:cstheme="minorHAnsi"/>
                <w:color w:val="000000"/>
                <w:sz w:val="22"/>
              </w:rPr>
              <w:t xml:space="preserve"> </w:t>
            </w:r>
            <w:r w:rsidRPr="003633F7">
              <w:rPr>
                <w:rFonts w:asciiTheme="minorHAnsi" w:eastAsia="Times New Roman" w:hAnsiTheme="minorHAnsi" w:cstheme="minorHAnsi"/>
                <w:color w:val="000000"/>
                <w:sz w:val="22"/>
              </w:rPr>
              <w:t>horses</w:t>
            </w:r>
          </w:p>
        </w:tc>
        <w:tc>
          <w:tcPr>
            <w:tcW w:w="3529" w:type="dxa"/>
            <w:shd w:val="clear" w:color="auto" w:fill="auto"/>
            <w:noWrap/>
            <w:hideMark/>
          </w:tcPr>
          <w:p w14:paraId="41D599AB" w14:textId="3EE07561"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MeatLvstk</w:t>
            </w:r>
          </w:p>
        </w:tc>
      </w:tr>
      <w:tr w:rsidR="00777172" w:rsidRPr="003633F7" w14:paraId="6D925FBA"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36B7D175"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10</w:t>
            </w:r>
          </w:p>
        </w:tc>
        <w:tc>
          <w:tcPr>
            <w:tcW w:w="1086" w:type="dxa"/>
            <w:shd w:val="clear" w:color="auto" w:fill="F2F2F2" w:themeFill="background1" w:themeFillShade="F2"/>
            <w:noWrap/>
            <w:hideMark/>
          </w:tcPr>
          <w:p w14:paraId="44EB3485"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oap</w:t>
            </w:r>
          </w:p>
        </w:tc>
        <w:tc>
          <w:tcPr>
            <w:tcW w:w="3440" w:type="dxa"/>
            <w:shd w:val="clear" w:color="auto" w:fill="F2F2F2" w:themeFill="background1" w:themeFillShade="F2"/>
            <w:noWrap/>
            <w:hideMark/>
          </w:tcPr>
          <w:p w14:paraId="0E4AA2F1"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Animal products nec</w:t>
            </w:r>
          </w:p>
        </w:tc>
        <w:tc>
          <w:tcPr>
            <w:tcW w:w="3529" w:type="dxa"/>
            <w:shd w:val="clear" w:color="auto" w:fill="F2F2F2" w:themeFill="background1" w:themeFillShade="F2"/>
            <w:noWrap/>
            <w:hideMark/>
          </w:tcPr>
          <w:p w14:paraId="6059BC1C" w14:textId="65123C45"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MeatLvstk</w:t>
            </w:r>
          </w:p>
        </w:tc>
      </w:tr>
      <w:tr w:rsidR="00777172" w:rsidRPr="003633F7" w14:paraId="7FF4EDBB"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236F4F71"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11</w:t>
            </w:r>
          </w:p>
        </w:tc>
        <w:tc>
          <w:tcPr>
            <w:tcW w:w="1086" w:type="dxa"/>
            <w:shd w:val="clear" w:color="auto" w:fill="auto"/>
            <w:noWrap/>
            <w:hideMark/>
          </w:tcPr>
          <w:p w14:paraId="0047790C"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rmk</w:t>
            </w:r>
          </w:p>
        </w:tc>
        <w:tc>
          <w:tcPr>
            <w:tcW w:w="3440" w:type="dxa"/>
            <w:shd w:val="clear" w:color="auto" w:fill="auto"/>
            <w:noWrap/>
            <w:hideMark/>
          </w:tcPr>
          <w:p w14:paraId="50FB706A"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Raw milk</w:t>
            </w:r>
          </w:p>
        </w:tc>
        <w:tc>
          <w:tcPr>
            <w:tcW w:w="3529" w:type="dxa"/>
            <w:shd w:val="clear" w:color="auto" w:fill="auto"/>
            <w:noWrap/>
            <w:hideMark/>
          </w:tcPr>
          <w:p w14:paraId="59146F0B" w14:textId="7DE54D93"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OthFood</w:t>
            </w:r>
          </w:p>
        </w:tc>
      </w:tr>
      <w:tr w:rsidR="00777172" w:rsidRPr="003633F7" w14:paraId="3A46DAA1"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2511EFC"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12</w:t>
            </w:r>
          </w:p>
        </w:tc>
        <w:tc>
          <w:tcPr>
            <w:tcW w:w="1086" w:type="dxa"/>
            <w:shd w:val="clear" w:color="auto" w:fill="F2F2F2" w:themeFill="background1" w:themeFillShade="F2"/>
            <w:noWrap/>
            <w:hideMark/>
          </w:tcPr>
          <w:p w14:paraId="2D1E93B9"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wol</w:t>
            </w:r>
          </w:p>
        </w:tc>
        <w:tc>
          <w:tcPr>
            <w:tcW w:w="3440" w:type="dxa"/>
            <w:shd w:val="clear" w:color="auto" w:fill="F2F2F2" w:themeFill="background1" w:themeFillShade="F2"/>
            <w:noWrap/>
            <w:hideMark/>
          </w:tcPr>
          <w:p w14:paraId="0915E286"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Wool, silk-worm cocoons</w:t>
            </w:r>
          </w:p>
        </w:tc>
        <w:tc>
          <w:tcPr>
            <w:tcW w:w="3529" w:type="dxa"/>
            <w:shd w:val="clear" w:color="auto" w:fill="F2F2F2" w:themeFill="background1" w:themeFillShade="F2"/>
            <w:noWrap/>
            <w:hideMark/>
          </w:tcPr>
          <w:p w14:paraId="279FD8A4" w14:textId="3CD04E6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Crops</w:t>
            </w:r>
          </w:p>
        </w:tc>
      </w:tr>
      <w:tr w:rsidR="00777172" w:rsidRPr="003633F7" w14:paraId="41AD4A89"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B3E1E2A"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13</w:t>
            </w:r>
          </w:p>
        </w:tc>
        <w:tc>
          <w:tcPr>
            <w:tcW w:w="1086" w:type="dxa"/>
            <w:shd w:val="clear" w:color="auto" w:fill="auto"/>
            <w:noWrap/>
            <w:hideMark/>
          </w:tcPr>
          <w:p w14:paraId="29181CA2"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frs</w:t>
            </w:r>
          </w:p>
        </w:tc>
        <w:tc>
          <w:tcPr>
            <w:tcW w:w="3440" w:type="dxa"/>
            <w:shd w:val="clear" w:color="auto" w:fill="auto"/>
            <w:noWrap/>
            <w:hideMark/>
          </w:tcPr>
          <w:p w14:paraId="1D0F317E"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Forestry</w:t>
            </w:r>
          </w:p>
        </w:tc>
        <w:tc>
          <w:tcPr>
            <w:tcW w:w="3529" w:type="dxa"/>
            <w:shd w:val="clear" w:color="auto" w:fill="auto"/>
            <w:noWrap/>
            <w:hideMark/>
          </w:tcPr>
          <w:p w14:paraId="6AEA82EA" w14:textId="614B24AD"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Extraction</w:t>
            </w:r>
          </w:p>
        </w:tc>
      </w:tr>
      <w:tr w:rsidR="00777172" w:rsidRPr="003633F7" w14:paraId="44639294"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3011499B"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14</w:t>
            </w:r>
          </w:p>
        </w:tc>
        <w:tc>
          <w:tcPr>
            <w:tcW w:w="1086" w:type="dxa"/>
            <w:shd w:val="clear" w:color="auto" w:fill="F2F2F2" w:themeFill="background1" w:themeFillShade="F2"/>
            <w:noWrap/>
            <w:hideMark/>
          </w:tcPr>
          <w:p w14:paraId="22417F00"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fsh</w:t>
            </w:r>
          </w:p>
        </w:tc>
        <w:tc>
          <w:tcPr>
            <w:tcW w:w="3440" w:type="dxa"/>
            <w:shd w:val="clear" w:color="auto" w:fill="F2F2F2" w:themeFill="background1" w:themeFillShade="F2"/>
            <w:noWrap/>
            <w:hideMark/>
          </w:tcPr>
          <w:p w14:paraId="45B1E59C"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Fishing</w:t>
            </w:r>
          </w:p>
        </w:tc>
        <w:tc>
          <w:tcPr>
            <w:tcW w:w="3529" w:type="dxa"/>
            <w:shd w:val="clear" w:color="auto" w:fill="F2F2F2" w:themeFill="background1" w:themeFillShade="F2"/>
            <w:noWrap/>
            <w:hideMark/>
          </w:tcPr>
          <w:p w14:paraId="54C27DDE" w14:textId="7314C50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Extraction</w:t>
            </w:r>
          </w:p>
        </w:tc>
      </w:tr>
      <w:tr w:rsidR="00777172" w:rsidRPr="003633F7" w14:paraId="7414DDE1"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3AFB04F1"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15</w:t>
            </w:r>
          </w:p>
        </w:tc>
        <w:tc>
          <w:tcPr>
            <w:tcW w:w="1086" w:type="dxa"/>
            <w:shd w:val="clear" w:color="auto" w:fill="auto"/>
            <w:noWrap/>
            <w:hideMark/>
          </w:tcPr>
          <w:p w14:paraId="4AF96ED6"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coa</w:t>
            </w:r>
          </w:p>
        </w:tc>
        <w:tc>
          <w:tcPr>
            <w:tcW w:w="3440" w:type="dxa"/>
            <w:shd w:val="clear" w:color="auto" w:fill="auto"/>
            <w:noWrap/>
            <w:hideMark/>
          </w:tcPr>
          <w:p w14:paraId="5E1DE70D"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Coal</w:t>
            </w:r>
          </w:p>
        </w:tc>
        <w:tc>
          <w:tcPr>
            <w:tcW w:w="3529" w:type="dxa"/>
            <w:shd w:val="clear" w:color="auto" w:fill="auto"/>
            <w:noWrap/>
            <w:hideMark/>
          </w:tcPr>
          <w:p w14:paraId="3C35B95C" w14:textId="31C58EF5"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Extraction</w:t>
            </w:r>
          </w:p>
        </w:tc>
      </w:tr>
      <w:tr w:rsidR="00777172" w:rsidRPr="003633F7" w14:paraId="5D454937"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F90EA50"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16</w:t>
            </w:r>
          </w:p>
        </w:tc>
        <w:tc>
          <w:tcPr>
            <w:tcW w:w="1086" w:type="dxa"/>
            <w:shd w:val="clear" w:color="auto" w:fill="F2F2F2" w:themeFill="background1" w:themeFillShade="F2"/>
            <w:noWrap/>
            <w:hideMark/>
          </w:tcPr>
          <w:p w14:paraId="5579D65A"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oil</w:t>
            </w:r>
          </w:p>
        </w:tc>
        <w:tc>
          <w:tcPr>
            <w:tcW w:w="3440" w:type="dxa"/>
            <w:shd w:val="clear" w:color="auto" w:fill="F2F2F2" w:themeFill="background1" w:themeFillShade="F2"/>
            <w:noWrap/>
            <w:hideMark/>
          </w:tcPr>
          <w:p w14:paraId="3E212BFD"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Oil</w:t>
            </w:r>
          </w:p>
        </w:tc>
        <w:tc>
          <w:tcPr>
            <w:tcW w:w="3529" w:type="dxa"/>
            <w:shd w:val="clear" w:color="auto" w:fill="F2F2F2" w:themeFill="background1" w:themeFillShade="F2"/>
            <w:noWrap/>
            <w:hideMark/>
          </w:tcPr>
          <w:p w14:paraId="19A154F7" w14:textId="378C7DA0"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Extraction</w:t>
            </w:r>
          </w:p>
        </w:tc>
      </w:tr>
      <w:tr w:rsidR="00777172" w:rsidRPr="003633F7" w14:paraId="23AA7086"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616B9BE"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17</w:t>
            </w:r>
          </w:p>
        </w:tc>
        <w:tc>
          <w:tcPr>
            <w:tcW w:w="1086" w:type="dxa"/>
            <w:shd w:val="clear" w:color="auto" w:fill="auto"/>
            <w:noWrap/>
            <w:hideMark/>
          </w:tcPr>
          <w:p w14:paraId="70E0840A"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gas</w:t>
            </w:r>
          </w:p>
        </w:tc>
        <w:tc>
          <w:tcPr>
            <w:tcW w:w="3440" w:type="dxa"/>
            <w:shd w:val="clear" w:color="auto" w:fill="auto"/>
            <w:noWrap/>
            <w:hideMark/>
          </w:tcPr>
          <w:p w14:paraId="7036618D"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Gas</w:t>
            </w:r>
          </w:p>
        </w:tc>
        <w:tc>
          <w:tcPr>
            <w:tcW w:w="3529" w:type="dxa"/>
            <w:shd w:val="clear" w:color="auto" w:fill="auto"/>
            <w:noWrap/>
            <w:hideMark/>
          </w:tcPr>
          <w:p w14:paraId="71494A0B" w14:textId="04F215A3"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Extraction</w:t>
            </w:r>
          </w:p>
        </w:tc>
      </w:tr>
      <w:tr w:rsidR="00777172" w:rsidRPr="003633F7" w14:paraId="4C51C127"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CAB8724"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18</w:t>
            </w:r>
          </w:p>
        </w:tc>
        <w:tc>
          <w:tcPr>
            <w:tcW w:w="1086" w:type="dxa"/>
            <w:shd w:val="clear" w:color="auto" w:fill="F2F2F2" w:themeFill="background1" w:themeFillShade="F2"/>
            <w:noWrap/>
            <w:hideMark/>
          </w:tcPr>
          <w:p w14:paraId="3B6C4E57"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omn</w:t>
            </w:r>
          </w:p>
        </w:tc>
        <w:tc>
          <w:tcPr>
            <w:tcW w:w="3440" w:type="dxa"/>
            <w:shd w:val="clear" w:color="auto" w:fill="F2F2F2" w:themeFill="background1" w:themeFillShade="F2"/>
            <w:noWrap/>
            <w:hideMark/>
          </w:tcPr>
          <w:p w14:paraId="4506266A"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Minerals nec</w:t>
            </w:r>
          </w:p>
        </w:tc>
        <w:tc>
          <w:tcPr>
            <w:tcW w:w="3529" w:type="dxa"/>
            <w:shd w:val="clear" w:color="auto" w:fill="F2F2F2" w:themeFill="background1" w:themeFillShade="F2"/>
            <w:noWrap/>
            <w:hideMark/>
          </w:tcPr>
          <w:p w14:paraId="17FC7CF0" w14:textId="41229308"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Extraction</w:t>
            </w:r>
          </w:p>
        </w:tc>
      </w:tr>
      <w:tr w:rsidR="00777172" w:rsidRPr="003633F7" w14:paraId="5EE8C920"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76BD752"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19</w:t>
            </w:r>
          </w:p>
        </w:tc>
        <w:tc>
          <w:tcPr>
            <w:tcW w:w="1086" w:type="dxa"/>
            <w:shd w:val="clear" w:color="auto" w:fill="auto"/>
            <w:noWrap/>
            <w:hideMark/>
          </w:tcPr>
          <w:p w14:paraId="7F30630A"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cmt</w:t>
            </w:r>
          </w:p>
        </w:tc>
        <w:tc>
          <w:tcPr>
            <w:tcW w:w="3440" w:type="dxa"/>
            <w:shd w:val="clear" w:color="auto" w:fill="auto"/>
            <w:noWrap/>
            <w:hideMark/>
          </w:tcPr>
          <w:p w14:paraId="7E547961" w14:textId="3285368B"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Meat: cattle,</w:t>
            </w:r>
            <w:r w:rsidR="007F644A" w:rsidRPr="003633F7">
              <w:rPr>
                <w:rFonts w:asciiTheme="minorHAnsi" w:eastAsia="Times New Roman" w:hAnsiTheme="minorHAnsi" w:cstheme="minorHAnsi"/>
                <w:color w:val="000000"/>
                <w:sz w:val="22"/>
              </w:rPr>
              <w:t xml:space="preserve"> </w:t>
            </w:r>
            <w:r w:rsidRPr="003633F7">
              <w:rPr>
                <w:rFonts w:asciiTheme="minorHAnsi" w:eastAsia="Times New Roman" w:hAnsiTheme="minorHAnsi" w:cstheme="minorHAnsi"/>
                <w:color w:val="000000"/>
                <w:sz w:val="22"/>
              </w:rPr>
              <w:t>sheep,</w:t>
            </w:r>
            <w:r w:rsidR="007F644A" w:rsidRPr="003633F7">
              <w:rPr>
                <w:rFonts w:asciiTheme="minorHAnsi" w:eastAsia="Times New Roman" w:hAnsiTheme="minorHAnsi" w:cstheme="minorHAnsi"/>
                <w:color w:val="000000"/>
                <w:sz w:val="22"/>
              </w:rPr>
              <w:t xml:space="preserve"> </w:t>
            </w:r>
            <w:r w:rsidRPr="003633F7">
              <w:rPr>
                <w:rFonts w:asciiTheme="minorHAnsi" w:eastAsia="Times New Roman" w:hAnsiTheme="minorHAnsi" w:cstheme="minorHAnsi"/>
                <w:color w:val="000000"/>
                <w:sz w:val="22"/>
              </w:rPr>
              <w:t>goats,</w:t>
            </w:r>
            <w:r w:rsidR="007F644A" w:rsidRPr="003633F7">
              <w:rPr>
                <w:rFonts w:asciiTheme="minorHAnsi" w:eastAsia="Times New Roman" w:hAnsiTheme="minorHAnsi" w:cstheme="minorHAnsi"/>
                <w:color w:val="000000"/>
                <w:sz w:val="22"/>
              </w:rPr>
              <w:t xml:space="preserve"> </w:t>
            </w:r>
            <w:r w:rsidRPr="003633F7">
              <w:rPr>
                <w:rFonts w:asciiTheme="minorHAnsi" w:eastAsia="Times New Roman" w:hAnsiTheme="minorHAnsi" w:cstheme="minorHAnsi"/>
                <w:color w:val="000000"/>
                <w:sz w:val="22"/>
              </w:rPr>
              <w:t>horse</w:t>
            </w:r>
          </w:p>
        </w:tc>
        <w:tc>
          <w:tcPr>
            <w:tcW w:w="3529" w:type="dxa"/>
            <w:shd w:val="clear" w:color="auto" w:fill="auto"/>
            <w:noWrap/>
            <w:hideMark/>
          </w:tcPr>
          <w:p w14:paraId="09C17D18" w14:textId="5EE2FF19"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MeatLvstk</w:t>
            </w:r>
          </w:p>
        </w:tc>
      </w:tr>
      <w:tr w:rsidR="00777172" w:rsidRPr="003633F7" w14:paraId="3419F168"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2378AE70"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20</w:t>
            </w:r>
          </w:p>
        </w:tc>
        <w:tc>
          <w:tcPr>
            <w:tcW w:w="1086" w:type="dxa"/>
            <w:shd w:val="clear" w:color="auto" w:fill="F2F2F2" w:themeFill="background1" w:themeFillShade="F2"/>
            <w:noWrap/>
            <w:hideMark/>
          </w:tcPr>
          <w:p w14:paraId="67C8C20C"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omt</w:t>
            </w:r>
          </w:p>
        </w:tc>
        <w:tc>
          <w:tcPr>
            <w:tcW w:w="3440" w:type="dxa"/>
            <w:shd w:val="clear" w:color="auto" w:fill="F2F2F2" w:themeFill="background1" w:themeFillShade="F2"/>
            <w:noWrap/>
            <w:hideMark/>
          </w:tcPr>
          <w:p w14:paraId="1BC92B84"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Meat products nec</w:t>
            </w:r>
          </w:p>
        </w:tc>
        <w:tc>
          <w:tcPr>
            <w:tcW w:w="3529" w:type="dxa"/>
            <w:shd w:val="clear" w:color="auto" w:fill="F2F2F2" w:themeFill="background1" w:themeFillShade="F2"/>
            <w:noWrap/>
            <w:hideMark/>
          </w:tcPr>
          <w:p w14:paraId="0F9722AD" w14:textId="3FBD2D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MeatLvstk</w:t>
            </w:r>
          </w:p>
        </w:tc>
      </w:tr>
      <w:tr w:rsidR="00777172" w:rsidRPr="003633F7" w14:paraId="3D1E8DFB"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624F0336"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21</w:t>
            </w:r>
          </w:p>
        </w:tc>
        <w:tc>
          <w:tcPr>
            <w:tcW w:w="1086" w:type="dxa"/>
            <w:shd w:val="clear" w:color="auto" w:fill="auto"/>
            <w:noWrap/>
            <w:hideMark/>
          </w:tcPr>
          <w:p w14:paraId="0C3B260E"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vol</w:t>
            </w:r>
          </w:p>
        </w:tc>
        <w:tc>
          <w:tcPr>
            <w:tcW w:w="3440" w:type="dxa"/>
            <w:shd w:val="clear" w:color="auto" w:fill="auto"/>
            <w:noWrap/>
            <w:hideMark/>
          </w:tcPr>
          <w:p w14:paraId="542FAF17"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Vegetable oils and fats</w:t>
            </w:r>
          </w:p>
        </w:tc>
        <w:tc>
          <w:tcPr>
            <w:tcW w:w="3529" w:type="dxa"/>
            <w:shd w:val="clear" w:color="auto" w:fill="auto"/>
            <w:noWrap/>
            <w:hideMark/>
          </w:tcPr>
          <w:p w14:paraId="445CF48D" w14:textId="4B74D1C6"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OthFood</w:t>
            </w:r>
          </w:p>
        </w:tc>
      </w:tr>
      <w:tr w:rsidR="00777172" w:rsidRPr="003633F7" w14:paraId="21516027"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83997F8"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22</w:t>
            </w:r>
          </w:p>
        </w:tc>
        <w:tc>
          <w:tcPr>
            <w:tcW w:w="1086" w:type="dxa"/>
            <w:shd w:val="clear" w:color="auto" w:fill="F2F2F2" w:themeFill="background1" w:themeFillShade="F2"/>
            <w:noWrap/>
            <w:hideMark/>
          </w:tcPr>
          <w:p w14:paraId="3487F15E"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mil</w:t>
            </w:r>
          </w:p>
        </w:tc>
        <w:tc>
          <w:tcPr>
            <w:tcW w:w="3440" w:type="dxa"/>
            <w:shd w:val="clear" w:color="auto" w:fill="F2F2F2" w:themeFill="background1" w:themeFillShade="F2"/>
            <w:noWrap/>
            <w:hideMark/>
          </w:tcPr>
          <w:p w14:paraId="5E4368AE"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Dairy products</w:t>
            </w:r>
          </w:p>
        </w:tc>
        <w:tc>
          <w:tcPr>
            <w:tcW w:w="3529" w:type="dxa"/>
            <w:shd w:val="clear" w:color="auto" w:fill="F2F2F2" w:themeFill="background1" w:themeFillShade="F2"/>
            <w:noWrap/>
            <w:hideMark/>
          </w:tcPr>
          <w:p w14:paraId="5B13CAA1" w14:textId="331DFB3C"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OthFood</w:t>
            </w:r>
          </w:p>
        </w:tc>
      </w:tr>
      <w:tr w:rsidR="00777172" w:rsidRPr="003633F7" w14:paraId="76F372FF"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9E26D97"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23</w:t>
            </w:r>
          </w:p>
        </w:tc>
        <w:tc>
          <w:tcPr>
            <w:tcW w:w="1086" w:type="dxa"/>
            <w:shd w:val="clear" w:color="auto" w:fill="auto"/>
            <w:noWrap/>
            <w:hideMark/>
          </w:tcPr>
          <w:p w14:paraId="0E932741"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pcr</w:t>
            </w:r>
          </w:p>
        </w:tc>
        <w:tc>
          <w:tcPr>
            <w:tcW w:w="3440" w:type="dxa"/>
            <w:shd w:val="clear" w:color="auto" w:fill="auto"/>
            <w:noWrap/>
            <w:hideMark/>
          </w:tcPr>
          <w:p w14:paraId="3E55A395"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Processed rice</w:t>
            </w:r>
          </w:p>
        </w:tc>
        <w:tc>
          <w:tcPr>
            <w:tcW w:w="3529" w:type="dxa"/>
            <w:shd w:val="clear" w:color="auto" w:fill="auto"/>
            <w:noWrap/>
            <w:hideMark/>
          </w:tcPr>
          <w:p w14:paraId="76716317" w14:textId="376D68B1"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OthFood</w:t>
            </w:r>
          </w:p>
        </w:tc>
      </w:tr>
      <w:tr w:rsidR="00777172" w:rsidRPr="003633F7" w14:paraId="66F43210"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48F9466"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24</w:t>
            </w:r>
          </w:p>
        </w:tc>
        <w:tc>
          <w:tcPr>
            <w:tcW w:w="1086" w:type="dxa"/>
            <w:shd w:val="clear" w:color="auto" w:fill="F2F2F2" w:themeFill="background1" w:themeFillShade="F2"/>
            <w:noWrap/>
            <w:hideMark/>
          </w:tcPr>
          <w:p w14:paraId="433CFF52"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sgr</w:t>
            </w:r>
          </w:p>
        </w:tc>
        <w:tc>
          <w:tcPr>
            <w:tcW w:w="3440" w:type="dxa"/>
            <w:shd w:val="clear" w:color="auto" w:fill="F2F2F2" w:themeFill="background1" w:themeFillShade="F2"/>
            <w:noWrap/>
            <w:hideMark/>
          </w:tcPr>
          <w:p w14:paraId="161BC6C8"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Sugar</w:t>
            </w:r>
          </w:p>
        </w:tc>
        <w:tc>
          <w:tcPr>
            <w:tcW w:w="3529" w:type="dxa"/>
            <w:shd w:val="clear" w:color="auto" w:fill="F2F2F2" w:themeFill="background1" w:themeFillShade="F2"/>
            <w:noWrap/>
            <w:hideMark/>
          </w:tcPr>
          <w:p w14:paraId="42A59FE7" w14:textId="33CA5931"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OthFood</w:t>
            </w:r>
          </w:p>
        </w:tc>
      </w:tr>
      <w:tr w:rsidR="00777172" w:rsidRPr="003633F7" w14:paraId="6C228175"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1318527"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25</w:t>
            </w:r>
          </w:p>
        </w:tc>
        <w:tc>
          <w:tcPr>
            <w:tcW w:w="1086" w:type="dxa"/>
            <w:shd w:val="clear" w:color="auto" w:fill="auto"/>
            <w:noWrap/>
            <w:hideMark/>
          </w:tcPr>
          <w:p w14:paraId="23CDEDE1"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ofd</w:t>
            </w:r>
          </w:p>
        </w:tc>
        <w:tc>
          <w:tcPr>
            <w:tcW w:w="3440" w:type="dxa"/>
            <w:shd w:val="clear" w:color="auto" w:fill="auto"/>
            <w:noWrap/>
            <w:hideMark/>
          </w:tcPr>
          <w:p w14:paraId="2E2B99DF"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Food products nec</w:t>
            </w:r>
          </w:p>
        </w:tc>
        <w:tc>
          <w:tcPr>
            <w:tcW w:w="3529" w:type="dxa"/>
            <w:shd w:val="clear" w:color="auto" w:fill="auto"/>
            <w:noWrap/>
            <w:hideMark/>
          </w:tcPr>
          <w:p w14:paraId="59BABE47" w14:textId="61B87CE4"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OthFood</w:t>
            </w:r>
          </w:p>
        </w:tc>
      </w:tr>
      <w:tr w:rsidR="00777172" w:rsidRPr="003633F7" w14:paraId="3F3FFE32"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02CD5347"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26</w:t>
            </w:r>
          </w:p>
        </w:tc>
        <w:tc>
          <w:tcPr>
            <w:tcW w:w="1086" w:type="dxa"/>
            <w:shd w:val="clear" w:color="auto" w:fill="F2F2F2" w:themeFill="background1" w:themeFillShade="F2"/>
            <w:noWrap/>
            <w:hideMark/>
          </w:tcPr>
          <w:p w14:paraId="1A008251"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b_t</w:t>
            </w:r>
          </w:p>
        </w:tc>
        <w:tc>
          <w:tcPr>
            <w:tcW w:w="3440" w:type="dxa"/>
            <w:shd w:val="clear" w:color="auto" w:fill="F2F2F2" w:themeFill="background1" w:themeFillShade="F2"/>
            <w:noWrap/>
            <w:hideMark/>
          </w:tcPr>
          <w:p w14:paraId="209427C2"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Beverages and tobacco products</w:t>
            </w:r>
          </w:p>
        </w:tc>
        <w:tc>
          <w:tcPr>
            <w:tcW w:w="3529" w:type="dxa"/>
            <w:shd w:val="clear" w:color="auto" w:fill="F2F2F2" w:themeFill="background1" w:themeFillShade="F2"/>
            <w:noWrap/>
            <w:hideMark/>
          </w:tcPr>
          <w:p w14:paraId="6EC60F25" w14:textId="6A8B1B83"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OthFood</w:t>
            </w:r>
          </w:p>
        </w:tc>
      </w:tr>
      <w:tr w:rsidR="00777172" w:rsidRPr="003633F7" w14:paraId="37FD25B1"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15079278"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27</w:t>
            </w:r>
          </w:p>
        </w:tc>
        <w:tc>
          <w:tcPr>
            <w:tcW w:w="1086" w:type="dxa"/>
            <w:shd w:val="clear" w:color="auto" w:fill="auto"/>
            <w:noWrap/>
            <w:hideMark/>
          </w:tcPr>
          <w:p w14:paraId="5E8AB1F3"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tex</w:t>
            </w:r>
          </w:p>
        </w:tc>
        <w:tc>
          <w:tcPr>
            <w:tcW w:w="3440" w:type="dxa"/>
            <w:shd w:val="clear" w:color="auto" w:fill="auto"/>
            <w:noWrap/>
            <w:hideMark/>
          </w:tcPr>
          <w:p w14:paraId="09D9A580"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Textiles</w:t>
            </w:r>
          </w:p>
        </w:tc>
        <w:tc>
          <w:tcPr>
            <w:tcW w:w="3529" w:type="dxa"/>
            <w:shd w:val="clear" w:color="auto" w:fill="auto"/>
            <w:noWrap/>
            <w:hideMark/>
          </w:tcPr>
          <w:p w14:paraId="7DAEDA64" w14:textId="4872A2B3"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Omnfcs</w:t>
            </w:r>
          </w:p>
        </w:tc>
      </w:tr>
      <w:tr w:rsidR="00777172" w:rsidRPr="003633F7" w14:paraId="70D9E951"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059BB86B"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28</w:t>
            </w:r>
          </w:p>
        </w:tc>
        <w:tc>
          <w:tcPr>
            <w:tcW w:w="1086" w:type="dxa"/>
            <w:shd w:val="clear" w:color="auto" w:fill="F2F2F2" w:themeFill="background1" w:themeFillShade="F2"/>
            <w:noWrap/>
            <w:hideMark/>
          </w:tcPr>
          <w:p w14:paraId="41FE8E6D"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wap</w:t>
            </w:r>
          </w:p>
        </w:tc>
        <w:tc>
          <w:tcPr>
            <w:tcW w:w="3440" w:type="dxa"/>
            <w:shd w:val="clear" w:color="auto" w:fill="F2F2F2" w:themeFill="background1" w:themeFillShade="F2"/>
            <w:noWrap/>
            <w:hideMark/>
          </w:tcPr>
          <w:p w14:paraId="5DAAD638"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Wearing apparel</w:t>
            </w:r>
          </w:p>
        </w:tc>
        <w:tc>
          <w:tcPr>
            <w:tcW w:w="3529" w:type="dxa"/>
            <w:shd w:val="clear" w:color="auto" w:fill="F2F2F2" w:themeFill="background1" w:themeFillShade="F2"/>
            <w:noWrap/>
            <w:hideMark/>
          </w:tcPr>
          <w:p w14:paraId="7DE90E63" w14:textId="3F2AB3C4"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Omnfcs</w:t>
            </w:r>
          </w:p>
        </w:tc>
      </w:tr>
      <w:tr w:rsidR="00777172" w:rsidRPr="003633F7" w14:paraId="09CADB4C"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2D8C448"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29</w:t>
            </w:r>
          </w:p>
        </w:tc>
        <w:tc>
          <w:tcPr>
            <w:tcW w:w="1086" w:type="dxa"/>
            <w:shd w:val="clear" w:color="auto" w:fill="auto"/>
            <w:noWrap/>
            <w:hideMark/>
          </w:tcPr>
          <w:p w14:paraId="00EEE1BD"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lea</w:t>
            </w:r>
          </w:p>
        </w:tc>
        <w:tc>
          <w:tcPr>
            <w:tcW w:w="3440" w:type="dxa"/>
            <w:shd w:val="clear" w:color="auto" w:fill="auto"/>
            <w:noWrap/>
            <w:hideMark/>
          </w:tcPr>
          <w:p w14:paraId="6756D292"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Leather products</w:t>
            </w:r>
          </w:p>
        </w:tc>
        <w:tc>
          <w:tcPr>
            <w:tcW w:w="3529" w:type="dxa"/>
            <w:shd w:val="clear" w:color="auto" w:fill="auto"/>
            <w:noWrap/>
            <w:hideMark/>
          </w:tcPr>
          <w:p w14:paraId="08D90CC0" w14:textId="6AED27A1"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Omnfcs</w:t>
            </w:r>
          </w:p>
        </w:tc>
      </w:tr>
      <w:tr w:rsidR="00777172" w:rsidRPr="003633F7" w14:paraId="72811F1E"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64BB944"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30</w:t>
            </w:r>
          </w:p>
        </w:tc>
        <w:tc>
          <w:tcPr>
            <w:tcW w:w="1086" w:type="dxa"/>
            <w:shd w:val="clear" w:color="auto" w:fill="F2F2F2" w:themeFill="background1" w:themeFillShade="F2"/>
            <w:noWrap/>
            <w:hideMark/>
          </w:tcPr>
          <w:p w14:paraId="620F4A8E"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lum</w:t>
            </w:r>
          </w:p>
        </w:tc>
        <w:tc>
          <w:tcPr>
            <w:tcW w:w="3440" w:type="dxa"/>
            <w:shd w:val="clear" w:color="auto" w:fill="F2F2F2" w:themeFill="background1" w:themeFillShade="F2"/>
            <w:noWrap/>
            <w:hideMark/>
          </w:tcPr>
          <w:p w14:paraId="7FAC1627"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Wood products</w:t>
            </w:r>
          </w:p>
        </w:tc>
        <w:tc>
          <w:tcPr>
            <w:tcW w:w="3529" w:type="dxa"/>
            <w:shd w:val="clear" w:color="auto" w:fill="F2F2F2" w:themeFill="background1" w:themeFillShade="F2"/>
            <w:noWrap/>
            <w:hideMark/>
          </w:tcPr>
          <w:p w14:paraId="07DADDF1" w14:textId="1B79ED09"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Omnfcs</w:t>
            </w:r>
          </w:p>
        </w:tc>
      </w:tr>
      <w:tr w:rsidR="00777172" w:rsidRPr="003633F7" w14:paraId="67829787"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E93C76B"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31</w:t>
            </w:r>
          </w:p>
        </w:tc>
        <w:tc>
          <w:tcPr>
            <w:tcW w:w="1086" w:type="dxa"/>
            <w:shd w:val="clear" w:color="auto" w:fill="auto"/>
            <w:noWrap/>
            <w:hideMark/>
          </w:tcPr>
          <w:p w14:paraId="66564815"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ppp</w:t>
            </w:r>
          </w:p>
        </w:tc>
        <w:tc>
          <w:tcPr>
            <w:tcW w:w="3440" w:type="dxa"/>
            <w:shd w:val="clear" w:color="auto" w:fill="auto"/>
            <w:noWrap/>
            <w:hideMark/>
          </w:tcPr>
          <w:p w14:paraId="17184345"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Paper products, publishing</w:t>
            </w:r>
          </w:p>
        </w:tc>
        <w:tc>
          <w:tcPr>
            <w:tcW w:w="3529" w:type="dxa"/>
            <w:shd w:val="clear" w:color="auto" w:fill="auto"/>
            <w:noWrap/>
            <w:hideMark/>
          </w:tcPr>
          <w:p w14:paraId="18D9684A" w14:textId="713B257A"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Omnfcs</w:t>
            </w:r>
          </w:p>
        </w:tc>
      </w:tr>
      <w:tr w:rsidR="00777172" w:rsidRPr="003633F7" w14:paraId="6ED10CB8"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17FBFC2C"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32</w:t>
            </w:r>
          </w:p>
        </w:tc>
        <w:tc>
          <w:tcPr>
            <w:tcW w:w="1086" w:type="dxa"/>
            <w:shd w:val="clear" w:color="auto" w:fill="F2F2F2" w:themeFill="background1" w:themeFillShade="F2"/>
            <w:noWrap/>
            <w:hideMark/>
          </w:tcPr>
          <w:p w14:paraId="3905ED91"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p_c</w:t>
            </w:r>
          </w:p>
        </w:tc>
        <w:tc>
          <w:tcPr>
            <w:tcW w:w="3440" w:type="dxa"/>
            <w:shd w:val="clear" w:color="auto" w:fill="F2F2F2" w:themeFill="background1" w:themeFillShade="F2"/>
            <w:noWrap/>
            <w:hideMark/>
          </w:tcPr>
          <w:p w14:paraId="33779564"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Petroleum, coal products</w:t>
            </w:r>
          </w:p>
        </w:tc>
        <w:tc>
          <w:tcPr>
            <w:tcW w:w="3529" w:type="dxa"/>
            <w:shd w:val="clear" w:color="auto" w:fill="F2F2F2" w:themeFill="background1" w:themeFillShade="F2"/>
            <w:noWrap/>
            <w:hideMark/>
          </w:tcPr>
          <w:p w14:paraId="0DAADC45" w14:textId="429C6D4B"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Chemineral</w:t>
            </w:r>
          </w:p>
        </w:tc>
      </w:tr>
      <w:tr w:rsidR="00777172" w:rsidRPr="003633F7" w14:paraId="042E4467"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64E1DDE3"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33</w:t>
            </w:r>
          </w:p>
        </w:tc>
        <w:tc>
          <w:tcPr>
            <w:tcW w:w="1086" w:type="dxa"/>
            <w:shd w:val="clear" w:color="auto" w:fill="auto"/>
            <w:noWrap/>
            <w:hideMark/>
          </w:tcPr>
          <w:p w14:paraId="480A2ECC"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crp</w:t>
            </w:r>
          </w:p>
        </w:tc>
        <w:tc>
          <w:tcPr>
            <w:tcW w:w="3440" w:type="dxa"/>
            <w:shd w:val="clear" w:color="auto" w:fill="auto"/>
            <w:noWrap/>
            <w:hideMark/>
          </w:tcPr>
          <w:p w14:paraId="49B22013" w14:textId="175A363C"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Chemical,</w:t>
            </w:r>
            <w:r w:rsidR="007F644A" w:rsidRPr="003633F7">
              <w:rPr>
                <w:rFonts w:asciiTheme="minorHAnsi" w:eastAsia="Times New Roman" w:hAnsiTheme="minorHAnsi" w:cstheme="minorHAnsi"/>
                <w:color w:val="000000"/>
                <w:sz w:val="22"/>
              </w:rPr>
              <w:t xml:space="preserve"> </w:t>
            </w:r>
            <w:r w:rsidRPr="003633F7">
              <w:rPr>
                <w:rFonts w:asciiTheme="minorHAnsi" w:eastAsia="Times New Roman" w:hAnsiTheme="minorHAnsi" w:cstheme="minorHAnsi"/>
                <w:color w:val="000000"/>
                <w:sz w:val="22"/>
              </w:rPr>
              <w:t>rubber,</w:t>
            </w:r>
            <w:r w:rsidR="007F644A" w:rsidRPr="003633F7">
              <w:rPr>
                <w:rFonts w:asciiTheme="minorHAnsi" w:eastAsia="Times New Roman" w:hAnsiTheme="minorHAnsi" w:cstheme="minorHAnsi"/>
                <w:color w:val="000000"/>
                <w:sz w:val="22"/>
              </w:rPr>
              <w:t xml:space="preserve"> </w:t>
            </w:r>
            <w:r w:rsidRPr="003633F7">
              <w:rPr>
                <w:rFonts w:asciiTheme="minorHAnsi" w:eastAsia="Times New Roman" w:hAnsiTheme="minorHAnsi" w:cstheme="minorHAnsi"/>
                <w:color w:val="000000"/>
                <w:sz w:val="22"/>
              </w:rPr>
              <w:t>plastic prods</w:t>
            </w:r>
          </w:p>
        </w:tc>
        <w:tc>
          <w:tcPr>
            <w:tcW w:w="3529" w:type="dxa"/>
            <w:shd w:val="clear" w:color="auto" w:fill="auto"/>
            <w:noWrap/>
            <w:hideMark/>
          </w:tcPr>
          <w:p w14:paraId="51855C2E" w14:textId="20D8C0F0"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Chemineral</w:t>
            </w:r>
          </w:p>
        </w:tc>
      </w:tr>
      <w:tr w:rsidR="00777172" w:rsidRPr="003633F7" w14:paraId="4A8BE40B"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E02E846"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34</w:t>
            </w:r>
          </w:p>
        </w:tc>
        <w:tc>
          <w:tcPr>
            <w:tcW w:w="1086" w:type="dxa"/>
            <w:shd w:val="clear" w:color="auto" w:fill="F2F2F2" w:themeFill="background1" w:themeFillShade="F2"/>
            <w:noWrap/>
            <w:hideMark/>
          </w:tcPr>
          <w:p w14:paraId="5095C2DC"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nmm</w:t>
            </w:r>
          </w:p>
        </w:tc>
        <w:tc>
          <w:tcPr>
            <w:tcW w:w="3440" w:type="dxa"/>
            <w:shd w:val="clear" w:color="auto" w:fill="F2F2F2" w:themeFill="background1" w:themeFillShade="F2"/>
            <w:noWrap/>
            <w:hideMark/>
          </w:tcPr>
          <w:p w14:paraId="1C614E76"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Mineral products nec</w:t>
            </w:r>
          </w:p>
        </w:tc>
        <w:tc>
          <w:tcPr>
            <w:tcW w:w="3529" w:type="dxa"/>
            <w:shd w:val="clear" w:color="auto" w:fill="F2F2F2" w:themeFill="background1" w:themeFillShade="F2"/>
            <w:noWrap/>
            <w:hideMark/>
          </w:tcPr>
          <w:p w14:paraId="5C0BC4DB" w14:textId="44F62DD1"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Chemineral</w:t>
            </w:r>
          </w:p>
        </w:tc>
      </w:tr>
      <w:tr w:rsidR="00777172" w:rsidRPr="003633F7" w14:paraId="4D476387"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3B855B5"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35</w:t>
            </w:r>
          </w:p>
        </w:tc>
        <w:tc>
          <w:tcPr>
            <w:tcW w:w="1086" w:type="dxa"/>
            <w:shd w:val="clear" w:color="auto" w:fill="auto"/>
            <w:noWrap/>
            <w:hideMark/>
          </w:tcPr>
          <w:p w14:paraId="01BCE72F"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i_s</w:t>
            </w:r>
          </w:p>
        </w:tc>
        <w:tc>
          <w:tcPr>
            <w:tcW w:w="3440" w:type="dxa"/>
            <w:shd w:val="clear" w:color="auto" w:fill="auto"/>
            <w:noWrap/>
            <w:hideMark/>
          </w:tcPr>
          <w:p w14:paraId="46FDB53D"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Ferrous metals</w:t>
            </w:r>
          </w:p>
        </w:tc>
        <w:tc>
          <w:tcPr>
            <w:tcW w:w="3529" w:type="dxa"/>
            <w:shd w:val="clear" w:color="auto" w:fill="auto"/>
            <w:noWrap/>
            <w:hideMark/>
          </w:tcPr>
          <w:p w14:paraId="0E1EC3BA" w14:textId="01E33051"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Extraction</w:t>
            </w:r>
          </w:p>
        </w:tc>
      </w:tr>
      <w:tr w:rsidR="00777172" w:rsidRPr="003633F7" w14:paraId="5FC13541"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6C20B48"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36</w:t>
            </w:r>
          </w:p>
        </w:tc>
        <w:tc>
          <w:tcPr>
            <w:tcW w:w="1086" w:type="dxa"/>
            <w:shd w:val="clear" w:color="auto" w:fill="F2F2F2" w:themeFill="background1" w:themeFillShade="F2"/>
            <w:noWrap/>
            <w:hideMark/>
          </w:tcPr>
          <w:p w14:paraId="1D37AFCF"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nfm</w:t>
            </w:r>
          </w:p>
        </w:tc>
        <w:tc>
          <w:tcPr>
            <w:tcW w:w="3440" w:type="dxa"/>
            <w:shd w:val="clear" w:color="auto" w:fill="F2F2F2" w:themeFill="background1" w:themeFillShade="F2"/>
            <w:noWrap/>
            <w:hideMark/>
          </w:tcPr>
          <w:p w14:paraId="7C606C31"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Metals nec</w:t>
            </w:r>
          </w:p>
        </w:tc>
        <w:tc>
          <w:tcPr>
            <w:tcW w:w="3529" w:type="dxa"/>
            <w:shd w:val="clear" w:color="auto" w:fill="F2F2F2" w:themeFill="background1" w:themeFillShade="F2"/>
            <w:noWrap/>
            <w:hideMark/>
          </w:tcPr>
          <w:p w14:paraId="1A238565" w14:textId="2842C3AC"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Extraction</w:t>
            </w:r>
          </w:p>
        </w:tc>
      </w:tr>
      <w:tr w:rsidR="00777172" w:rsidRPr="003633F7" w14:paraId="1143EE3A"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1224D5FC"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lastRenderedPageBreak/>
              <w:t>37</w:t>
            </w:r>
          </w:p>
        </w:tc>
        <w:tc>
          <w:tcPr>
            <w:tcW w:w="1086" w:type="dxa"/>
            <w:shd w:val="clear" w:color="auto" w:fill="auto"/>
            <w:noWrap/>
            <w:hideMark/>
          </w:tcPr>
          <w:p w14:paraId="2A31D015"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fmp</w:t>
            </w:r>
          </w:p>
        </w:tc>
        <w:tc>
          <w:tcPr>
            <w:tcW w:w="3440" w:type="dxa"/>
            <w:shd w:val="clear" w:color="auto" w:fill="auto"/>
            <w:noWrap/>
            <w:hideMark/>
          </w:tcPr>
          <w:p w14:paraId="54087D8F"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Metal products</w:t>
            </w:r>
          </w:p>
        </w:tc>
        <w:tc>
          <w:tcPr>
            <w:tcW w:w="3529" w:type="dxa"/>
            <w:shd w:val="clear" w:color="auto" w:fill="auto"/>
            <w:noWrap/>
            <w:hideMark/>
          </w:tcPr>
          <w:p w14:paraId="64C5BF2C" w14:textId="3838D71F"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Extraction</w:t>
            </w:r>
          </w:p>
        </w:tc>
      </w:tr>
      <w:tr w:rsidR="00777172" w:rsidRPr="003633F7" w14:paraId="434789A1"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616E87B"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38</w:t>
            </w:r>
          </w:p>
        </w:tc>
        <w:tc>
          <w:tcPr>
            <w:tcW w:w="1086" w:type="dxa"/>
            <w:shd w:val="clear" w:color="auto" w:fill="F2F2F2" w:themeFill="background1" w:themeFillShade="F2"/>
            <w:noWrap/>
            <w:hideMark/>
          </w:tcPr>
          <w:p w14:paraId="67E1A679"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mvh</w:t>
            </w:r>
          </w:p>
        </w:tc>
        <w:tc>
          <w:tcPr>
            <w:tcW w:w="3440" w:type="dxa"/>
            <w:shd w:val="clear" w:color="auto" w:fill="F2F2F2" w:themeFill="background1" w:themeFillShade="F2"/>
            <w:noWrap/>
            <w:hideMark/>
          </w:tcPr>
          <w:p w14:paraId="56BC7075"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Motor vehicles and parts</w:t>
            </w:r>
          </w:p>
        </w:tc>
        <w:tc>
          <w:tcPr>
            <w:tcW w:w="3529" w:type="dxa"/>
            <w:shd w:val="clear" w:color="auto" w:fill="F2F2F2" w:themeFill="background1" w:themeFillShade="F2"/>
            <w:noWrap/>
            <w:hideMark/>
          </w:tcPr>
          <w:p w14:paraId="1633260D" w14:textId="0EC11C30"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Omnfcs</w:t>
            </w:r>
          </w:p>
        </w:tc>
      </w:tr>
      <w:tr w:rsidR="00777172" w:rsidRPr="003633F7" w14:paraId="6FC0BB75"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2A77B537"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39</w:t>
            </w:r>
          </w:p>
        </w:tc>
        <w:tc>
          <w:tcPr>
            <w:tcW w:w="1086" w:type="dxa"/>
            <w:shd w:val="clear" w:color="auto" w:fill="auto"/>
            <w:noWrap/>
            <w:hideMark/>
          </w:tcPr>
          <w:p w14:paraId="4D6FBCA5"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otn</w:t>
            </w:r>
          </w:p>
        </w:tc>
        <w:tc>
          <w:tcPr>
            <w:tcW w:w="3440" w:type="dxa"/>
            <w:shd w:val="clear" w:color="auto" w:fill="auto"/>
            <w:noWrap/>
            <w:hideMark/>
          </w:tcPr>
          <w:p w14:paraId="52A4F296"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Transport equipment nec</w:t>
            </w:r>
          </w:p>
        </w:tc>
        <w:tc>
          <w:tcPr>
            <w:tcW w:w="3529" w:type="dxa"/>
            <w:shd w:val="clear" w:color="auto" w:fill="auto"/>
            <w:noWrap/>
            <w:hideMark/>
          </w:tcPr>
          <w:p w14:paraId="1CFB4CDF" w14:textId="71FCA220"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Machequip</w:t>
            </w:r>
          </w:p>
        </w:tc>
      </w:tr>
      <w:tr w:rsidR="00777172" w:rsidRPr="003633F7" w14:paraId="0A301CB8"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FE47D66"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40</w:t>
            </w:r>
          </w:p>
        </w:tc>
        <w:tc>
          <w:tcPr>
            <w:tcW w:w="1086" w:type="dxa"/>
            <w:shd w:val="clear" w:color="auto" w:fill="F2F2F2" w:themeFill="background1" w:themeFillShade="F2"/>
            <w:noWrap/>
            <w:hideMark/>
          </w:tcPr>
          <w:p w14:paraId="0BABA2AD"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ele</w:t>
            </w:r>
          </w:p>
        </w:tc>
        <w:tc>
          <w:tcPr>
            <w:tcW w:w="3440" w:type="dxa"/>
            <w:shd w:val="clear" w:color="auto" w:fill="F2F2F2" w:themeFill="background1" w:themeFillShade="F2"/>
            <w:noWrap/>
            <w:hideMark/>
          </w:tcPr>
          <w:p w14:paraId="528C7A8C"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Electronic equipment</w:t>
            </w:r>
          </w:p>
        </w:tc>
        <w:tc>
          <w:tcPr>
            <w:tcW w:w="3529" w:type="dxa"/>
            <w:shd w:val="clear" w:color="auto" w:fill="F2F2F2" w:themeFill="background1" w:themeFillShade="F2"/>
            <w:noWrap/>
            <w:hideMark/>
          </w:tcPr>
          <w:p w14:paraId="7246336F" w14:textId="71597A32"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Machequip</w:t>
            </w:r>
          </w:p>
        </w:tc>
      </w:tr>
      <w:tr w:rsidR="00777172" w:rsidRPr="003633F7" w14:paraId="2B71ADC4"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2CA67D4"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41</w:t>
            </w:r>
          </w:p>
        </w:tc>
        <w:tc>
          <w:tcPr>
            <w:tcW w:w="1086" w:type="dxa"/>
            <w:shd w:val="clear" w:color="auto" w:fill="auto"/>
            <w:noWrap/>
            <w:hideMark/>
          </w:tcPr>
          <w:p w14:paraId="59FE1791"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ome</w:t>
            </w:r>
          </w:p>
        </w:tc>
        <w:tc>
          <w:tcPr>
            <w:tcW w:w="3440" w:type="dxa"/>
            <w:shd w:val="clear" w:color="auto" w:fill="auto"/>
            <w:noWrap/>
            <w:hideMark/>
          </w:tcPr>
          <w:p w14:paraId="03DAF0B8"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Machinery and equipment nec</w:t>
            </w:r>
          </w:p>
        </w:tc>
        <w:tc>
          <w:tcPr>
            <w:tcW w:w="3529" w:type="dxa"/>
            <w:shd w:val="clear" w:color="auto" w:fill="auto"/>
            <w:noWrap/>
            <w:hideMark/>
          </w:tcPr>
          <w:p w14:paraId="01516A8F" w14:textId="10F2538E"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Machequip</w:t>
            </w:r>
          </w:p>
        </w:tc>
      </w:tr>
      <w:tr w:rsidR="00777172" w:rsidRPr="003633F7" w14:paraId="432FAA13"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3240C6D"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42</w:t>
            </w:r>
          </w:p>
        </w:tc>
        <w:tc>
          <w:tcPr>
            <w:tcW w:w="1086" w:type="dxa"/>
            <w:shd w:val="clear" w:color="auto" w:fill="F2F2F2" w:themeFill="background1" w:themeFillShade="F2"/>
            <w:noWrap/>
            <w:hideMark/>
          </w:tcPr>
          <w:p w14:paraId="58FD76DE"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omf</w:t>
            </w:r>
          </w:p>
        </w:tc>
        <w:tc>
          <w:tcPr>
            <w:tcW w:w="3440" w:type="dxa"/>
            <w:shd w:val="clear" w:color="auto" w:fill="F2F2F2" w:themeFill="background1" w:themeFillShade="F2"/>
            <w:noWrap/>
            <w:hideMark/>
          </w:tcPr>
          <w:p w14:paraId="0EC60CE6"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Manufactures nec</w:t>
            </w:r>
          </w:p>
        </w:tc>
        <w:tc>
          <w:tcPr>
            <w:tcW w:w="3529" w:type="dxa"/>
            <w:shd w:val="clear" w:color="auto" w:fill="F2F2F2" w:themeFill="background1" w:themeFillShade="F2"/>
            <w:noWrap/>
            <w:hideMark/>
          </w:tcPr>
          <w:p w14:paraId="5EE99CC2" w14:textId="26C01421"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Omnfcs</w:t>
            </w:r>
          </w:p>
        </w:tc>
      </w:tr>
      <w:tr w:rsidR="00777172" w:rsidRPr="003633F7" w14:paraId="230164D2"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169C6E73"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43</w:t>
            </w:r>
          </w:p>
        </w:tc>
        <w:tc>
          <w:tcPr>
            <w:tcW w:w="1086" w:type="dxa"/>
            <w:shd w:val="clear" w:color="auto" w:fill="auto"/>
            <w:noWrap/>
            <w:hideMark/>
          </w:tcPr>
          <w:p w14:paraId="0A45F990"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ely</w:t>
            </w:r>
          </w:p>
        </w:tc>
        <w:tc>
          <w:tcPr>
            <w:tcW w:w="3440" w:type="dxa"/>
            <w:shd w:val="clear" w:color="auto" w:fill="auto"/>
            <w:noWrap/>
            <w:hideMark/>
          </w:tcPr>
          <w:p w14:paraId="3983BD3D"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Electricity</w:t>
            </w:r>
          </w:p>
        </w:tc>
        <w:tc>
          <w:tcPr>
            <w:tcW w:w="3529" w:type="dxa"/>
            <w:shd w:val="clear" w:color="auto" w:fill="auto"/>
            <w:noWrap/>
            <w:hideMark/>
          </w:tcPr>
          <w:p w14:paraId="0DFFA248" w14:textId="3A1183F1"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Utilities</w:t>
            </w:r>
          </w:p>
        </w:tc>
      </w:tr>
      <w:tr w:rsidR="00777172" w:rsidRPr="003633F7" w14:paraId="3A5F0D84"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07859CC4"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44</w:t>
            </w:r>
          </w:p>
        </w:tc>
        <w:tc>
          <w:tcPr>
            <w:tcW w:w="1086" w:type="dxa"/>
            <w:shd w:val="clear" w:color="auto" w:fill="F2F2F2" w:themeFill="background1" w:themeFillShade="F2"/>
            <w:noWrap/>
            <w:hideMark/>
          </w:tcPr>
          <w:p w14:paraId="2BDBC1D4"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gdt</w:t>
            </w:r>
          </w:p>
        </w:tc>
        <w:tc>
          <w:tcPr>
            <w:tcW w:w="3440" w:type="dxa"/>
            <w:shd w:val="clear" w:color="auto" w:fill="F2F2F2" w:themeFill="background1" w:themeFillShade="F2"/>
            <w:noWrap/>
            <w:hideMark/>
          </w:tcPr>
          <w:p w14:paraId="28A7A574"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Gas manufacture, distribution</w:t>
            </w:r>
          </w:p>
        </w:tc>
        <w:tc>
          <w:tcPr>
            <w:tcW w:w="3529" w:type="dxa"/>
            <w:shd w:val="clear" w:color="auto" w:fill="F2F2F2" w:themeFill="background1" w:themeFillShade="F2"/>
            <w:noWrap/>
            <w:hideMark/>
          </w:tcPr>
          <w:p w14:paraId="428318E6" w14:textId="01D89195"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Utilities</w:t>
            </w:r>
          </w:p>
        </w:tc>
      </w:tr>
      <w:tr w:rsidR="00777172" w:rsidRPr="003633F7" w14:paraId="47DC3ED4"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6B96523F"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45</w:t>
            </w:r>
          </w:p>
        </w:tc>
        <w:tc>
          <w:tcPr>
            <w:tcW w:w="1086" w:type="dxa"/>
            <w:shd w:val="clear" w:color="auto" w:fill="auto"/>
            <w:noWrap/>
            <w:hideMark/>
          </w:tcPr>
          <w:p w14:paraId="00DE3E2A"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wtr</w:t>
            </w:r>
          </w:p>
        </w:tc>
        <w:tc>
          <w:tcPr>
            <w:tcW w:w="3440" w:type="dxa"/>
            <w:shd w:val="clear" w:color="auto" w:fill="auto"/>
            <w:noWrap/>
            <w:hideMark/>
          </w:tcPr>
          <w:p w14:paraId="69038DB9"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Water</w:t>
            </w:r>
          </w:p>
        </w:tc>
        <w:tc>
          <w:tcPr>
            <w:tcW w:w="3529" w:type="dxa"/>
            <w:shd w:val="clear" w:color="auto" w:fill="auto"/>
            <w:noWrap/>
            <w:hideMark/>
          </w:tcPr>
          <w:p w14:paraId="4860E273" w14:textId="30883E44"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Utilities</w:t>
            </w:r>
          </w:p>
        </w:tc>
      </w:tr>
      <w:tr w:rsidR="00777172" w:rsidRPr="003633F7" w14:paraId="7BA72048"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676317D1"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46</w:t>
            </w:r>
          </w:p>
        </w:tc>
        <w:tc>
          <w:tcPr>
            <w:tcW w:w="1086" w:type="dxa"/>
            <w:shd w:val="clear" w:color="auto" w:fill="F2F2F2" w:themeFill="background1" w:themeFillShade="F2"/>
            <w:noWrap/>
            <w:hideMark/>
          </w:tcPr>
          <w:p w14:paraId="5F958DBB"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cns</w:t>
            </w:r>
          </w:p>
        </w:tc>
        <w:tc>
          <w:tcPr>
            <w:tcW w:w="3440" w:type="dxa"/>
            <w:shd w:val="clear" w:color="auto" w:fill="F2F2F2" w:themeFill="background1" w:themeFillShade="F2"/>
            <w:noWrap/>
            <w:hideMark/>
          </w:tcPr>
          <w:p w14:paraId="076B32DA"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Construction</w:t>
            </w:r>
          </w:p>
        </w:tc>
        <w:tc>
          <w:tcPr>
            <w:tcW w:w="3529" w:type="dxa"/>
            <w:shd w:val="clear" w:color="auto" w:fill="F2F2F2" w:themeFill="background1" w:themeFillShade="F2"/>
            <w:noWrap/>
            <w:hideMark/>
          </w:tcPr>
          <w:p w14:paraId="368A8899" w14:textId="4FFD3EB4"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Construction</w:t>
            </w:r>
          </w:p>
        </w:tc>
      </w:tr>
      <w:tr w:rsidR="00777172" w:rsidRPr="003633F7" w14:paraId="24AD60E4"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58E6E07"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47</w:t>
            </w:r>
          </w:p>
        </w:tc>
        <w:tc>
          <w:tcPr>
            <w:tcW w:w="1086" w:type="dxa"/>
            <w:shd w:val="clear" w:color="auto" w:fill="auto"/>
            <w:noWrap/>
            <w:hideMark/>
          </w:tcPr>
          <w:p w14:paraId="541FF6C1"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trd</w:t>
            </w:r>
          </w:p>
        </w:tc>
        <w:tc>
          <w:tcPr>
            <w:tcW w:w="3440" w:type="dxa"/>
            <w:shd w:val="clear" w:color="auto" w:fill="auto"/>
            <w:noWrap/>
            <w:hideMark/>
          </w:tcPr>
          <w:p w14:paraId="694A3FC0"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Trade</w:t>
            </w:r>
          </w:p>
        </w:tc>
        <w:tc>
          <w:tcPr>
            <w:tcW w:w="3529" w:type="dxa"/>
            <w:shd w:val="clear" w:color="auto" w:fill="auto"/>
            <w:noWrap/>
            <w:hideMark/>
          </w:tcPr>
          <w:p w14:paraId="607C8955" w14:textId="68EDF8EE"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Trdtrnscomm</w:t>
            </w:r>
          </w:p>
        </w:tc>
      </w:tr>
      <w:tr w:rsidR="00777172" w:rsidRPr="003633F7" w14:paraId="33D506E5"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2A6ACA98"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48</w:t>
            </w:r>
          </w:p>
        </w:tc>
        <w:tc>
          <w:tcPr>
            <w:tcW w:w="1086" w:type="dxa"/>
            <w:shd w:val="clear" w:color="auto" w:fill="F2F2F2" w:themeFill="background1" w:themeFillShade="F2"/>
            <w:noWrap/>
            <w:hideMark/>
          </w:tcPr>
          <w:p w14:paraId="5DEAF2CC"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otp</w:t>
            </w:r>
          </w:p>
        </w:tc>
        <w:tc>
          <w:tcPr>
            <w:tcW w:w="3440" w:type="dxa"/>
            <w:shd w:val="clear" w:color="auto" w:fill="F2F2F2" w:themeFill="background1" w:themeFillShade="F2"/>
            <w:noWrap/>
            <w:hideMark/>
          </w:tcPr>
          <w:p w14:paraId="19716430"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Transport nec</w:t>
            </w:r>
          </w:p>
        </w:tc>
        <w:tc>
          <w:tcPr>
            <w:tcW w:w="3529" w:type="dxa"/>
            <w:shd w:val="clear" w:color="auto" w:fill="F2F2F2" w:themeFill="background1" w:themeFillShade="F2"/>
            <w:noWrap/>
            <w:hideMark/>
          </w:tcPr>
          <w:p w14:paraId="2E1D4461" w14:textId="4E3999DD"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Trdtrnscomm</w:t>
            </w:r>
          </w:p>
        </w:tc>
      </w:tr>
      <w:tr w:rsidR="00777172" w:rsidRPr="003633F7" w14:paraId="03E48EBC"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0E7647E0"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49</w:t>
            </w:r>
          </w:p>
        </w:tc>
        <w:tc>
          <w:tcPr>
            <w:tcW w:w="1086" w:type="dxa"/>
            <w:shd w:val="clear" w:color="auto" w:fill="auto"/>
            <w:noWrap/>
            <w:hideMark/>
          </w:tcPr>
          <w:p w14:paraId="6AB01731"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wtp</w:t>
            </w:r>
          </w:p>
        </w:tc>
        <w:tc>
          <w:tcPr>
            <w:tcW w:w="3440" w:type="dxa"/>
            <w:shd w:val="clear" w:color="auto" w:fill="auto"/>
            <w:noWrap/>
            <w:hideMark/>
          </w:tcPr>
          <w:p w14:paraId="0076A333"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Sea transport</w:t>
            </w:r>
          </w:p>
        </w:tc>
        <w:tc>
          <w:tcPr>
            <w:tcW w:w="3529" w:type="dxa"/>
            <w:shd w:val="clear" w:color="auto" w:fill="auto"/>
            <w:noWrap/>
            <w:hideMark/>
          </w:tcPr>
          <w:p w14:paraId="625F7A52" w14:textId="658958E2"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Trdtrnscomm</w:t>
            </w:r>
          </w:p>
        </w:tc>
      </w:tr>
      <w:tr w:rsidR="00777172" w:rsidRPr="003633F7" w14:paraId="34E5C610"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244734C"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50</w:t>
            </w:r>
          </w:p>
        </w:tc>
        <w:tc>
          <w:tcPr>
            <w:tcW w:w="1086" w:type="dxa"/>
            <w:shd w:val="clear" w:color="auto" w:fill="F2F2F2" w:themeFill="background1" w:themeFillShade="F2"/>
            <w:noWrap/>
            <w:hideMark/>
          </w:tcPr>
          <w:p w14:paraId="470822DF"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atp</w:t>
            </w:r>
          </w:p>
        </w:tc>
        <w:tc>
          <w:tcPr>
            <w:tcW w:w="3440" w:type="dxa"/>
            <w:shd w:val="clear" w:color="auto" w:fill="F2F2F2" w:themeFill="background1" w:themeFillShade="F2"/>
            <w:noWrap/>
            <w:hideMark/>
          </w:tcPr>
          <w:p w14:paraId="1E2E8D05"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Air transport</w:t>
            </w:r>
          </w:p>
        </w:tc>
        <w:tc>
          <w:tcPr>
            <w:tcW w:w="3529" w:type="dxa"/>
            <w:shd w:val="clear" w:color="auto" w:fill="F2F2F2" w:themeFill="background1" w:themeFillShade="F2"/>
            <w:noWrap/>
            <w:hideMark/>
          </w:tcPr>
          <w:p w14:paraId="7AE4C1A5" w14:textId="31EAB92C"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Trdtrnscomm</w:t>
            </w:r>
          </w:p>
        </w:tc>
      </w:tr>
      <w:tr w:rsidR="00777172" w:rsidRPr="003633F7" w14:paraId="286362E4"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6DEC15AC"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51</w:t>
            </w:r>
          </w:p>
        </w:tc>
        <w:tc>
          <w:tcPr>
            <w:tcW w:w="1086" w:type="dxa"/>
            <w:shd w:val="clear" w:color="auto" w:fill="auto"/>
            <w:noWrap/>
            <w:hideMark/>
          </w:tcPr>
          <w:p w14:paraId="15085ABA"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cmn</w:t>
            </w:r>
          </w:p>
        </w:tc>
        <w:tc>
          <w:tcPr>
            <w:tcW w:w="3440" w:type="dxa"/>
            <w:shd w:val="clear" w:color="auto" w:fill="auto"/>
            <w:noWrap/>
            <w:hideMark/>
          </w:tcPr>
          <w:p w14:paraId="7C8D5321"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Communication</w:t>
            </w:r>
          </w:p>
        </w:tc>
        <w:tc>
          <w:tcPr>
            <w:tcW w:w="3529" w:type="dxa"/>
            <w:shd w:val="clear" w:color="auto" w:fill="auto"/>
            <w:noWrap/>
            <w:hideMark/>
          </w:tcPr>
          <w:p w14:paraId="54BB16B8" w14:textId="53D4E180"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Trdtrnscomm</w:t>
            </w:r>
          </w:p>
        </w:tc>
      </w:tr>
      <w:tr w:rsidR="00777172" w:rsidRPr="003633F7" w14:paraId="4C250EBF"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07D59AB3"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52</w:t>
            </w:r>
          </w:p>
        </w:tc>
        <w:tc>
          <w:tcPr>
            <w:tcW w:w="1086" w:type="dxa"/>
            <w:shd w:val="clear" w:color="auto" w:fill="F2F2F2" w:themeFill="background1" w:themeFillShade="F2"/>
            <w:noWrap/>
            <w:hideMark/>
          </w:tcPr>
          <w:p w14:paraId="289C7EA6"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ofi</w:t>
            </w:r>
          </w:p>
        </w:tc>
        <w:tc>
          <w:tcPr>
            <w:tcW w:w="3440" w:type="dxa"/>
            <w:shd w:val="clear" w:color="auto" w:fill="F2F2F2" w:themeFill="background1" w:themeFillShade="F2"/>
            <w:noWrap/>
            <w:hideMark/>
          </w:tcPr>
          <w:p w14:paraId="16B373EF"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Financial services nec</w:t>
            </w:r>
          </w:p>
        </w:tc>
        <w:tc>
          <w:tcPr>
            <w:tcW w:w="3529" w:type="dxa"/>
            <w:shd w:val="clear" w:color="auto" w:fill="F2F2F2" w:themeFill="background1" w:themeFillShade="F2"/>
            <w:noWrap/>
            <w:hideMark/>
          </w:tcPr>
          <w:p w14:paraId="7D735231" w14:textId="135F1E92"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OthServ</w:t>
            </w:r>
          </w:p>
        </w:tc>
      </w:tr>
      <w:tr w:rsidR="00777172" w:rsidRPr="003633F7" w14:paraId="5CFBAFB6"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4B3936C"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53</w:t>
            </w:r>
          </w:p>
        </w:tc>
        <w:tc>
          <w:tcPr>
            <w:tcW w:w="1086" w:type="dxa"/>
            <w:shd w:val="clear" w:color="auto" w:fill="auto"/>
            <w:noWrap/>
            <w:hideMark/>
          </w:tcPr>
          <w:p w14:paraId="382B6E80"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isr</w:t>
            </w:r>
          </w:p>
        </w:tc>
        <w:tc>
          <w:tcPr>
            <w:tcW w:w="3440" w:type="dxa"/>
            <w:shd w:val="clear" w:color="auto" w:fill="auto"/>
            <w:noWrap/>
            <w:hideMark/>
          </w:tcPr>
          <w:p w14:paraId="753AFD49"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Insurance</w:t>
            </w:r>
          </w:p>
        </w:tc>
        <w:tc>
          <w:tcPr>
            <w:tcW w:w="3529" w:type="dxa"/>
            <w:shd w:val="clear" w:color="auto" w:fill="auto"/>
            <w:noWrap/>
            <w:hideMark/>
          </w:tcPr>
          <w:p w14:paraId="7313E316" w14:textId="6CF243CA"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OthServ</w:t>
            </w:r>
          </w:p>
        </w:tc>
      </w:tr>
      <w:tr w:rsidR="00777172" w:rsidRPr="003633F7" w14:paraId="328945FD"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3E90C889"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54</w:t>
            </w:r>
          </w:p>
        </w:tc>
        <w:tc>
          <w:tcPr>
            <w:tcW w:w="1086" w:type="dxa"/>
            <w:shd w:val="clear" w:color="auto" w:fill="F2F2F2" w:themeFill="background1" w:themeFillShade="F2"/>
            <w:noWrap/>
            <w:hideMark/>
          </w:tcPr>
          <w:p w14:paraId="536A0D6E"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obs</w:t>
            </w:r>
          </w:p>
        </w:tc>
        <w:tc>
          <w:tcPr>
            <w:tcW w:w="3440" w:type="dxa"/>
            <w:shd w:val="clear" w:color="auto" w:fill="F2F2F2" w:themeFill="background1" w:themeFillShade="F2"/>
            <w:noWrap/>
            <w:hideMark/>
          </w:tcPr>
          <w:p w14:paraId="269210C0"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Business services nec</w:t>
            </w:r>
          </w:p>
        </w:tc>
        <w:tc>
          <w:tcPr>
            <w:tcW w:w="3529" w:type="dxa"/>
            <w:shd w:val="clear" w:color="auto" w:fill="F2F2F2" w:themeFill="background1" w:themeFillShade="F2"/>
            <w:noWrap/>
            <w:hideMark/>
          </w:tcPr>
          <w:p w14:paraId="4C995CC8" w14:textId="48373EB4"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OthServ</w:t>
            </w:r>
          </w:p>
        </w:tc>
      </w:tr>
      <w:tr w:rsidR="00777172" w:rsidRPr="003633F7" w14:paraId="71943738"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74ED2E0"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55</w:t>
            </w:r>
          </w:p>
        </w:tc>
        <w:tc>
          <w:tcPr>
            <w:tcW w:w="1086" w:type="dxa"/>
            <w:shd w:val="clear" w:color="auto" w:fill="auto"/>
            <w:noWrap/>
            <w:hideMark/>
          </w:tcPr>
          <w:p w14:paraId="05FCBEA9"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ros</w:t>
            </w:r>
          </w:p>
        </w:tc>
        <w:tc>
          <w:tcPr>
            <w:tcW w:w="3440" w:type="dxa"/>
            <w:shd w:val="clear" w:color="auto" w:fill="auto"/>
            <w:noWrap/>
            <w:hideMark/>
          </w:tcPr>
          <w:p w14:paraId="4C2B005B"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Recreation and other services</w:t>
            </w:r>
          </w:p>
        </w:tc>
        <w:tc>
          <w:tcPr>
            <w:tcW w:w="3529" w:type="dxa"/>
            <w:shd w:val="clear" w:color="auto" w:fill="auto"/>
            <w:noWrap/>
            <w:hideMark/>
          </w:tcPr>
          <w:p w14:paraId="28B98E48" w14:textId="23213A49"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OthServ</w:t>
            </w:r>
          </w:p>
        </w:tc>
      </w:tr>
      <w:tr w:rsidR="00777172" w:rsidRPr="003633F7" w14:paraId="15038EBF" w14:textId="77777777" w:rsidTr="003633F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E176218"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56</w:t>
            </w:r>
          </w:p>
        </w:tc>
        <w:tc>
          <w:tcPr>
            <w:tcW w:w="1086" w:type="dxa"/>
            <w:shd w:val="clear" w:color="auto" w:fill="F2F2F2" w:themeFill="background1" w:themeFillShade="F2"/>
            <w:noWrap/>
            <w:hideMark/>
          </w:tcPr>
          <w:p w14:paraId="421B0B36"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osg</w:t>
            </w:r>
          </w:p>
        </w:tc>
        <w:tc>
          <w:tcPr>
            <w:tcW w:w="3440" w:type="dxa"/>
            <w:shd w:val="clear" w:color="auto" w:fill="F2F2F2" w:themeFill="background1" w:themeFillShade="F2"/>
            <w:noWrap/>
            <w:hideMark/>
          </w:tcPr>
          <w:p w14:paraId="2289DDF3" w14:textId="77777777"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PubAdmin/Defence/Health/Educat</w:t>
            </w:r>
          </w:p>
        </w:tc>
        <w:tc>
          <w:tcPr>
            <w:tcW w:w="3529" w:type="dxa"/>
            <w:shd w:val="clear" w:color="auto" w:fill="F2F2F2" w:themeFill="background1" w:themeFillShade="F2"/>
            <w:noWrap/>
            <w:hideMark/>
          </w:tcPr>
          <w:p w14:paraId="1E148A1F" w14:textId="5939D9EB" w:rsidR="00777172" w:rsidRPr="003633F7" w:rsidRDefault="00777172" w:rsidP="007A1395">
            <w:pPr>
              <w:spacing w:before="20" w:after="2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OthServ</w:t>
            </w:r>
          </w:p>
        </w:tc>
      </w:tr>
      <w:tr w:rsidR="00777172" w:rsidRPr="003633F7" w14:paraId="4BD52A25" w14:textId="77777777" w:rsidTr="003633F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487F3CD" w14:textId="77777777" w:rsidR="00777172" w:rsidRPr="003633F7" w:rsidRDefault="00777172" w:rsidP="007A1395">
            <w:pPr>
              <w:spacing w:before="20" w:after="20"/>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57</w:t>
            </w:r>
          </w:p>
        </w:tc>
        <w:tc>
          <w:tcPr>
            <w:tcW w:w="1086" w:type="dxa"/>
            <w:shd w:val="clear" w:color="auto" w:fill="auto"/>
            <w:noWrap/>
            <w:hideMark/>
          </w:tcPr>
          <w:p w14:paraId="2EA0E514"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dwe</w:t>
            </w:r>
          </w:p>
        </w:tc>
        <w:tc>
          <w:tcPr>
            <w:tcW w:w="3440" w:type="dxa"/>
            <w:shd w:val="clear" w:color="auto" w:fill="auto"/>
            <w:noWrap/>
            <w:hideMark/>
          </w:tcPr>
          <w:p w14:paraId="6D80EF6D" w14:textId="77777777"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Dwellings</w:t>
            </w:r>
          </w:p>
        </w:tc>
        <w:tc>
          <w:tcPr>
            <w:tcW w:w="3529" w:type="dxa"/>
            <w:shd w:val="clear" w:color="auto" w:fill="auto"/>
            <w:noWrap/>
            <w:hideMark/>
          </w:tcPr>
          <w:p w14:paraId="066E2D86" w14:textId="49DF49B6" w:rsidR="00777172" w:rsidRPr="003633F7" w:rsidRDefault="00777172" w:rsidP="007A1395">
            <w:pPr>
              <w:spacing w:before="20" w:after="2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hAnsiTheme="minorHAnsi" w:cstheme="minorHAnsi"/>
                <w:color w:val="000000"/>
                <w:sz w:val="22"/>
              </w:rPr>
              <w:t>OthServ</w:t>
            </w:r>
          </w:p>
        </w:tc>
      </w:tr>
    </w:tbl>
    <w:p w14:paraId="6CF8AFCC" w14:textId="7AB162DD" w:rsidR="00743B55" w:rsidRPr="001C3EDC" w:rsidRDefault="007F644A" w:rsidP="004F7F4A">
      <w:pPr>
        <w:pStyle w:val="Caption"/>
        <w:spacing w:before="200"/>
        <w:rPr>
          <w:rFonts w:ascii="Calibri" w:hAnsi="Calibri"/>
          <w:i/>
          <w:color w:val="44546A"/>
          <w:sz w:val="22"/>
          <w:szCs w:val="18"/>
        </w:rPr>
      </w:pPr>
      <w:bookmarkStart w:id="163" w:name="_Toc522036523"/>
      <w:r w:rsidRPr="001C3EDC">
        <w:rPr>
          <w:rFonts w:ascii="Calibri" w:hAnsi="Calibri"/>
          <w:i/>
          <w:color w:val="44546A"/>
          <w:sz w:val="22"/>
          <w:szCs w:val="18"/>
        </w:rPr>
        <w:t>Table 1.</w:t>
      </w:r>
      <w:r w:rsidRPr="001C3EDC">
        <w:rPr>
          <w:rFonts w:ascii="Calibri" w:hAnsi="Calibri"/>
          <w:i/>
          <w:color w:val="44546A"/>
          <w:sz w:val="22"/>
          <w:szCs w:val="18"/>
        </w:rPr>
        <w:fldChar w:fldCharType="begin"/>
      </w:r>
      <w:r w:rsidRPr="001C3EDC">
        <w:rPr>
          <w:rFonts w:ascii="Calibri" w:hAnsi="Calibri"/>
          <w:i/>
          <w:color w:val="44546A"/>
          <w:sz w:val="22"/>
          <w:szCs w:val="18"/>
        </w:rPr>
        <w:instrText xml:space="preserve"> SEQ Table_1. \* ARABIC </w:instrText>
      </w:r>
      <w:r w:rsidRPr="001C3EDC">
        <w:rPr>
          <w:rFonts w:ascii="Calibri" w:hAnsi="Calibri"/>
          <w:i/>
          <w:color w:val="44546A"/>
          <w:sz w:val="22"/>
          <w:szCs w:val="18"/>
        </w:rPr>
        <w:fldChar w:fldCharType="separate"/>
      </w:r>
      <w:r w:rsidR="00F84F84">
        <w:rPr>
          <w:rFonts w:ascii="Calibri" w:hAnsi="Calibri"/>
          <w:i/>
          <w:noProof/>
          <w:color w:val="44546A"/>
          <w:sz w:val="22"/>
          <w:szCs w:val="18"/>
        </w:rPr>
        <w:t>2</w:t>
      </w:r>
      <w:r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D61FBD" w:rsidRPr="001C3EDC">
        <w:rPr>
          <w:rFonts w:ascii="Calibri" w:hAnsi="Calibri"/>
          <w:i/>
          <w:color w:val="44546A"/>
          <w:sz w:val="22"/>
          <w:szCs w:val="18"/>
        </w:rPr>
        <w:t>Parameter values for the central cases of climate change shocks</w:t>
      </w:r>
      <w:bookmarkEnd w:id="163"/>
    </w:p>
    <w:tbl>
      <w:tblPr>
        <w:tblStyle w:val="TableGrid"/>
        <w:tblW w:w="9571"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2880"/>
        <w:gridCol w:w="1080"/>
        <w:gridCol w:w="1170"/>
        <w:gridCol w:w="1080"/>
        <w:gridCol w:w="1080"/>
        <w:gridCol w:w="1170"/>
        <w:gridCol w:w="1111"/>
      </w:tblGrid>
      <w:tr w:rsidR="00F93CA6" w:rsidRPr="003633F7" w14:paraId="1E836CA5" w14:textId="77777777" w:rsidTr="003633F7">
        <w:trPr>
          <w:trHeight w:val="300"/>
          <w:jc w:val="center"/>
        </w:trPr>
        <w:tc>
          <w:tcPr>
            <w:tcW w:w="2880" w:type="dxa"/>
            <w:vMerge w:val="restart"/>
            <w:shd w:val="clear" w:color="auto" w:fill="365F91"/>
            <w:tcMar>
              <w:left w:w="43" w:type="dxa"/>
              <w:right w:w="43" w:type="dxa"/>
            </w:tcMar>
            <w:vAlign w:val="center"/>
            <w:hideMark/>
          </w:tcPr>
          <w:p w14:paraId="41B410C8" w14:textId="4D199CF7" w:rsidR="00F93CA6" w:rsidRPr="003633F7" w:rsidRDefault="00F93CA6" w:rsidP="00F93CA6">
            <w:pPr>
              <w:spacing w:before="20" w:after="20" w:line="240" w:lineRule="auto"/>
              <w:jc w:val="center"/>
              <w:rPr>
                <w:rFonts w:asciiTheme="minorHAnsi" w:eastAsia="Times New Roman" w:hAnsiTheme="minorHAnsi" w:cstheme="minorHAnsi"/>
                <w:b/>
                <w:color w:val="FFFFFF" w:themeColor="background1"/>
                <w:sz w:val="22"/>
              </w:rPr>
            </w:pPr>
            <w:r w:rsidRPr="003633F7">
              <w:rPr>
                <w:rFonts w:asciiTheme="minorHAnsi" w:eastAsia="Times New Roman" w:hAnsiTheme="minorHAnsi" w:cstheme="minorHAnsi"/>
                <w:b/>
                <w:color w:val="FFFFFF" w:themeColor="background1"/>
                <w:sz w:val="22"/>
              </w:rPr>
              <w:t xml:space="preserve">Policy </w:t>
            </w:r>
            <w:r w:rsidR="007F644A" w:rsidRPr="003633F7">
              <w:rPr>
                <w:rFonts w:asciiTheme="minorHAnsi" w:eastAsia="Times New Roman" w:hAnsiTheme="minorHAnsi" w:cstheme="minorHAnsi"/>
                <w:b/>
                <w:color w:val="FFFFFF" w:themeColor="background1"/>
                <w:sz w:val="22"/>
              </w:rPr>
              <w:t>shocks</w:t>
            </w:r>
          </w:p>
        </w:tc>
        <w:tc>
          <w:tcPr>
            <w:tcW w:w="3330" w:type="dxa"/>
            <w:gridSpan w:val="3"/>
            <w:shd w:val="clear" w:color="auto" w:fill="365F91"/>
            <w:tcMar>
              <w:left w:w="43" w:type="dxa"/>
              <w:right w:w="43" w:type="dxa"/>
            </w:tcMar>
            <w:vAlign w:val="center"/>
            <w:hideMark/>
          </w:tcPr>
          <w:p w14:paraId="33F48D37" w14:textId="618B4142" w:rsidR="00F93CA6" w:rsidRPr="003633F7" w:rsidRDefault="002E1B15" w:rsidP="00F93CA6">
            <w:pPr>
              <w:spacing w:before="20" w:after="20" w:line="240" w:lineRule="auto"/>
              <w:jc w:val="center"/>
              <w:rPr>
                <w:rFonts w:asciiTheme="minorHAnsi" w:eastAsia="Times New Roman" w:hAnsiTheme="minorHAnsi" w:cstheme="minorHAnsi"/>
                <w:b/>
                <w:color w:val="FFFFFF" w:themeColor="background1"/>
                <w:sz w:val="22"/>
              </w:rPr>
            </w:pPr>
            <w:r w:rsidRPr="003633F7">
              <w:rPr>
                <w:rFonts w:asciiTheme="minorHAnsi" w:eastAsia="Times New Roman" w:hAnsiTheme="minorHAnsi" w:cstheme="minorHAnsi"/>
                <w:b/>
                <w:color w:val="FFFFFF" w:themeColor="background1"/>
                <w:sz w:val="22"/>
              </w:rPr>
              <w:t>2°</w:t>
            </w:r>
            <w:r w:rsidR="00F93CA6" w:rsidRPr="003633F7">
              <w:rPr>
                <w:rFonts w:asciiTheme="minorHAnsi" w:eastAsia="Times New Roman" w:hAnsiTheme="minorHAnsi" w:cstheme="minorHAnsi"/>
                <w:b/>
                <w:color w:val="FFFFFF" w:themeColor="background1"/>
                <w:sz w:val="22"/>
              </w:rPr>
              <w:t>C</w:t>
            </w:r>
          </w:p>
        </w:tc>
        <w:tc>
          <w:tcPr>
            <w:tcW w:w="3361" w:type="dxa"/>
            <w:gridSpan w:val="3"/>
            <w:shd w:val="clear" w:color="auto" w:fill="365F91"/>
            <w:tcMar>
              <w:left w:w="43" w:type="dxa"/>
              <w:right w:w="43" w:type="dxa"/>
            </w:tcMar>
            <w:vAlign w:val="center"/>
            <w:hideMark/>
          </w:tcPr>
          <w:p w14:paraId="47DA5889" w14:textId="6589E91D" w:rsidR="00F93CA6" w:rsidRPr="003633F7" w:rsidRDefault="002E1B15" w:rsidP="00F93CA6">
            <w:pPr>
              <w:spacing w:before="20" w:after="20" w:line="240" w:lineRule="auto"/>
              <w:jc w:val="center"/>
              <w:rPr>
                <w:rFonts w:asciiTheme="minorHAnsi" w:eastAsia="Times New Roman" w:hAnsiTheme="minorHAnsi" w:cstheme="minorHAnsi"/>
                <w:b/>
                <w:color w:val="FFFFFF" w:themeColor="background1"/>
                <w:sz w:val="22"/>
              </w:rPr>
            </w:pPr>
            <w:r w:rsidRPr="003633F7">
              <w:rPr>
                <w:rFonts w:asciiTheme="minorHAnsi" w:eastAsia="Times New Roman" w:hAnsiTheme="minorHAnsi" w:cstheme="minorHAnsi"/>
                <w:b/>
                <w:color w:val="FFFFFF" w:themeColor="background1"/>
                <w:sz w:val="22"/>
              </w:rPr>
              <w:t>4°</w:t>
            </w:r>
            <w:r w:rsidR="00F93CA6" w:rsidRPr="003633F7">
              <w:rPr>
                <w:rFonts w:asciiTheme="minorHAnsi" w:eastAsia="Times New Roman" w:hAnsiTheme="minorHAnsi" w:cstheme="minorHAnsi"/>
                <w:b/>
                <w:color w:val="FFFFFF" w:themeColor="background1"/>
                <w:sz w:val="22"/>
              </w:rPr>
              <w:t>C</w:t>
            </w:r>
          </w:p>
        </w:tc>
      </w:tr>
      <w:tr w:rsidR="00F93CA6" w:rsidRPr="003633F7" w14:paraId="5EEF18BF" w14:textId="77777777" w:rsidTr="003633F7">
        <w:trPr>
          <w:trHeight w:val="300"/>
          <w:jc w:val="center"/>
        </w:trPr>
        <w:tc>
          <w:tcPr>
            <w:tcW w:w="2880" w:type="dxa"/>
            <w:vMerge/>
            <w:tcMar>
              <w:left w:w="43" w:type="dxa"/>
              <w:right w:w="43" w:type="dxa"/>
            </w:tcMar>
          </w:tcPr>
          <w:p w14:paraId="59433B95" w14:textId="77777777" w:rsidR="00F93CA6" w:rsidRPr="003633F7" w:rsidRDefault="00F93CA6" w:rsidP="00F93CA6">
            <w:pPr>
              <w:spacing w:before="20" w:after="20" w:line="240" w:lineRule="auto"/>
              <w:jc w:val="center"/>
              <w:rPr>
                <w:rFonts w:asciiTheme="minorHAnsi" w:eastAsia="Times New Roman" w:hAnsiTheme="minorHAnsi" w:cstheme="minorHAnsi"/>
                <w:b/>
                <w:bCs/>
                <w:color w:val="000000"/>
                <w:sz w:val="22"/>
              </w:rPr>
            </w:pPr>
          </w:p>
        </w:tc>
        <w:tc>
          <w:tcPr>
            <w:tcW w:w="1080" w:type="dxa"/>
            <w:shd w:val="clear" w:color="auto" w:fill="D9D9D9" w:themeFill="background1" w:themeFillShade="D9"/>
            <w:tcMar>
              <w:left w:w="43" w:type="dxa"/>
              <w:right w:w="43" w:type="dxa"/>
            </w:tcMar>
          </w:tcPr>
          <w:p w14:paraId="0351AE81" w14:textId="15953C51" w:rsidR="00F93CA6" w:rsidRPr="003633F7" w:rsidRDefault="00F93CA6" w:rsidP="00F93CA6">
            <w:pPr>
              <w:spacing w:before="20" w:after="20" w:line="240" w:lineRule="auto"/>
              <w:jc w:val="center"/>
              <w:rPr>
                <w:rFonts w:asciiTheme="minorHAnsi" w:eastAsia="Times New Roman" w:hAnsiTheme="minorHAnsi" w:cstheme="minorHAnsi"/>
                <w:b/>
                <w:color w:val="000000"/>
                <w:sz w:val="22"/>
              </w:rPr>
            </w:pPr>
            <w:r w:rsidRPr="003633F7">
              <w:rPr>
                <w:rFonts w:asciiTheme="minorHAnsi" w:eastAsia="Times New Roman" w:hAnsiTheme="minorHAnsi" w:cstheme="minorHAnsi"/>
                <w:b/>
                <w:color w:val="000000"/>
                <w:sz w:val="22"/>
              </w:rPr>
              <w:t>A</w:t>
            </w:r>
          </w:p>
        </w:tc>
        <w:tc>
          <w:tcPr>
            <w:tcW w:w="1170" w:type="dxa"/>
            <w:shd w:val="clear" w:color="auto" w:fill="D9D9D9" w:themeFill="background1" w:themeFillShade="D9"/>
            <w:tcMar>
              <w:left w:w="43" w:type="dxa"/>
              <w:right w:w="43" w:type="dxa"/>
            </w:tcMar>
          </w:tcPr>
          <w:p w14:paraId="6FA04980" w14:textId="1937BC9B" w:rsidR="00F93CA6" w:rsidRPr="003633F7" w:rsidRDefault="00F93CA6" w:rsidP="00F93CA6">
            <w:pPr>
              <w:spacing w:before="20" w:after="20" w:line="240" w:lineRule="auto"/>
              <w:jc w:val="center"/>
              <w:rPr>
                <w:rFonts w:asciiTheme="minorHAnsi" w:eastAsia="Times New Roman" w:hAnsiTheme="minorHAnsi" w:cstheme="minorHAnsi"/>
                <w:b/>
                <w:color w:val="000000"/>
                <w:sz w:val="22"/>
              </w:rPr>
            </w:pPr>
            <w:r w:rsidRPr="003633F7">
              <w:rPr>
                <w:rFonts w:asciiTheme="minorHAnsi" w:eastAsia="Times New Roman" w:hAnsiTheme="minorHAnsi" w:cstheme="minorHAnsi"/>
                <w:b/>
                <w:color w:val="000000"/>
                <w:sz w:val="22"/>
              </w:rPr>
              <w:t>B</w:t>
            </w:r>
          </w:p>
        </w:tc>
        <w:tc>
          <w:tcPr>
            <w:tcW w:w="1080" w:type="dxa"/>
            <w:shd w:val="clear" w:color="auto" w:fill="D9D9D9" w:themeFill="background1" w:themeFillShade="D9"/>
            <w:tcMar>
              <w:left w:w="43" w:type="dxa"/>
              <w:right w:w="43" w:type="dxa"/>
            </w:tcMar>
          </w:tcPr>
          <w:p w14:paraId="7330AE02" w14:textId="0A4B3D3C" w:rsidR="00F93CA6" w:rsidRPr="003633F7" w:rsidRDefault="00F93CA6" w:rsidP="00F93CA6">
            <w:pPr>
              <w:spacing w:before="20" w:after="20" w:line="240" w:lineRule="auto"/>
              <w:jc w:val="center"/>
              <w:rPr>
                <w:rFonts w:asciiTheme="minorHAnsi" w:eastAsia="Times New Roman" w:hAnsiTheme="minorHAnsi" w:cstheme="minorHAnsi"/>
                <w:b/>
                <w:color w:val="000000"/>
                <w:sz w:val="22"/>
              </w:rPr>
            </w:pPr>
            <w:r w:rsidRPr="003633F7">
              <w:rPr>
                <w:rFonts w:asciiTheme="minorHAnsi" w:eastAsia="Times New Roman" w:hAnsiTheme="minorHAnsi" w:cstheme="minorHAnsi"/>
                <w:b/>
                <w:color w:val="000000"/>
                <w:sz w:val="22"/>
              </w:rPr>
              <w:t>C</w:t>
            </w:r>
          </w:p>
        </w:tc>
        <w:tc>
          <w:tcPr>
            <w:tcW w:w="1080" w:type="dxa"/>
            <w:shd w:val="clear" w:color="auto" w:fill="D9D9D9" w:themeFill="background1" w:themeFillShade="D9"/>
            <w:tcMar>
              <w:left w:w="43" w:type="dxa"/>
              <w:right w:w="43" w:type="dxa"/>
            </w:tcMar>
          </w:tcPr>
          <w:p w14:paraId="2D9072E5" w14:textId="0378DFBF" w:rsidR="00F93CA6" w:rsidRPr="003633F7" w:rsidRDefault="00F93CA6" w:rsidP="00F93CA6">
            <w:pPr>
              <w:spacing w:before="20" w:after="20" w:line="240" w:lineRule="auto"/>
              <w:jc w:val="center"/>
              <w:rPr>
                <w:rFonts w:asciiTheme="minorHAnsi" w:eastAsia="Times New Roman" w:hAnsiTheme="minorHAnsi" w:cstheme="minorHAnsi"/>
                <w:b/>
                <w:color w:val="000000"/>
                <w:sz w:val="22"/>
              </w:rPr>
            </w:pPr>
            <w:r w:rsidRPr="003633F7">
              <w:rPr>
                <w:rFonts w:asciiTheme="minorHAnsi" w:eastAsia="Times New Roman" w:hAnsiTheme="minorHAnsi" w:cstheme="minorHAnsi"/>
                <w:b/>
                <w:color w:val="000000"/>
                <w:sz w:val="22"/>
              </w:rPr>
              <w:t>D</w:t>
            </w:r>
          </w:p>
        </w:tc>
        <w:tc>
          <w:tcPr>
            <w:tcW w:w="1170" w:type="dxa"/>
            <w:shd w:val="clear" w:color="auto" w:fill="D9D9D9" w:themeFill="background1" w:themeFillShade="D9"/>
            <w:tcMar>
              <w:left w:w="43" w:type="dxa"/>
              <w:right w:w="43" w:type="dxa"/>
            </w:tcMar>
          </w:tcPr>
          <w:p w14:paraId="199491E3" w14:textId="4F2C57A9" w:rsidR="00F93CA6" w:rsidRPr="003633F7" w:rsidRDefault="00F93CA6" w:rsidP="00F93CA6">
            <w:pPr>
              <w:spacing w:before="20" w:after="20" w:line="240" w:lineRule="auto"/>
              <w:jc w:val="center"/>
              <w:rPr>
                <w:rFonts w:asciiTheme="minorHAnsi" w:eastAsia="Times New Roman" w:hAnsiTheme="minorHAnsi" w:cstheme="minorHAnsi"/>
                <w:b/>
                <w:color w:val="000000"/>
                <w:sz w:val="22"/>
              </w:rPr>
            </w:pPr>
            <w:r w:rsidRPr="003633F7">
              <w:rPr>
                <w:rFonts w:asciiTheme="minorHAnsi" w:eastAsia="Times New Roman" w:hAnsiTheme="minorHAnsi" w:cstheme="minorHAnsi"/>
                <w:b/>
                <w:color w:val="000000"/>
                <w:sz w:val="22"/>
              </w:rPr>
              <w:t>E</w:t>
            </w:r>
          </w:p>
        </w:tc>
        <w:tc>
          <w:tcPr>
            <w:tcW w:w="1111" w:type="dxa"/>
            <w:shd w:val="clear" w:color="auto" w:fill="D9D9D9" w:themeFill="background1" w:themeFillShade="D9"/>
            <w:tcMar>
              <w:left w:w="43" w:type="dxa"/>
              <w:right w:w="43" w:type="dxa"/>
            </w:tcMar>
          </w:tcPr>
          <w:p w14:paraId="73AD6B02" w14:textId="732BCDDA" w:rsidR="00F93CA6" w:rsidRPr="003633F7" w:rsidRDefault="00F93CA6" w:rsidP="00F93CA6">
            <w:pPr>
              <w:spacing w:before="20" w:after="20" w:line="240" w:lineRule="auto"/>
              <w:jc w:val="center"/>
              <w:rPr>
                <w:rFonts w:asciiTheme="minorHAnsi" w:eastAsia="Times New Roman" w:hAnsiTheme="minorHAnsi" w:cstheme="minorHAnsi"/>
                <w:b/>
                <w:color w:val="000000"/>
                <w:sz w:val="22"/>
              </w:rPr>
            </w:pPr>
            <w:r w:rsidRPr="003633F7">
              <w:rPr>
                <w:rFonts w:asciiTheme="minorHAnsi" w:eastAsia="Times New Roman" w:hAnsiTheme="minorHAnsi" w:cstheme="minorHAnsi"/>
                <w:b/>
                <w:color w:val="000000"/>
                <w:sz w:val="22"/>
              </w:rPr>
              <w:t>F</w:t>
            </w:r>
          </w:p>
        </w:tc>
      </w:tr>
      <w:tr w:rsidR="00D61FBD" w:rsidRPr="003633F7" w14:paraId="2CF61063" w14:textId="77777777" w:rsidTr="003633F7">
        <w:trPr>
          <w:trHeight w:val="300"/>
          <w:jc w:val="center"/>
        </w:trPr>
        <w:tc>
          <w:tcPr>
            <w:tcW w:w="2880" w:type="dxa"/>
            <w:shd w:val="clear" w:color="auto" w:fill="B8CCE4"/>
            <w:tcMar>
              <w:left w:w="43" w:type="dxa"/>
              <w:right w:w="43" w:type="dxa"/>
            </w:tcMar>
            <w:hideMark/>
          </w:tcPr>
          <w:p w14:paraId="32EBA67F" w14:textId="69FE3045" w:rsidR="00D61FBD" w:rsidRPr="003633F7" w:rsidRDefault="00D61FBD" w:rsidP="007F644A">
            <w:pPr>
              <w:spacing w:before="20" w:after="20" w:line="240" w:lineRule="auto"/>
              <w:jc w:val="left"/>
              <w:rPr>
                <w:rFonts w:asciiTheme="minorHAnsi" w:eastAsia="Times New Roman" w:hAnsiTheme="minorHAnsi" w:cstheme="minorHAnsi"/>
                <w:b/>
                <w:bCs/>
                <w:color w:val="000000"/>
                <w:sz w:val="22"/>
              </w:rPr>
            </w:pPr>
            <w:r w:rsidRPr="003633F7">
              <w:rPr>
                <w:rFonts w:asciiTheme="minorHAnsi" w:eastAsia="Times New Roman" w:hAnsiTheme="minorHAnsi" w:cstheme="minorHAnsi"/>
                <w:b/>
                <w:bCs/>
                <w:color w:val="000000"/>
                <w:sz w:val="22"/>
              </w:rPr>
              <w:t xml:space="preserve">Productivity </w:t>
            </w:r>
            <w:r w:rsidR="007F644A" w:rsidRPr="003633F7">
              <w:rPr>
                <w:rFonts w:asciiTheme="minorHAnsi" w:eastAsia="Times New Roman" w:hAnsiTheme="minorHAnsi" w:cstheme="minorHAnsi"/>
                <w:b/>
                <w:bCs/>
                <w:color w:val="000000"/>
                <w:sz w:val="22"/>
              </w:rPr>
              <w:t>shocks</w:t>
            </w:r>
          </w:p>
        </w:tc>
        <w:tc>
          <w:tcPr>
            <w:tcW w:w="1080" w:type="dxa"/>
            <w:tcMar>
              <w:left w:w="43" w:type="dxa"/>
              <w:right w:w="43" w:type="dxa"/>
            </w:tcMar>
            <w:hideMark/>
          </w:tcPr>
          <w:p w14:paraId="155F2497" w14:textId="77777777" w:rsidR="00D61FBD" w:rsidRPr="003633F7" w:rsidRDefault="00D61FBD" w:rsidP="007A1395">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Optimistic</w:t>
            </w:r>
          </w:p>
        </w:tc>
        <w:tc>
          <w:tcPr>
            <w:tcW w:w="1170" w:type="dxa"/>
            <w:tcMar>
              <w:left w:w="43" w:type="dxa"/>
              <w:right w:w="43" w:type="dxa"/>
            </w:tcMar>
            <w:hideMark/>
          </w:tcPr>
          <w:p w14:paraId="7E0B6F25" w14:textId="77777777" w:rsidR="00D61FBD" w:rsidRPr="003633F7" w:rsidRDefault="00D61FBD" w:rsidP="007A1395">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Anticipated</w:t>
            </w:r>
          </w:p>
        </w:tc>
        <w:tc>
          <w:tcPr>
            <w:tcW w:w="1080" w:type="dxa"/>
            <w:tcMar>
              <w:left w:w="43" w:type="dxa"/>
              <w:right w:w="43" w:type="dxa"/>
            </w:tcMar>
            <w:hideMark/>
          </w:tcPr>
          <w:p w14:paraId="17B3EAC9" w14:textId="77777777" w:rsidR="00D61FBD" w:rsidRPr="003633F7" w:rsidRDefault="00D61FBD" w:rsidP="007A1395">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Pessimistic</w:t>
            </w:r>
          </w:p>
        </w:tc>
        <w:tc>
          <w:tcPr>
            <w:tcW w:w="1080" w:type="dxa"/>
            <w:tcMar>
              <w:left w:w="43" w:type="dxa"/>
              <w:right w:w="43" w:type="dxa"/>
            </w:tcMar>
            <w:hideMark/>
          </w:tcPr>
          <w:p w14:paraId="6C42DCBC" w14:textId="77777777" w:rsidR="00D61FBD" w:rsidRPr="003633F7" w:rsidRDefault="00D61FBD" w:rsidP="007A1395">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Optimistic</w:t>
            </w:r>
          </w:p>
        </w:tc>
        <w:tc>
          <w:tcPr>
            <w:tcW w:w="1170" w:type="dxa"/>
            <w:tcMar>
              <w:left w:w="43" w:type="dxa"/>
              <w:right w:w="43" w:type="dxa"/>
            </w:tcMar>
            <w:hideMark/>
          </w:tcPr>
          <w:p w14:paraId="5C1B0F95" w14:textId="77777777" w:rsidR="00D61FBD" w:rsidRPr="003633F7" w:rsidRDefault="00D61FBD" w:rsidP="007A1395">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Anticipated</w:t>
            </w:r>
          </w:p>
        </w:tc>
        <w:tc>
          <w:tcPr>
            <w:tcW w:w="1111" w:type="dxa"/>
            <w:tcMar>
              <w:left w:w="43" w:type="dxa"/>
              <w:right w:w="43" w:type="dxa"/>
            </w:tcMar>
            <w:hideMark/>
          </w:tcPr>
          <w:p w14:paraId="1531A791" w14:textId="77777777" w:rsidR="00D61FBD" w:rsidRPr="003633F7" w:rsidRDefault="00D61FBD" w:rsidP="007A1395">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Pessimistic</w:t>
            </w:r>
          </w:p>
        </w:tc>
      </w:tr>
      <w:tr w:rsidR="00D61FBD" w:rsidRPr="003633F7" w14:paraId="35C44EFA" w14:textId="77777777" w:rsidTr="003633F7">
        <w:trPr>
          <w:trHeight w:val="300"/>
          <w:jc w:val="center"/>
        </w:trPr>
        <w:tc>
          <w:tcPr>
            <w:tcW w:w="2880" w:type="dxa"/>
            <w:shd w:val="clear" w:color="auto" w:fill="B8CCE4"/>
            <w:tcMar>
              <w:left w:w="43" w:type="dxa"/>
              <w:right w:w="43" w:type="dxa"/>
            </w:tcMar>
            <w:hideMark/>
          </w:tcPr>
          <w:p w14:paraId="76DF6DF8" w14:textId="77777777" w:rsidR="00D61FBD" w:rsidRPr="003633F7" w:rsidRDefault="00D61FBD" w:rsidP="007F644A">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aoall("pdr","Bulgaria")</w:t>
            </w:r>
          </w:p>
        </w:tc>
        <w:tc>
          <w:tcPr>
            <w:tcW w:w="1080" w:type="dxa"/>
            <w:tcMar>
              <w:left w:w="43" w:type="dxa"/>
              <w:right w:w="43" w:type="dxa"/>
            </w:tcMar>
            <w:hideMark/>
          </w:tcPr>
          <w:p w14:paraId="748AB249" w14:textId="2FE65D7C"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1.53</w:t>
            </w:r>
          </w:p>
        </w:tc>
        <w:tc>
          <w:tcPr>
            <w:tcW w:w="1170" w:type="dxa"/>
            <w:tcMar>
              <w:left w:w="43" w:type="dxa"/>
              <w:right w:w="43" w:type="dxa"/>
            </w:tcMar>
            <w:hideMark/>
          </w:tcPr>
          <w:p w14:paraId="07E689A4" w14:textId="339D21B5"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3.06</w:t>
            </w:r>
          </w:p>
        </w:tc>
        <w:tc>
          <w:tcPr>
            <w:tcW w:w="1080" w:type="dxa"/>
            <w:tcMar>
              <w:left w:w="43" w:type="dxa"/>
              <w:right w:w="43" w:type="dxa"/>
            </w:tcMar>
            <w:hideMark/>
          </w:tcPr>
          <w:p w14:paraId="323B1A71" w14:textId="2E22F76B"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4.59</w:t>
            </w:r>
          </w:p>
        </w:tc>
        <w:tc>
          <w:tcPr>
            <w:tcW w:w="1080" w:type="dxa"/>
            <w:tcMar>
              <w:left w:w="43" w:type="dxa"/>
              <w:right w:w="43" w:type="dxa"/>
            </w:tcMar>
            <w:hideMark/>
          </w:tcPr>
          <w:p w14:paraId="20722DEE" w14:textId="0E7A9579"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3.53</w:t>
            </w:r>
          </w:p>
        </w:tc>
        <w:tc>
          <w:tcPr>
            <w:tcW w:w="1170" w:type="dxa"/>
            <w:tcMar>
              <w:left w:w="43" w:type="dxa"/>
              <w:right w:w="43" w:type="dxa"/>
            </w:tcMar>
            <w:hideMark/>
          </w:tcPr>
          <w:p w14:paraId="5758C4DF" w14:textId="0FC4EF05"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7.06</w:t>
            </w:r>
          </w:p>
        </w:tc>
        <w:tc>
          <w:tcPr>
            <w:tcW w:w="1111" w:type="dxa"/>
            <w:tcMar>
              <w:left w:w="43" w:type="dxa"/>
              <w:right w:w="43" w:type="dxa"/>
            </w:tcMar>
            <w:hideMark/>
          </w:tcPr>
          <w:p w14:paraId="03858ECF" w14:textId="11123ECD"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10.59</w:t>
            </w:r>
          </w:p>
        </w:tc>
      </w:tr>
      <w:tr w:rsidR="00D61FBD" w:rsidRPr="003633F7" w14:paraId="6C07A232" w14:textId="77777777" w:rsidTr="003633F7">
        <w:trPr>
          <w:trHeight w:val="300"/>
          <w:jc w:val="center"/>
        </w:trPr>
        <w:tc>
          <w:tcPr>
            <w:tcW w:w="2880" w:type="dxa"/>
            <w:shd w:val="clear" w:color="auto" w:fill="B8CCE4"/>
            <w:tcMar>
              <w:left w:w="43" w:type="dxa"/>
              <w:right w:w="43" w:type="dxa"/>
            </w:tcMar>
            <w:hideMark/>
          </w:tcPr>
          <w:p w14:paraId="47169401" w14:textId="77777777" w:rsidR="00D61FBD" w:rsidRPr="003633F7" w:rsidRDefault="00D61FBD" w:rsidP="007F644A">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aoall("wht","Bulgaria")</w:t>
            </w:r>
          </w:p>
        </w:tc>
        <w:tc>
          <w:tcPr>
            <w:tcW w:w="1080" w:type="dxa"/>
            <w:tcMar>
              <w:left w:w="43" w:type="dxa"/>
              <w:right w:w="43" w:type="dxa"/>
            </w:tcMar>
            <w:hideMark/>
          </w:tcPr>
          <w:p w14:paraId="4838B345" w14:textId="040009DB"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3.065</w:t>
            </w:r>
          </w:p>
        </w:tc>
        <w:tc>
          <w:tcPr>
            <w:tcW w:w="1170" w:type="dxa"/>
            <w:tcMar>
              <w:left w:w="43" w:type="dxa"/>
              <w:right w:w="43" w:type="dxa"/>
            </w:tcMar>
            <w:hideMark/>
          </w:tcPr>
          <w:p w14:paraId="42422DCA" w14:textId="1086BFB3"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6.13</w:t>
            </w:r>
          </w:p>
        </w:tc>
        <w:tc>
          <w:tcPr>
            <w:tcW w:w="1080" w:type="dxa"/>
            <w:tcMar>
              <w:left w:w="43" w:type="dxa"/>
              <w:right w:w="43" w:type="dxa"/>
            </w:tcMar>
            <w:hideMark/>
          </w:tcPr>
          <w:p w14:paraId="7FE38269" w14:textId="1C74DECA"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9.195</w:t>
            </w:r>
          </w:p>
        </w:tc>
        <w:tc>
          <w:tcPr>
            <w:tcW w:w="1080" w:type="dxa"/>
            <w:tcMar>
              <w:left w:w="43" w:type="dxa"/>
              <w:right w:w="43" w:type="dxa"/>
            </w:tcMar>
            <w:hideMark/>
          </w:tcPr>
          <w:p w14:paraId="560EE2CA" w14:textId="4A93BE07"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3.19</w:t>
            </w:r>
          </w:p>
        </w:tc>
        <w:tc>
          <w:tcPr>
            <w:tcW w:w="1170" w:type="dxa"/>
            <w:tcMar>
              <w:left w:w="43" w:type="dxa"/>
              <w:right w:w="43" w:type="dxa"/>
            </w:tcMar>
            <w:hideMark/>
          </w:tcPr>
          <w:p w14:paraId="141F47E9" w14:textId="20EDF9CC"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6.38</w:t>
            </w:r>
          </w:p>
        </w:tc>
        <w:tc>
          <w:tcPr>
            <w:tcW w:w="1111" w:type="dxa"/>
            <w:tcMar>
              <w:left w:w="43" w:type="dxa"/>
              <w:right w:w="43" w:type="dxa"/>
            </w:tcMar>
            <w:hideMark/>
          </w:tcPr>
          <w:p w14:paraId="0F167809" w14:textId="6494C61F"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9.57</w:t>
            </w:r>
          </w:p>
        </w:tc>
      </w:tr>
      <w:tr w:rsidR="00D61FBD" w:rsidRPr="003633F7" w14:paraId="45514653" w14:textId="77777777" w:rsidTr="003633F7">
        <w:trPr>
          <w:trHeight w:val="300"/>
          <w:jc w:val="center"/>
        </w:trPr>
        <w:tc>
          <w:tcPr>
            <w:tcW w:w="2880" w:type="dxa"/>
            <w:shd w:val="clear" w:color="auto" w:fill="B8CCE4"/>
            <w:tcMar>
              <w:left w:w="43" w:type="dxa"/>
              <w:right w:w="43" w:type="dxa"/>
            </w:tcMar>
            <w:hideMark/>
          </w:tcPr>
          <w:p w14:paraId="7BE64974" w14:textId="77777777" w:rsidR="00D61FBD" w:rsidRPr="003633F7" w:rsidRDefault="00D61FBD" w:rsidP="007F644A">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aoall("gro","Bulgaria")</w:t>
            </w:r>
          </w:p>
        </w:tc>
        <w:tc>
          <w:tcPr>
            <w:tcW w:w="1080" w:type="dxa"/>
            <w:tcMar>
              <w:left w:w="43" w:type="dxa"/>
              <w:right w:w="43" w:type="dxa"/>
            </w:tcMar>
            <w:hideMark/>
          </w:tcPr>
          <w:p w14:paraId="4C9CD98E" w14:textId="3A818A40"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1.345</w:t>
            </w:r>
          </w:p>
        </w:tc>
        <w:tc>
          <w:tcPr>
            <w:tcW w:w="1170" w:type="dxa"/>
            <w:tcMar>
              <w:left w:w="43" w:type="dxa"/>
              <w:right w:w="43" w:type="dxa"/>
            </w:tcMar>
            <w:hideMark/>
          </w:tcPr>
          <w:p w14:paraId="38530483" w14:textId="16A17DD0"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2.69</w:t>
            </w:r>
          </w:p>
        </w:tc>
        <w:tc>
          <w:tcPr>
            <w:tcW w:w="1080" w:type="dxa"/>
            <w:tcMar>
              <w:left w:w="43" w:type="dxa"/>
              <w:right w:w="43" w:type="dxa"/>
            </w:tcMar>
            <w:hideMark/>
          </w:tcPr>
          <w:p w14:paraId="63E0ECF4" w14:textId="4C644FC1"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4.035</w:t>
            </w:r>
          </w:p>
        </w:tc>
        <w:tc>
          <w:tcPr>
            <w:tcW w:w="1080" w:type="dxa"/>
            <w:tcMar>
              <w:left w:w="43" w:type="dxa"/>
              <w:right w:w="43" w:type="dxa"/>
            </w:tcMar>
            <w:hideMark/>
          </w:tcPr>
          <w:p w14:paraId="46EF44E7" w14:textId="3F548BFC"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3.345</w:t>
            </w:r>
          </w:p>
        </w:tc>
        <w:tc>
          <w:tcPr>
            <w:tcW w:w="1170" w:type="dxa"/>
            <w:tcMar>
              <w:left w:w="43" w:type="dxa"/>
              <w:right w:w="43" w:type="dxa"/>
            </w:tcMar>
            <w:hideMark/>
          </w:tcPr>
          <w:p w14:paraId="643319D9" w14:textId="298B1977"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6.69</w:t>
            </w:r>
          </w:p>
        </w:tc>
        <w:tc>
          <w:tcPr>
            <w:tcW w:w="1111" w:type="dxa"/>
            <w:tcMar>
              <w:left w:w="43" w:type="dxa"/>
              <w:right w:w="43" w:type="dxa"/>
            </w:tcMar>
            <w:hideMark/>
          </w:tcPr>
          <w:p w14:paraId="1773820F" w14:textId="585CB8AE"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10.035</w:t>
            </w:r>
          </w:p>
        </w:tc>
      </w:tr>
      <w:tr w:rsidR="00D61FBD" w:rsidRPr="003633F7" w14:paraId="06AFB4D5" w14:textId="77777777" w:rsidTr="003633F7">
        <w:trPr>
          <w:trHeight w:val="300"/>
          <w:jc w:val="center"/>
        </w:trPr>
        <w:tc>
          <w:tcPr>
            <w:tcW w:w="2880" w:type="dxa"/>
            <w:shd w:val="clear" w:color="auto" w:fill="B8CCE4"/>
            <w:tcMar>
              <w:left w:w="43" w:type="dxa"/>
              <w:right w:w="43" w:type="dxa"/>
            </w:tcMar>
            <w:hideMark/>
          </w:tcPr>
          <w:p w14:paraId="5A03C5ED" w14:textId="6DCFB96F" w:rsidR="00D61FBD" w:rsidRPr="003633F7" w:rsidRDefault="00D61FBD" w:rsidP="007F644A">
            <w:pPr>
              <w:spacing w:before="20" w:after="20" w:line="240" w:lineRule="auto"/>
              <w:jc w:val="left"/>
              <w:rPr>
                <w:rFonts w:asciiTheme="minorHAnsi" w:eastAsia="Times New Roman" w:hAnsiTheme="minorHAnsi" w:cstheme="minorHAnsi"/>
                <w:b/>
                <w:bCs/>
                <w:color w:val="000000"/>
                <w:sz w:val="22"/>
              </w:rPr>
            </w:pPr>
            <w:r w:rsidRPr="003633F7">
              <w:rPr>
                <w:rFonts w:asciiTheme="minorHAnsi" w:eastAsia="Times New Roman" w:hAnsiTheme="minorHAnsi" w:cstheme="minorHAnsi"/>
                <w:b/>
                <w:bCs/>
                <w:color w:val="000000"/>
                <w:sz w:val="22"/>
              </w:rPr>
              <w:t xml:space="preserve">Energy </w:t>
            </w:r>
            <w:r w:rsidR="007F644A" w:rsidRPr="003633F7">
              <w:rPr>
                <w:rFonts w:asciiTheme="minorHAnsi" w:eastAsia="Times New Roman" w:hAnsiTheme="minorHAnsi" w:cstheme="minorHAnsi"/>
                <w:b/>
                <w:bCs/>
                <w:color w:val="000000"/>
                <w:sz w:val="22"/>
              </w:rPr>
              <w:t>demand shocks</w:t>
            </w:r>
          </w:p>
        </w:tc>
        <w:tc>
          <w:tcPr>
            <w:tcW w:w="1080" w:type="dxa"/>
            <w:tcMar>
              <w:left w:w="43" w:type="dxa"/>
              <w:right w:w="43" w:type="dxa"/>
            </w:tcMar>
            <w:hideMark/>
          </w:tcPr>
          <w:p w14:paraId="5DCD04E4"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b/>
                <w:bCs/>
                <w:color w:val="000000"/>
                <w:sz w:val="22"/>
              </w:rPr>
            </w:pPr>
          </w:p>
        </w:tc>
        <w:tc>
          <w:tcPr>
            <w:tcW w:w="1170" w:type="dxa"/>
            <w:tcMar>
              <w:left w:w="43" w:type="dxa"/>
              <w:right w:w="43" w:type="dxa"/>
            </w:tcMar>
            <w:hideMark/>
          </w:tcPr>
          <w:p w14:paraId="1D4178F8"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sz w:val="22"/>
              </w:rPr>
            </w:pPr>
          </w:p>
        </w:tc>
        <w:tc>
          <w:tcPr>
            <w:tcW w:w="1080" w:type="dxa"/>
            <w:tcMar>
              <w:left w:w="43" w:type="dxa"/>
              <w:right w:w="43" w:type="dxa"/>
            </w:tcMar>
            <w:hideMark/>
          </w:tcPr>
          <w:p w14:paraId="73CA8946"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sz w:val="22"/>
              </w:rPr>
            </w:pPr>
          </w:p>
        </w:tc>
        <w:tc>
          <w:tcPr>
            <w:tcW w:w="1080" w:type="dxa"/>
            <w:tcMar>
              <w:left w:w="43" w:type="dxa"/>
              <w:right w:w="43" w:type="dxa"/>
            </w:tcMar>
            <w:hideMark/>
          </w:tcPr>
          <w:p w14:paraId="3C0131B3"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0</w:t>
            </w:r>
          </w:p>
        </w:tc>
        <w:tc>
          <w:tcPr>
            <w:tcW w:w="1170" w:type="dxa"/>
            <w:tcMar>
              <w:left w:w="43" w:type="dxa"/>
              <w:right w:w="43" w:type="dxa"/>
            </w:tcMar>
            <w:hideMark/>
          </w:tcPr>
          <w:p w14:paraId="14DC6FD4"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color w:val="000000"/>
                <w:sz w:val="22"/>
              </w:rPr>
            </w:pPr>
          </w:p>
        </w:tc>
        <w:tc>
          <w:tcPr>
            <w:tcW w:w="1111" w:type="dxa"/>
            <w:tcMar>
              <w:left w:w="43" w:type="dxa"/>
              <w:right w:w="43" w:type="dxa"/>
            </w:tcMar>
            <w:hideMark/>
          </w:tcPr>
          <w:p w14:paraId="67BADCA6"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sz w:val="22"/>
              </w:rPr>
            </w:pPr>
          </w:p>
        </w:tc>
      </w:tr>
      <w:tr w:rsidR="00D61FBD" w:rsidRPr="003633F7" w14:paraId="3BAE6A12" w14:textId="77777777" w:rsidTr="003633F7">
        <w:trPr>
          <w:trHeight w:val="300"/>
          <w:jc w:val="center"/>
        </w:trPr>
        <w:tc>
          <w:tcPr>
            <w:tcW w:w="2880" w:type="dxa"/>
            <w:shd w:val="clear" w:color="auto" w:fill="B8CCE4"/>
            <w:tcMar>
              <w:left w:w="43" w:type="dxa"/>
              <w:right w:w="43" w:type="dxa"/>
            </w:tcMar>
            <w:hideMark/>
          </w:tcPr>
          <w:p w14:paraId="1DB911C5" w14:textId="77777777" w:rsidR="00D61FBD" w:rsidRPr="003633F7" w:rsidRDefault="00D61FBD" w:rsidP="007F644A">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 xml:space="preserve">aoall("ely","Bulgaria") </w:t>
            </w:r>
          </w:p>
        </w:tc>
        <w:tc>
          <w:tcPr>
            <w:tcW w:w="1080" w:type="dxa"/>
            <w:tcMar>
              <w:left w:w="43" w:type="dxa"/>
              <w:right w:w="43" w:type="dxa"/>
            </w:tcMar>
            <w:hideMark/>
          </w:tcPr>
          <w:p w14:paraId="5FEB637E" w14:textId="7825CBDE"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0.05</w:t>
            </w:r>
          </w:p>
        </w:tc>
        <w:tc>
          <w:tcPr>
            <w:tcW w:w="1170" w:type="dxa"/>
            <w:tcMar>
              <w:left w:w="43" w:type="dxa"/>
              <w:right w:w="43" w:type="dxa"/>
            </w:tcMar>
            <w:hideMark/>
          </w:tcPr>
          <w:p w14:paraId="6454CA10" w14:textId="5D0AE9A0"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0.1</w:t>
            </w:r>
          </w:p>
        </w:tc>
        <w:tc>
          <w:tcPr>
            <w:tcW w:w="1080" w:type="dxa"/>
            <w:tcMar>
              <w:left w:w="43" w:type="dxa"/>
              <w:right w:w="43" w:type="dxa"/>
            </w:tcMar>
            <w:hideMark/>
          </w:tcPr>
          <w:p w14:paraId="23D8BA3B" w14:textId="06B18136"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0.15</w:t>
            </w:r>
          </w:p>
        </w:tc>
        <w:tc>
          <w:tcPr>
            <w:tcW w:w="1080" w:type="dxa"/>
            <w:tcMar>
              <w:left w:w="43" w:type="dxa"/>
              <w:right w:w="43" w:type="dxa"/>
            </w:tcMar>
            <w:hideMark/>
          </w:tcPr>
          <w:p w14:paraId="4C6D2AEC" w14:textId="62B69F2D"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0.09</w:t>
            </w:r>
          </w:p>
        </w:tc>
        <w:tc>
          <w:tcPr>
            <w:tcW w:w="1170" w:type="dxa"/>
            <w:tcMar>
              <w:left w:w="43" w:type="dxa"/>
              <w:right w:w="43" w:type="dxa"/>
            </w:tcMar>
            <w:hideMark/>
          </w:tcPr>
          <w:p w14:paraId="13147023" w14:textId="130561C9"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0.18</w:t>
            </w:r>
          </w:p>
        </w:tc>
        <w:tc>
          <w:tcPr>
            <w:tcW w:w="1111" w:type="dxa"/>
            <w:tcMar>
              <w:left w:w="43" w:type="dxa"/>
              <w:right w:w="43" w:type="dxa"/>
            </w:tcMar>
            <w:hideMark/>
          </w:tcPr>
          <w:p w14:paraId="121E9E5F" w14:textId="508506BA"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0.27</w:t>
            </w:r>
          </w:p>
        </w:tc>
      </w:tr>
      <w:tr w:rsidR="00D61FBD" w:rsidRPr="003633F7" w14:paraId="1871E25C" w14:textId="77777777" w:rsidTr="003633F7">
        <w:trPr>
          <w:trHeight w:val="300"/>
          <w:jc w:val="center"/>
        </w:trPr>
        <w:tc>
          <w:tcPr>
            <w:tcW w:w="2880" w:type="dxa"/>
            <w:shd w:val="clear" w:color="auto" w:fill="B8CCE4"/>
            <w:tcMar>
              <w:left w:w="43" w:type="dxa"/>
              <w:right w:w="43" w:type="dxa"/>
            </w:tcMar>
            <w:hideMark/>
          </w:tcPr>
          <w:p w14:paraId="2D27F9ED" w14:textId="77777777" w:rsidR="00D61FBD" w:rsidRPr="003633F7" w:rsidRDefault="00D61FBD" w:rsidP="007F644A">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 xml:space="preserve">aoall("gas","Bulgaria") </w:t>
            </w:r>
          </w:p>
        </w:tc>
        <w:tc>
          <w:tcPr>
            <w:tcW w:w="1080" w:type="dxa"/>
            <w:tcMar>
              <w:left w:w="43" w:type="dxa"/>
              <w:right w:w="43" w:type="dxa"/>
            </w:tcMar>
            <w:hideMark/>
          </w:tcPr>
          <w:p w14:paraId="71ABB437" w14:textId="1A5FFBF1"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0.05</w:t>
            </w:r>
          </w:p>
        </w:tc>
        <w:tc>
          <w:tcPr>
            <w:tcW w:w="1170" w:type="dxa"/>
            <w:tcMar>
              <w:left w:w="43" w:type="dxa"/>
              <w:right w:w="43" w:type="dxa"/>
            </w:tcMar>
            <w:hideMark/>
          </w:tcPr>
          <w:p w14:paraId="632D87E2" w14:textId="6F511561"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0.1</w:t>
            </w:r>
          </w:p>
        </w:tc>
        <w:tc>
          <w:tcPr>
            <w:tcW w:w="1080" w:type="dxa"/>
            <w:tcMar>
              <w:left w:w="43" w:type="dxa"/>
              <w:right w:w="43" w:type="dxa"/>
            </w:tcMar>
            <w:hideMark/>
          </w:tcPr>
          <w:p w14:paraId="64C2C423" w14:textId="14AE195C"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0.15</w:t>
            </w:r>
          </w:p>
        </w:tc>
        <w:tc>
          <w:tcPr>
            <w:tcW w:w="1080" w:type="dxa"/>
            <w:tcMar>
              <w:left w:w="43" w:type="dxa"/>
              <w:right w:w="43" w:type="dxa"/>
            </w:tcMar>
            <w:hideMark/>
          </w:tcPr>
          <w:p w14:paraId="1EEB6728" w14:textId="760FA048"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0.08</w:t>
            </w:r>
          </w:p>
        </w:tc>
        <w:tc>
          <w:tcPr>
            <w:tcW w:w="1170" w:type="dxa"/>
            <w:tcMar>
              <w:left w:w="43" w:type="dxa"/>
              <w:right w:w="43" w:type="dxa"/>
            </w:tcMar>
            <w:hideMark/>
          </w:tcPr>
          <w:p w14:paraId="47E12759" w14:textId="5084DD65"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0.16</w:t>
            </w:r>
          </w:p>
        </w:tc>
        <w:tc>
          <w:tcPr>
            <w:tcW w:w="1111" w:type="dxa"/>
            <w:tcMar>
              <w:left w:w="43" w:type="dxa"/>
              <w:right w:w="43" w:type="dxa"/>
            </w:tcMar>
            <w:hideMark/>
          </w:tcPr>
          <w:p w14:paraId="23AF558E" w14:textId="142E539F"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0.24</w:t>
            </w:r>
          </w:p>
        </w:tc>
      </w:tr>
      <w:tr w:rsidR="00D61FBD" w:rsidRPr="003633F7" w14:paraId="52AB6D35" w14:textId="77777777" w:rsidTr="003633F7">
        <w:trPr>
          <w:trHeight w:val="315"/>
          <w:jc w:val="center"/>
        </w:trPr>
        <w:tc>
          <w:tcPr>
            <w:tcW w:w="2880" w:type="dxa"/>
            <w:shd w:val="clear" w:color="auto" w:fill="B8CCE4"/>
            <w:tcMar>
              <w:left w:w="43" w:type="dxa"/>
              <w:right w:w="43" w:type="dxa"/>
            </w:tcMar>
            <w:hideMark/>
          </w:tcPr>
          <w:p w14:paraId="6405989E" w14:textId="05F3B9EE" w:rsidR="00D61FBD" w:rsidRPr="003633F7" w:rsidRDefault="00D61FBD" w:rsidP="007F644A">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aoall("p_c","Bulgaria")</w:t>
            </w:r>
            <w:r w:rsidR="00CB62AC" w:rsidRPr="003633F7">
              <w:rPr>
                <w:rFonts w:asciiTheme="minorHAnsi" w:eastAsia="Times New Roman" w:hAnsiTheme="minorHAnsi" w:cstheme="minorHAnsi"/>
                <w:color w:val="000000"/>
                <w:sz w:val="22"/>
              </w:rPr>
              <w:t xml:space="preserve"> </w:t>
            </w:r>
          </w:p>
        </w:tc>
        <w:tc>
          <w:tcPr>
            <w:tcW w:w="1080" w:type="dxa"/>
            <w:tcMar>
              <w:left w:w="43" w:type="dxa"/>
              <w:right w:w="43" w:type="dxa"/>
            </w:tcMar>
            <w:hideMark/>
          </w:tcPr>
          <w:p w14:paraId="45BCE441" w14:textId="504AABC4"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5.15</w:t>
            </w:r>
          </w:p>
        </w:tc>
        <w:tc>
          <w:tcPr>
            <w:tcW w:w="1170" w:type="dxa"/>
            <w:tcMar>
              <w:left w:w="43" w:type="dxa"/>
              <w:right w:w="43" w:type="dxa"/>
            </w:tcMar>
            <w:hideMark/>
          </w:tcPr>
          <w:p w14:paraId="7A8D58F1" w14:textId="5BAC5019"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10.3</w:t>
            </w:r>
          </w:p>
        </w:tc>
        <w:tc>
          <w:tcPr>
            <w:tcW w:w="1080" w:type="dxa"/>
            <w:tcMar>
              <w:left w:w="43" w:type="dxa"/>
              <w:right w:w="43" w:type="dxa"/>
            </w:tcMar>
            <w:hideMark/>
          </w:tcPr>
          <w:p w14:paraId="1B9A12C2" w14:textId="7C89BD60"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15.45</w:t>
            </w:r>
          </w:p>
        </w:tc>
        <w:tc>
          <w:tcPr>
            <w:tcW w:w="1080" w:type="dxa"/>
            <w:tcMar>
              <w:left w:w="43" w:type="dxa"/>
              <w:right w:w="43" w:type="dxa"/>
            </w:tcMar>
            <w:hideMark/>
          </w:tcPr>
          <w:p w14:paraId="00CE640A" w14:textId="4B32F41A"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9.93</w:t>
            </w:r>
          </w:p>
        </w:tc>
        <w:tc>
          <w:tcPr>
            <w:tcW w:w="1170" w:type="dxa"/>
            <w:tcMar>
              <w:left w:w="43" w:type="dxa"/>
              <w:right w:w="43" w:type="dxa"/>
            </w:tcMar>
            <w:hideMark/>
          </w:tcPr>
          <w:p w14:paraId="08E072A8" w14:textId="7CCB5665"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19.86</w:t>
            </w:r>
          </w:p>
        </w:tc>
        <w:tc>
          <w:tcPr>
            <w:tcW w:w="1111" w:type="dxa"/>
            <w:tcMar>
              <w:left w:w="43" w:type="dxa"/>
              <w:right w:w="43" w:type="dxa"/>
            </w:tcMar>
            <w:hideMark/>
          </w:tcPr>
          <w:p w14:paraId="259B5227" w14:textId="1FBE4F70"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29.79</w:t>
            </w:r>
          </w:p>
        </w:tc>
      </w:tr>
      <w:tr w:rsidR="00D61FBD" w:rsidRPr="003633F7" w14:paraId="6FAF2917" w14:textId="77777777" w:rsidTr="003633F7">
        <w:trPr>
          <w:trHeight w:val="315"/>
          <w:jc w:val="center"/>
        </w:trPr>
        <w:tc>
          <w:tcPr>
            <w:tcW w:w="2880" w:type="dxa"/>
            <w:shd w:val="clear" w:color="auto" w:fill="B8CCE4"/>
            <w:tcMar>
              <w:left w:w="43" w:type="dxa"/>
              <w:right w:w="43" w:type="dxa"/>
            </w:tcMar>
            <w:hideMark/>
          </w:tcPr>
          <w:p w14:paraId="158973F1" w14:textId="35A210E4" w:rsidR="00D61FBD" w:rsidRPr="003633F7" w:rsidRDefault="00C365E7" w:rsidP="007F644A">
            <w:pPr>
              <w:spacing w:before="20" w:after="20" w:line="240" w:lineRule="auto"/>
              <w:jc w:val="left"/>
              <w:rPr>
                <w:rFonts w:asciiTheme="minorHAnsi" w:eastAsia="Times New Roman" w:hAnsiTheme="minorHAnsi" w:cstheme="minorHAnsi"/>
                <w:b/>
                <w:bCs/>
                <w:color w:val="000000"/>
                <w:sz w:val="22"/>
              </w:rPr>
            </w:pPr>
            <w:r w:rsidRPr="003633F7">
              <w:rPr>
                <w:rFonts w:asciiTheme="minorHAnsi" w:eastAsia="Times New Roman" w:hAnsiTheme="minorHAnsi" w:cstheme="minorHAnsi"/>
                <w:b/>
                <w:bCs/>
                <w:color w:val="000000"/>
                <w:sz w:val="22"/>
              </w:rPr>
              <w:t>SLR</w:t>
            </w:r>
            <w:r w:rsidR="007F644A" w:rsidRPr="003633F7">
              <w:rPr>
                <w:rFonts w:asciiTheme="minorHAnsi" w:eastAsia="Times New Roman" w:hAnsiTheme="minorHAnsi" w:cstheme="minorHAnsi"/>
                <w:b/>
                <w:bCs/>
                <w:color w:val="000000"/>
                <w:sz w:val="22"/>
              </w:rPr>
              <w:t xml:space="preserve"> </w:t>
            </w:r>
            <w:r w:rsidR="00D61FBD" w:rsidRPr="003633F7">
              <w:rPr>
                <w:rFonts w:asciiTheme="minorHAnsi" w:eastAsia="Times New Roman" w:hAnsiTheme="minorHAnsi" w:cstheme="minorHAnsi"/>
                <w:b/>
                <w:bCs/>
                <w:color w:val="000000"/>
                <w:sz w:val="22"/>
              </w:rPr>
              <w:t>shocks</w:t>
            </w:r>
          </w:p>
        </w:tc>
        <w:tc>
          <w:tcPr>
            <w:tcW w:w="1080" w:type="dxa"/>
            <w:tcMar>
              <w:left w:w="43" w:type="dxa"/>
              <w:right w:w="43" w:type="dxa"/>
            </w:tcMar>
            <w:hideMark/>
          </w:tcPr>
          <w:p w14:paraId="5531B313"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b/>
                <w:bCs/>
                <w:color w:val="000000"/>
                <w:sz w:val="22"/>
              </w:rPr>
            </w:pPr>
          </w:p>
        </w:tc>
        <w:tc>
          <w:tcPr>
            <w:tcW w:w="1170" w:type="dxa"/>
            <w:tcMar>
              <w:left w:w="43" w:type="dxa"/>
              <w:right w:w="43" w:type="dxa"/>
            </w:tcMar>
            <w:hideMark/>
          </w:tcPr>
          <w:p w14:paraId="6EAFC787"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sz w:val="22"/>
              </w:rPr>
            </w:pPr>
          </w:p>
        </w:tc>
        <w:tc>
          <w:tcPr>
            <w:tcW w:w="1080" w:type="dxa"/>
            <w:tcMar>
              <w:left w:w="43" w:type="dxa"/>
              <w:right w:w="43" w:type="dxa"/>
            </w:tcMar>
            <w:hideMark/>
          </w:tcPr>
          <w:p w14:paraId="688667E6"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sz w:val="22"/>
              </w:rPr>
            </w:pPr>
          </w:p>
        </w:tc>
        <w:tc>
          <w:tcPr>
            <w:tcW w:w="1080" w:type="dxa"/>
            <w:tcMar>
              <w:left w:w="43" w:type="dxa"/>
              <w:right w:w="43" w:type="dxa"/>
            </w:tcMar>
            <w:hideMark/>
          </w:tcPr>
          <w:p w14:paraId="074CC517"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sz w:val="22"/>
              </w:rPr>
            </w:pPr>
          </w:p>
        </w:tc>
        <w:tc>
          <w:tcPr>
            <w:tcW w:w="1170" w:type="dxa"/>
            <w:tcMar>
              <w:left w:w="43" w:type="dxa"/>
              <w:right w:w="43" w:type="dxa"/>
            </w:tcMar>
            <w:hideMark/>
          </w:tcPr>
          <w:p w14:paraId="2731B15D"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sz w:val="22"/>
              </w:rPr>
            </w:pPr>
          </w:p>
        </w:tc>
        <w:tc>
          <w:tcPr>
            <w:tcW w:w="1111" w:type="dxa"/>
            <w:tcMar>
              <w:left w:w="43" w:type="dxa"/>
              <w:right w:w="43" w:type="dxa"/>
            </w:tcMar>
            <w:hideMark/>
          </w:tcPr>
          <w:p w14:paraId="386E047E"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sz w:val="22"/>
              </w:rPr>
            </w:pPr>
          </w:p>
        </w:tc>
      </w:tr>
      <w:tr w:rsidR="00D61FBD" w:rsidRPr="003633F7" w14:paraId="294A586D" w14:textId="77777777" w:rsidTr="003633F7">
        <w:trPr>
          <w:trHeight w:val="300"/>
          <w:jc w:val="center"/>
        </w:trPr>
        <w:tc>
          <w:tcPr>
            <w:tcW w:w="2880" w:type="dxa"/>
            <w:shd w:val="clear" w:color="auto" w:fill="B8CCE4"/>
            <w:tcMar>
              <w:left w:w="43" w:type="dxa"/>
              <w:right w:w="43" w:type="dxa"/>
            </w:tcMar>
            <w:hideMark/>
          </w:tcPr>
          <w:p w14:paraId="2DC856F6" w14:textId="77777777" w:rsidR="00D61FBD" w:rsidRPr="003633F7" w:rsidRDefault="00D61FBD" w:rsidP="007F644A">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qo(ENDWS_COMM,"Bulgaria")</w:t>
            </w:r>
          </w:p>
        </w:tc>
        <w:tc>
          <w:tcPr>
            <w:tcW w:w="1080" w:type="dxa"/>
            <w:tcMar>
              <w:left w:w="43" w:type="dxa"/>
              <w:right w:w="43" w:type="dxa"/>
            </w:tcMar>
            <w:hideMark/>
          </w:tcPr>
          <w:p w14:paraId="79BCDBBA" w14:textId="256EDC9D"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0.0002</w:t>
            </w:r>
          </w:p>
        </w:tc>
        <w:tc>
          <w:tcPr>
            <w:tcW w:w="1170" w:type="dxa"/>
            <w:tcMar>
              <w:left w:w="43" w:type="dxa"/>
              <w:right w:w="43" w:type="dxa"/>
            </w:tcMar>
            <w:hideMark/>
          </w:tcPr>
          <w:p w14:paraId="5D466FE5" w14:textId="29122816"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0.0004</w:t>
            </w:r>
          </w:p>
        </w:tc>
        <w:tc>
          <w:tcPr>
            <w:tcW w:w="1080" w:type="dxa"/>
            <w:tcMar>
              <w:left w:w="43" w:type="dxa"/>
              <w:right w:w="43" w:type="dxa"/>
            </w:tcMar>
            <w:hideMark/>
          </w:tcPr>
          <w:p w14:paraId="723F91CF" w14:textId="38989E8C"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0.0006</w:t>
            </w:r>
          </w:p>
        </w:tc>
        <w:tc>
          <w:tcPr>
            <w:tcW w:w="1080" w:type="dxa"/>
            <w:tcMar>
              <w:left w:w="43" w:type="dxa"/>
              <w:right w:w="43" w:type="dxa"/>
            </w:tcMar>
            <w:hideMark/>
          </w:tcPr>
          <w:p w14:paraId="0BC9A871" w14:textId="5207306F"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0.00037</w:t>
            </w:r>
          </w:p>
        </w:tc>
        <w:tc>
          <w:tcPr>
            <w:tcW w:w="1170" w:type="dxa"/>
            <w:tcMar>
              <w:left w:w="43" w:type="dxa"/>
              <w:right w:w="43" w:type="dxa"/>
            </w:tcMar>
            <w:hideMark/>
          </w:tcPr>
          <w:p w14:paraId="524F9C70" w14:textId="78D9E86A"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0.00074</w:t>
            </w:r>
          </w:p>
        </w:tc>
        <w:tc>
          <w:tcPr>
            <w:tcW w:w="1111" w:type="dxa"/>
            <w:tcMar>
              <w:left w:w="43" w:type="dxa"/>
              <w:right w:w="43" w:type="dxa"/>
            </w:tcMar>
            <w:hideMark/>
          </w:tcPr>
          <w:p w14:paraId="53316707" w14:textId="5AB61F65"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0.00111</w:t>
            </w:r>
          </w:p>
        </w:tc>
      </w:tr>
      <w:tr w:rsidR="00D61FBD" w:rsidRPr="003633F7" w14:paraId="35A3E3ED" w14:textId="77777777" w:rsidTr="003633F7">
        <w:trPr>
          <w:trHeight w:val="300"/>
          <w:jc w:val="center"/>
        </w:trPr>
        <w:tc>
          <w:tcPr>
            <w:tcW w:w="2880" w:type="dxa"/>
            <w:shd w:val="clear" w:color="auto" w:fill="B8CCE4"/>
            <w:tcMar>
              <w:left w:w="43" w:type="dxa"/>
              <w:right w:w="43" w:type="dxa"/>
            </w:tcMar>
            <w:hideMark/>
          </w:tcPr>
          <w:p w14:paraId="242F221E" w14:textId="48AF8E16" w:rsidR="00D61FBD" w:rsidRPr="003633F7" w:rsidRDefault="00D61FBD" w:rsidP="007F644A">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qo("Capital","Bulgaria")</w:t>
            </w:r>
          </w:p>
        </w:tc>
        <w:tc>
          <w:tcPr>
            <w:tcW w:w="1080" w:type="dxa"/>
            <w:tcMar>
              <w:left w:w="43" w:type="dxa"/>
              <w:right w:w="43" w:type="dxa"/>
            </w:tcMar>
            <w:hideMark/>
          </w:tcPr>
          <w:p w14:paraId="3F3CAE8B" w14:textId="17DF4D52"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0.0002</w:t>
            </w:r>
          </w:p>
        </w:tc>
        <w:tc>
          <w:tcPr>
            <w:tcW w:w="1170" w:type="dxa"/>
            <w:tcMar>
              <w:left w:w="43" w:type="dxa"/>
              <w:right w:w="43" w:type="dxa"/>
            </w:tcMar>
            <w:hideMark/>
          </w:tcPr>
          <w:p w14:paraId="1600D594" w14:textId="6CA5FE48"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0.0004</w:t>
            </w:r>
          </w:p>
        </w:tc>
        <w:tc>
          <w:tcPr>
            <w:tcW w:w="1080" w:type="dxa"/>
            <w:tcMar>
              <w:left w:w="43" w:type="dxa"/>
              <w:right w:w="43" w:type="dxa"/>
            </w:tcMar>
            <w:hideMark/>
          </w:tcPr>
          <w:p w14:paraId="390E4264" w14:textId="3718F28A"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0.0006</w:t>
            </w:r>
          </w:p>
        </w:tc>
        <w:tc>
          <w:tcPr>
            <w:tcW w:w="1080" w:type="dxa"/>
            <w:tcMar>
              <w:left w:w="43" w:type="dxa"/>
              <w:right w:w="43" w:type="dxa"/>
            </w:tcMar>
            <w:hideMark/>
          </w:tcPr>
          <w:p w14:paraId="7315D5EF" w14:textId="531D5EA4"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0.00037</w:t>
            </w:r>
          </w:p>
        </w:tc>
        <w:tc>
          <w:tcPr>
            <w:tcW w:w="1170" w:type="dxa"/>
            <w:tcMar>
              <w:left w:w="43" w:type="dxa"/>
              <w:right w:w="43" w:type="dxa"/>
            </w:tcMar>
            <w:hideMark/>
          </w:tcPr>
          <w:p w14:paraId="27BD2956" w14:textId="28C4907F"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0.00074</w:t>
            </w:r>
          </w:p>
        </w:tc>
        <w:tc>
          <w:tcPr>
            <w:tcW w:w="1111" w:type="dxa"/>
            <w:tcMar>
              <w:left w:w="43" w:type="dxa"/>
              <w:right w:w="43" w:type="dxa"/>
            </w:tcMar>
            <w:hideMark/>
          </w:tcPr>
          <w:p w14:paraId="1EE7974B" w14:textId="17E82697" w:rsidR="00D61FBD" w:rsidRPr="003633F7" w:rsidRDefault="007F644A"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0.00111</w:t>
            </w:r>
          </w:p>
        </w:tc>
      </w:tr>
      <w:tr w:rsidR="00D61FBD" w:rsidRPr="003633F7" w14:paraId="5578EC78" w14:textId="77777777" w:rsidTr="003633F7">
        <w:trPr>
          <w:trHeight w:val="300"/>
          <w:jc w:val="center"/>
        </w:trPr>
        <w:tc>
          <w:tcPr>
            <w:tcW w:w="2880" w:type="dxa"/>
            <w:shd w:val="clear" w:color="auto" w:fill="B8CCE4"/>
            <w:tcMar>
              <w:left w:w="43" w:type="dxa"/>
              <w:right w:w="43" w:type="dxa"/>
            </w:tcMar>
            <w:hideMark/>
          </w:tcPr>
          <w:p w14:paraId="6B6BC01B" w14:textId="1386B6DB" w:rsidR="00D61FBD" w:rsidRPr="003633F7" w:rsidRDefault="00D61FBD" w:rsidP="007F644A">
            <w:pPr>
              <w:spacing w:before="20" w:after="20" w:line="240" w:lineRule="auto"/>
              <w:jc w:val="left"/>
              <w:rPr>
                <w:rFonts w:asciiTheme="minorHAnsi" w:eastAsia="Times New Roman" w:hAnsiTheme="minorHAnsi" w:cstheme="minorHAnsi"/>
                <w:b/>
                <w:bCs/>
                <w:color w:val="000000"/>
                <w:sz w:val="22"/>
              </w:rPr>
            </w:pPr>
            <w:r w:rsidRPr="003633F7">
              <w:rPr>
                <w:rFonts w:asciiTheme="minorHAnsi" w:eastAsia="Times New Roman" w:hAnsiTheme="minorHAnsi" w:cstheme="minorHAnsi"/>
                <w:b/>
                <w:bCs/>
                <w:color w:val="000000"/>
                <w:sz w:val="22"/>
              </w:rPr>
              <w:t xml:space="preserve">Tourism </w:t>
            </w:r>
            <w:r w:rsidR="007F644A" w:rsidRPr="003633F7">
              <w:rPr>
                <w:rFonts w:asciiTheme="minorHAnsi" w:eastAsia="Times New Roman" w:hAnsiTheme="minorHAnsi" w:cstheme="minorHAnsi"/>
                <w:b/>
                <w:bCs/>
                <w:color w:val="000000"/>
                <w:sz w:val="22"/>
              </w:rPr>
              <w:t>shocks</w:t>
            </w:r>
          </w:p>
        </w:tc>
        <w:tc>
          <w:tcPr>
            <w:tcW w:w="1080" w:type="dxa"/>
            <w:tcMar>
              <w:left w:w="43" w:type="dxa"/>
              <w:right w:w="43" w:type="dxa"/>
            </w:tcMar>
            <w:hideMark/>
          </w:tcPr>
          <w:p w14:paraId="1FB5B0D0"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b/>
                <w:bCs/>
                <w:color w:val="000000"/>
                <w:sz w:val="22"/>
              </w:rPr>
            </w:pPr>
          </w:p>
        </w:tc>
        <w:tc>
          <w:tcPr>
            <w:tcW w:w="1170" w:type="dxa"/>
            <w:tcMar>
              <w:left w:w="43" w:type="dxa"/>
              <w:right w:w="43" w:type="dxa"/>
            </w:tcMar>
            <w:hideMark/>
          </w:tcPr>
          <w:p w14:paraId="184CEFB6"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sz w:val="22"/>
              </w:rPr>
            </w:pPr>
          </w:p>
        </w:tc>
        <w:tc>
          <w:tcPr>
            <w:tcW w:w="1080" w:type="dxa"/>
            <w:tcMar>
              <w:left w:w="43" w:type="dxa"/>
              <w:right w:w="43" w:type="dxa"/>
            </w:tcMar>
            <w:hideMark/>
          </w:tcPr>
          <w:p w14:paraId="5A94CBEB"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sz w:val="22"/>
              </w:rPr>
            </w:pPr>
          </w:p>
        </w:tc>
        <w:tc>
          <w:tcPr>
            <w:tcW w:w="1080" w:type="dxa"/>
            <w:tcMar>
              <w:left w:w="43" w:type="dxa"/>
              <w:right w:w="43" w:type="dxa"/>
            </w:tcMar>
            <w:hideMark/>
          </w:tcPr>
          <w:p w14:paraId="195FD60F"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0</w:t>
            </w:r>
          </w:p>
        </w:tc>
        <w:tc>
          <w:tcPr>
            <w:tcW w:w="1170" w:type="dxa"/>
            <w:tcMar>
              <w:left w:w="43" w:type="dxa"/>
              <w:right w:w="43" w:type="dxa"/>
            </w:tcMar>
            <w:hideMark/>
          </w:tcPr>
          <w:p w14:paraId="0CA3AF34"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color w:val="000000"/>
                <w:sz w:val="22"/>
              </w:rPr>
            </w:pPr>
          </w:p>
        </w:tc>
        <w:tc>
          <w:tcPr>
            <w:tcW w:w="1111" w:type="dxa"/>
            <w:tcMar>
              <w:left w:w="43" w:type="dxa"/>
              <w:right w:w="43" w:type="dxa"/>
            </w:tcMar>
            <w:hideMark/>
          </w:tcPr>
          <w:p w14:paraId="7E8528BE"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sz w:val="22"/>
              </w:rPr>
            </w:pPr>
          </w:p>
        </w:tc>
      </w:tr>
      <w:tr w:rsidR="00D61FBD" w:rsidRPr="003633F7" w14:paraId="69765BFF" w14:textId="77777777" w:rsidTr="003633F7">
        <w:trPr>
          <w:trHeight w:val="300"/>
          <w:jc w:val="center"/>
        </w:trPr>
        <w:tc>
          <w:tcPr>
            <w:tcW w:w="2880" w:type="dxa"/>
            <w:shd w:val="clear" w:color="auto" w:fill="B8CCE4"/>
            <w:tcMar>
              <w:left w:w="43" w:type="dxa"/>
              <w:right w:w="43" w:type="dxa"/>
            </w:tcMar>
            <w:hideMark/>
          </w:tcPr>
          <w:p w14:paraId="1B14A3B8" w14:textId="77777777" w:rsidR="00D61FBD" w:rsidRPr="003633F7" w:rsidRDefault="00D61FBD" w:rsidP="007F644A">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 xml:space="preserve">qpd("ros","Bulgaria") </w:t>
            </w:r>
          </w:p>
        </w:tc>
        <w:tc>
          <w:tcPr>
            <w:tcW w:w="1080" w:type="dxa"/>
            <w:tcMar>
              <w:left w:w="43" w:type="dxa"/>
              <w:right w:w="43" w:type="dxa"/>
            </w:tcMar>
            <w:hideMark/>
          </w:tcPr>
          <w:p w14:paraId="01D98172"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0.178</w:t>
            </w:r>
          </w:p>
        </w:tc>
        <w:tc>
          <w:tcPr>
            <w:tcW w:w="1170" w:type="dxa"/>
            <w:tcMar>
              <w:left w:w="43" w:type="dxa"/>
              <w:right w:w="43" w:type="dxa"/>
            </w:tcMar>
            <w:hideMark/>
          </w:tcPr>
          <w:p w14:paraId="10479D5A"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0.356</w:t>
            </w:r>
          </w:p>
        </w:tc>
        <w:tc>
          <w:tcPr>
            <w:tcW w:w="1080" w:type="dxa"/>
            <w:tcMar>
              <w:left w:w="43" w:type="dxa"/>
              <w:right w:w="43" w:type="dxa"/>
            </w:tcMar>
            <w:hideMark/>
          </w:tcPr>
          <w:p w14:paraId="266C3C3F"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0.534</w:t>
            </w:r>
          </w:p>
        </w:tc>
        <w:tc>
          <w:tcPr>
            <w:tcW w:w="1080" w:type="dxa"/>
            <w:tcMar>
              <w:left w:w="43" w:type="dxa"/>
              <w:right w:w="43" w:type="dxa"/>
            </w:tcMar>
            <w:hideMark/>
          </w:tcPr>
          <w:p w14:paraId="2150105C"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0.356</w:t>
            </w:r>
          </w:p>
        </w:tc>
        <w:tc>
          <w:tcPr>
            <w:tcW w:w="1170" w:type="dxa"/>
            <w:tcMar>
              <w:left w:w="43" w:type="dxa"/>
              <w:right w:w="43" w:type="dxa"/>
            </w:tcMar>
            <w:hideMark/>
          </w:tcPr>
          <w:p w14:paraId="17905A3D"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0.712</w:t>
            </w:r>
          </w:p>
        </w:tc>
        <w:tc>
          <w:tcPr>
            <w:tcW w:w="1111" w:type="dxa"/>
            <w:tcMar>
              <w:left w:w="43" w:type="dxa"/>
              <w:right w:w="43" w:type="dxa"/>
            </w:tcMar>
            <w:hideMark/>
          </w:tcPr>
          <w:p w14:paraId="17E28E36" w14:textId="77777777" w:rsidR="00D61FBD" w:rsidRPr="003633F7" w:rsidRDefault="00D61FBD" w:rsidP="007F644A">
            <w:pPr>
              <w:tabs>
                <w:tab w:val="decimal" w:pos="483"/>
              </w:tabs>
              <w:spacing w:before="20" w:after="20" w:line="240" w:lineRule="auto"/>
              <w:ind w:right="54"/>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1.068</w:t>
            </w:r>
          </w:p>
        </w:tc>
      </w:tr>
    </w:tbl>
    <w:p w14:paraId="7CB4302E" w14:textId="793A17AB" w:rsidR="00D61FBD" w:rsidRPr="001C3EDC" w:rsidRDefault="00D61FBD" w:rsidP="00724F7C">
      <w:pPr>
        <w:pStyle w:val="Source"/>
      </w:pPr>
      <w:r w:rsidRPr="001C3EDC">
        <w:t>Source: Roson and Sartori 2016 and Berrittella et al</w:t>
      </w:r>
      <w:r w:rsidR="005E4694" w:rsidRPr="001C3EDC">
        <w:t>.</w:t>
      </w:r>
      <w:r w:rsidRPr="001C3EDC">
        <w:t xml:space="preserve"> 2004</w:t>
      </w:r>
      <w:r w:rsidR="00510922" w:rsidRPr="001C3EDC">
        <w:t>.</w:t>
      </w:r>
    </w:p>
    <w:p w14:paraId="27DA935C" w14:textId="3F99060D" w:rsidR="00D61FBD" w:rsidRPr="001C3EDC" w:rsidRDefault="007F644A" w:rsidP="004F7F4A">
      <w:pPr>
        <w:pStyle w:val="Caption"/>
        <w:spacing w:before="200"/>
        <w:rPr>
          <w:rFonts w:ascii="Calibri" w:hAnsi="Calibri"/>
          <w:i/>
          <w:color w:val="44546A"/>
          <w:sz w:val="22"/>
          <w:szCs w:val="18"/>
        </w:rPr>
      </w:pPr>
      <w:bookmarkStart w:id="164" w:name="_Toc522036524"/>
      <w:r w:rsidRPr="001C3EDC">
        <w:rPr>
          <w:rFonts w:ascii="Calibri" w:hAnsi="Calibri"/>
          <w:i/>
          <w:color w:val="44546A"/>
          <w:sz w:val="22"/>
          <w:szCs w:val="18"/>
        </w:rPr>
        <w:lastRenderedPageBreak/>
        <w:t>Table 1.</w:t>
      </w:r>
      <w:r w:rsidRPr="001C3EDC">
        <w:rPr>
          <w:rFonts w:ascii="Calibri" w:hAnsi="Calibri"/>
          <w:i/>
          <w:color w:val="44546A"/>
          <w:sz w:val="22"/>
          <w:szCs w:val="18"/>
        </w:rPr>
        <w:fldChar w:fldCharType="begin"/>
      </w:r>
      <w:r w:rsidRPr="001C3EDC">
        <w:rPr>
          <w:rFonts w:ascii="Calibri" w:hAnsi="Calibri"/>
          <w:i/>
          <w:color w:val="44546A"/>
          <w:sz w:val="22"/>
          <w:szCs w:val="18"/>
        </w:rPr>
        <w:instrText xml:space="preserve"> SEQ Table_1. \* ARABIC </w:instrText>
      </w:r>
      <w:r w:rsidRPr="001C3EDC">
        <w:rPr>
          <w:rFonts w:ascii="Calibri" w:hAnsi="Calibri"/>
          <w:i/>
          <w:color w:val="44546A"/>
          <w:sz w:val="22"/>
          <w:szCs w:val="18"/>
        </w:rPr>
        <w:fldChar w:fldCharType="separate"/>
      </w:r>
      <w:r w:rsidR="00F84F84">
        <w:rPr>
          <w:rFonts w:ascii="Calibri" w:hAnsi="Calibri"/>
          <w:i/>
          <w:noProof/>
          <w:color w:val="44546A"/>
          <w:sz w:val="22"/>
          <w:szCs w:val="18"/>
        </w:rPr>
        <w:t>3</w:t>
      </w:r>
      <w:r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D61FBD" w:rsidRPr="001C3EDC">
        <w:rPr>
          <w:rFonts w:ascii="Calibri" w:hAnsi="Calibri"/>
          <w:i/>
          <w:color w:val="44546A"/>
          <w:sz w:val="22"/>
          <w:szCs w:val="18"/>
        </w:rPr>
        <w:t>Shock values for the adaptation scenario</w:t>
      </w:r>
      <w:bookmarkEnd w:id="164"/>
    </w:p>
    <w:tbl>
      <w:tblPr>
        <w:tblStyle w:val="TableGrid"/>
        <w:tblW w:w="6167"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640"/>
        <w:gridCol w:w="1230"/>
        <w:gridCol w:w="1297"/>
      </w:tblGrid>
      <w:tr w:rsidR="00F93CA6" w:rsidRPr="003633F7" w14:paraId="031374FA" w14:textId="77777777" w:rsidTr="00FB6E8E">
        <w:trPr>
          <w:trHeight w:val="300"/>
          <w:tblHeader/>
          <w:jc w:val="center"/>
        </w:trPr>
        <w:tc>
          <w:tcPr>
            <w:tcW w:w="3640" w:type="dxa"/>
            <w:vMerge w:val="restart"/>
            <w:shd w:val="clear" w:color="auto" w:fill="365F91"/>
            <w:noWrap/>
            <w:vAlign w:val="center"/>
          </w:tcPr>
          <w:p w14:paraId="0753E613" w14:textId="5DBE4AFC" w:rsidR="00F93CA6" w:rsidRPr="003633F7" w:rsidRDefault="00F93CA6" w:rsidP="00F93CA6">
            <w:pPr>
              <w:spacing w:before="20" w:after="20" w:line="240" w:lineRule="auto"/>
              <w:jc w:val="center"/>
              <w:rPr>
                <w:rFonts w:asciiTheme="minorHAnsi" w:eastAsia="Times New Roman" w:hAnsiTheme="minorHAnsi" w:cstheme="minorHAnsi"/>
                <w:b/>
                <w:bCs/>
                <w:color w:val="FFFFFF" w:themeColor="background1"/>
                <w:sz w:val="22"/>
              </w:rPr>
            </w:pPr>
            <w:r w:rsidRPr="003633F7">
              <w:rPr>
                <w:rFonts w:asciiTheme="minorHAnsi" w:eastAsia="Times New Roman" w:hAnsiTheme="minorHAnsi" w:cstheme="minorHAnsi"/>
                <w:b/>
                <w:color w:val="FFFFFF" w:themeColor="background1"/>
                <w:sz w:val="22"/>
              </w:rPr>
              <w:t xml:space="preserve">Policy </w:t>
            </w:r>
            <w:r w:rsidR="007F644A" w:rsidRPr="003633F7">
              <w:rPr>
                <w:rFonts w:asciiTheme="minorHAnsi" w:eastAsia="Times New Roman" w:hAnsiTheme="minorHAnsi" w:cstheme="minorHAnsi"/>
                <w:b/>
                <w:color w:val="FFFFFF" w:themeColor="background1"/>
                <w:sz w:val="22"/>
              </w:rPr>
              <w:t>shocks</w:t>
            </w:r>
          </w:p>
        </w:tc>
        <w:tc>
          <w:tcPr>
            <w:tcW w:w="1230" w:type="dxa"/>
            <w:shd w:val="clear" w:color="auto" w:fill="365F91"/>
            <w:noWrap/>
            <w:vAlign w:val="center"/>
          </w:tcPr>
          <w:p w14:paraId="38AE1C7A" w14:textId="7A496836" w:rsidR="00F93CA6" w:rsidRPr="003633F7" w:rsidRDefault="007F644A" w:rsidP="00F93CA6">
            <w:pPr>
              <w:spacing w:before="20" w:after="20" w:line="240" w:lineRule="auto"/>
              <w:jc w:val="center"/>
              <w:rPr>
                <w:rFonts w:asciiTheme="minorHAnsi" w:eastAsia="Times New Roman" w:hAnsiTheme="minorHAnsi" w:cstheme="minorHAnsi"/>
                <w:b/>
                <w:color w:val="FFFFFF" w:themeColor="background1"/>
                <w:sz w:val="22"/>
              </w:rPr>
            </w:pPr>
            <w:r w:rsidRPr="003633F7">
              <w:rPr>
                <w:rFonts w:asciiTheme="minorHAnsi" w:eastAsia="Times New Roman" w:hAnsiTheme="minorHAnsi" w:cstheme="minorHAnsi"/>
                <w:b/>
                <w:color w:val="FFFFFF" w:themeColor="background1"/>
                <w:sz w:val="22"/>
              </w:rPr>
              <w:t>2°</w:t>
            </w:r>
            <w:r w:rsidR="00F93CA6" w:rsidRPr="003633F7">
              <w:rPr>
                <w:rFonts w:asciiTheme="minorHAnsi" w:eastAsia="Times New Roman" w:hAnsiTheme="minorHAnsi" w:cstheme="minorHAnsi"/>
                <w:b/>
                <w:color w:val="FFFFFF" w:themeColor="background1"/>
                <w:sz w:val="22"/>
              </w:rPr>
              <w:t>C</w:t>
            </w:r>
          </w:p>
        </w:tc>
        <w:tc>
          <w:tcPr>
            <w:tcW w:w="1297" w:type="dxa"/>
            <w:shd w:val="clear" w:color="auto" w:fill="365F91"/>
            <w:noWrap/>
            <w:vAlign w:val="center"/>
          </w:tcPr>
          <w:p w14:paraId="0A87494B" w14:textId="11B59DCD" w:rsidR="00F93CA6" w:rsidRPr="003633F7" w:rsidRDefault="007F644A" w:rsidP="00F93CA6">
            <w:pPr>
              <w:spacing w:before="20" w:after="20" w:line="240" w:lineRule="auto"/>
              <w:jc w:val="center"/>
              <w:rPr>
                <w:rFonts w:asciiTheme="minorHAnsi" w:eastAsia="Times New Roman" w:hAnsiTheme="minorHAnsi" w:cstheme="minorHAnsi"/>
                <w:b/>
                <w:color w:val="FFFFFF" w:themeColor="background1"/>
                <w:sz w:val="22"/>
              </w:rPr>
            </w:pPr>
            <w:r w:rsidRPr="003633F7">
              <w:rPr>
                <w:rFonts w:asciiTheme="minorHAnsi" w:eastAsia="Times New Roman" w:hAnsiTheme="minorHAnsi" w:cstheme="minorHAnsi"/>
                <w:b/>
                <w:color w:val="FFFFFF" w:themeColor="background1"/>
                <w:sz w:val="22"/>
              </w:rPr>
              <w:t>4°</w:t>
            </w:r>
            <w:r w:rsidR="00F93CA6" w:rsidRPr="003633F7">
              <w:rPr>
                <w:rFonts w:asciiTheme="minorHAnsi" w:eastAsia="Times New Roman" w:hAnsiTheme="minorHAnsi" w:cstheme="minorHAnsi"/>
                <w:b/>
                <w:color w:val="FFFFFF" w:themeColor="background1"/>
                <w:sz w:val="22"/>
              </w:rPr>
              <w:t>C</w:t>
            </w:r>
          </w:p>
        </w:tc>
      </w:tr>
      <w:tr w:rsidR="00F93CA6" w:rsidRPr="003633F7" w14:paraId="593D320A" w14:textId="77777777" w:rsidTr="00FB6E8E">
        <w:trPr>
          <w:trHeight w:val="300"/>
          <w:tblHeader/>
          <w:jc w:val="center"/>
        </w:trPr>
        <w:tc>
          <w:tcPr>
            <w:tcW w:w="3640" w:type="dxa"/>
            <w:vMerge/>
            <w:noWrap/>
          </w:tcPr>
          <w:p w14:paraId="698B4E31" w14:textId="77777777" w:rsidR="00F93CA6" w:rsidRPr="003633F7" w:rsidRDefault="00F93CA6" w:rsidP="00F93CA6">
            <w:pPr>
              <w:spacing w:before="20" w:after="20" w:line="240" w:lineRule="auto"/>
              <w:jc w:val="center"/>
              <w:rPr>
                <w:rFonts w:asciiTheme="minorHAnsi" w:eastAsia="Times New Roman" w:hAnsiTheme="minorHAnsi" w:cstheme="minorHAnsi"/>
                <w:b/>
                <w:bCs/>
                <w:color w:val="000000"/>
                <w:sz w:val="22"/>
              </w:rPr>
            </w:pPr>
          </w:p>
        </w:tc>
        <w:tc>
          <w:tcPr>
            <w:tcW w:w="1230" w:type="dxa"/>
            <w:shd w:val="clear" w:color="auto" w:fill="D9D9D9" w:themeFill="background1" w:themeFillShade="D9"/>
            <w:noWrap/>
          </w:tcPr>
          <w:p w14:paraId="20439880" w14:textId="1BB57F6E" w:rsidR="00F93CA6" w:rsidRPr="003633F7" w:rsidRDefault="00F93CA6" w:rsidP="00F93CA6">
            <w:pPr>
              <w:spacing w:before="20" w:after="20" w:line="240" w:lineRule="auto"/>
              <w:jc w:val="center"/>
              <w:rPr>
                <w:rFonts w:asciiTheme="minorHAnsi" w:eastAsia="Times New Roman" w:hAnsiTheme="minorHAnsi" w:cstheme="minorHAnsi"/>
                <w:b/>
                <w:color w:val="000000"/>
                <w:sz w:val="22"/>
              </w:rPr>
            </w:pPr>
            <w:r w:rsidRPr="003633F7">
              <w:rPr>
                <w:rFonts w:asciiTheme="minorHAnsi" w:eastAsia="Times New Roman" w:hAnsiTheme="minorHAnsi" w:cstheme="minorHAnsi"/>
                <w:b/>
                <w:color w:val="000000"/>
                <w:sz w:val="22"/>
              </w:rPr>
              <w:t>A</w:t>
            </w:r>
          </w:p>
        </w:tc>
        <w:tc>
          <w:tcPr>
            <w:tcW w:w="1297" w:type="dxa"/>
            <w:shd w:val="clear" w:color="auto" w:fill="D9D9D9" w:themeFill="background1" w:themeFillShade="D9"/>
            <w:noWrap/>
          </w:tcPr>
          <w:p w14:paraId="5C3E3326" w14:textId="1CE6519D" w:rsidR="00F93CA6" w:rsidRPr="003633F7" w:rsidRDefault="00F93CA6" w:rsidP="00F93CA6">
            <w:pPr>
              <w:spacing w:before="20" w:after="20" w:line="240" w:lineRule="auto"/>
              <w:jc w:val="center"/>
              <w:rPr>
                <w:rFonts w:asciiTheme="minorHAnsi" w:eastAsia="Times New Roman" w:hAnsiTheme="minorHAnsi" w:cstheme="minorHAnsi"/>
                <w:b/>
                <w:color w:val="000000"/>
                <w:sz w:val="22"/>
              </w:rPr>
            </w:pPr>
            <w:r w:rsidRPr="003633F7">
              <w:rPr>
                <w:rFonts w:asciiTheme="minorHAnsi" w:eastAsia="Times New Roman" w:hAnsiTheme="minorHAnsi" w:cstheme="minorHAnsi"/>
                <w:b/>
                <w:color w:val="000000"/>
                <w:sz w:val="22"/>
              </w:rPr>
              <w:t>F</w:t>
            </w:r>
          </w:p>
        </w:tc>
      </w:tr>
      <w:tr w:rsidR="00D61FBD" w:rsidRPr="003633F7" w14:paraId="245EE858" w14:textId="77777777" w:rsidTr="000A15C9">
        <w:trPr>
          <w:trHeight w:val="300"/>
          <w:jc w:val="center"/>
        </w:trPr>
        <w:tc>
          <w:tcPr>
            <w:tcW w:w="3640" w:type="dxa"/>
            <w:shd w:val="clear" w:color="auto" w:fill="B8CCE4"/>
            <w:noWrap/>
            <w:hideMark/>
          </w:tcPr>
          <w:p w14:paraId="1C7B4D2D" w14:textId="4BA3AF52" w:rsidR="00D61FBD" w:rsidRPr="003633F7" w:rsidRDefault="00D61FBD" w:rsidP="000A15C9">
            <w:pPr>
              <w:spacing w:before="20" w:after="20" w:line="240" w:lineRule="auto"/>
              <w:jc w:val="left"/>
              <w:rPr>
                <w:rFonts w:asciiTheme="minorHAnsi" w:eastAsia="Times New Roman" w:hAnsiTheme="minorHAnsi" w:cstheme="minorHAnsi"/>
                <w:b/>
                <w:bCs/>
                <w:color w:val="000000"/>
                <w:sz w:val="22"/>
              </w:rPr>
            </w:pPr>
            <w:r w:rsidRPr="003633F7">
              <w:rPr>
                <w:rFonts w:asciiTheme="minorHAnsi" w:eastAsia="Times New Roman" w:hAnsiTheme="minorHAnsi" w:cstheme="minorHAnsi"/>
                <w:b/>
                <w:bCs/>
                <w:color w:val="000000"/>
                <w:sz w:val="22"/>
              </w:rPr>
              <w:t xml:space="preserve">Productivity </w:t>
            </w:r>
            <w:r w:rsidR="000A15C9" w:rsidRPr="003633F7">
              <w:rPr>
                <w:rFonts w:asciiTheme="minorHAnsi" w:eastAsia="Times New Roman" w:hAnsiTheme="minorHAnsi" w:cstheme="minorHAnsi"/>
                <w:b/>
                <w:bCs/>
                <w:color w:val="000000"/>
                <w:sz w:val="22"/>
              </w:rPr>
              <w:t>shocks</w:t>
            </w:r>
          </w:p>
        </w:tc>
        <w:tc>
          <w:tcPr>
            <w:tcW w:w="1230" w:type="dxa"/>
            <w:noWrap/>
            <w:hideMark/>
          </w:tcPr>
          <w:p w14:paraId="414C6D39" w14:textId="77777777" w:rsidR="00D61FBD" w:rsidRPr="003633F7" w:rsidRDefault="00D61FBD"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Optimistic</w:t>
            </w:r>
          </w:p>
        </w:tc>
        <w:tc>
          <w:tcPr>
            <w:tcW w:w="1297" w:type="dxa"/>
            <w:noWrap/>
            <w:hideMark/>
          </w:tcPr>
          <w:p w14:paraId="2C070531" w14:textId="77777777" w:rsidR="00D61FBD" w:rsidRPr="003633F7" w:rsidRDefault="00D61FBD"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Pessimistic</w:t>
            </w:r>
          </w:p>
        </w:tc>
      </w:tr>
      <w:tr w:rsidR="00D61FBD" w:rsidRPr="003633F7" w14:paraId="7BEE2812" w14:textId="77777777" w:rsidTr="000A15C9">
        <w:trPr>
          <w:trHeight w:val="300"/>
          <w:jc w:val="center"/>
        </w:trPr>
        <w:tc>
          <w:tcPr>
            <w:tcW w:w="3640" w:type="dxa"/>
            <w:shd w:val="clear" w:color="auto" w:fill="B8CCE4"/>
            <w:noWrap/>
            <w:hideMark/>
          </w:tcPr>
          <w:p w14:paraId="68042CA4" w14:textId="77777777" w:rsidR="00D61FBD" w:rsidRPr="003633F7" w:rsidRDefault="00D61FBD" w:rsidP="000A15C9">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aoall("pdr","Bulgaria")</w:t>
            </w:r>
          </w:p>
        </w:tc>
        <w:tc>
          <w:tcPr>
            <w:tcW w:w="1230" w:type="dxa"/>
            <w:noWrap/>
            <w:hideMark/>
          </w:tcPr>
          <w:p w14:paraId="03318405" w14:textId="10DC14C9"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1.0251</w:t>
            </w:r>
          </w:p>
        </w:tc>
        <w:tc>
          <w:tcPr>
            <w:tcW w:w="1297" w:type="dxa"/>
            <w:noWrap/>
            <w:hideMark/>
          </w:tcPr>
          <w:p w14:paraId="1DA271A2" w14:textId="78469FD0"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7.0953</w:t>
            </w:r>
          </w:p>
        </w:tc>
      </w:tr>
      <w:tr w:rsidR="00D61FBD" w:rsidRPr="003633F7" w14:paraId="28BE9C6E" w14:textId="77777777" w:rsidTr="000A15C9">
        <w:trPr>
          <w:trHeight w:val="300"/>
          <w:jc w:val="center"/>
        </w:trPr>
        <w:tc>
          <w:tcPr>
            <w:tcW w:w="3640" w:type="dxa"/>
            <w:shd w:val="clear" w:color="auto" w:fill="B8CCE4"/>
            <w:noWrap/>
            <w:hideMark/>
          </w:tcPr>
          <w:p w14:paraId="7A8431AC" w14:textId="77777777" w:rsidR="00D61FBD" w:rsidRPr="003633F7" w:rsidRDefault="00D61FBD" w:rsidP="000A15C9">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aoall("wht","Bulgaria")</w:t>
            </w:r>
          </w:p>
        </w:tc>
        <w:tc>
          <w:tcPr>
            <w:tcW w:w="1230" w:type="dxa"/>
            <w:noWrap/>
            <w:hideMark/>
          </w:tcPr>
          <w:p w14:paraId="3C728C7E" w14:textId="44A96944"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2.05355</w:t>
            </w:r>
          </w:p>
        </w:tc>
        <w:tc>
          <w:tcPr>
            <w:tcW w:w="1297" w:type="dxa"/>
            <w:noWrap/>
            <w:hideMark/>
          </w:tcPr>
          <w:p w14:paraId="1184A51A" w14:textId="557F006B"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6.4119</w:t>
            </w:r>
          </w:p>
        </w:tc>
      </w:tr>
      <w:tr w:rsidR="00D61FBD" w:rsidRPr="003633F7" w14:paraId="4610A883" w14:textId="77777777" w:rsidTr="000A15C9">
        <w:trPr>
          <w:trHeight w:val="300"/>
          <w:jc w:val="center"/>
        </w:trPr>
        <w:tc>
          <w:tcPr>
            <w:tcW w:w="3640" w:type="dxa"/>
            <w:shd w:val="clear" w:color="auto" w:fill="B8CCE4"/>
            <w:noWrap/>
            <w:hideMark/>
          </w:tcPr>
          <w:p w14:paraId="3383F477" w14:textId="77777777" w:rsidR="00D61FBD" w:rsidRPr="003633F7" w:rsidRDefault="00D61FBD" w:rsidP="000A15C9">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aoall("gro","Bulgaria")</w:t>
            </w:r>
          </w:p>
        </w:tc>
        <w:tc>
          <w:tcPr>
            <w:tcW w:w="1230" w:type="dxa"/>
            <w:noWrap/>
            <w:hideMark/>
          </w:tcPr>
          <w:p w14:paraId="68463E2A" w14:textId="62F4299C"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0.90115</w:t>
            </w:r>
          </w:p>
        </w:tc>
        <w:tc>
          <w:tcPr>
            <w:tcW w:w="1297" w:type="dxa"/>
            <w:noWrap/>
            <w:hideMark/>
          </w:tcPr>
          <w:p w14:paraId="69CBAF4A" w14:textId="602E0C02"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6.72345</w:t>
            </w:r>
          </w:p>
        </w:tc>
      </w:tr>
      <w:tr w:rsidR="00D61FBD" w:rsidRPr="003633F7" w14:paraId="5AEC59FC" w14:textId="77777777" w:rsidTr="000A15C9">
        <w:trPr>
          <w:trHeight w:val="300"/>
          <w:jc w:val="center"/>
        </w:trPr>
        <w:tc>
          <w:tcPr>
            <w:tcW w:w="3640" w:type="dxa"/>
            <w:shd w:val="clear" w:color="auto" w:fill="B8CCE4"/>
            <w:noWrap/>
            <w:hideMark/>
          </w:tcPr>
          <w:p w14:paraId="081D8262" w14:textId="7C92DC10" w:rsidR="00D61FBD" w:rsidRPr="003633F7" w:rsidRDefault="00D61FBD" w:rsidP="000A15C9">
            <w:pPr>
              <w:spacing w:before="20" w:after="20" w:line="240" w:lineRule="auto"/>
              <w:jc w:val="left"/>
              <w:rPr>
                <w:rFonts w:asciiTheme="minorHAnsi" w:eastAsia="Times New Roman" w:hAnsiTheme="minorHAnsi" w:cstheme="minorHAnsi"/>
                <w:b/>
                <w:bCs/>
                <w:color w:val="000000"/>
                <w:sz w:val="22"/>
              </w:rPr>
            </w:pPr>
            <w:r w:rsidRPr="003633F7">
              <w:rPr>
                <w:rFonts w:asciiTheme="minorHAnsi" w:eastAsia="Times New Roman" w:hAnsiTheme="minorHAnsi" w:cstheme="minorHAnsi"/>
                <w:b/>
                <w:bCs/>
                <w:color w:val="000000"/>
                <w:sz w:val="22"/>
              </w:rPr>
              <w:t xml:space="preserve">Energy </w:t>
            </w:r>
            <w:r w:rsidR="000A15C9" w:rsidRPr="003633F7">
              <w:rPr>
                <w:rFonts w:asciiTheme="minorHAnsi" w:eastAsia="Times New Roman" w:hAnsiTheme="minorHAnsi" w:cstheme="minorHAnsi"/>
                <w:b/>
                <w:bCs/>
                <w:color w:val="000000"/>
                <w:sz w:val="22"/>
              </w:rPr>
              <w:t>demand shocks</w:t>
            </w:r>
          </w:p>
        </w:tc>
        <w:tc>
          <w:tcPr>
            <w:tcW w:w="1230" w:type="dxa"/>
            <w:noWrap/>
            <w:hideMark/>
          </w:tcPr>
          <w:p w14:paraId="6F1FA671" w14:textId="77777777" w:rsidR="00D61FBD" w:rsidRPr="003633F7" w:rsidRDefault="00D61FBD" w:rsidP="000A15C9">
            <w:pPr>
              <w:spacing w:before="20" w:after="20" w:line="240" w:lineRule="auto"/>
              <w:jc w:val="center"/>
              <w:rPr>
                <w:rFonts w:asciiTheme="minorHAnsi" w:eastAsia="Times New Roman" w:hAnsiTheme="minorHAnsi" w:cstheme="minorHAnsi"/>
                <w:b/>
                <w:bCs/>
                <w:color w:val="000000"/>
                <w:sz w:val="22"/>
              </w:rPr>
            </w:pPr>
          </w:p>
        </w:tc>
        <w:tc>
          <w:tcPr>
            <w:tcW w:w="1297" w:type="dxa"/>
            <w:noWrap/>
            <w:hideMark/>
          </w:tcPr>
          <w:p w14:paraId="2C4129C6" w14:textId="77777777" w:rsidR="00D61FBD" w:rsidRPr="003633F7" w:rsidRDefault="00D61FBD" w:rsidP="000A15C9">
            <w:pPr>
              <w:spacing w:before="20" w:after="20" w:line="240" w:lineRule="auto"/>
              <w:jc w:val="center"/>
              <w:rPr>
                <w:rFonts w:asciiTheme="minorHAnsi" w:eastAsia="Times New Roman" w:hAnsiTheme="minorHAnsi" w:cstheme="minorHAnsi"/>
                <w:sz w:val="22"/>
              </w:rPr>
            </w:pPr>
          </w:p>
        </w:tc>
      </w:tr>
      <w:tr w:rsidR="00D61FBD" w:rsidRPr="003633F7" w14:paraId="60B049E0" w14:textId="77777777" w:rsidTr="000A15C9">
        <w:trPr>
          <w:trHeight w:val="300"/>
          <w:jc w:val="center"/>
        </w:trPr>
        <w:tc>
          <w:tcPr>
            <w:tcW w:w="3640" w:type="dxa"/>
            <w:shd w:val="clear" w:color="auto" w:fill="B8CCE4"/>
            <w:noWrap/>
            <w:hideMark/>
          </w:tcPr>
          <w:p w14:paraId="3844F635" w14:textId="77777777" w:rsidR="00D61FBD" w:rsidRPr="003633F7" w:rsidRDefault="00D61FBD" w:rsidP="000A15C9">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 xml:space="preserve">aoall("ely","Bulgaria") </w:t>
            </w:r>
          </w:p>
        </w:tc>
        <w:tc>
          <w:tcPr>
            <w:tcW w:w="1230" w:type="dxa"/>
            <w:noWrap/>
            <w:hideMark/>
          </w:tcPr>
          <w:p w14:paraId="48A62B0A" w14:textId="466529A9"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0.0335</w:t>
            </w:r>
          </w:p>
        </w:tc>
        <w:tc>
          <w:tcPr>
            <w:tcW w:w="1297" w:type="dxa"/>
            <w:noWrap/>
            <w:hideMark/>
          </w:tcPr>
          <w:p w14:paraId="29CE0C08" w14:textId="21B173CA"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0.1809</w:t>
            </w:r>
          </w:p>
        </w:tc>
      </w:tr>
      <w:tr w:rsidR="00D61FBD" w:rsidRPr="003633F7" w14:paraId="3F040F9B" w14:textId="77777777" w:rsidTr="000A15C9">
        <w:trPr>
          <w:trHeight w:val="300"/>
          <w:jc w:val="center"/>
        </w:trPr>
        <w:tc>
          <w:tcPr>
            <w:tcW w:w="3640" w:type="dxa"/>
            <w:shd w:val="clear" w:color="auto" w:fill="B8CCE4"/>
            <w:noWrap/>
            <w:hideMark/>
          </w:tcPr>
          <w:p w14:paraId="660EEE57" w14:textId="77777777" w:rsidR="00D61FBD" w:rsidRPr="003633F7" w:rsidRDefault="00D61FBD" w:rsidP="000A15C9">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 xml:space="preserve">aoall("gas","Bulgaria") </w:t>
            </w:r>
          </w:p>
        </w:tc>
        <w:tc>
          <w:tcPr>
            <w:tcW w:w="1230" w:type="dxa"/>
            <w:noWrap/>
            <w:hideMark/>
          </w:tcPr>
          <w:p w14:paraId="65DA62E2" w14:textId="1539DF65"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0.0335</w:t>
            </w:r>
          </w:p>
        </w:tc>
        <w:tc>
          <w:tcPr>
            <w:tcW w:w="1297" w:type="dxa"/>
            <w:noWrap/>
            <w:hideMark/>
          </w:tcPr>
          <w:p w14:paraId="06106BCB" w14:textId="1F90033D"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0.1608</w:t>
            </w:r>
          </w:p>
        </w:tc>
      </w:tr>
      <w:tr w:rsidR="00D61FBD" w:rsidRPr="003633F7" w14:paraId="6B42F7D6" w14:textId="77777777" w:rsidTr="000A15C9">
        <w:trPr>
          <w:trHeight w:val="300"/>
          <w:jc w:val="center"/>
        </w:trPr>
        <w:tc>
          <w:tcPr>
            <w:tcW w:w="3640" w:type="dxa"/>
            <w:shd w:val="clear" w:color="auto" w:fill="B8CCE4"/>
            <w:noWrap/>
            <w:hideMark/>
          </w:tcPr>
          <w:p w14:paraId="19D78461" w14:textId="4A03AF92" w:rsidR="00D61FBD" w:rsidRPr="003633F7" w:rsidRDefault="00D61FBD" w:rsidP="000A15C9">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aoall("p_c","Bulgaria")</w:t>
            </w:r>
            <w:r w:rsidR="00CB62AC" w:rsidRPr="003633F7">
              <w:rPr>
                <w:rFonts w:asciiTheme="minorHAnsi" w:eastAsia="Times New Roman" w:hAnsiTheme="minorHAnsi" w:cstheme="minorHAnsi"/>
                <w:color w:val="000000"/>
                <w:sz w:val="22"/>
              </w:rPr>
              <w:t xml:space="preserve"> </w:t>
            </w:r>
          </w:p>
        </w:tc>
        <w:tc>
          <w:tcPr>
            <w:tcW w:w="1230" w:type="dxa"/>
            <w:noWrap/>
            <w:hideMark/>
          </w:tcPr>
          <w:p w14:paraId="7BFE3342" w14:textId="15BF15C3"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3.4505</w:t>
            </w:r>
          </w:p>
        </w:tc>
        <w:tc>
          <w:tcPr>
            <w:tcW w:w="1297" w:type="dxa"/>
            <w:noWrap/>
            <w:hideMark/>
          </w:tcPr>
          <w:p w14:paraId="620169C1" w14:textId="78A2E61C"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19.9593</w:t>
            </w:r>
          </w:p>
        </w:tc>
      </w:tr>
      <w:tr w:rsidR="00D61FBD" w:rsidRPr="003633F7" w14:paraId="279BEA28" w14:textId="77777777" w:rsidTr="000A15C9">
        <w:trPr>
          <w:trHeight w:val="300"/>
          <w:jc w:val="center"/>
        </w:trPr>
        <w:tc>
          <w:tcPr>
            <w:tcW w:w="3640" w:type="dxa"/>
            <w:shd w:val="clear" w:color="auto" w:fill="B8CCE4"/>
            <w:noWrap/>
            <w:hideMark/>
          </w:tcPr>
          <w:p w14:paraId="032ACE13" w14:textId="49851303" w:rsidR="00D61FBD" w:rsidRPr="003633F7" w:rsidRDefault="00C365E7" w:rsidP="000A15C9">
            <w:pPr>
              <w:spacing w:before="20" w:after="20" w:line="240" w:lineRule="auto"/>
              <w:jc w:val="left"/>
              <w:rPr>
                <w:rFonts w:asciiTheme="minorHAnsi" w:eastAsia="Times New Roman" w:hAnsiTheme="minorHAnsi" w:cstheme="minorHAnsi"/>
                <w:b/>
                <w:bCs/>
                <w:color w:val="000000"/>
                <w:sz w:val="22"/>
              </w:rPr>
            </w:pPr>
            <w:r w:rsidRPr="003633F7">
              <w:rPr>
                <w:rFonts w:asciiTheme="minorHAnsi" w:eastAsia="Times New Roman" w:hAnsiTheme="minorHAnsi" w:cstheme="minorHAnsi"/>
                <w:b/>
                <w:bCs/>
                <w:color w:val="000000"/>
                <w:sz w:val="22"/>
              </w:rPr>
              <w:t xml:space="preserve">SLR </w:t>
            </w:r>
            <w:r w:rsidR="00D61FBD" w:rsidRPr="003633F7">
              <w:rPr>
                <w:rFonts w:asciiTheme="minorHAnsi" w:eastAsia="Times New Roman" w:hAnsiTheme="minorHAnsi" w:cstheme="minorHAnsi"/>
                <w:b/>
                <w:bCs/>
                <w:color w:val="000000"/>
                <w:sz w:val="22"/>
              </w:rPr>
              <w:t>shocks</w:t>
            </w:r>
          </w:p>
        </w:tc>
        <w:tc>
          <w:tcPr>
            <w:tcW w:w="1230" w:type="dxa"/>
            <w:noWrap/>
            <w:hideMark/>
          </w:tcPr>
          <w:p w14:paraId="1C304FCC" w14:textId="77777777" w:rsidR="00D61FBD" w:rsidRPr="003633F7" w:rsidRDefault="00D61FBD" w:rsidP="000A15C9">
            <w:pPr>
              <w:spacing w:before="20" w:after="20" w:line="240" w:lineRule="auto"/>
              <w:jc w:val="center"/>
              <w:rPr>
                <w:rFonts w:asciiTheme="minorHAnsi" w:eastAsia="Times New Roman" w:hAnsiTheme="minorHAnsi" w:cstheme="minorHAnsi"/>
                <w:color w:val="000000"/>
                <w:sz w:val="22"/>
              </w:rPr>
            </w:pPr>
          </w:p>
        </w:tc>
        <w:tc>
          <w:tcPr>
            <w:tcW w:w="1297" w:type="dxa"/>
            <w:noWrap/>
            <w:hideMark/>
          </w:tcPr>
          <w:p w14:paraId="047214FD" w14:textId="77777777" w:rsidR="00D61FBD" w:rsidRPr="003633F7" w:rsidRDefault="00D61FBD" w:rsidP="000A15C9">
            <w:pPr>
              <w:spacing w:before="20" w:after="20" w:line="240" w:lineRule="auto"/>
              <w:jc w:val="center"/>
              <w:rPr>
                <w:rFonts w:asciiTheme="minorHAnsi" w:eastAsia="Times New Roman" w:hAnsiTheme="minorHAnsi" w:cstheme="minorHAnsi"/>
                <w:sz w:val="22"/>
              </w:rPr>
            </w:pPr>
          </w:p>
        </w:tc>
      </w:tr>
      <w:tr w:rsidR="00D61FBD" w:rsidRPr="003633F7" w14:paraId="5BA893B2" w14:textId="77777777" w:rsidTr="000A15C9">
        <w:trPr>
          <w:trHeight w:val="300"/>
          <w:jc w:val="center"/>
        </w:trPr>
        <w:tc>
          <w:tcPr>
            <w:tcW w:w="3640" w:type="dxa"/>
            <w:shd w:val="clear" w:color="auto" w:fill="B8CCE4"/>
            <w:noWrap/>
            <w:hideMark/>
          </w:tcPr>
          <w:p w14:paraId="2372B582" w14:textId="77777777" w:rsidR="00D61FBD" w:rsidRPr="003633F7" w:rsidRDefault="00D61FBD" w:rsidP="000A15C9">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qo(ENDWS_COMM,"Bulgaria")</w:t>
            </w:r>
          </w:p>
        </w:tc>
        <w:tc>
          <w:tcPr>
            <w:tcW w:w="1230" w:type="dxa"/>
            <w:noWrap/>
            <w:hideMark/>
          </w:tcPr>
          <w:p w14:paraId="02A9FFD1" w14:textId="5468B4B5"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0.000134</w:t>
            </w:r>
          </w:p>
        </w:tc>
        <w:tc>
          <w:tcPr>
            <w:tcW w:w="1297" w:type="dxa"/>
            <w:noWrap/>
            <w:hideMark/>
          </w:tcPr>
          <w:p w14:paraId="4EC7A242" w14:textId="1DCF752B"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0.00074</w:t>
            </w:r>
          </w:p>
        </w:tc>
      </w:tr>
      <w:tr w:rsidR="00D61FBD" w:rsidRPr="003633F7" w14:paraId="4CA6203A" w14:textId="77777777" w:rsidTr="000A15C9">
        <w:trPr>
          <w:trHeight w:val="300"/>
          <w:jc w:val="center"/>
        </w:trPr>
        <w:tc>
          <w:tcPr>
            <w:tcW w:w="3640" w:type="dxa"/>
            <w:shd w:val="clear" w:color="auto" w:fill="B8CCE4"/>
            <w:noWrap/>
            <w:hideMark/>
          </w:tcPr>
          <w:p w14:paraId="6D36FCB6" w14:textId="11EAC294" w:rsidR="00D61FBD" w:rsidRPr="003633F7" w:rsidRDefault="00D61FBD" w:rsidP="000A15C9">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qo("Capital","Bulgaria")</w:t>
            </w:r>
          </w:p>
        </w:tc>
        <w:tc>
          <w:tcPr>
            <w:tcW w:w="1230" w:type="dxa"/>
            <w:noWrap/>
            <w:hideMark/>
          </w:tcPr>
          <w:p w14:paraId="7189C547" w14:textId="00ED9F9A"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0.000134</w:t>
            </w:r>
          </w:p>
        </w:tc>
        <w:tc>
          <w:tcPr>
            <w:tcW w:w="1297" w:type="dxa"/>
            <w:noWrap/>
            <w:hideMark/>
          </w:tcPr>
          <w:p w14:paraId="4D623C0A" w14:textId="5BEBF3B4" w:rsidR="00D61FBD" w:rsidRPr="003633F7" w:rsidRDefault="000A15C9"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t>
            </w:r>
            <w:r w:rsidR="00D61FBD" w:rsidRPr="003633F7">
              <w:rPr>
                <w:rFonts w:asciiTheme="minorHAnsi" w:eastAsia="Times New Roman" w:hAnsiTheme="minorHAnsi" w:cstheme="minorHAnsi"/>
                <w:color w:val="000000"/>
                <w:sz w:val="22"/>
              </w:rPr>
              <w:t>0.00074</w:t>
            </w:r>
          </w:p>
        </w:tc>
      </w:tr>
      <w:tr w:rsidR="00D61FBD" w:rsidRPr="003633F7" w14:paraId="00B1B1A8" w14:textId="77777777" w:rsidTr="000A15C9">
        <w:trPr>
          <w:trHeight w:val="300"/>
          <w:jc w:val="center"/>
        </w:trPr>
        <w:tc>
          <w:tcPr>
            <w:tcW w:w="3640" w:type="dxa"/>
            <w:shd w:val="clear" w:color="auto" w:fill="B8CCE4"/>
            <w:noWrap/>
            <w:hideMark/>
          </w:tcPr>
          <w:p w14:paraId="1C2F2DAF" w14:textId="77777777" w:rsidR="00D61FBD" w:rsidRPr="003633F7" w:rsidRDefault="00D61FBD" w:rsidP="000A15C9">
            <w:pPr>
              <w:spacing w:before="20" w:after="20" w:line="240" w:lineRule="auto"/>
              <w:jc w:val="left"/>
              <w:rPr>
                <w:rFonts w:asciiTheme="minorHAnsi" w:eastAsia="Times New Roman" w:hAnsiTheme="minorHAnsi" w:cstheme="minorHAnsi"/>
                <w:b/>
                <w:bCs/>
                <w:color w:val="000000"/>
                <w:sz w:val="22"/>
              </w:rPr>
            </w:pPr>
            <w:r w:rsidRPr="003633F7">
              <w:rPr>
                <w:rFonts w:asciiTheme="minorHAnsi" w:eastAsia="Times New Roman" w:hAnsiTheme="minorHAnsi" w:cstheme="minorHAnsi"/>
                <w:b/>
                <w:bCs/>
                <w:color w:val="000000"/>
                <w:sz w:val="22"/>
              </w:rPr>
              <w:t>Tourism Shocks</w:t>
            </w:r>
          </w:p>
        </w:tc>
        <w:tc>
          <w:tcPr>
            <w:tcW w:w="1230" w:type="dxa"/>
            <w:noWrap/>
            <w:hideMark/>
          </w:tcPr>
          <w:p w14:paraId="58F85988" w14:textId="77777777" w:rsidR="00D61FBD" w:rsidRPr="003633F7" w:rsidRDefault="00D61FBD" w:rsidP="000A15C9">
            <w:pPr>
              <w:spacing w:before="20" w:after="20" w:line="240" w:lineRule="auto"/>
              <w:jc w:val="center"/>
              <w:rPr>
                <w:rFonts w:asciiTheme="minorHAnsi" w:eastAsia="Times New Roman" w:hAnsiTheme="minorHAnsi" w:cstheme="minorHAnsi"/>
                <w:b/>
                <w:bCs/>
                <w:color w:val="000000"/>
                <w:sz w:val="22"/>
              </w:rPr>
            </w:pPr>
          </w:p>
        </w:tc>
        <w:tc>
          <w:tcPr>
            <w:tcW w:w="1297" w:type="dxa"/>
            <w:noWrap/>
            <w:hideMark/>
          </w:tcPr>
          <w:p w14:paraId="4A8F90C5" w14:textId="77777777" w:rsidR="00D61FBD" w:rsidRPr="003633F7" w:rsidRDefault="00D61FBD" w:rsidP="000A15C9">
            <w:pPr>
              <w:spacing w:before="20" w:after="20" w:line="240" w:lineRule="auto"/>
              <w:jc w:val="center"/>
              <w:rPr>
                <w:rFonts w:asciiTheme="minorHAnsi" w:eastAsia="Times New Roman" w:hAnsiTheme="minorHAnsi" w:cstheme="minorHAnsi"/>
                <w:sz w:val="22"/>
              </w:rPr>
            </w:pPr>
          </w:p>
        </w:tc>
      </w:tr>
      <w:tr w:rsidR="00D61FBD" w:rsidRPr="003633F7" w14:paraId="588863E3" w14:textId="77777777" w:rsidTr="000A15C9">
        <w:trPr>
          <w:trHeight w:val="300"/>
          <w:jc w:val="center"/>
        </w:trPr>
        <w:tc>
          <w:tcPr>
            <w:tcW w:w="3640" w:type="dxa"/>
            <w:shd w:val="clear" w:color="auto" w:fill="B8CCE4"/>
            <w:noWrap/>
            <w:hideMark/>
          </w:tcPr>
          <w:p w14:paraId="3BF93693" w14:textId="77777777" w:rsidR="00D61FBD" w:rsidRPr="003633F7" w:rsidRDefault="00D61FBD" w:rsidP="000A15C9">
            <w:pPr>
              <w:spacing w:before="20" w:after="20" w:line="240" w:lineRule="auto"/>
              <w:jc w:val="left"/>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 xml:space="preserve">qpd("ros","Bulgaria") </w:t>
            </w:r>
          </w:p>
        </w:tc>
        <w:tc>
          <w:tcPr>
            <w:tcW w:w="1230" w:type="dxa"/>
            <w:noWrap/>
            <w:hideMark/>
          </w:tcPr>
          <w:p w14:paraId="62AF7640" w14:textId="77777777" w:rsidR="00D61FBD" w:rsidRPr="003633F7" w:rsidRDefault="00D61FBD"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0.11926</w:t>
            </w:r>
          </w:p>
        </w:tc>
        <w:tc>
          <w:tcPr>
            <w:tcW w:w="1297" w:type="dxa"/>
            <w:noWrap/>
            <w:hideMark/>
          </w:tcPr>
          <w:p w14:paraId="00585A2F" w14:textId="77777777" w:rsidR="00D61FBD" w:rsidRPr="003633F7" w:rsidRDefault="00D61FBD" w:rsidP="000A15C9">
            <w:pPr>
              <w:spacing w:before="20" w:after="20" w:line="240" w:lineRule="auto"/>
              <w:jc w:val="center"/>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0.71556</w:t>
            </w:r>
          </w:p>
        </w:tc>
      </w:tr>
    </w:tbl>
    <w:p w14:paraId="036CD8C2" w14:textId="308CE42D" w:rsidR="00D61FBD" w:rsidRPr="001C3EDC" w:rsidRDefault="00D61FBD" w:rsidP="00724F7C">
      <w:pPr>
        <w:pStyle w:val="Source"/>
      </w:pPr>
      <w:r w:rsidRPr="001C3EDC">
        <w:t>Source: Based on Roson and Sartori 2016 and Berrittella et al</w:t>
      </w:r>
      <w:r w:rsidR="005E4694" w:rsidRPr="001C3EDC">
        <w:t>.</w:t>
      </w:r>
      <w:r w:rsidRPr="001C3EDC">
        <w:t xml:space="preserve"> 2004</w:t>
      </w:r>
      <w:r w:rsidR="00510922" w:rsidRPr="001C3EDC">
        <w:t>.</w:t>
      </w:r>
    </w:p>
    <w:p w14:paraId="662ED5C0" w14:textId="3BF39DF0" w:rsidR="00DF6F34" w:rsidRPr="001C3EDC" w:rsidRDefault="000A15C9" w:rsidP="004F7F4A">
      <w:pPr>
        <w:pStyle w:val="Caption"/>
        <w:spacing w:before="200"/>
        <w:rPr>
          <w:rFonts w:ascii="Calibri" w:hAnsi="Calibri"/>
          <w:i/>
          <w:color w:val="44546A"/>
          <w:sz w:val="22"/>
          <w:szCs w:val="18"/>
        </w:rPr>
      </w:pPr>
      <w:bookmarkStart w:id="165" w:name="_Toc522036525"/>
      <w:r w:rsidRPr="001C3EDC">
        <w:rPr>
          <w:rFonts w:ascii="Calibri" w:hAnsi="Calibri"/>
          <w:i/>
          <w:color w:val="44546A"/>
          <w:sz w:val="22"/>
          <w:szCs w:val="18"/>
        </w:rPr>
        <w:t>Table 1</w:t>
      </w:r>
      <w:r w:rsidR="00525C8B" w:rsidRPr="001C3EDC">
        <w:rPr>
          <w:rFonts w:ascii="Calibri" w:hAnsi="Calibri"/>
          <w:i/>
          <w:color w:val="44546A"/>
          <w:sz w:val="22"/>
          <w:szCs w:val="18"/>
        </w:rPr>
        <w:t>.</w:t>
      </w:r>
      <w:r w:rsidRPr="001C3EDC">
        <w:rPr>
          <w:rFonts w:ascii="Calibri" w:hAnsi="Calibri"/>
          <w:i/>
          <w:color w:val="44546A"/>
          <w:sz w:val="22"/>
          <w:szCs w:val="18"/>
        </w:rPr>
        <w:fldChar w:fldCharType="begin"/>
      </w:r>
      <w:r w:rsidRPr="001C3EDC">
        <w:rPr>
          <w:rFonts w:ascii="Calibri" w:hAnsi="Calibri"/>
          <w:i/>
          <w:color w:val="44546A"/>
          <w:sz w:val="22"/>
          <w:szCs w:val="18"/>
        </w:rPr>
        <w:instrText xml:space="preserve"> SEQ Table_1. \* ARABIC </w:instrText>
      </w:r>
      <w:r w:rsidRPr="001C3EDC">
        <w:rPr>
          <w:rFonts w:ascii="Calibri" w:hAnsi="Calibri"/>
          <w:i/>
          <w:color w:val="44546A"/>
          <w:sz w:val="22"/>
          <w:szCs w:val="18"/>
        </w:rPr>
        <w:fldChar w:fldCharType="separate"/>
      </w:r>
      <w:r w:rsidR="00F84F84">
        <w:rPr>
          <w:rFonts w:ascii="Calibri" w:hAnsi="Calibri"/>
          <w:i/>
          <w:noProof/>
          <w:color w:val="44546A"/>
          <w:sz w:val="22"/>
          <w:szCs w:val="18"/>
        </w:rPr>
        <w:t>4</w:t>
      </w:r>
      <w:r w:rsidRPr="001C3EDC">
        <w:rPr>
          <w:rFonts w:ascii="Calibri" w:hAnsi="Calibri"/>
          <w:i/>
          <w:color w:val="44546A"/>
          <w:sz w:val="22"/>
          <w:szCs w:val="18"/>
        </w:rPr>
        <w:fldChar w:fldCharType="end"/>
      </w:r>
      <w:r w:rsidRPr="001C3EDC">
        <w:rPr>
          <w:rFonts w:ascii="Calibri" w:hAnsi="Calibri"/>
          <w:i/>
          <w:color w:val="44546A"/>
          <w:sz w:val="22"/>
          <w:szCs w:val="18"/>
        </w:rPr>
        <w:t xml:space="preserve">. </w:t>
      </w:r>
      <w:r w:rsidR="00DF6F34" w:rsidRPr="001C3EDC">
        <w:rPr>
          <w:rFonts w:ascii="Calibri" w:hAnsi="Calibri"/>
          <w:i/>
          <w:color w:val="44546A"/>
          <w:sz w:val="22"/>
          <w:szCs w:val="18"/>
        </w:rPr>
        <w:t>Sector description</w:t>
      </w:r>
      <w:bookmarkEnd w:id="165"/>
    </w:p>
    <w:tbl>
      <w:tblPr>
        <w:tblStyle w:val="GridTable21"/>
        <w:tblW w:w="6189"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Description w:val="Sectors"/>
      </w:tblPr>
      <w:tblGrid>
        <w:gridCol w:w="1309"/>
        <w:gridCol w:w="4880"/>
      </w:tblGrid>
      <w:tr w:rsidR="000770AB" w:rsidRPr="003633F7" w14:paraId="688E4DEB" w14:textId="77777777" w:rsidTr="003633F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9" w:type="dxa"/>
            <w:tcBorders>
              <w:top w:val="none" w:sz="0" w:space="0" w:color="auto"/>
              <w:bottom w:val="none" w:sz="0" w:space="0" w:color="auto"/>
              <w:right w:val="none" w:sz="0" w:space="0" w:color="auto"/>
            </w:tcBorders>
            <w:shd w:val="clear" w:color="auto" w:fill="365F91"/>
            <w:noWrap/>
            <w:vAlign w:val="center"/>
          </w:tcPr>
          <w:p w14:paraId="300A21EA" w14:textId="381829A5" w:rsidR="000770AB" w:rsidRPr="003633F7" w:rsidRDefault="00DF6F34" w:rsidP="003633F7">
            <w:pPr>
              <w:spacing w:before="40" w:after="40" w:line="240" w:lineRule="auto"/>
              <w:jc w:val="center"/>
              <w:rPr>
                <w:rFonts w:asciiTheme="minorHAnsi" w:eastAsia="Times New Roman" w:hAnsiTheme="minorHAnsi" w:cstheme="minorHAnsi"/>
                <w:b w:val="0"/>
                <w:color w:val="FFFFFF" w:themeColor="background1"/>
                <w:sz w:val="22"/>
              </w:rPr>
            </w:pPr>
            <w:r w:rsidRPr="003633F7">
              <w:rPr>
                <w:rFonts w:asciiTheme="minorHAnsi" w:eastAsia="Times New Roman" w:hAnsiTheme="minorHAnsi" w:cstheme="minorHAnsi"/>
                <w:color w:val="FFFFFF" w:themeColor="background1"/>
                <w:sz w:val="22"/>
              </w:rPr>
              <w:t>Sho</w:t>
            </w:r>
            <w:r w:rsidR="002E1B15" w:rsidRPr="003633F7">
              <w:rPr>
                <w:rFonts w:asciiTheme="minorHAnsi" w:eastAsia="Times New Roman" w:hAnsiTheme="minorHAnsi" w:cstheme="minorHAnsi"/>
                <w:color w:val="FFFFFF" w:themeColor="background1"/>
                <w:sz w:val="22"/>
              </w:rPr>
              <w:t>r</w:t>
            </w:r>
            <w:r w:rsidRPr="003633F7">
              <w:rPr>
                <w:rFonts w:asciiTheme="minorHAnsi" w:eastAsia="Times New Roman" w:hAnsiTheme="minorHAnsi" w:cstheme="minorHAnsi"/>
                <w:color w:val="FFFFFF" w:themeColor="background1"/>
                <w:sz w:val="22"/>
              </w:rPr>
              <w:t>t name</w:t>
            </w:r>
          </w:p>
        </w:tc>
        <w:tc>
          <w:tcPr>
            <w:tcW w:w="0" w:type="dxa"/>
            <w:tcBorders>
              <w:top w:val="none" w:sz="0" w:space="0" w:color="auto"/>
              <w:left w:val="none" w:sz="0" w:space="0" w:color="auto"/>
              <w:bottom w:val="none" w:sz="0" w:space="0" w:color="auto"/>
            </w:tcBorders>
            <w:shd w:val="clear" w:color="auto" w:fill="365F91"/>
            <w:noWrap/>
            <w:vAlign w:val="center"/>
          </w:tcPr>
          <w:p w14:paraId="0FC3E0A8" w14:textId="7868F0F0" w:rsidR="000770AB" w:rsidRPr="003633F7" w:rsidRDefault="00DF6F34" w:rsidP="003633F7">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FFFF" w:themeColor="background1"/>
                <w:sz w:val="22"/>
              </w:rPr>
            </w:pPr>
            <w:r w:rsidRPr="003633F7">
              <w:rPr>
                <w:rFonts w:asciiTheme="minorHAnsi" w:eastAsia="Times New Roman" w:hAnsiTheme="minorHAnsi" w:cstheme="minorHAnsi"/>
                <w:color w:val="FFFFFF" w:themeColor="background1"/>
                <w:sz w:val="22"/>
              </w:rPr>
              <w:t xml:space="preserve">Long </w:t>
            </w:r>
            <w:r w:rsidR="000A15C9" w:rsidRPr="003633F7">
              <w:rPr>
                <w:rFonts w:asciiTheme="minorHAnsi" w:eastAsia="Times New Roman" w:hAnsiTheme="minorHAnsi" w:cstheme="minorHAnsi"/>
                <w:color w:val="FFFFFF" w:themeColor="background1"/>
                <w:sz w:val="22"/>
              </w:rPr>
              <w:t>name</w:t>
            </w:r>
          </w:p>
        </w:tc>
      </w:tr>
      <w:tr w:rsidR="00DF6F34" w:rsidRPr="003633F7" w14:paraId="67AF46F1" w14:textId="77777777" w:rsidTr="002E1B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B8CCE4"/>
            <w:noWrap/>
            <w:hideMark/>
          </w:tcPr>
          <w:p w14:paraId="2885A56F" w14:textId="77777777" w:rsidR="000770AB" w:rsidRPr="003633F7" w:rsidRDefault="000770AB" w:rsidP="002E1B15">
            <w:pPr>
              <w:spacing w:before="20" w:after="20" w:line="240" w:lineRule="auto"/>
              <w:jc w:val="left"/>
              <w:rPr>
                <w:rFonts w:asciiTheme="minorHAnsi" w:eastAsia="Times New Roman" w:hAnsiTheme="minorHAnsi" w:cstheme="minorHAnsi"/>
                <w:b w:val="0"/>
                <w:color w:val="000000"/>
                <w:sz w:val="22"/>
              </w:rPr>
            </w:pPr>
            <w:r w:rsidRPr="003633F7">
              <w:rPr>
                <w:rFonts w:asciiTheme="minorHAnsi" w:eastAsia="Times New Roman" w:hAnsiTheme="minorHAnsi" w:cstheme="minorHAnsi"/>
                <w:color w:val="000000"/>
                <w:sz w:val="22"/>
              </w:rPr>
              <w:t>PDR</w:t>
            </w:r>
          </w:p>
        </w:tc>
        <w:tc>
          <w:tcPr>
            <w:tcW w:w="4880" w:type="dxa"/>
            <w:shd w:val="clear" w:color="auto" w:fill="F2F2F2" w:themeFill="background1" w:themeFillShade="F2"/>
            <w:noWrap/>
            <w:hideMark/>
          </w:tcPr>
          <w:p w14:paraId="2A2850C4" w14:textId="77777777" w:rsidR="000770AB" w:rsidRPr="003633F7" w:rsidRDefault="000770AB" w:rsidP="002E1B15">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Paddy rice</w:t>
            </w:r>
          </w:p>
        </w:tc>
      </w:tr>
      <w:tr w:rsidR="000770AB" w:rsidRPr="003633F7" w14:paraId="29627B24" w14:textId="77777777" w:rsidTr="002E1B15">
        <w:trPr>
          <w:trHeight w:val="30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B8CCE4"/>
            <w:noWrap/>
            <w:hideMark/>
          </w:tcPr>
          <w:p w14:paraId="4A41804A" w14:textId="77777777" w:rsidR="000770AB" w:rsidRPr="003633F7" w:rsidRDefault="000770AB" w:rsidP="002E1B15">
            <w:pPr>
              <w:spacing w:before="20" w:after="20" w:line="240" w:lineRule="auto"/>
              <w:jc w:val="left"/>
              <w:rPr>
                <w:rFonts w:asciiTheme="minorHAnsi" w:eastAsia="Times New Roman" w:hAnsiTheme="minorHAnsi" w:cstheme="minorHAnsi"/>
                <w:b w:val="0"/>
                <w:color w:val="000000"/>
                <w:sz w:val="22"/>
              </w:rPr>
            </w:pPr>
            <w:r w:rsidRPr="003633F7">
              <w:rPr>
                <w:rFonts w:asciiTheme="minorHAnsi" w:eastAsia="Times New Roman" w:hAnsiTheme="minorHAnsi" w:cstheme="minorHAnsi"/>
                <w:color w:val="000000"/>
                <w:sz w:val="22"/>
              </w:rPr>
              <w:t>WHT</w:t>
            </w:r>
          </w:p>
        </w:tc>
        <w:tc>
          <w:tcPr>
            <w:tcW w:w="0" w:type="dxa"/>
            <w:shd w:val="clear" w:color="auto" w:fill="auto"/>
            <w:noWrap/>
            <w:hideMark/>
          </w:tcPr>
          <w:p w14:paraId="4DE37092" w14:textId="77777777" w:rsidR="000770AB" w:rsidRPr="003633F7" w:rsidRDefault="000770AB" w:rsidP="002E1B15">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Wheat</w:t>
            </w:r>
          </w:p>
        </w:tc>
      </w:tr>
      <w:tr w:rsidR="000770AB" w:rsidRPr="003633F7" w14:paraId="77BC15FE" w14:textId="77777777" w:rsidTr="002E1B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B8CCE4"/>
            <w:noWrap/>
            <w:hideMark/>
          </w:tcPr>
          <w:p w14:paraId="421ACF59" w14:textId="77777777" w:rsidR="000770AB" w:rsidRPr="003633F7" w:rsidRDefault="000770AB" w:rsidP="002E1B15">
            <w:pPr>
              <w:spacing w:before="20" w:after="20" w:line="240" w:lineRule="auto"/>
              <w:jc w:val="left"/>
              <w:rPr>
                <w:rFonts w:asciiTheme="minorHAnsi" w:eastAsia="Times New Roman" w:hAnsiTheme="minorHAnsi" w:cstheme="minorHAnsi"/>
                <w:b w:val="0"/>
                <w:color w:val="000000"/>
                <w:sz w:val="22"/>
              </w:rPr>
            </w:pPr>
            <w:r w:rsidRPr="003633F7">
              <w:rPr>
                <w:rFonts w:asciiTheme="minorHAnsi" w:eastAsia="Times New Roman" w:hAnsiTheme="minorHAnsi" w:cstheme="minorHAnsi"/>
                <w:color w:val="000000"/>
                <w:sz w:val="22"/>
              </w:rPr>
              <w:t>GRO</w:t>
            </w:r>
          </w:p>
        </w:tc>
        <w:tc>
          <w:tcPr>
            <w:tcW w:w="0" w:type="dxa"/>
            <w:shd w:val="clear" w:color="auto" w:fill="F2F2F2" w:themeFill="background1" w:themeFillShade="F2"/>
            <w:noWrap/>
            <w:hideMark/>
          </w:tcPr>
          <w:p w14:paraId="199156D0" w14:textId="77777777" w:rsidR="000770AB" w:rsidRPr="003633F7" w:rsidRDefault="000770AB" w:rsidP="002E1B15">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Cereal grains nec</w:t>
            </w:r>
          </w:p>
        </w:tc>
      </w:tr>
      <w:tr w:rsidR="000770AB" w:rsidRPr="003633F7" w14:paraId="54C229BC" w14:textId="77777777" w:rsidTr="002E1B15">
        <w:trPr>
          <w:trHeight w:val="30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B8CCE4"/>
            <w:noWrap/>
            <w:hideMark/>
          </w:tcPr>
          <w:p w14:paraId="05A4A677" w14:textId="77777777" w:rsidR="000770AB" w:rsidRPr="003633F7" w:rsidRDefault="000770AB" w:rsidP="002E1B15">
            <w:pPr>
              <w:spacing w:before="20" w:after="20" w:line="240" w:lineRule="auto"/>
              <w:jc w:val="left"/>
              <w:rPr>
                <w:rFonts w:asciiTheme="minorHAnsi" w:eastAsia="Times New Roman" w:hAnsiTheme="minorHAnsi" w:cstheme="minorHAnsi"/>
                <w:b w:val="0"/>
                <w:color w:val="000000"/>
                <w:sz w:val="22"/>
              </w:rPr>
            </w:pPr>
            <w:r w:rsidRPr="003633F7">
              <w:rPr>
                <w:rFonts w:asciiTheme="minorHAnsi" w:eastAsia="Times New Roman" w:hAnsiTheme="minorHAnsi" w:cstheme="minorHAnsi"/>
                <w:color w:val="000000"/>
                <w:sz w:val="22"/>
              </w:rPr>
              <w:t>V_F</w:t>
            </w:r>
          </w:p>
        </w:tc>
        <w:tc>
          <w:tcPr>
            <w:tcW w:w="0" w:type="dxa"/>
            <w:shd w:val="clear" w:color="auto" w:fill="auto"/>
            <w:noWrap/>
            <w:hideMark/>
          </w:tcPr>
          <w:p w14:paraId="1892DA01" w14:textId="77777777" w:rsidR="000770AB" w:rsidRPr="003633F7" w:rsidRDefault="000770AB" w:rsidP="002E1B15">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Vegetables, fruit, nuts</w:t>
            </w:r>
          </w:p>
        </w:tc>
      </w:tr>
      <w:tr w:rsidR="000770AB" w:rsidRPr="003633F7" w14:paraId="115D6FB5" w14:textId="77777777" w:rsidTr="002E1B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B8CCE4"/>
            <w:noWrap/>
            <w:hideMark/>
          </w:tcPr>
          <w:p w14:paraId="37C7F52D" w14:textId="77777777" w:rsidR="000770AB" w:rsidRPr="003633F7" w:rsidRDefault="000770AB" w:rsidP="002E1B15">
            <w:pPr>
              <w:spacing w:before="20" w:after="20" w:line="240" w:lineRule="auto"/>
              <w:jc w:val="left"/>
              <w:rPr>
                <w:rFonts w:asciiTheme="minorHAnsi" w:eastAsia="Times New Roman" w:hAnsiTheme="minorHAnsi" w:cstheme="minorHAnsi"/>
                <w:b w:val="0"/>
                <w:color w:val="000000"/>
                <w:sz w:val="22"/>
              </w:rPr>
            </w:pPr>
            <w:r w:rsidRPr="003633F7">
              <w:rPr>
                <w:rFonts w:asciiTheme="minorHAnsi" w:eastAsia="Times New Roman" w:hAnsiTheme="minorHAnsi" w:cstheme="minorHAnsi"/>
                <w:color w:val="000000"/>
                <w:sz w:val="22"/>
              </w:rPr>
              <w:t>OSD</w:t>
            </w:r>
          </w:p>
        </w:tc>
        <w:tc>
          <w:tcPr>
            <w:tcW w:w="0" w:type="dxa"/>
            <w:shd w:val="clear" w:color="auto" w:fill="F2F2F2" w:themeFill="background1" w:themeFillShade="F2"/>
            <w:noWrap/>
            <w:hideMark/>
          </w:tcPr>
          <w:p w14:paraId="0D159E0F" w14:textId="77777777" w:rsidR="000770AB" w:rsidRPr="003633F7" w:rsidRDefault="000770AB" w:rsidP="002E1B15">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Oil seeds</w:t>
            </w:r>
          </w:p>
        </w:tc>
      </w:tr>
      <w:tr w:rsidR="000770AB" w:rsidRPr="003633F7" w14:paraId="6C6F5DDE" w14:textId="77777777" w:rsidTr="002E1B15">
        <w:trPr>
          <w:trHeight w:val="30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B8CCE4"/>
            <w:noWrap/>
            <w:hideMark/>
          </w:tcPr>
          <w:p w14:paraId="48932674" w14:textId="77777777" w:rsidR="000770AB" w:rsidRPr="003633F7" w:rsidRDefault="000770AB" w:rsidP="002E1B15">
            <w:pPr>
              <w:spacing w:before="20" w:after="20" w:line="240" w:lineRule="auto"/>
              <w:jc w:val="left"/>
              <w:rPr>
                <w:rFonts w:asciiTheme="minorHAnsi" w:eastAsia="Times New Roman" w:hAnsiTheme="minorHAnsi" w:cstheme="minorHAnsi"/>
                <w:b w:val="0"/>
                <w:color w:val="000000"/>
                <w:sz w:val="22"/>
              </w:rPr>
            </w:pPr>
            <w:r w:rsidRPr="003633F7">
              <w:rPr>
                <w:rFonts w:asciiTheme="minorHAnsi" w:eastAsia="Times New Roman" w:hAnsiTheme="minorHAnsi" w:cstheme="minorHAnsi"/>
                <w:color w:val="000000"/>
                <w:sz w:val="22"/>
              </w:rPr>
              <w:t>C_B</w:t>
            </w:r>
          </w:p>
        </w:tc>
        <w:tc>
          <w:tcPr>
            <w:tcW w:w="0" w:type="dxa"/>
            <w:shd w:val="clear" w:color="auto" w:fill="auto"/>
            <w:noWrap/>
            <w:hideMark/>
          </w:tcPr>
          <w:p w14:paraId="503716B7" w14:textId="460F86A8" w:rsidR="000770AB" w:rsidRPr="003633F7" w:rsidRDefault="000154BD" w:rsidP="002E1B15">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Sugar</w:t>
            </w:r>
            <w:r w:rsidR="000770AB" w:rsidRPr="003633F7">
              <w:rPr>
                <w:rFonts w:asciiTheme="minorHAnsi" w:eastAsia="Times New Roman" w:hAnsiTheme="minorHAnsi" w:cstheme="minorHAnsi"/>
                <w:color w:val="000000"/>
                <w:sz w:val="22"/>
              </w:rPr>
              <w:t>cane, sugar beet</w:t>
            </w:r>
          </w:p>
        </w:tc>
      </w:tr>
      <w:tr w:rsidR="000770AB" w:rsidRPr="003633F7" w14:paraId="6DF95637" w14:textId="77777777" w:rsidTr="002E1B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B8CCE4"/>
            <w:noWrap/>
            <w:hideMark/>
          </w:tcPr>
          <w:p w14:paraId="0771035D" w14:textId="77777777" w:rsidR="000770AB" w:rsidRPr="003633F7" w:rsidRDefault="000770AB" w:rsidP="002E1B15">
            <w:pPr>
              <w:spacing w:before="20" w:after="20" w:line="240" w:lineRule="auto"/>
              <w:jc w:val="left"/>
              <w:rPr>
                <w:rFonts w:asciiTheme="minorHAnsi" w:eastAsia="Times New Roman" w:hAnsiTheme="minorHAnsi" w:cstheme="minorHAnsi"/>
                <w:b w:val="0"/>
                <w:color w:val="000000"/>
                <w:sz w:val="22"/>
              </w:rPr>
            </w:pPr>
            <w:r w:rsidRPr="003633F7">
              <w:rPr>
                <w:rFonts w:asciiTheme="minorHAnsi" w:eastAsia="Times New Roman" w:hAnsiTheme="minorHAnsi" w:cstheme="minorHAnsi"/>
                <w:color w:val="000000"/>
                <w:sz w:val="22"/>
              </w:rPr>
              <w:t>PFB</w:t>
            </w:r>
          </w:p>
        </w:tc>
        <w:tc>
          <w:tcPr>
            <w:tcW w:w="0" w:type="dxa"/>
            <w:shd w:val="clear" w:color="auto" w:fill="F2F2F2" w:themeFill="background1" w:themeFillShade="F2"/>
            <w:noWrap/>
            <w:hideMark/>
          </w:tcPr>
          <w:p w14:paraId="159AC80D" w14:textId="77777777" w:rsidR="000770AB" w:rsidRPr="003633F7" w:rsidRDefault="000770AB" w:rsidP="002E1B15">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Plant-based fibers</w:t>
            </w:r>
          </w:p>
        </w:tc>
      </w:tr>
      <w:tr w:rsidR="000770AB" w:rsidRPr="003633F7" w14:paraId="7A150029" w14:textId="77777777" w:rsidTr="002E1B15">
        <w:trPr>
          <w:trHeight w:val="30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B8CCE4"/>
            <w:noWrap/>
            <w:hideMark/>
          </w:tcPr>
          <w:p w14:paraId="116D5E5D" w14:textId="77777777" w:rsidR="000770AB" w:rsidRPr="003633F7" w:rsidRDefault="000770AB" w:rsidP="002E1B15">
            <w:pPr>
              <w:spacing w:before="20" w:after="20" w:line="240" w:lineRule="auto"/>
              <w:jc w:val="left"/>
              <w:rPr>
                <w:rFonts w:asciiTheme="minorHAnsi" w:eastAsia="Times New Roman" w:hAnsiTheme="minorHAnsi" w:cstheme="minorHAnsi"/>
                <w:b w:val="0"/>
                <w:color w:val="000000"/>
                <w:sz w:val="22"/>
              </w:rPr>
            </w:pPr>
            <w:r w:rsidRPr="003633F7">
              <w:rPr>
                <w:rFonts w:asciiTheme="minorHAnsi" w:eastAsia="Times New Roman" w:hAnsiTheme="minorHAnsi" w:cstheme="minorHAnsi"/>
                <w:color w:val="000000"/>
                <w:sz w:val="22"/>
              </w:rPr>
              <w:t>OCR</w:t>
            </w:r>
          </w:p>
        </w:tc>
        <w:tc>
          <w:tcPr>
            <w:tcW w:w="0" w:type="dxa"/>
            <w:shd w:val="clear" w:color="auto" w:fill="auto"/>
            <w:noWrap/>
            <w:hideMark/>
          </w:tcPr>
          <w:p w14:paraId="2BC9DC4B" w14:textId="77777777" w:rsidR="000770AB" w:rsidRPr="003633F7" w:rsidRDefault="000770AB" w:rsidP="002E1B15">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Crops nec</w:t>
            </w:r>
          </w:p>
        </w:tc>
      </w:tr>
      <w:tr w:rsidR="000770AB" w:rsidRPr="003633F7" w14:paraId="358422FE" w14:textId="77777777" w:rsidTr="002E1B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B8CCE4"/>
            <w:noWrap/>
            <w:hideMark/>
          </w:tcPr>
          <w:p w14:paraId="12B419B6" w14:textId="77777777" w:rsidR="000770AB" w:rsidRPr="003633F7" w:rsidRDefault="000770AB" w:rsidP="002E1B15">
            <w:pPr>
              <w:spacing w:before="20" w:after="20" w:line="240" w:lineRule="auto"/>
              <w:jc w:val="left"/>
              <w:rPr>
                <w:rFonts w:asciiTheme="minorHAnsi" w:eastAsia="Times New Roman" w:hAnsiTheme="minorHAnsi" w:cstheme="minorHAnsi"/>
                <w:b w:val="0"/>
                <w:color w:val="000000"/>
                <w:sz w:val="22"/>
              </w:rPr>
            </w:pPr>
            <w:r w:rsidRPr="003633F7">
              <w:rPr>
                <w:rFonts w:asciiTheme="minorHAnsi" w:eastAsia="Times New Roman" w:hAnsiTheme="minorHAnsi" w:cstheme="minorHAnsi"/>
                <w:color w:val="000000"/>
                <w:sz w:val="22"/>
              </w:rPr>
              <w:t>VOL</w:t>
            </w:r>
          </w:p>
        </w:tc>
        <w:tc>
          <w:tcPr>
            <w:tcW w:w="0" w:type="dxa"/>
            <w:shd w:val="clear" w:color="auto" w:fill="F2F2F2" w:themeFill="background1" w:themeFillShade="F2"/>
            <w:noWrap/>
            <w:hideMark/>
          </w:tcPr>
          <w:p w14:paraId="224B157D" w14:textId="77777777" w:rsidR="000770AB" w:rsidRPr="003633F7" w:rsidRDefault="000770AB" w:rsidP="002E1B15">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Vegetable oils and fats</w:t>
            </w:r>
          </w:p>
        </w:tc>
      </w:tr>
      <w:tr w:rsidR="000770AB" w:rsidRPr="003633F7" w14:paraId="1347C6BE" w14:textId="77777777" w:rsidTr="002E1B15">
        <w:trPr>
          <w:trHeight w:val="30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B8CCE4"/>
            <w:noWrap/>
            <w:hideMark/>
          </w:tcPr>
          <w:p w14:paraId="293F4829" w14:textId="77777777" w:rsidR="000770AB" w:rsidRPr="003633F7" w:rsidRDefault="000770AB" w:rsidP="002E1B15">
            <w:pPr>
              <w:spacing w:before="20" w:after="20" w:line="240" w:lineRule="auto"/>
              <w:jc w:val="left"/>
              <w:rPr>
                <w:rFonts w:asciiTheme="minorHAnsi" w:eastAsia="Times New Roman" w:hAnsiTheme="minorHAnsi" w:cstheme="minorHAnsi"/>
                <w:b w:val="0"/>
                <w:color w:val="000000"/>
                <w:sz w:val="22"/>
              </w:rPr>
            </w:pPr>
            <w:r w:rsidRPr="003633F7">
              <w:rPr>
                <w:rFonts w:asciiTheme="minorHAnsi" w:eastAsia="Times New Roman" w:hAnsiTheme="minorHAnsi" w:cstheme="minorHAnsi"/>
                <w:color w:val="000000"/>
                <w:sz w:val="22"/>
              </w:rPr>
              <w:t>MIL</w:t>
            </w:r>
          </w:p>
        </w:tc>
        <w:tc>
          <w:tcPr>
            <w:tcW w:w="0" w:type="dxa"/>
            <w:shd w:val="clear" w:color="auto" w:fill="auto"/>
            <w:noWrap/>
            <w:hideMark/>
          </w:tcPr>
          <w:p w14:paraId="7BC01738" w14:textId="77777777" w:rsidR="000770AB" w:rsidRPr="003633F7" w:rsidRDefault="000770AB" w:rsidP="002E1B15">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Dairy products</w:t>
            </w:r>
          </w:p>
        </w:tc>
      </w:tr>
      <w:tr w:rsidR="000770AB" w:rsidRPr="003633F7" w14:paraId="5F81D6B0" w14:textId="77777777" w:rsidTr="002E1B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B8CCE4"/>
            <w:noWrap/>
            <w:hideMark/>
          </w:tcPr>
          <w:p w14:paraId="43A02331" w14:textId="77777777" w:rsidR="000770AB" w:rsidRPr="003633F7" w:rsidRDefault="000770AB" w:rsidP="002E1B15">
            <w:pPr>
              <w:spacing w:before="20" w:after="20" w:line="240" w:lineRule="auto"/>
              <w:jc w:val="left"/>
              <w:rPr>
                <w:rFonts w:asciiTheme="minorHAnsi" w:eastAsia="Times New Roman" w:hAnsiTheme="minorHAnsi" w:cstheme="minorHAnsi"/>
                <w:b w:val="0"/>
                <w:color w:val="000000"/>
                <w:sz w:val="22"/>
              </w:rPr>
            </w:pPr>
            <w:r w:rsidRPr="003633F7">
              <w:rPr>
                <w:rFonts w:asciiTheme="minorHAnsi" w:eastAsia="Times New Roman" w:hAnsiTheme="minorHAnsi" w:cstheme="minorHAnsi"/>
                <w:color w:val="000000"/>
                <w:sz w:val="22"/>
              </w:rPr>
              <w:t>PCR</w:t>
            </w:r>
          </w:p>
        </w:tc>
        <w:tc>
          <w:tcPr>
            <w:tcW w:w="0" w:type="dxa"/>
            <w:shd w:val="clear" w:color="auto" w:fill="F2F2F2" w:themeFill="background1" w:themeFillShade="F2"/>
            <w:noWrap/>
            <w:hideMark/>
          </w:tcPr>
          <w:p w14:paraId="7172E32B" w14:textId="77777777" w:rsidR="000770AB" w:rsidRPr="003633F7" w:rsidRDefault="000770AB" w:rsidP="002E1B15">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Processed rice</w:t>
            </w:r>
          </w:p>
        </w:tc>
      </w:tr>
      <w:tr w:rsidR="000770AB" w:rsidRPr="003633F7" w14:paraId="4BA7388B" w14:textId="77777777" w:rsidTr="002E1B15">
        <w:trPr>
          <w:trHeight w:val="30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B8CCE4"/>
            <w:noWrap/>
            <w:hideMark/>
          </w:tcPr>
          <w:p w14:paraId="131617B3" w14:textId="77777777" w:rsidR="000770AB" w:rsidRPr="003633F7" w:rsidRDefault="000770AB" w:rsidP="002E1B15">
            <w:pPr>
              <w:spacing w:before="20" w:after="20" w:line="240" w:lineRule="auto"/>
              <w:jc w:val="left"/>
              <w:rPr>
                <w:rFonts w:asciiTheme="minorHAnsi" w:eastAsia="Times New Roman" w:hAnsiTheme="minorHAnsi" w:cstheme="minorHAnsi"/>
                <w:b w:val="0"/>
                <w:color w:val="000000"/>
                <w:sz w:val="22"/>
              </w:rPr>
            </w:pPr>
            <w:r w:rsidRPr="003633F7">
              <w:rPr>
                <w:rFonts w:asciiTheme="minorHAnsi" w:eastAsia="Times New Roman" w:hAnsiTheme="minorHAnsi" w:cstheme="minorHAnsi"/>
                <w:color w:val="000000"/>
                <w:sz w:val="22"/>
              </w:rPr>
              <w:t>SGR</w:t>
            </w:r>
          </w:p>
        </w:tc>
        <w:tc>
          <w:tcPr>
            <w:tcW w:w="0" w:type="dxa"/>
            <w:shd w:val="clear" w:color="auto" w:fill="auto"/>
            <w:noWrap/>
            <w:hideMark/>
          </w:tcPr>
          <w:p w14:paraId="5197E7DF" w14:textId="77777777" w:rsidR="000770AB" w:rsidRPr="003633F7" w:rsidRDefault="000770AB" w:rsidP="002E1B15">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Sugar</w:t>
            </w:r>
          </w:p>
        </w:tc>
      </w:tr>
      <w:tr w:rsidR="000770AB" w:rsidRPr="003633F7" w14:paraId="1515D262" w14:textId="77777777" w:rsidTr="002E1B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9" w:type="dxa"/>
            <w:shd w:val="clear" w:color="auto" w:fill="B8CCE4"/>
            <w:noWrap/>
            <w:hideMark/>
          </w:tcPr>
          <w:p w14:paraId="693100DD" w14:textId="77777777" w:rsidR="000770AB" w:rsidRPr="003633F7" w:rsidRDefault="000770AB" w:rsidP="002E1B15">
            <w:pPr>
              <w:spacing w:before="20" w:after="20" w:line="240" w:lineRule="auto"/>
              <w:jc w:val="left"/>
              <w:rPr>
                <w:rFonts w:asciiTheme="minorHAnsi" w:eastAsia="Times New Roman" w:hAnsiTheme="minorHAnsi" w:cstheme="minorHAnsi"/>
                <w:b w:val="0"/>
                <w:color w:val="000000"/>
                <w:sz w:val="22"/>
              </w:rPr>
            </w:pPr>
            <w:r w:rsidRPr="003633F7">
              <w:rPr>
                <w:rFonts w:asciiTheme="minorHAnsi" w:eastAsia="Times New Roman" w:hAnsiTheme="minorHAnsi" w:cstheme="minorHAnsi"/>
                <w:color w:val="000000"/>
                <w:sz w:val="22"/>
              </w:rPr>
              <w:t>OFD</w:t>
            </w:r>
          </w:p>
        </w:tc>
        <w:tc>
          <w:tcPr>
            <w:tcW w:w="0" w:type="dxa"/>
            <w:shd w:val="clear" w:color="auto" w:fill="F2F2F2" w:themeFill="background1" w:themeFillShade="F2"/>
            <w:noWrap/>
            <w:hideMark/>
          </w:tcPr>
          <w:p w14:paraId="17FB0C5C" w14:textId="77777777" w:rsidR="000770AB" w:rsidRPr="003633F7" w:rsidRDefault="000770AB" w:rsidP="002E1B15">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r w:rsidRPr="003633F7">
              <w:rPr>
                <w:rFonts w:asciiTheme="minorHAnsi" w:eastAsia="Times New Roman" w:hAnsiTheme="minorHAnsi" w:cstheme="minorHAnsi"/>
                <w:color w:val="000000"/>
                <w:sz w:val="22"/>
              </w:rPr>
              <w:t>Food products nec</w:t>
            </w:r>
          </w:p>
        </w:tc>
      </w:tr>
    </w:tbl>
    <w:p w14:paraId="4C3D0828" w14:textId="225D80BF" w:rsidR="00E414C0" w:rsidRPr="001C3EDC" w:rsidRDefault="00DF6F34" w:rsidP="00724F7C">
      <w:pPr>
        <w:pStyle w:val="Source"/>
      </w:pPr>
      <w:r w:rsidRPr="001C3EDC">
        <w:t xml:space="preserve">Source: GTAP </w:t>
      </w:r>
      <w:r w:rsidR="00510922" w:rsidRPr="001C3EDC">
        <w:t>d</w:t>
      </w:r>
      <w:r w:rsidRPr="001C3EDC">
        <w:t>atabase</w:t>
      </w:r>
      <w:r w:rsidR="003B5B33" w:rsidRPr="001C3EDC">
        <w:t>.</w:t>
      </w:r>
    </w:p>
    <w:p w14:paraId="17D73B79" w14:textId="77777777" w:rsidR="005E4694" w:rsidRPr="001C3EDC" w:rsidRDefault="005E4694">
      <w:pPr>
        <w:spacing w:after="200" w:line="276" w:lineRule="auto"/>
        <w:jc w:val="left"/>
        <w:rPr>
          <w:rFonts w:cs="Times New Roman"/>
          <w:b/>
          <w:szCs w:val="24"/>
        </w:rPr>
      </w:pPr>
      <w:r w:rsidRPr="001C3EDC">
        <w:rPr>
          <w:rFonts w:cs="Times New Roman"/>
          <w:b/>
          <w:szCs w:val="24"/>
        </w:rPr>
        <w:br w:type="page"/>
      </w:r>
    </w:p>
    <w:p w14:paraId="7D3E6BD1" w14:textId="561751EE" w:rsidR="00E414C0" w:rsidRPr="001C3EDC" w:rsidRDefault="005E4694" w:rsidP="002B6EE2">
      <w:pPr>
        <w:pStyle w:val="Heading1"/>
      </w:pPr>
      <w:bookmarkStart w:id="166" w:name="_Toc522036471"/>
      <w:r w:rsidRPr="001C3EDC">
        <w:lastRenderedPageBreak/>
        <w:t>Annex 2.</w:t>
      </w:r>
      <w:bookmarkStart w:id="167" w:name="_Toc505600284"/>
      <w:r w:rsidR="000A15C9" w:rsidRPr="001C3EDC">
        <w:t xml:space="preserve"> </w:t>
      </w:r>
      <w:r w:rsidR="00E414C0" w:rsidRPr="001C3EDC">
        <w:t xml:space="preserve">Comparing </w:t>
      </w:r>
      <w:r w:rsidR="000A15C9" w:rsidRPr="001C3EDC">
        <w:t xml:space="preserve">Results </w:t>
      </w:r>
      <w:r w:rsidR="00E414C0" w:rsidRPr="001C3EDC">
        <w:t xml:space="preserve">with an Integrated Modelling Exercise: OECD </w:t>
      </w:r>
      <w:r w:rsidR="000A15C9" w:rsidRPr="001C3EDC">
        <w:t xml:space="preserve">Report </w:t>
      </w:r>
      <w:r w:rsidR="00E414C0" w:rsidRPr="001C3EDC">
        <w:t>(2015)</w:t>
      </w:r>
      <w:bookmarkEnd w:id="166"/>
      <w:bookmarkEnd w:id="167"/>
    </w:p>
    <w:p w14:paraId="05F3F59F" w14:textId="24254C83" w:rsidR="00E414C0" w:rsidRPr="001C3EDC" w:rsidRDefault="00E414C0" w:rsidP="005E4694">
      <w:pPr>
        <w:spacing w:after="120" w:line="276" w:lineRule="auto"/>
      </w:pPr>
      <w:r w:rsidRPr="001C3EDC">
        <w:t xml:space="preserve">This section compares the results of this study with those reported in OECD (2015) and starts by first describing the model and some important results of the study. The OECD paper uses the </w:t>
      </w:r>
      <w:r w:rsidR="001B7905" w:rsidRPr="001C3EDC">
        <w:t>Environment Directorate’s Linkage (</w:t>
      </w:r>
      <w:r w:rsidRPr="001C3EDC">
        <w:t>ENV-Linkage</w:t>
      </w:r>
      <w:r w:rsidR="001B7905" w:rsidRPr="001C3EDC">
        <w:t>)</w:t>
      </w:r>
      <w:r w:rsidRPr="001C3EDC">
        <w:t xml:space="preserve"> model, a recursive and multi-region, multi-sector dynamic CGE model of the global economy. In addition to ENV-Linkage, the OECD analysis also relies on the </w:t>
      </w:r>
      <w:r w:rsidR="001B7905" w:rsidRPr="001C3EDC">
        <w:t>Adaptation in Dynamic Integrate Climate-Economy (</w:t>
      </w:r>
      <w:r w:rsidRPr="001C3EDC">
        <w:t>AD-DICE</w:t>
      </w:r>
      <w:r w:rsidR="001B7905" w:rsidRPr="001C3EDC">
        <w:t>)</w:t>
      </w:r>
      <w:r w:rsidRPr="001C3EDC">
        <w:t xml:space="preserve"> model to run some long-term simulations that go beyond 2060. The projected long-term costs of climate change start with building a baseline projection of the world economy till 2060 and beyond when necessary. This baseline represents the case where the world economy evolves without any climate change. The anticipated climate change impacts are then overlaid on this baseline to help assess how the new shocks change the </w:t>
      </w:r>
      <w:r w:rsidR="000A15C9" w:rsidRPr="001C3EDC">
        <w:t>‘</w:t>
      </w:r>
      <w:r w:rsidRPr="001C3EDC">
        <w:t>observed</w:t>
      </w:r>
      <w:r w:rsidR="000A15C9" w:rsidRPr="001C3EDC">
        <w:t>’</w:t>
      </w:r>
      <w:r w:rsidRPr="001C3EDC">
        <w:t xml:space="preserve"> world economy. The model setup divides the world into </w:t>
      </w:r>
      <w:r w:rsidR="00F30A76" w:rsidRPr="001C3EDC">
        <w:t xml:space="preserve">thirteen </w:t>
      </w:r>
      <w:r w:rsidRPr="001C3EDC">
        <w:t>global groupings</w:t>
      </w:r>
      <w:r w:rsidRPr="001C3EDC">
        <w:rPr>
          <w:rStyle w:val="FootnoteReference"/>
          <w:sz w:val="24"/>
          <w:szCs w:val="24"/>
        </w:rPr>
        <w:footnoteReference w:id="13"/>
      </w:r>
      <w:r w:rsidRPr="001C3EDC">
        <w:t xml:space="preserve"> and aggregate the 57 GTAP commodities </w:t>
      </w:r>
      <w:r w:rsidR="000A15C9" w:rsidRPr="001C3EDC">
        <w:t>in</w:t>
      </w:r>
      <w:r w:rsidRPr="001C3EDC">
        <w:t>to eight sectors</w:t>
      </w:r>
      <w:r w:rsidR="000A15C9" w:rsidRPr="001C3EDC">
        <w:t>.</w:t>
      </w:r>
      <w:r w:rsidRPr="001C3EDC">
        <w:rPr>
          <w:rStyle w:val="FootnoteReference"/>
          <w:sz w:val="24"/>
          <w:szCs w:val="24"/>
        </w:rPr>
        <w:footnoteReference w:id="14"/>
      </w:r>
      <w:r w:rsidRPr="001C3EDC">
        <w:t xml:space="preserve"> While the discussion on the climate impacts generally focuses on aggregate regions listed in the footnote, the study also reports results on some major individual economies that make up the aggregate divisions. The modelling is based on existing estimates of how selected climate impacts affect the drivers of economic growth of major world regions at the macroeconomic and sectoral level. A multitude of impact of climate change </w:t>
      </w:r>
      <w:r w:rsidR="000A15C9" w:rsidRPr="001C3EDC">
        <w:t xml:space="preserve">is </w:t>
      </w:r>
      <w:r w:rsidRPr="001C3EDC">
        <w:t xml:space="preserve">considered in the analysis and the list includes changes in crop yields, loss of land and capital from </w:t>
      </w:r>
      <w:r w:rsidR="00C365E7" w:rsidRPr="001C3EDC">
        <w:t>SLR</w:t>
      </w:r>
      <w:r w:rsidRPr="001C3EDC">
        <w:t xml:space="preserve">, impact of extreme events </w:t>
      </w:r>
      <w:r w:rsidR="000A15C9" w:rsidRPr="001C3EDC">
        <w:t xml:space="preserve">such as </w:t>
      </w:r>
      <w:r w:rsidRPr="001C3EDC">
        <w:t xml:space="preserve">hurricanes, morbidity from heat and cold exposures, changes in energy demand, and changes in tourism flows. In general, the study reports that the combined effect of the above selected impacts on global annual GDP </w:t>
      </w:r>
      <w:r w:rsidR="000A15C9" w:rsidRPr="001C3EDC">
        <w:t xml:space="preserve">is </w:t>
      </w:r>
      <w:r w:rsidRPr="001C3EDC">
        <w:t xml:space="preserve">projected to rise over time to likely levels of 1.0 percent to 3.3 percent by 2060, with a central projection of 2 percent GDP loss. There are, however, substantial regional variations in this estimate of impacts of climate change. </w:t>
      </w:r>
    </w:p>
    <w:p w14:paraId="7B22901A" w14:textId="53A60458" w:rsidR="00E414C0" w:rsidRPr="001C3EDC" w:rsidRDefault="00E414C0" w:rsidP="005E4694">
      <w:pPr>
        <w:spacing w:after="120" w:line="276" w:lineRule="auto"/>
      </w:pPr>
      <w:r w:rsidRPr="001C3EDC">
        <w:t>The first important notable difference between Bulgaria CGE analysis and the OECD paper is that this specific analysis used the standard and static GTAP model while the OECD report relied on a recursive dynamic CGE model that is augmented AD-DICE which is a class of integrated assessment models. While static CGE models provide a useful benchmark for policy analysis, their use in climate change modeling has been criticized in a number of ways. First, in the static CGE model, there is no optimization over time, that is, agents are seen as being myopic when it came to between</w:t>
      </w:r>
      <w:r w:rsidR="000A15C9" w:rsidRPr="001C3EDC">
        <w:t>-</w:t>
      </w:r>
      <w:r w:rsidRPr="001C3EDC">
        <w:t>period decisions such as savings and investment. Second, climate change by its very nature is a dynamic phenomenon. The fact that agents are allowed to update their information beliefs and adjust their saving and investment decisions accounts for the observed nontrivial GDP impacts of climate change under the static GTAP model</w:t>
      </w:r>
      <w:r w:rsidR="000A15C9" w:rsidRPr="001C3EDC">
        <w:t>.</w:t>
      </w:r>
      <w:r w:rsidRPr="001C3EDC">
        <w:t xml:space="preserve"> The Bulgaria CGE analysis took as reference the OECD report in integrating climate change impact into the baseline.</w:t>
      </w:r>
      <w:r w:rsidR="00CB62AC" w:rsidRPr="001C3EDC">
        <w:t xml:space="preserve"> </w:t>
      </w:r>
    </w:p>
    <w:p w14:paraId="77FF3040" w14:textId="6EF94F2D" w:rsidR="00E414C0" w:rsidRPr="001C3EDC" w:rsidRDefault="00E414C0" w:rsidP="005E4694">
      <w:pPr>
        <w:spacing w:after="120" w:line="276" w:lineRule="auto"/>
      </w:pPr>
      <w:r w:rsidRPr="001C3EDC">
        <w:t>A second source of difference between the two studies is the nature and extent of climate change damages model</w:t>
      </w:r>
      <w:r w:rsidR="000A15C9" w:rsidRPr="001C3EDC">
        <w:t>l</w:t>
      </w:r>
      <w:r w:rsidRPr="001C3EDC">
        <w:t xml:space="preserve">ed in the simulation exercises. Our model derived the necessary </w:t>
      </w:r>
      <w:r w:rsidRPr="001C3EDC">
        <w:lastRenderedPageBreak/>
        <w:t xml:space="preserve">parameters from few reliable sources and focused on three impacts of climate change: agricultural productivity, energy demand, and tourism. The OECD study on the other hand relies on a larger literature and studies the impact of a range of climate change impacts. </w:t>
      </w:r>
    </w:p>
    <w:p w14:paraId="13EAFC5E" w14:textId="3A87B01F" w:rsidR="00E414C0" w:rsidRPr="001C3EDC" w:rsidRDefault="00E414C0" w:rsidP="005E4694">
      <w:pPr>
        <w:spacing w:after="120" w:line="276" w:lineRule="auto"/>
      </w:pPr>
      <w:r w:rsidRPr="001C3EDC">
        <w:t xml:space="preserve">The other important difference has to do with the sectoral and regional aggregation used in the Bulgaria CGE analysis </w:t>
      </w:r>
      <w:r w:rsidR="003A1A93" w:rsidRPr="001C3EDC">
        <w:t xml:space="preserve">and </w:t>
      </w:r>
      <w:r w:rsidRPr="001C3EDC">
        <w:t xml:space="preserve">is very different from the one reported in the OECD study. A related point is that this study uses Version 9 GTAP database with 2011 as a base year while the OECD report relies on a slightly earlier version. These are important differences with the OECD study due to differences in the analytical structures. </w:t>
      </w:r>
    </w:p>
    <w:p w14:paraId="4DCF55E3" w14:textId="7CD8A522" w:rsidR="007C5FA5" w:rsidRPr="001C3EDC" w:rsidRDefault="007C5FA5" w:rsidP="008A62ED">
      <w:pPr>
        <w:autoSpaceDE w:val="0"/>
        <w:autoSpaceDN w:val="0"/>
        <w:adjustRightInd w:val="0"/>
        <w:spacing w:after="0" w:line="240" w:lineRule="auto"/>
        <w:rPr>
          <w:rFonts w:cs="Times New Roman"/>
          <w:szCs w:val="24"/>
        </w:rPr>
      </w:pPr>
    </w:p>
    <w:p w14:paraId="4D37B3B0" w14:textId="77777777" w:rsidR="007C5FA5" w:rsidRPr="001C3EDC" w:rsidRDefault="007C5FA5" w:rsidP="00FE1636">
      <w:pPr>
        <w:rPr>
          <w:rFonts w:cs="Times New Roman"/>
          <w:szCs w:val="24"/>
        </w:rPr>
      </w:pPr>
    </w:p>
    <w:p w14:paraId="1A2A084B" w14:textId="77777777" w:rsidR="007C5FA5" w:rsidRPr="001C3EDC" w:rsidRDefault="007C5FA5" w:rsidP="00FE1636">
      <w:pPr>
        <w:rPr>
          <w:rFonts w:cs="Times New Roman"/>
          <w:szCs w:val="24"/>
        </w:rPr>
      </w:pPr>
    </w:p>
    <w:p w14:paraId="0B6302E2" w14:textId="77777777" w:rsidR="007C5FA5" w:rsidRPr="001C3EDC" w:rsidRDefault="007C5FA5" w:rsidP="00FE1636">
      <w:pPr>
        <w:rPr>
          <w:rFonts w:cs="Times New Roman"/>
          <w:szCs w:val="24"/>
        </w:rPr>
      </w:pPr>
    </w:p>
    <w:p w14:paraId="6BB8FF36" w14:textId="77777777" w:rsidR="007C5FA5" w:rsidRPr="001C3EDC" w:rsidRDefault="007C5FA5" w:rsidP="00FE1636">
      <w:pPr>
        <w:rPr>
          <w:rFonts w:cs="Times New Roman"/>
          <w:szCs w:val="24"/>
        </w:rPr>
      </w:pPr>
    </w:p>
    <w:p w14:paraId="7AA67459" w14:textId="77777777" w:rsidR="007C5FA5" w:rsidRPr="001C3EDC" w:rsidRDefault="007C5FA5" w:rsidP="00FE1636">
      <w:pPr>
        <w:rPr>
          <w:rFonts w:cs="Times New Roman"/>
          <w:szCs w:val="24"/>
        </w:rPr>
      </w:pPr>
    </w:p>
    <w:p w14:paraId="1E43FFBE" w14:textId="591E38B7" w:rsidR="007C5FA5" w:rsidRPr="001C3EDC" w:rsidRDefault="007C5FA5" w:rsidP="007C5FA5">
      <w:pPr>
        <w:rPr>
          <w:rFonts w:cs="Times New Roman"/>
          <w:szCs w:val="24"/>
        </w:rPr>
      </w:pPr>
    </w:p>
    <w:p w14:paraId="7772AA28" w14:textId="15C9E33E" w:rsidR="00E414C0" w:rsidRPr="001C3EDC" w:rsidRDefault="007C5FA5" w:rsidP="00FE1636">
      <w:pPr>
        <w:tabs>
          <w:tab w:val="left" w:pos="3760"/>
        </w:tabs>
        <w:rPr>
          <w:rFonts w:cs="Times New Roman"/>
          <w:szCs w:val="24"/>
        </w:rPr>
      </w:pPr>
      <w:r w:rsidRPr="001C3EDC">
        <w:rPr>
          <w:rFonts w:cs="Times New Roman"/>
          <w:szCs w:val="24"/>
        </w:rPr>
        <w:tab/>
      </w:r>
    </w:p>
    <w:sectPr w:rsidR="00E414C0" w:rsidRPr="001C3EDC" w:rsidSect="00925A6B">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CAA91" w14:textId="77777777" w:rsidR="00460389" w:rsidRDefault="00460389" w:rsidP="008F4E27">
      <w:pPr>
        <w:spacing w:after="0" w:line="240" w:lineRule="auto"/>
      </w:pPr>
      <w:r>
        <w:separator/>
      </w:r>
    </w:p>
  </w:endnote>
  <w:endnote w:type="continuationSeparator" w:id="0">
    <w:p w14:paraId="54A21E26" w14:textId="77777777" w:rsidR="00460389" w:rsidRDefault="00460389" w:rsidP="008F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LiberationSerif-Italic">
    <w:altName w:val="Times New Roman"/>
    <w:panose1 w:val="00000000000000000000"/>
    <w:charset w:val="A1"/>
    <w:family w:val="auto"/>
    <w:notTrueType/>
    <w:pitch w:val="default"/>
    <w:sig w:usb0="00000081" w:usb1="00000000" w:usb2="00000000" w:usb3="00000000" w:csb0="00000008" w:csb1="00000000"/>
  </w:font>
  <w:font w:name="OpenSymbol">
    <w:charset w:val="00"/>
    <w:family w:val="auto"/>
    <w:pitch w:val="variable"/>
    <w:sig w:usb0="800000AF" w:usb1="1001ECEA" w:usb2="00000000" w:usb3="00000000" w:csb0="00000001" w:csb1="00000000"/>
  </w:font>
  <w:font w:name="LiberationSerif">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767115"/>
      <w:docPartObj>
        <w:docPartGallery w:val="Page Numbers (Bottom of Page)"/>
        <w:docPartUnique/>
      </w:docPartObj>
    </w:sdtPr>
    <w:sdtEndPr>
      <w:rPr>
        <w:noProof/>
      </w:rPr>
    </w:sdtEndPr>
    <w:sdtContent>
      <w:p w14:paraId="5C8D48EE" w14:textId="091F57F3" w:rsidR="00395B63" w:rsidRPr="00603E67" w:rsidRDefault="00395B63" w:rsidP="00603E67">
        <w:pPr>
          <w:tabs>
            <w:tab w:val="center" w:pos="4536"/>
            <w:tab w:val="right" w:pos="9072"/>
          </w:tabs>
          <w:spacing w:line="240" w:lineRule="auto"/>
          <w:jc w:val="center"/>
        </w:pPr>
        <w:r w:rsidRPr="00603E67">
          <w:tab/>
          <w:t xml:space="preserve">--------------------------------------- </w:t>
        </w:r>
        <w:hyperlink r:id="rId1" w:history="1">
          <w:r w:rsidRPr="00603E67">
            <w:rPr>
              <w:color w:val="0000FF"/>
              <w:u w:val="single"/>
            </w:rPr>
            <w:t>www.eufunds.bg</w:t>
          </w:r>
        </w:hyperlink>
        <w:r w:rsidRPr="00603E67">
          <w:t xml:space="preserve"> ---------------------------------------</w:t>
        </w:r>
        <w:r w:rsidRPr="00603E67">
          <w:tab/>
        </w:r>
        <w:r w:rsidRPr="00603E67">
          <w:rPr>
            <w:szCs w:val="24"/>
          </w:rPr>
          <w:fldChar w:fldCharType="begin"/>
        </w:r>
        <w:r w:rsidRPr="00603E67">
          <w:rPr>
            <w:szCs w:val="24"/>
          </w:rPr>
          <w:instrText xml:space="preserve"> PAGE   \* MERGEFORMAT </w:instrText>
        </w:r>
        <w:r w:rsidRPr="00603E67">
          <w:rPr>
            <w:szCs w:val="24"/>
          </w:rPr>
          <w:fldChar w:fldCharType="separate"/>
        </w:r>
        <w:r w:rsidR="00AD13C9">
          <w:rPr>
            <w:noProof/>
            <w:szCs w:val="24"/>
          </w:rPr>
          <w:t>ii</w:t>
        </w:r>
        <w:r w:rsidRPr="00603E67">
          <w:rPr>
            <w:noProof/>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983718"/>
      <w:docPartObj>
        <w:docPartGallery w:val="Page Numbers (Bottom of Page)"/>
        <w:docPartUnique/>
      </w:docPartObj>
    </w:sdtPr>
    <w:sdtEndPr>
      <w:rPr>
        <w:noProof/>
      </w:rPr>
    </w:sdtEndPr>
    <w:sdtContent>
      <w:p w14:paraId="0DD812D7" w14:textId="31019E79" w:rsidR="00395B63" w:rsidRPr="00603E67" w:rsidRDefault="00395B63" w:rsidP="00603E67">
        <w:pPr>
          <w:tabs>
            <w:tab w:val="center" w:pos="4536"/>
            <w:tab w:val="right" w:pos="9072"/>
          </w:tabs>
          <w:spacing w:line="240" w:lineRule="auto"/>
          <w:jc w:val="center"/>
        </w:pPr>
        <w:r w:rsidRPr="00603E67">
          <w:tab/>
          <w:t xml:space="preserve">--------------------------------------- </w:t>
        </w:r>
        <w:hyperlink r:id="rId1" w:history="1">
          <w:r w:rsidRPr="00603E67">
            <w:rPr>
              <w:color w:val="0000FF"/>
              <w:u w:val="single"/>
            </w:rPr>
            <w:t>www.eufunds.bg</w:t>
          </w:r>
        </w:hyperlink>
        <w:r w:rsidRPr="00603E67">
          <w:t xml:space="preserve"> ---------------------------------------</w:t>
        </w:r>
        <w:r w:rsidRPr="00603E67">
          <w:tab/>
        </w:r>
        <w:r w:rsidRPr="00603E67">
          <w:rPr>
            <w:szCs w:val="24"/>
          </w:rPr>
          <w:fldChar w:fldCharType="begin"/>
        </w:r>
        <w:r w:rsidRPr="00603E67">
          <w:rPr>
            <w:szCs w:val="24"/>
          </w:rPr>
          <w:instrText xml:space="preserve"> PAGE   \* MERGEFORMAT </w:instrText>
        </w:r>
        <w:r w:rsidRPr="00603E67">
          <w:rPr>
            <w:szCs w:val="24"/>
          </w:rPr>
          <w:fldChar w:fldCharType="separate"/>
        </w:r>
        <w:r w:rsidR="00AD13C9">
          <w:rPr>
            <w:noProof/>
            <w:szCs w:val="24"/>
          </w:rPr>
          <w:t>67</w:t>
        </w:r>
        <w:r w:rsidRPr="00603E67">
          <w:rPr>
            <w:noProof/>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64D11" w14:textId="77777777" w:rsidR="00460389" w:rsidRDefault="00460389" w:rsidP="008F4E27">
      <w:pPr>
        <w:spacing w:after="0" w:line="240" w:lineRule="auto"/>
      </w:pPr>
      <w:r>
        <w:separator/>
      </w:r>
    </w:p>
  </w:footnote>
  <w:footnote w:type="continuationSeparator" w:id="0">
    <w:p w14:paraId="3311B73C" w14:textId="77777777" w:rsidR="00460389" w:rsidRDefault="00460389" w:rsidP="008F4E27">
      <w:pPr>
        <w:spacing w:after="0" w:line="240" w:lineRule="auto"/>
      </w:pPr>
      <w:r>
        <w:continuationSeparator/>
      </w:r>
    </w:p>
  </w:footnote>
  <w:footnote w:id="1">
    <w:p w14:paraId="2EB0EA6B" w14:textId="5581EB8E" w:rsidR="00395B63" w:rsidRPr="00FB32A7" w:rsidRDefault="00395B63" w:rsidP="00552970">
      <w:pPr>
        <w:pStyle w:val="FootnoteText"/>
        <w:rPr>
          <w:sz w:val="18"/>
          <w:szCs w:val="18"/>
        </w:rPr>
      </w:pPr>
      <w:r w:rsidRPr="00FB32A7">
        <w:rPr>
          <w:rStyle w:val="FootnoteReference"/>
          <w:szCs w:val="18"/>
        </w:rPr>
        <w:footnoteRef/>
      </w:r>
      <w:r w:rsidRPr="00FB32A7">
        <w:rPr>
          <w:sz w:val="18"/>
          <w:szCs w:val="18"/>
        </w:rPr>
        <w:t xml:space="preserve"> World Bank 2012, 2016a, 2016b.</w:t>
      </w:r>
    </w:p>
  </w:footnote>
  <w:footnote w:id="2">
    <w:p w14:paraId="579B0B88" w14:textId="5CE976D4" w:rsidR="00395B63" w:rsidRPr="00FB32A7" w:rsidRDefault="00395B63" w:rsidP="00552970">
      <w:pPr>
        <w:pStyle w:val="FootnoteText"/>
        <w:rPr>
          <w:sz w:val="18"/>
          <w:szCs w:val="18"/>
        </w:rPr>
      </w:pPr>
      <w:r w:rsidRPr="00FB32A7">
        <w:rPr>
          <w:rStyle w:val="FootnoteReference"/>
          <w:szCs w:val="18"/>
        </w:rPr>
        <w:footnoteRef/>
      </w:r>
      <w:r w:rsidRPr="00FB32A7">
        <w:rPr>
          <w:sz w:val="18"/>
          <w:szCs w:val="18"/>
        </w:rPr>
        <w:t xml:space="preserve"> International Institute for Applied Systems Analysis.</w:t>
      </w:r>
    </w:p>
  </w:footnote>
  <w:footnote w:id="3">
    <w:p w14:paraId="368D8B03" w14:textId="30A85485" w:rsidR="00395B63" w:rsidRPr="00FB32A7" w:rsidRDefault="00395B63" w:rsidP="00552970">
      <w:pPr>
        <w:pStyle w:val="FootnoteText"/>
        <w:rPr>
          <w:sz w:val="18"/>
          <w:szCs w:val="18"/>
        </w:rPr>
      </w:pPr>
      <w:r w:rsidRPr="00FB32A7">
        <w:rPr>
          <w:rStyle w:val="FootnoteReference"/>
          <w:szCs w:val="18"/>
        </w:rPr>
        <w:footnoteRef/>
      </w:r>
      <w:r w:rsidRPr="00FB32A7">
        <w:rPr>
          <w:sz w:val="18"/>
          <w:szCs w:val="18"/>
        </w:rPr>
        <w:t xml:space="preserve"> 18 AEZs exist in the standard GTAP-AEZ data for different countries in the world. In effect, entries for these 18 AEZs have zeroes for all but 2 AEZs in Bulgaria. For sake of completeness of the data (because ‘rest of the world’ is considered in the model), all 18 AEZs have to be included</w:t>
      </w:r>
    </w:p>
  </w:footnote>
  <w:footnote w:id="4">
    <w:p w14:paraId="25B162D8" w14:textId="0513CC0E" w:rsidR="00395B63" w:rsidRPr="00FB32A7" w:rsidRDefault="00395B63" w:rsidP="00155118">
      <w:pPr>
        <w:pStyle w:val="FootnoteText"/>
        <w:rPr>
          <w:sz w:val="18"/>
          <w:szCs w:val="18"/>
        </w:rPr>
      </w:pPr>
      <w:r w:rsidRPr="00FB32A7">
        <w:rPr>
          <w:rStyle w:val="FootnoteReference"/>
          <w:szCs w:val="18"/>
        </w:rPr>
        <w:footnoteRef/>
      </w:r>
      <w:r w:rsidRPr="00FB32A7">
        <w:rPr>
          <w:sz w:val="18"/>
          <w:szCs w:val="18"/>
        </w:rPr>
        <w:t xml:space="preserve"> The specific year value differs by country.  Roson and Sartori (2016) provide an estimate of these functions for 140 countries.  Some countries have data for 1985 and some have it for 2005, hence the range.</w:t>
      </w:r>
    </w:p>
  </w:footnote>
  <w:footnote w:id="5">
    <w:p w14:paraId="64E524C1" w14:textId="107279AC" w:rsidR="00395B63" w:rsidRPr="00FB32A7" w:rsidRDefault="00395B63">
      <w:pPr>
        <w:pStyle w:val="FootnoteText"/>
        <w:rPr>
          <w:sz w:val="18"/>
          <w:szCs w:val="18"/>
        </w:rPr>
      </w:pPr>
      <w:r w:rsidRPr="00FB32A7">
        <w:rPr>
          <w:rStyle w:val="FootnoteReference"/>
          <w:szCs w:val="18"/>
        </w:rPr>
        <w:footnoteRef/>
      </w:r>
      <w:r w:rsidRPr="00FB32A7">
        <w:rPr>
          <w:sz w:val="18"/>
          <w:szCs w:val="18"/>
        </w:rPr>
        <w:t xml:space="preserve">  World Bank Climate Change Knowledge Portal.</w:t>
      </w:r>
    </w:p>
  </w:footnote>
  <w:footnote w:id="6">
    <w:p w14:paraId="60636CCD" w14:textId="77777777" w:rsidR="00395B63" w:rsidRPr="00FB32A7" w:rsidRDefault="00395B63" w:rsidP="00D75D0F">
      <w:pPr>
        <w:pStyle w:val="FootnoteText"/>
        <w:rPr>
          <w:sz w:val="18"/>
          <w:szCs w:val="18"/>
        </w:rPr>
      </w:pPr>
      <w:r w:rsidRPr="00FB32A7">
        <w:rPr>
          <w:rStyle w:val="FootnoteReference"/>
          <w:szCs w:val="18"/>
        </w:rPr>
        <w:footnoteRef/>
      </w:r>
      <w:r w:rsidRPr="00FB32A7">
        <w:rPr>
          <w:sz w:val="18"/>
          <w:szCs w:val="18"/>
        </w:rPr>
        <w:t xml:space="preserve"> Representative Concentration Pathways (RCPs) are four </w:t>
      </w:r>
      <w:hyperlink r:id="rId1" w:tooltip="Greenhouse gas" w:history="1">
        <w:r w:rsidRPr="00FB32A7">
          <w:rPr>
            <w:sz w:val="18"/>
            <w:szCs w:val="18"/>
          </w:rPr>
          <w:t>greenhouse gas</w:t>
        </w:r>
      </w:hyperlink>
      <w:r w:rsidRPr="00FB32A7">
        <w:rPr>
          <w:sz w:val="18"/>
          <w:szCs w:val="18"/>
        </w:rPr>
        <w:t xml:space="preserve"> concentration (not emissions) trajectories adopted by the </w:t>
      </w:r>
      <w:r w:rsidRPr="00FB32A7">
        <w:rPr>
          <w:sz w:val="18"/>
          <w:szCs w:val="18"/>
          <w:lang w:val="en-GB"/>
        </w:rPr>
        <w:t>Intergovernmental Panel on Climate Change</w:t>
      </w:r>
      <w:r w:rsidRPr="00FB32A7">
        <w:rPr>
          <w:sz w:val="18"/>
          <w:szCs w:val="18"/>
        </w:rPr>
        <w:t xml:space="preserve"> (</w:t>
      </w:r>
      <w:hyperlink r:id="rId2" w:tooltip="Intergovernmental Panel on Climate Change" w:history="1">
        <w:r w:rsidRPr="00FB32A7">
          <w:rPr>
            <w:sz w:val="18"/>
            <w:szCs w:val="18"/>
          </w:rPr>
          <w:t>IPCC</w:t>
        </w:r>
      </w:hyperlink>
      <w:r w:rsidRPr="00FB32A7">
        <w:rPr>
          <w:sz w:val="18"/>
          <w:szCs w:val="18"/>
        </w:rPr>
        <w:t xml:space="preserve">) for its </w:t>
      </w:r>
      <w:hyperlink r:id="rId3" w:tooltip="IPCC Fifth Assessment Report" w:history="1">
        <w:r w:rsidRPr="00FB32A7">
          <w:rPr>
            <w:sz w:val="18"/>
            <w:szCs w:val="18"/>
          </w:rPr>
          <w:t>fifth Assessment Report (AR5)</w:t>
        </w:r>
      </w:hyperlink>
      <w:r w:rsidRPr="00FB32A7">
        <w:rPr>
          <w:sz w:val="18"/>
          <w:szCs w:val="18"/>
        </w:rPr>
        <w:t xml:space="preserve"> in 2014.</w:t>
      </w:r>
    </w:p>
  </w:footnote>
  <w:footnote w:id="7">
    <w:p w14:paraId="63FDC7A7" w14:textId="2FCD0939" w:rsidR="00395B63" w:rsidRPr="00FB32A7" w:rsidRDefault="00395B63" w:rsidP="00552970">
      <w:pPr>
        <w:pStyle w:val="FootnoteText"/>
        <w:rPr>
          <w:sz w:val="18"/>
          <w:szCs w:val="18"/>
        </w:rPr>
      </w:pPr>
      <w:r w:rsidRPr="00FB32A7">
        <w:rPr>
          <w:rStyle w:val="FootnoteReference"/>
          <w:szCs w:val="18"/>
        </w:rPr>
        <w:footnoteRef/>
      </w:r>
      <w:r w:rsidRPr="00FB32A7">
        <w:rPr>
          <w:sz w:val="18"/>
          <w:szCs w:val="18"/>
        </w:rPr>
        <w:t xml:space="preserve"> OECD (2015) projects 1.7 annual growth in 2040–2050.</w:t>
      </w:r>
    </w:p>
  </w:footnote>
  <w:footnote w:id="8">
    <w:p w14:paraId="1E3497D2" w14:textId="2757CAC7" w:rsidR="00395B63" w:rsidRPr="00FB32A7" w:rsidRDefault="00395B63" w:rsidP="00602D01">
      <w:pPr>
        <w:pStyle w:val="FootnoteText"/>
        <w:rPr>
          <w:sz w:val="18"/>
          <w:szCs w:val="18"/>
        </w:rPr>
      </w:pPr>
      <w:r w:rsidRPr="00FB32A7">
        <w:rPr>
          <w:rStyle w:val="FootnoteReference"/>
          <w:szCs w:val="18"/>
        </w:rPr>
        <w:footnoteRef/>
      </w:r>
      <w:r w:rsidRPr="00FB32A7">
        <w:rPr>
          <w:sz w:val="18"/>
          <w:szCs w:val="18"/>
        </w:rPr>
        <w:t xml:space="preserve">  PESETA Final report (2014), p: 104, Figure 20 (reference scenario);  TopDad report available at </w:t>
      </w:r>
      <w:hyperlink r:id="rId4" w:history="1">
        <w:r w:rsidRPr="00FB32A7">
          <w:rPr>
            <w:rStyle w:val="Hyperlink"/>
            <w:color w:val="auto"/>
            <w:szCs w:val="18"/>
          </w:rPr>
          <w:t>http://topdad.services.geodesk.nl/en/web/guest/long-term-macroeconomic-effects</w:t>
        </w:r>
      </w:hyperlink>
      <w:r w:rsidRPr="00FB32A7">
        <w:rPr>
          <w:sz w:val="18"/>
          <w:szCs w:val="18"/>
        </w:rPr>
        <w:t>; Climate Cost project (2011) for 2100 available at http://www.climatecost.cc/images/Policy_Brief_ClimateCost_Draft_Final_Summary_vs_4.pdf</w:t>
      </w:r>
    </w:p>
  </w:footnote>
  <w:footnote w:id="9">
    <w:p w14:paraId="28EFE467" w14:textId="32323AC9" w:rsidR="00395B63" w:rsidRPr="00FB32A7" w:rsidRDefault="00395B63" w:rsidP="00552970">
      <w:pPr>
        <w:pStyle w:val="FootnoteText"/>
        <w:rPr>
          <w:sz w:val="18"/>
          <w:szCs w:val="18"/>
        </w:rPr>
      </w:pPr>
      <w:r w:rsidRPr="00FB32A7">
        <w:rPr>
          <w:rStyle w:val="FootnoteReference"/>
          <w:szCs w:val="18"/>
        </w:rPr>
        <w:footnoteRef/>
      </w:r>
      <w:r w:rsidRPr="00FB32A7">
        <w:rPr>
          <w:sz w:val="18"/>
          <w:szCs w:val="18"/>
        </w:rPr>
        <w:t xml:space="preserve"> See Tables 1.2 and 1.3 for specific shock values used for the simulations.</w:t>
      </w:r>
    </w:p>
  </w:footnote>
  <w:footnote w:id="10">
    <w:p w14:paraId="4D8741C8" w14:textId="55FCC886" w:rsidR="00395B63" w:rsidRPr="00FB32A7" w:rsidRDefault="00395B63" w:rsidP="00552970">
      <w:pPr>
        <w:pStyle w:val="FootnoteText"/>
        <w:rPr>
          <w:sz w:val="18"/>
          <w:szCs w:val="18"/>
        </w:rPr>
      </w:pPr>
      <w:r w:rsidRPr="00FB32A7">
        <w:rPr>
          <w:rStyle w:val="FootnoteReference"/>
          <w:szCs w:val="18"/>
        </w:rPr>
        <w:footnoteRef/>
      </w:r>
      <w:r w:rsidRPr="00FB32A7">
        <w:rPr>
          <w:sz w:val="18"/>
          <w:szCs w:val="18"/>
        </w:rPr>
        <w:t xml:space="preserve"> In Table 7 of this report, this scenario is repeated for 10 percent, 20 percent, and 30 percent adaptation or reduction in damage from climate change.</w:t>
      </w:r>
    </w:p>
  </w:footnote>
  <w:footnote w:id="11">
    <w:p w14:paraId="44BA6BB3" w14:textId="7CB91CD0" w:rsidR="00395B63" w:rsidRPr="00FB32A7" w:rsidRDefault="00395B63" w:rsidP="00552970">
      <w:pPr>
        <w:pStyle w:val="FootnoteText"/>
        <w:rPr>
          <w:sz w:val="18"/>
          <w:szCs w:val="18"/>
        </w:rPr>
      </w:pPr>
      <w:r w:rsidRPr="00FB32A7">
        <w:rPr>
          <w:rStyle w:val="FootnoteReference"/>
          <w:szCs w:val="18"/>
        </w:rPr>
        <w:footnoteRef/>
      </w:r>
      <w:r w:rsidRPr="00FB32A7">
        <w:rPr>
          <w:sz w:val="18"/>
          <w:szCs w:val="18"/>
        </w:rPr>
        <w:t xml:space="preserve"> In Table 7, the 2 percent contribution is not included, as it is consistent with Policies 2 and 3.</w:t>
      </w:r>
    </w:p>
  </w:footnote>
  <w:footnote w:id="12">
    <w:p w14:paraId="5E493AD0" w14:textId="5988B8B2" w:rsidR="00395B63" w:rsidRPr="00FB32A7" w:rsidRDefault="00395B63" w:rsidP="00552970">
      <w:pPr>
        <w:pStyle w:val="FootnoteText"/>
        <w:rPr>
          <w:sz w:val="18"/>
          <w:szCs w:val="18"/>
        </w:rPr>
      </w:pPr>
      <w:r w:rsidRPr="00FB32A7">
        <w:rPr>
          <w:rStyle w:val="FootnoteReference"/>
          <w:szCs w:val="18"/>
        </w:rPr>
        <w:footnoteRef/>
      </w:r>
      <w:r w:rsidRPr="00FB32A7">
        <w:rPr>
          <w:sz w:val="18"/>
          <w:szCs w:val="18"/>
        </w:rPr>
        <w:t xml:space="preserve"> Capital expansion is assumed in all sectors in the case of the ‘Capital’ scenario, shown in Table 7 of this report. </w:t>
      </w:r>
    </w:p>
  </w:footnote>
  <w:footnote w:id="13">
    <w:p w14:paraId="38E05207" w14:textId="06E5D7A7" w:rsidR="00395B63" w:rsidRPr="00FB32A7" w:rsidRDefault="00395B63" w:rsidP="00552970">
      <w:pPr>
        <w:pStyle w:val="FootnoteText"/>
        <w:rPr>
          <w:sz w:val="18"/>
          <w:szCs w:val="18"/>
        </w:rPr>
      </w:pPr>
      <w:r w:rsidRPr="00FB32A7">
        <w:rPr>
          <w:rStyle w:val="FootnoteReference"/>
          <w:szCs w:val="18"/>
        </w:rPr>
        <w:footnoteRef/>
      </w:r>
      <w:r w:rsidRPr="00FB32A7">
        <w:rPr>
          <w:sz w:val="18"/>
          <w:szCs w:val="18"/>
        </w:rPr>
        <w:t xml:space="preserve"> These groupings are OECD America, OECD Europe, OECD Pacific, Middle East and North Africa, Latin America, Sub-Saharan Africa, South and South-East Asia, Rest of Europe and Asia.</w:t>
      </w:r>
    </w:p>
  </w:footnote>
  <w:footnote w:id="14">
    <w:p w14:paraId="10B7B302" w14:textId="5BCF60AF" w:rsidR="00395B63" w:rsidRPr="00FB32A7" w:rsidRDefault="00395B63" w:rsidP="00552970">
      <w:pPr>
        <w:pStyle w:val="FootnoteText"/>
        <w:rPr>
          <w:sz w:val="18"/>
          <w:szCs w:val="18"/>
        </w:rPr>
      </w:pPr>
      <w:r w:rsidRPr="00FB32A7">
        <w:rPr>
          <w:rStyle w:val="FootnoteReference"/>
          <w:szCs w:val="18"/>
        </w:rPr>
        <w:footnoteRef/>
      </w:r>
      <w:r w:rsidRPr="00FB32A7">
        <w:rPr>
          <w:sz w:val="18"/>
          <w:szCs w:val="18"/>
        </w:rPr>
        <w:t xml:space="preserve"> The aggregate sectors are agriculture, fisheries, forestry, energy and extraction, energy-intensive industries, other industries, transportation and construction, and other services.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FAA8C" w14:textId="027C5AA6" w:rsidR="00395B63" w:rsidRDefault="00395B63" w:rsidP="00702B7C">
    <w:pPr>
      <w:pStyle w:val="Header"/>
      <w:jc w:val="center"/>
    </w:pPr>
    <w:r w:rsidRPr="00A123F9">
      <w:rPr>
        <w:b/>
        <w:i/>
      </w:rPr>
      <w:t xml:space="preserve">Climate Change Adaptation – </w:t>
    </w:r>
    <w:r>
      <w:rPr>
        <w:b/>
        <w:i/>
      </w:rPr>
      <w:t>Macroeconomic Implications of Climate Change - Analysis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EFD70" w14:textId="45034CBF" w:rsidR="00395B63" w:rsidRPr="00B945C9" w:rsidRDefault="00395B63" w:rsidP="00B945C9">
    <w:pPr>
      <w:pStyle w:val="Header"/>
      <w:jc w:val="left"/>
    </w:pPr>
    <w:r>
      <w:rPr>
        <w:noProof/>
      </w:rPr>
      <w:drawing>
        <wp:anchor distT="0" distB="0" distL="114300" distR="114300" simplePos="0" relativeHeight="251659264" behindDoc="1" locked="0" layoutInCell="1" allowOverlap="1" wp14:anchorId="36FF6FC5" wp14:editId="006FA825">
          <wp:simplePos x="0" y="0"/>
          <wp:positionH relativeFrom="column">
            <wp:posOffset>3986530</wp:posOffset>
          </wp:positionH>
          <wp:positionV relativeFrom="paragraph">
            <wp:posOffset>102194</wp:posOffset>
          </wp:positionV>
          <wp:extent cx="1774800" cy="658800"/>
          <wp:effectExtent l="0" t="0" r="0" b="0"/>
          <wp:wrapTight wrapText="bothSides">
            <wp:wrapPolygon edited="0">
              <wp:start x="8581" y="625"/>
              <wp:lineTo x="3247" y="1875"/>
              <wp:lineTo x="928" y="4999"/>
              <wp:lineTo x="928" y="11873"/>
              <wp:lineTo x="2087" y="19996"/>
              <wp:lineTo x="9741" y="19996"/>
              <wp:lineTo x="7422" y="12498"/>
              <wp:lineTo x="19714" y="11873"/>
              <wp:lineTo x="19946" y="6874"/>
              <wp:lineTo x="9741" y="625"/>
              <wp:lineTo x="8581" y="62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658800"/>
                  </a:xfrm>
                  <a:prstGeom prst="rect">
                    <a:avLst/>
                  </a:prstGeom>
                  <a:noFill/>
                </pic:spPr>
              </pic:pic>
            </a:graphicData>
          </a:graphic>
        </wp:anchor>
      </w:drawing>
    </w:r>
    <w:r>
      <w:rPr>
        <w:noProof/>
      </w:rPr>
      <w:drawing>
        <wp:inline distT="0" distB="0" distL="0" distR="0" wp14:anchorId="5692432B" wp14:editId="4427BD83">
          <wp:extent cx="1139825" cy="89598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895985"/>
                  </a:xfrm>
                  <a:prstGeom prst="rect">
                    <a:avLst/>
                  </a:prstGeom>
                  <a:noFill/>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4443A"/>
    <w:multiLevelType w:val="multilevel"/>
    <w:tmpl w:val="CEF4165E"/>
    <w:lvl w:ilvl="0">
      <w:start w:val="1"/>
      <w:numFmt w:val="decimal"/>
      <w:pStyle w:val="BodyText"/>
      <w:lvlText w:val="%1."/>
      <w:lvlJc w:val="left"/>
      <w:pPr>
        <w:ind w:left="360" w:hanging="360"/>
      </w:pPr>
      <w:rPr>
        <w:rFonts w:ascii="Times New Roman" w:hAnsi="Times New Roman" w:cs="Times New Roman" w:hint="default"/>
        <w:b w:val="0"/>
        <w:i w:val="0"/>
        <w:color w:val="auto"/>
        <w:sz w:val="24"/>
        <w:szCs w:val="24"/>
      </w:rPr>
    </w:lvl>
    <w:lvl w:ilvl="1">
      <w:start w:val="1"/>
      <w:numFmt w:val="decimal"/>
      <w:isLgl/>
      <w:lvlText w:val="%1.%2."/>
      <w:lvlJc w:val="left"/>
      <w:pPr>
        <w:ind w:left="810" w:hanging="450"/>
      </w:pPr>
      <w:rPr>
        <w:rFonts w:ascii="Calibri" w:eastAsia="Calibri" w:hAnsi="Calibri" w:cs="Times New Roman" w:hint="default"/>
        <w:b/>
        <w:color w:val="365F91" w:themeColor="accent1" w:themeShade="BF"/>
        <w:sz w:val="28"/>
      </w:rPr>
    </w:lvl>
    <w:lvl w:ilvl="2">
      <w:start w:val="1"/>
      <w:numFmt w:val="decimal"/>
      <w:isLgl/>
      <w:lvlText w:val="%1.%2.%3."/>
      <w:lvlJc w:val="left"/>
      <w:pPr>
        <w:ind w:left="1080" w:hanging="720"/>
      </w:pPr>
      <w:rPr>
        <w:rFonts w:ascii="Calibri" w:eastAsia="Calibri" w:hAnsi="Calibri" w:cs="Times New Roman" w:hint="default"/>
        <w:b/>
        <w:color w:val="365F91" w:themeColor="accent1" w:themeShade="BF"/>
        <w:sz w:val="28"/>
      </w:rPr>
    </w:lvl>
    <w:lvl w:ilvl="3">
      <w:start w:val="1"/>
      <w:numFmt w:val="decimal"/>
      <w:isLgl/>
      <w:lvlText w:val="%1.%2.%3.%4."/>
      <w:lvlJc w:val="left"/>
      <w:pPr>
        <w:ind w:left="1080" w:hanging="720"/>
      </w:pPr>
      <w:rPr>
        <w:rFonts w:ascii="Calibri" w:eastAsia="Calibri" w:hAnsi="Calibri" w:cs="Times New Roman" w:hint="default"/>
        <w:b/>
        <w:color w:val="365F91" w:themeColor="accent1" w:themeShade="BF"/>
        <w:sz w:val="28"/>
      </w:rPr>
    </w:lvl>
    <w:lvl w:ilvl="4">
      <w:start w:val="1"/>
      <w:numFmt w:val="decimal"/>
      <w:isLgl/>
      <w:lvlText w:val="%1.%2.%3.%4.%5."/>
      <w:lvlJc w:val="left"/>
      <w:pPr>
        <w:ind w:left="1440" w:hanging="1080"/>
      </w:pPr>
      <w:rPr>
        <w:rFonts w:ascii="Calibri" w:eastAsia="Calibri" w:hAnsi="Calibri" w:cs="Times New Roman" w:hint="default"/>
        <w:b/>
        <w:color w:val="365F91" w:themeColor="accent1" w:themeShade="BF"/>
        <w:sz w:val="28"/>
      </w:rPr>
    </w:lvl>
    <w:lvl w:ilvl="5">
      <w:start w:val="1"/>
      <w:numFmt w:val="decimal"/>
      <w:isLgl/>
      <w:lvlText w:val="%1.%2.%3.%4.%5.%6."/>
      <w:lvlJc w:val="left"/>
      <w:pPr>
        <w:ind w:left="1440" w:hanging="1080"/>
      </w:pPr>
      <w:rPr>
        <w:rFonts w:ascii="Calibri" w:eastAsia="Calibri" w:hAnsi="Calibri" w:cs="Times New Roman" w:hint="default"/>
        <w:b/>
        <w:color w:val="365F91" w:themeColor="accent1" w:themeShade="BF"/>
        <w:sz w:val="28"/>
      </w:rPr>
    </w:lvl>
    <w:lvl w:ilvl="6">
      <w:start w:val="1"/>
      <w:numFmt w:val="decimal"/>
      <w:isLgl/>
      <w:lvlText w:val="%1.%2.%3.%4.%5.%6.%7."/>
      <w:lvlJc w:val="left"/>
      <w:pPr>
        <w:ind w:left="1800" w:hanging="1440"/>
      </w:pPr>
      <w:rPr>
        <w:rFonts w:ascii="Calibri" w:eastAsia="Calibri" w:hAnsi="Calibri" w:cs="Times New Roman" w:hint="default"/>
        <w:b/>
        <w:color w:val="365F91" w:themeColor="accent1" w:themeShade="BF"/>
        <w:sz w:val="28"/>
      </w:rPr>
    </w:lvl>
    <w:lvl w:ilvl="7">
      <w:start w:val="1"/>
      <w:numFmt w:val="decimal"/>
      <w:isLgl/>
      <w:lvlText w:val="%1.%2.%3.%4.%5.%6.%7.%8."/>
      <w:lvlJc w:val="left"/>
      <w:pPr>
        <w:ind w:left="1800" w:hanging="1440"/>
      </w:pPr>
      <w:rPr>
        <w:rFonts w:ascii="Calibri" w:eastAsia="Calibri" w:hAnsi="Calibri" w:cs="Times New Roman" w:hint="default"/>
        <w:b/>
        <w:color w:val="365F91" w:themeColor="accent1" w:themeShade="BF"/>
        <w:sz w:val="28"/>
      </w:rPr>
    </w:lvl>
    <w:lvl w:ilvl="8">
      <w:start w:val="1"/>
      <w:numFmt w:val="decimal"/>
      <w:isLgl/>
      <w:lvlText w:val="%1.%2.%3.%4.%5.%6.%7.%8.%9."/>
      <w:lvlJc w:val="left"/>
      <w:pPr>
        <w:ind w:left="2160" w:hanging="1800"/>
      </w:pPr>
      <w:rPr>
        <w:rFonts w:ascii="Calibri" w:eastAsia="Calibri" w:hAnsi="Calibri" w:cs="Times New Roman" w:hint="default"/>
        <w:b/>
        <w:color w:val="365F91" w:themeColor="accent1" w:themeShade="BF"/>
        <w:sz w:val="28"/>
      </w:rPr>
    </w:lvl>
  </w:abstractNum>
  <w:abstractNum w:abstractNumId="1">
    <w:nsid w:val="14CF0FBA"/>
    <w:multiLevelType w:val="hybridMultilevel"/>
    <w:tmpl w:val="15C8E07C"/>
    <w:lvl w:ilvl="0" w:tplc="79BA42BC">
      <w:start w:val="1"/>
      <w:numFmt w:val="lowerLetter"/>
      <w:lvlText w:val="(%1)"/>
      <w:lvlJc w:val="left"/>
      <w:pPr>
        <w:ind w:left="360" w:hanging="360"/>
      </w:pPr>
      <w:rPr>
        <w:rFonts w:ascii="Times New Roman" w:eastAsia="Calibri"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722242D"/>
    <w:multiLevelType w:val="hybridMultilevel"/>
    <w:tmpl w:val="B4F6E0C2"/>
    <w:lvl w:ilvl="0" w:tplc="A9940E04">
      <w:start w:val="1"/>
      <w:numFmt w:val="decimal"/>
      <w:pStyle w:val="TableTitle"/>
      <w:lvlText w:val="Table %1."/>
      <w:lvlJc w:val="left"/>
      <w:pPr>
        <w:ind w:left="2912" w:hanging="360"/>
      </w:pPr>
      <w:rPr>
        <w:rFonts w:hint="default"/>
      </w:r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3">
    <w:nsid w:val="18D97BB1"/>
    <w:multiLevelType w:val="hybridMultilevel"/>
    <w:tmpl w:val="1B165E38"/>
    <w:lvl w:ilvl="0" w:tplc="24EA8F52">
      <w:start w:val="1"/>
      <w:numFmt w:val="bullet"/>
      <w:lvlText w:val=""/>
      <w:lvlJc w:val="left"/>
      <w:pPr>
        <w:ind w:left="757" w:hanging="360"/>
      </w:pPr>
      <w:rPr>
        <w:rFonts w:ascii="Symbol" w:hAnsi="Symbol" w:hint="default"/>
      </w:rPr>
    </w:lvl>
    <w:lvl w:ilvl="1" w:tplc="04090003" w:tentative="1">
      <w:start w:val="1"/>
      <w:numFmt w:val="bullet"/>
      <w:lvlText w:val="o"/>
      <w:lvlJc w:val="left"/>
      <w:pPr>
        <w:ind w:left="403" w:hanging="360"/>
      </w:pPr>
      <w:rPr>
        <w:rFonts w:ascii="Courier New" w:hAnsi="Courier New" w:cs="Courier New" w:hint="default"/>
      </w:rPr>
    </w:lvl>
    <w:lvl w:ilvl="2" w:tplc="04090005" w:tentative="1">
      <w:start w:val="1"/>
      <w:numFmt w:val="bullet"/>
      <w:lvlText w:val=""/>
      <w:lvlJc w:val="left"/>
      <w:pPr>
        <w:ind w:left="1123" w:hanging="360"/>
      </w:pPr>
      <w:rPr>
        <w:rFonts w:ascii="Wingdings" w:hAnsi="Wingdings" w:hint="default"/>
      </w:rPr>
    </w:lvl>
    <w:lvl w:ilvl="3" w:tplc="04090001" w:tentative="1">
      <w:start w:val="1"/>
      <w:numFmt w:val="bullet"/>
      <w:lvlText w:val=""/>
      <w:lvlJc w:val="left"/>
      <w:pPr>
        <w:ind w:left="1843" w:hanging="360"/>
      </w:pPr>
      <w:rPr>
        <w:rFonts w:ascii="Symbol" w:hAnsi="Symbol" w:hint="default"/>
      </w:rPr>
    </w:lvl>
    <w:lvl w:ilvl="4" w:tplc="04090003" w:tentative="1">
      <w:start w:val="1"/>
      <w:numFmt w:val="bullet"/>
      <w:lvlText w:val="o"/>
      <w:lvlJc w:val="left"/>
      <w:pPr>
        <w:ind w:left="2563" w:hanging="360"/>
      </w:pPr>
      <w:rPr>
        <w:rFonts w:ascii="Courier New" w:hAnsi="Courier New" w:cs="Courier New" w:hint="default"/>
      </w:rPr>
    </w:lvl>
    <w:lvl w:ilvl="5" w:tplc="04090005" w:tentative="1">
      <w:start w:val="1"/>
      <w:numFmt w:val="bullet"/>
      <w:lvlText w:val=""/>
      <w:lvlJc w:val="left"/>
      <w:pPr>
        <w:ind w:left="3283" w:hanging="360"/>
      </w:pPr>
      <w:rPr>
        <w:rFonts w:ascii="Wingdings" w:hAnsi="Wingdings" w:hint="default"/>
      </w:rPr>
    </w:lvl>
    <w:lvl w:ilvl="6" w:tplc="04090001" w:tentative="1">
      <w:start w:val="1"/>
      <w:numFmt w:val="bullet"/>
      <w:lvlText w:val=""/>
      <w:lvlJc w:val="left"/>
      <w:pPr>
        <w:ind w:left="4003" w:hanging="360"/>
      </w:pPr>
      <w:rPr>
        <w:rFonts w:ascii="Symbol" w:hAnsi="Symbol" w:hint="default"/>
      </w:rPr>
    </w:lvl>
    <w:lvl w:ilvl="7" w:tplc="04090003" w:tentative="1">
      <w:start w:val="1"/>
      <w:numFmt w:val="bullet"/>
      <w:lvlText w:val="o"/>
      <w:lvlJc w:val="left"/>
      <w:pPr>
        <w:ind w:left="4723" w:hanging="360"/>
      </w:pPr>
      <w:rPr>
        <w:rFonts w:ascii="Courier New" w:hAnsi="Courier New" w:cs="Courier New" w:hint="default"/>
      </w:rPr>
    </w:lvl>
    <w:lvl w:ilvl="8" w:tplc="04090005" w:tentative="1">
      <w:start w:val="1"/>
      <w:numFmt w:val="bullet"/>
      <w:lvlText w:val=""/>
      <w:lvlJc w:val="left"/>
      <w:pPr>
        <w:ind w:left="5443" w:hanging="360"/>
      </w:pPr>
      <w:rPr>
        <w:rFonts w:ascii="Wingdings" w:hAnsi="Wingdings" w:hint="default"/>
      </w:rPr>
    </w:lvl>
  </w:abstractNum>
  <w:abstractNum w:abstractNumId="4">
    <w:nsid w:val="1F3323D5"/>
    <w:multiLevelType w:val="hybridMultilevel"/>
    <w:tmpl w:val="C90A18AE"/>
    <w:lvl w:ilvl="0" w:tplc="C8E22FD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53536C"/>
    <w:multiLevelType w:val="hybridMultilevel"/>
    <w:tmpl w:val="56E6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9E69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C922A8C"/>
    <w:multiLevelType w:val="hybridMultilevel"/>
    <w:tmpl w:val="409CF882"/>
    <w:lvl w:ilvl="0" w:tplc="5C2C823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331BC4"/>
    <w:multiLevelType w:val="hybridMultilevel"/>
    <w:tmpl w:val="E0862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1D6ED0"/>
    <w:multiLevelType w:val="hybridMultilevel"/>
    <w:tmpl w:val="D3BC5F2C"/>
    <w:lvl w:ilvl="0" w:tplc="7DE40F28">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1F41D1"/>
    <w:multiLevelType w:val="multilevel"/>
    <w:tmpl w:val="609E0030"/>
    <w:lvl w:ilvl="0">
      <w:start w:val="1"/>
      <w:numFmt w:val="bullet"/>
      <w:lvlText w:val=""/>
      <w:lvlJc w:val="left"/>
      <w:pPr>
        <w:ind w:left="360" w:hanging="360"/>
      </w:pPr>
      <w:rPr>
        <w:rFonts w:ascii="Symbol" w:hAnsi="Symbol" w:hint="default"/>
        <w:b w:val="0"/>
        <w:i w:val="0"/>
        <w:color w:val="auto"/>
        <w:sz w:val="24"/>
        <w:szCs w:val="24"/>
      </w:rPr>
    </w:lvl>
    <w:lvl w:ilvl="1">
      <w:start w:val="1"/>
      <w:numFmt w:val="decimal"/>
      <w:isLgl/>
      <w:lvlText w:val="%1.%2."/>
      <w:lvlJc w:val="left"/>
      <w:pPr>
        <w:ind w:left="810" w:hanging="450"/>
      </w:pPr>
      <w:rPr>
        <w:rFonts w:ascii="Calibri" w:eastAsia="Calibri" w:hAnsi="Calibri" w:cs="Times New Roman" w:hint="default"/>
        <w:b/>
        <w:color w:val="365F91" w:themeColor="accent1" w:themeShade="BF"/>
        <w:sz w:val="28"/>
      </w:rPr>
    </w:lvl>
    <w:lvl w:ilvl="2">
      <w:start w:val="1"/>
      <w:numFmt w:val="decimal"/>
      <w:isLgl/>
      <w:lvlText w:val="%1.%2.%3."/>
      <w:lvlJc w:val="left"/>
      <w:pPr>
        <w:ind w:left="1080" w:hanging="720"/>
      </w:pPr>
      <w:rPr>
        <w:rFonts w:ascii="Calibri" w:eastAsia="Calibri" w:hAnsi="Calibri" w:cs="Times New Roman" w:hint="default"/>
        <w:b/>
        <w:color w:val="365F91" w:themeColor="accent1" w:themeShade="BF"/>
        <w:sz w:val="28"/>
      </w:rPr>
    </w:lvl>
    <w:lvl w:ilvl="3">
      <w:start w:val="1"/>
      <w:numFmt w:val="decimal"/>
      <w:isLgl/>
      <w:lvlText w:val="%1.%2.%3.%4."/>
      <w:lvlJc w:val="left"/>
      <w:pPr>
        <w:ind w:left="1080" w:hanging="720"/>
      </w:pPr>
      <w:rPr>
        <w:rFonts w:ascii="Calibri" w:eastAsia="Calibri" w:hAnsi="Calibri" w:cs="Times New Roman" w:hint="default"/>
        <w:b/>
        <w:color w:val="365F91" w:themeColor="accent1" w:themeShade="BF"/>
        <w:sz w:val="28"/>
      </w:rPr>
    </w:lvl>
    <w:lvl w:ilvl="4">
      <w:start w:val="1"/>
      <w:numFmt w:val="decimal"/>
      <w:isLgl/>
      <w:lvlText w:val="%1.%2.%3.%4.%5."/>
      <w:lvlJc w:val="left"/>
      <w:pPr>
        <w:ind w:left="1440" w:hanging="1080"/>
      </w:pPr>
      <w:rPr>
        <w:rFonts w:ascii="Calibri" w:eastAsia="Calibri" w:hAnsi="Calibri" w:cs="Times New Roman" w:hint="default"/>
        <w:b/>
        <w:color w:val="365F91" w:themeColor="accent1" w:themeShade="BF"/>
        <w:sz w:val="28"/>
      </w:rPr>
    </w:lvl>
    <w:lvl w:ilvl="5">
      <w:start w:val="1"/>
      <w:numFmt w:val="decimal"/>
      <w:isLgl/>
      <w:lvlText w:val="%1.%2.%3.%4.%5.%6."/>
      <w:lvlJc w:val="left"/>
      <w:pPr>
        <w:ind w:left="1440" w:hanging="1080"/>
      </w:pPr>
      <w:rPr>
        <w:rFonts w:ascii="Calibri" w:eastAsia="Calibri" w:hAnsi="Calibri" w:cs="Times New Roman" w:hint="default"/>
        <w:b/>
        <w:color w:val="365F91" w:themeColor="accent1" w:themeShade="BF"/>
        <w:sz w:val="28"/>
      </w:rPr>
    </w:lvl>
    <w:lvl w:ilvl="6">
      <w:start w:val="1"/>
      <w:numFmt w:val="decimal"/>
      <w:isLgl/>
      <w:lvlText w:val="%1.%2.%3.%4.%5.%6.%7."/>
      <w:lvlJc w:val="left"/>
      <w:pPr>
        <w:ind w:left="1800" w:hanging="1440"/>
      </w:pPr>
      <w:rPr>
        <w:rFonts w:ascii="Calibri" w:eastAsia="Calibri" w:hAnsi="Calibri" w:cs="Times New Roman" w:hint="default"/>
        <w:b/>
        <w:color w:val="365F91" w:themeColor="accent1" w:themeShade="BF"/>
        <w:sz w:val="28"/>
      </w:rPr>
    </w:lvl>
    <w:lvl w:ilvl="7">
      <w:start w:val="1"/>
      <w:numFmt w:val="decimal"/>
      <w:isLgl/>
      <w:lvlText w:val="%1.%2.%3.%4.%5.%6.%7.%8."/>
      <w:lvlJc w:val="left"/>
      <w:pPr>
        <w:ind w:left="1800" w:hanging="1440"/>
      </w:pPr>
      <w:rPr>
        <w:rFonts w:ascii="Calibri" w:eastAsia="Calibri" w:hAnsi="Calibri" w:cs="Times New Roman" w:hint="default"/>
        <w:b/>
        <w:color w:val="365F91" w:themeColor="accent1" w:themeShade="BF"/>
        <w:sz w:val="28"/>
      </w:rPr>
    </w:lvl>
    <w:lvl w:ilvl="8">
      <w:start w:val="1"/>
      <w:numFmt w:val="decimal"/>
      <w:isLgl/>
      <w:lvlText w:val="%1.%2.%3.%4.%5.%6.%7.%8.%9."/>
      <w:lvlJc w:val="left"/>
      <w:pPr>
        <w:ind w:left="2160" w:hanging="1800"/>
      </w:pPr>
      <w:rPr>
        <w:rFonts w:ascii="Calibri" w:eastAsia="Calibri" w:hAnsi="Calibri" w:cs="Times New Roman" w:hint="default"/>
        <w:b/>
        <w:color w:val="365F91" w:themeColor="accent1" w:themeShade="BF"/>
        <w:sz w:val="28"/>
      </w:rPr>
    </w:lvl>
  </w:abstractNum>
  <w:abstractNum w:abstractNumId="11">
    <w:nsid w:val="51324374"/>
    <w:multiLevelType w:val="hybridMultilevel"/>
    <w:tmpl w:val="16EA6A56"/>
    <w:lvl w:ilvl="0" w:tplc="031ECEBC">
      <w:start w:val="1"/>
      <w:numFmt w:val="upperRoman"/>
      <w:pStyle w:val="WBNormalNumbered"/>
      <w:lvlText w:val="%1."/>
      <w:lvlJc w:val="left"/>
      <w:pPr>
        <w:ind w:left="720" w:hanging="360"/>
      </w:pPr>
      <w:rPr>
        <w:rFonts w:hint="default"/>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5ED4459F"/>
    <w:multiLevelType w:val="hybridMultilevel"/>
    <w:tmpl w:val="6EDA3AC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074AEE"/>
    <w:multiLevelType w:val="hybridMultilevel"/>
    <w:tmpl w:val="92D68CDA"/>
    <w:lvl w:ilvl="0" w:tplc="0330860E">
      <w:start w:val="1"/>
      <w:numFmt w:val="bullet"/>
      <w:pStyle w:val="BulletNormal"/>
      <w:lvlText w:val=""/>
      <w:lvlJc w:val="left"/>
      <w:pPr>
        <w:ind w:left="720" w:hanging="360"/>
      </w:pPr>
      <w:rPr>
        <w:rFonts w:ascii="Symbol" w:hAnsi="Symbol" w:hint="default"/>
        <w:color w:val="auto"/>
        <w:sz w:val="20"/>
        <w:szCs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69AB20E9"/>
    <w:multiLevelType w:val="hybridMultilevel"/>
    <w:tmpl w:val="AD16D32C"/>
    <w:lvl w:ilvl="0" w:tplc="8938D26A">
      <w:start w:val="1"/>
      <w:numFmt w:val="decimal"/>
      <w:lvlText w:val="%1-"/>
      <w:lvlJc w:val="left"/>
      <w:pPr>
        <w:ind w:left="720" w:hanging="360"/>
      </w:pPr>
      <w:rPr>
        <w:rFonts w:ascii="Arial" w:hAnsi="Arial" w:cs="Arial" w:hint="default"/>
        <w:color w:val="222222"/>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13"/>
  </w:num>
  <w:num w:numId="3">
    <w:abstractNumId w:val="2"/>
  </w:num>
  <w:num w:numId="4">
    <w:abstractNumId w:val="3"/>
  </w:num>
  <w:num w:numId="5">
    <w:abstractNumId w:val="5"/>
  </w:num>
  <w:num w:numId="6">
    <w:abstractNumId w:val="0"/>
  </w:num>
  <w:num w:numId="7">
    <w:abstractNumId w:val="0"/>
  </w:num>
  <w:num w:numId="8">
    <w:abstractNumId w:val="12"/>
  </w:num>
  <w:num w:numId="9">
    <w:abstractNumId w:val="7"/>
  </w:num>
  <w:num w:numId="10">
    <w:abstractNumId w:val="4"/>
  </w:num>
  <w:num w:numId="11">
    <w:abstractNumId w:val="9"/>
  </w:num>
  <w:num w:numId="12">
    <w:abstractNumId w:val="8"/>
  </w:num>
  <w:num w:numId="13">
    <w:abstractNumId w:val="1"/>
  </w:num>
  <w:num w:numId="14">
    <w:abstractNumId w:val="1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131078" w:nlCheck="1" w:checkStyle="1"/>
  <w:activeWritingStyle w:appName="MSWord" w:lang="fr-FR" w:vendorID="64" w:dllVersion="131078" w:nlCheck="1" w:checkStyle="1"/>
  <w:defaultTabStop w:val="403"/>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sNewDoc" w:val="No"/>
  </w:docVars>
  <w:rsids>
    <w:rsidRoot w:val="008F4E27"/>
    <w:rsid w:val="000000FB"/>
    <w:rsid w:val="000006DA"/>
    <w:rsid w:val="00001C35"/>
    <w:rsid w:val="00002BB9"/>
    <w:rsid w:val="00003D7E"/>
    <w:rsid w:val="000057D5"/>
    <w:rsid w:val="00006B17"/>
    <w:rsid w:val="00007D09"/>
    <w:rsid w:val="0001001A"/>
    <w:rsid w:val="00010823"/>
    <w:rsid w:val="000110C4"/>
    <w:rsid w:val="0001140C"/>
    <w:rsid w:val="000131B2"/>
    <w:rsid w:val="00013468"/>
    <w:rsid w:val="000135BF"/>
    <w:rsid w:val="000135CB"/>
    <w:rsid w:val="000144DC"/>
    <w:rsid w:val="0001501D"/>
    <w:rsid w:val="00015332"/>
    <w:rsid w:val="000154BD"/>
    <w:rsid w:val="000174D8"/>
    <w:rsid w:val="000175E7"/>
    <w:rsid w:val="00017621"/>
    <w:rsid w:val="00022297"/>
    <w:rsid w:val="000233BE"/>
    <w:rsid w:val="000233E1"/>
    <w:rsid w:val="00025D69"/>
    <w:rsid w:val="00025F99"/>
    <w:rsid w:val="00026E50"/>
    <w:rsid w:val="0002768B"/>
    <w:rsid w:val="000303D7"/>
    <w:rsid w:val="0003199C"/>
    <w:rsid w:val="000319C9"/>
    <w:rsid w:val="0003202E"/>
    <w:rsid w:val="00032ED8"/>
    <w:rsid w:val="000338CF"/>
    <w:rsid w:val="0003406C"/>
    <w:rsid w:val="00034078"/>
    <w:rsid w:val="0003497C"/>
    <w:rsid w:val="00034E9D"/>
    <w:rsid w:val="000350FB"/>
    <w:rsid w:val="000355E0"/>
    <w:rsid w:val="000360B6"/>
    <w:rsid w:val="000363CB"/>
    <w:rsid w:val="00036642"/>
    <w:rsid w:val="0003688C"/>
    <w:rsid w:val="00036C91"/>
    <w:rsid w:val="00040793"/>
    <w:rsid w:val="000416E8"/>
    <w:rsid w:val="00041C67"/>
    <w:rsid w:val="00041CF7"/>
    <w:rsid w:val="00042159"/>
    <w:rsid w:val="00042448"/>
    <w:rsid w:val="000437BC"/>
    <w:rsid w:val="000439ED"/>
    <w:rsid w:val="000440F3"/>
    <w:rsid w:val="000444ED"/>
    <w:rsid w:val="00044B14"/>
    <w:rsid w:val="00045FBE"/>
    <w:rsid w:val="00051AB4"/>
    <w:rsid w:val="00051FBA"/>
    <w:rsid w:val="00052200"/>
    <w:rsid w:val="00052A19"/>
    <w:rsid w:val="00052A60"/>
    <w:rsid w:val="00052DF3"/>
    <w:rsid w:val="00053425"/>
    <w:rsid w:val="00053BEB"/>
    <w:rsid w:val="00054055"/>
    <w:rsid w:val="000543EA"/>
    <w:rsid w:val="00054FF6"/>
    <w:rsid w:val="00055794"/>
    <w:rsid w:val="00055934"/>
    <w:rsid w:val="000561AC"/>
    <w:rsid w:val="000565E4"/>
    <w:rsid w:val="0005688F"/>
    <w:rsid w:val="0005700D"/>
    <w:rsid w:val="000579D0"/>
    <w:rsid w:val="00057E4A"/>
    <w:rsid w:val="000617E9"/>
    <w:rsid w:val="000618ED"/>
    <w:rsid w:val="00061C76"/>
    <w:rsid w:val="00061DA0"/>
    <w:rsid w:val="00061E23"/>
    <w:rsid w:val="00063541"/>
    <w:rsid w:val="000637BF"/>
    <w:rsid w:val="00063D3C"/>
    <w:rsid w:val="000647A6"/>
    <w:rsid w:val="000654C9"/>
    <w:rsid w:val="0006676D"/>
    <w:rsid w:val="0006742D"/>
    <w:rsid w:val="00067C19"/>
    <w:rsid w:val="00070980"/>
    <w:rsid w:val="000713B4"/>
    <w:rsid w:val="000717B7"/>
    <w:rsid w:val="00071FF6"/>
    <w:rsid w:val="00072CF6"/>
    <w:rsid w:val="00073645"/>
    <w:rsid w:val="000739C4"/>
    <w:rsid w:val="00073E95"/>
    <w:rsid w:val="000744BA"/>
    <w:rsid w:val="00074585"/>
    <w:rsid w:val="00075101"/>
    <w:rsid w:val="000752C9"/>
    <w:rsid w:val="0007639F"/>
    <w:rsid w:val="000770AB"/>
    <w:rsid w:val="000772F4"/>
    <w:rsid w:val="000830BF"/>
    <w:rsid w:val="00084F98"/>
    <w:rsid w:val="000859A6"/>
    <w:rsid w:val="00085E3F"/>
    <w:rsid w:val="000864B3"/>
    <w:rsid w:val="00086F10"/>
    <w:rsid w:val="00086F3F"/>
    <w:rsid w:val="00087C3B"/>
    <w:rsid w:val="00091B13"/>
    <w:rsid w:val="00092FF7"/>
    <w:rsid w:val="00093189"/>
    <w:rsid w:val="00093462"/>
    <w:rsid w:val="000936CA"/>
    <w:rsid w:val="000950B7"/>
    <w:rsid w:val="000951C5"/>
    <w:rsid w:val="00095893"/>
    <w:rsid w:val="00095E39"/>
    <w:rsid w:val="000963FD"/>
    <w:rsid w:val="00096BA6"/>
    <w:rsid w:val="00097F57"/>
    <w:rsid w:val="000A09C6"/>
    <w:rsid w:val="000A15C9"/>
    <w:rsid w:val="000A15E9"/>
    <w:rsid w:val="000A1E82"/>
    <w:rsid w:val="000A24E3"/>
    <w:rsid w:val="000A2538"/>
    <w:rsid w:val="000A2782"/>
    <w:rsid w:val="000A35F3"/>
    <w:rsid w:val="000A5DB9"/>
    <w:rsid w:val="000A62E7"/>
    <w:rsid w:val="000A7A18"/>
    <w:rsid w:val="000B053C"/>
    <w:rsid w:val="000B0766"/>
    <w:rsid w:val="000B0912"/>
    <w:rsid w:val="000B09A2"/>
    <w:rsid w:val="000B1EFD"/>
    <w:rsid w:val="000B2439"/>
    <w:rsid w:val="000B270D"/>
    <w:rsid w:val="000B30FF"/>
    <w:rsid w:val="000B404E"/>
    <w:rsid w:val="000B4303"/>
    <w:rsid w:val="000B511A"/>
    <w:rsid w:val="000B5BCA"/>
    <w:rsid w:val="000B6AB0"/>
    <w:rsid w:val="000B6DCB"/>
    <w:rsid w:val="000B77CF"/>
    <w:rsid w:val="000B7F72"/>
    <w:rsid w:val="000C0201"/>
    <w:rsid w:val="000C0D6C"/>
    <w:rsid w:val="000C20BD"/>
    <w:rsid w:val="000C2FDE"/>
    <w:rsid w:val="000C33F9"/>
    <w:rsid w:val="000C341E"/>
    <w:rsid w:val="000C3F42"/>
    <w:rsid w:val="000C4F37"/>
    <w:rsid w:val="000C68F3"/>
    <w:rsid w:val="000C6A48"/>
    <w:rsid w:val="000C6C82"/>
    <w:rsid w:val="000D1B9E"/>
    <w:rsid w:val="000D27A8"/>
    <w:rsid w:val="000D35A0"/>
    <w:rsid w:val="000D387C"/>
    <w:rsid w:val="000D41A6"/>
    <w:rsid w:val="000D4C0B"/>
    <w:rsid w:val="000D4C31"/>
    <w:rsid w:val="000D4D9B"/>
    <w:rsid w:val="000D54DB"/>
    <w:rsid w:val="000D617F"/>
    <w:rsid w:val="000D62CA"/>
    <w:rsid w:val="000D7C8C"/>
    <w:rsid w:val="000E020A"/>
    <w:rsid w:val="000E18A3"/>
    <w:rsid w:val="000E2592"/>
    <w:rsid w:val="000E38EB"/>
    <w:rsid w:val="000E3914"/>
    <w:rsid w:val="000E42DF"/>
    <w:rsid w:val="000E43F0"/>
    <w:rsid w:val="000E4D9E"/>
    <w:rsid w:val="000E53EB"/>
    <w:rsid w:val="000E6CB9"/>
    <w:rsid w:val="000F0ED7"/>
    <w:rsid w:val="000F0F0B"/>
    <w:rsid w:val="000F11EB"/>
    <w:rsid w:val="000F1882"/>
    <w:rsid w:val="000F192B"/>
    <w:rsid w:val="000F1B4C"/>
    <w:rsid w:val="000F2A29"/>
    <w:rsid w:val="000F2EC7"/>
    <w:rsid w:val="000F37A1"/>
    <w:rsid w:val="000F3A72"/>
    <w:rsid w:val="000F493E"/>
    <w:rsid w:val="000F5B30"/>
    <w:rsid w:val="000F5D28"/>
    <w:rsid w:val="000F61D0"/>
    <w:rsid w:val="000F762B"/>
    <w:rsid w:val="000F7978"/>
    <w:rsid w:val="001002C3"/>
    <w:rsid w:val="00100473"/>
    <w:rsid w:val="00100889"/>
    <w:rsid w:val="0010152E"/>
    <w:rsid w:val="00101543"/>
    <w:rsid w:val="001016F2"/>
    <w:rsid w:val="00101FF1"/>
    <w:rsid w:val="00102089"/>
    <w:rsid w:val="001044FF"/>
    <w:rsid w:val="001047F1"/>
    <w:rsid w:val="001072E6"/>
    <w:rsid w:val="00111EC1"/>
    <w:rsid w:val="001122D9"/>
    <w:rsid w:val="00112A17"/>
    <w:rsid w:val="00112D1A"/>
    <w:rsid w:val="0011314E"/>
    <w:rsid w:val="00113201"/>
    <w:rsid w:val="00113649"/>
    <w:rsid w:val="00114754"/>
    <w:rsid w:val="00115A00"/>
    <w:rsid w:val="00115A41"/>
    <w:rsid w:val="00116692"/>
    <w:rsid w:val="00116B24"/>
    <w:rsid w:val="00116FBE"/>
    <w:rsid w:val="0011731E"/>
    <w:rsid w:val="00117351"/>
    <w:rsid w:val="001174DA"/>
    <w:rsid w:val="00120814"/>
    <w:rsid w:val="001211B5"/>
    <w:rsid w:val="00123137"/>
    <w:rsid w:val="001232D1"/>
    <w:rsid w:val="001236D7"/>
    <w:rsid w:val="00123A3D"/>
    <w:rsid w:val="00124B2E"/>
    <w:rsid w:val="00124E02"/>
    <w:rsid w:val="00126F8B"/>
    <w:rsid w:val="00130169"/>
    <w:rsid w:val="0013191B"/>
    <w:rsid w:val="00131A6A"/>
    <w:rsid w:val="00131DC9"/>
    <w:rsid w:val="00131E45"/>
    <w:rsid w:val="001330F6"/>
    <w:rsid w:val="001333C2"/>
    <w:rsid w:val="001333CB"/>
    <w:rsid w:val="0013385E"/>
    <w:rsid w:val="00133A31"/>
    <w:rsid w:val="001352FD"/>
    <w:rsid w:val="00136653"/>
    <w:rsid w:val="00136B85"/>
    <w:rsid w:val="0013745F"/>
    <w:rsid w:val="00137C7D"/>
    <w:rsid w:val="001415A4"/>
    <w:rsid w:val="00142B78"/>
    <w:rsid w:val="00142BE1"/>
    <w:rsid w:val="00143C0A"/>
    <w:rsid w:val="00143E71"/>
    <w:rsid w:val="00144B0E"/>
    <w:rsid w:val="00145D20"/>
    <w:rsid w:val="00147AC5"/>
    <w:rsid w:val="0015151A"/>
    <w:rsid w:val="00151D33"/>
    <w:rsid w:val="001529E6"/>
    <w:rsid w:val="0015319F"/>
    <w:rsid w:val="0015337F"/>
    <w:rsid w:val="001535B2"/>
    <w:rsid w:val="00153881"/>
    <w:rsid w:val="00153963"/>
    <w:rsid w:val="00155118"/>
    <w:rsid w:val="00155450"/>
    <w:rsid w:val="00155F40"/>
    <w:rsid w:val="001564AA"/>
    <w:rsid w:val="00156BEE"/>
    <w:rsid w:val="00156C12"/>
    <w:rsid w:val="00157065"/>
    <w:rsid w:val="0016173F"/>
    <w:rsid w:val="00162373"/>
    <w:rsid w:val="001634F3"/>
    <w:rsid w:val="001638A5"/>
    <w:rsid w:val="00163A8E"/>
    <w:rsid w:val="001640DA"/>
    <w:rsid w:val="001646FB"/>
    <w:rsid w:val="001658AD"/>
    <w:rsid w:val="00165966"/>
    <w:rsid w:val="00166879"/>
    <w:rsid w:val="00166A66"/>
    <w:rsid w:val="001676DA"/>
    <w:rsid w:val="0016798D"/>
    <w:rsid w:val="001703DB"/>
    <w:rsid w:val="00170A8A"/>
    <w:rsid w:val="00170A92"/>
    <w:rsid w:val="001727CF"/>
    <w:rsid w:val="00172CC4"/>
    <w:rsid w:val="00173251"/>
    <w:rsid w:val="00173843"/>
    <w:rsid w:val="00174A72"/>
    <w:rsid w:val="00175E1B"/>
    <w:rsid w:val="00175FE5"/>
    <w:rsid w:val="001769D1"/>
    <w:rsid w:val="00176EF6"/>
    <w:rsid w:val="001779C0"/>
    <w:rsid w:val="00177DF6"/>
    <w:rsid w:val="00181BE4"/>
    <w:rsid w:val="00181C17"/>
    <w:rsid w:val="00181E6F"/>
    <w:rsid w:val="00182C9E"/>
    <w:rsid w:val="00182D35"/>
    <w:rsid w:val="001837B6"/>
    <w:rsid w:val="001841C4"/>
    <w:rsid w:val="001857EB"/>
    <w:rsid w:val="00185F24"/>
    <w:rsid w:val="0018650E"/>
    <w:rsid w:val="00186B62"/>
    <w:rsid w:val="00187EB3"/>
    <w:rsid w:val="00190158"/>
    <w:rsid w:val="00193527"/>
    <w:rsid w:val="001935AD"/>
    <w:rsid w:val="00194184"/>
    <w:rsid w:val="00195F2B"/>
    <w:rsid w:val="00195F84"/>
    <w:rsid w:val="0019665A"/>
    <w:rsid w:val="00196798"/>
    <w:rsid w:val="00196AAC"/>
    <w:rsid w:val="00196EB1"/>
    <w:rsid w:val="0019736C"/>
    <w:rsid w:val="001A028D"/>
    <w:rsid w:val="001A0A09"/>
    <w:rsid w:val="001A0ECE"/>
    <w:rsid w:val="001A2099"/>
    <w:rsid w:val="001A21CA"/>
    <w:rsid w:val="001A33D0"/>
    <w:rsid w:val="001A410D"/>
    <w:rsid w:val="001A45CC"/>
    <w:rsid w:val="001A46A3"/>
    <w:rsid w:val="001A59D1"/>
    <w:rsid w:val="001A62B9"/>
    <w:rsid w:val="001A63D8"/>
    <w:rsid w:val="001A663C"/>
    <w:rsid w:val="001A7A8B"/>
    <w:rsid w:val="001A7FC3"/>
    <w:rsid w:val="001B1AB4"/>
    <w:rsid w:val="001B3661"/>
    <w:rsid w:val="001B43D6"/>
    <w:rsid w:val="001B4451"/>
    <w:rsid w:val="001B4EB7"/>
    <w:rsid w:val="001B5830"/>
    <w:rsid w:val="001B6037"/>
    <w:rsid w:val="001B6503"/>
    <w:rsid w:val="001B7905"/>
    <w:rsid w:val="001C014E"/>
    <w:rsid w:val="001C09C1"/>
    <w:rsid w:val="001C1C9E"/>
    <w:rsid w:val="001C2093"/>
    <w:rsid w:val="001C2600"/>
    <w:rsid w:val="001C3E4A"/>
    <w:rsid w:val="001C3EDC"/>
    <w:rsid w:val="001C7007"/>
    <w:rsid w:val="001C7718"/>
    <w:rsid w:val="001C7CE8"/>
    <w:rsid w:val="001D0285"/>
    <w:rsid w:val="001D120B"/>
    <w:rsid w:val="001D1234"/>
    <w:rsid w:val="001D15CA"/>
    <w:rsid w:val="001D16FE"/>
    <w:rsid w:val="001D2559"/>
    <w:rsid w:val="001D310E"/>
    <w:rsid w:val="001D3ECF"/>
    <w:rsid w:val="001D4182"/>
    <w:rsid w:val="001D4DF4"/>
    <w:rsid w:val="001D6644"/>
    <w:rsid w:val="001D6778"/>
    <w:rsid w:val="001D6B56"/>
    <w:rsid w:val="001D6FC7"/>
    <w:rsid w:val="001E0505"/>
    <w:rsid w:val="001E1122"/>
    <w:rsid w:val="001E1ABD"/>
    <w:rsid w:val="001E1EC5"/>
    <w:rsid w:val="001E21EA"/>
    <w:rsid w:val="001E30D2"/>
    <w:rsid w:val="001E3127"/>
    <w:rsid w:val="001E37D1"/>
    <w:rsid w:val="001E3B42"/>
    <w:rsid w:val="001E3C31"/>
    <w:rsid w:val="001E541C"/>
    <w:rsid w:val="001E5C5C"/>
    <w:rsid w:val="001E686F"/>
    <w:rsid w:val="001E714F"/>
    <w:rsid w:val="001E7851"/>
    <w:rsid w:val="001E79DE"/>
    <w:rsid w:val="001F026A"/>
    <w:rsid w:val="001F10F5"/>
    <w:rsid w:val="001F20A2"/>
    <w:rsid w:val="001F2A6B"/>
    <w:rsid w:val="001F2DF5"/>
    <w:rsid w:val="001F33CF"/>
    <w:rsid w:val="001F37AC"/>
    <w:rsid w:val="001F4B4C"/>
    <w:rsid w:val="001F4B73"/>
    <w:rsid w:val="001F4E16"/>
    <w:rsid w:val="001F5020"/>
    <w:rsid w:val="001F50AE"/>
    <w:rsid w:val="001F6476"/>
    <w:rsid w:val="001F6887"/>
    <w:rsid w:val="001F7253"/>
    <w:rsid w:val="00200218"/>
    <w:rsid w:val="002010B5"/>
    <w:rsid w:val="00202C13"/>
    <w:rsid w:val="00203561"/>
    <w:rsid w:val="0020393A"/>
    <w:rsid w:val="0020418C"/>
    <w:rsid w:val="00204791"/>
    <w:rsid w:val="00205502"/>
    <w:rsid w:val="00205DF6"/>
    <w:rsid w:val="002067E8"/>
    <w:rsid w:val="002077EF"/>
    <w:rsid w:val="00211FE6"/>
    <w:rsid w:val="002122AB"/>
    <w:rsid w:val="00213018"/>
    <w:rsid w:val="00214B2E"/>
    <w:rsid w:val="00214C9F"/>
    <w:rsid w:val="002154B5"/>
    <w:rsid w:val="0022008C"/>
    <w:rsid w:val="00220753"/>
    <w:rsid w:val="00220D9B"/>
    <w:rsid w:val="002210D9"/>
    <w:rsid w:val="002213F2"/>
    <w:rsid w:val="002214F8"/>
    <w:rsid w:val="002219E0"/>
    <w:rsid w:val="00222696"/>
    <w:rsid w:val="00222937"/>
    <w:rsid w:val="00222F68"/>
    <w:rsid w:val="00224542"/>
    <w:rsid w:val="0022473C"/>
    <w:rsid w:val="002250E6"/>
    <w:rsid w:val="00225821"/>
    <w:rsid w:val="00225B17"/>
    <w:rsid w:val="00227A02"/>
    <w:rsid w:val="002300D1"/>
    <w:rsid w:val="00230F14"/>
    <w:rsid w:val="00230FAC"/>
    <w:rsid w:val="00231253"/>
    <w:rsid w:val="00231821"/>
    <w:rsid w:val="00231A6A"/>
    <w:rsid w:val="00231BD2"/>
    <w:rsid w:val="00232211"/>
    <w:rsid w:val="0023322B"/>
    <w:rsid w:val="00233AB6"/>
    <w:rsid w:val="00233EA4"/>
    <w:rsid w:val="0023471D"/>
    <w:rsid w:val="00234C1F"/>
    <w:rsid w:val="002350B8"/>
    <w:rsid w:val="00235991"/>
    <w:rsid w:val="00237670"/>
    <w:rsid w:val="00237B05"/>
    <w:rsid w:val="00237BEE"/>
    <w:rsid w:val="00240724"/>
    <w:rsid w:val="002407A8"/>
    <w:rsid w:val="002409FA"/>
    <w:rsid w:val="00241D67"/>
    <w:rsid w:val="002420E6"/>
    <w:rsid w:val="002442E2"/>
    <w:rsid w:val="00244A99"/>
    <w:rsid w:val="00245D67"/>
    <w:rsid w:val="002463BA"/>
    <w:rsid w:val="002468A4"/>
    <w:rsid w:val="00246C39"/>
    <w:rsid w:val="00247CEC"/>
    <w:rsid w:val="002501E6"/>
    <w:rsid w:val="00251539"/>
    <w:rsid w:val="00251595"/>
    <w:rsid w:val="00251869"/>
    <w:rsid w:val="0025386C"/>
    <w:rsid w:val="00253FB6"/>
    <w:rsid w:val="00254434"/>
    <w:rsid w:val="00254CF5"/>
    <w:rsid w:val="00257064"/>
    <w:rsid w:val="00262118"/>
    <w:rsid w:val="00262B4C"/>
    <w:rsid w:val="00263B4B"/>
    <w:rsid w:val="0026446C"/>
    <w:rsid w:val="00265B74"/>
    <w:rsid w:val="002663B2"/>
    <w:rsid w:val="00266437"/>
    <w:rsid w:val="00266862"/>
    <w:rsid w:val="00266931"/>
    <w:rsid w:val="00266C3F"/>
    <w:rsid w:val="00270025"/>
    <w:rsid w:val="00270242"/>
    <w:rsid w:val="00270364"/>
    <w:rsid w:val="00271920"/>
    <w:rsid w:val="00273F29"/>
    <w:rsid w:val="00274FA9"/>
    <w:rsid w:val="00275652"/>
    <w:rsid w:val="002764A5"/>
    <w:rsid w:val="00276537"/>
    <w:rsid w:val="002771B3"/>
    <w:rsid w:val="00280498"/>
    <w:rsid w:val="00281F87"/>
    <w:rsid w:val="0028219B"/>
    <w:rsid w:val="00283671"/>
    <w:rsid w:val="0028454F"/>
    <w:rsid w:val="00285E09"/>
    <w:rsid w:val="00285F09"/>
    <w:rsid w:val="00287F03"/>
    <w:rsid w:val="00290190"/>
    <w:rsid w:val="00290199"/>
    <w:rsid w:val="002902F6"/>
    <w:rsid w:val="0029097E"/>
    <w:rsid w:val="002909AF"/>
    <w:rsid w:val="00291476"/>
    <w:rsid w:val="00293A33"/>
    <w:rsid w:val="00293A87"/>
    <w:rsid w:val="002950EA"/>
    <w:rsid w:val="0029551D"/>
    <w:rsid w:val="00295F1A"/>
    <w:rsid w:val="002960D0"/>
    <w:rsid w:val="002964F3"/>
    <w:rsid w:val="00296A9C"/>
    <w:rsid w:val="0029718C"/>
    <w:rsid w:val="0029766B"/>
    <w:rsid w:val="00297E7A"/>
    <w:rsid w:val="00297F53"/>
    <w:rsid w:val="002A07BB"/>
    <w:rsid w:val="002A09C6"/>
    <w:rsid w:val="002A14EB"/>
    <w:rsid w:val="002A265F"/>
    <w:rsid w:val="002A2750"/>
    <w:rsid w:val="002A3799"/>
    <w:rsid w:val="002A41FA"/>
    <w:rsid w:val="002A5507"/>
    <w:rsid w:val="002A5B2B"/>
    <w:rsid w:val="002A5C95"/>
    <w:rsid w:val="002A7D39"/>
    <w:rsid w:val="002B0775"/>
    <w:rsid w:val="002B0AE6"/>
    <w:rsid w:val="002B18E0"/>
    <w:rsid w:val="002B2A3D"/>
    <w:rsid w:val="002B3BA5"/>
    <w:rsid w:val="002B4C33"/>
    <w:rsid w:val="002B6276"/>
    <w:rsid w:val="002B6321"/>
    <w:rsid w:val="002B6766"/>
    <w:rsid w:val="002B6E9E"/>
    <w:rsid w:val="002B6EE2"/>
    <w:rsid w:val="002C036B"/>
    <w:rsid w:val="002C046B"/>
    <w:rsid w:val="002C1613"/>
    <w:rsid w:val="002C19D9"/>
    <w:rsid w:val="002C2767"/>
    <w:rsid w:val="002C2858"/>
    <w:rsid w:val="002C433D"/>
    <w:rsid w:val="002C494D"/>
    <w:rsid w:val="002C4B38"/>
    <w:rsid w:val="002C59F3"/>
    <w:rsid w:val="002C5F5A"/>
    <w:rsid w:val="002D0757"/>
    <w:rsid w:val="002D2881"/>
    <w:rsid w:val="002D2C0C"/>
    <w:rsid w:val="002D487B"/>
    <w:rsid w:val="002D55E3"/>
    <w:rsid w:val="002D565B"/>
    <w:rsid w:val="002D62DE"/>
    <w:rsid w:val="002D75AD"/>
    <w:rsid w:val="002D7DD0"/>
    <w:rsid w:val="002E04CC"/>
    <w:rsid w:val="002E0B82"/>
    <w:rsid w:val="002E0C63"/>
    <w:rsid w:val="002E0FA2"/>
    <w:rsid w:val="002E1B15"/>
    <w:rsid w:val="002E37FB"/>
    <w:rsid w:val="002E5859"/>
    <w:rsid w:val="002E6C3E"/>
    <w:rsid w:val="002E7B59"/>
    <w:rsid w:val="002F06DB"/>
    <w:rsid w:val="002F1D7C"/>
    <w:rsid w:val="002F2BB7"/>
    <w:rsid w:val="002F2C52"/>
    <w:rsid w:val="002F3893"/>
    <w:rsid w:val="002F3A5F"/>
    <w:rsid w:val="002F3C62"/>
    <w:rsid w:val="002F4738"/>
    <w:rsid w:val="002F4A0E"/>
    <w:rsid w:val="002F5FE8"/>
    <w:rsid w:val="002F68CD"/>
    <w:rsid w:val="002F754F"/>
    <w:rsid w:val="0030027B"/>
    <w:rsid w:val="00300542"/>
    <w:rsid w:val="00300DB7"/>
    <w:rsid w:val="00301A0A"/>
    <w:rsid w:val="00302029"/>
    <w:rsid w:val="003024EE"/>
    <w:rsid w:val="003040BB"/>
    <w:rsid w:val="00304417"/>
    <w:rsid w:val="0030455E"/>
    <w:rsid w:val="00304821"/>
    <w:rsid w:val="003055AB"/>
    <w:rsid w:val="003070CC"/>
    <w:rsid w:val="00307AF2"/>
    <w:rsid w:val="003101CA"/>
    <w:rsid w:val="003108CE"/>
    <w:rsid w:val="00311222"/>
    <w:rsid w:val="00311A24"/>
    <w:rsid w:val="00312224"/>
    <w:rsid w:val="003122C8"/>
    <w:rsid w:val="00312A98"/>
    <w:rsid w:val="00312F96"/>
    <w:rsid w:val="00313E01"/>
    <w:rsid w:val="00314FDD"/>
    <w:rsid w:val="00315575"/>
    <w:rsid w:val="00315AA7"/>
    <w:rsid w:val="00315BCC"/>
    <w:rsid w:val="00315D50"/>
    <w:rsid w:val="003164C9"/>
    <w:rsid w:val="00316E2D"/>
    <w:rsid w:val="00317040"/>
    <w:rsid w:val="003175F1"/>
    <w:rsid w:val="00317B41"/>
    <w:rsid w:val="00317E5D"/>
    <w:rsid w:val="00317E83"/>
    <w:rsid w:val="00320819"/>
    <w:rsid w:val="00321849"/>
    <w:rsid w:val="00322219"/>
    <w:rsid w:val="00323623"/>
    <w:rsid w:val="00323A1E"/>
    <w:rsid w:val="003241F7"/>
    <w:rsid w:val="00324492"/>
    <w:rsid w:val="00324994"/>
    <w:rsid w:val="003251D3"/>
    <w:rsid w:val="00326BD3"/>
    <w:rsid w:val="003270F8"/>
    <w:rsid w:val="003271E3"/>
    <w:rsid w:val="003311C7"/>
    <w:rsid w:val="0033163C"/>
    <w:rsid w:val="00331860"/>
    <w:rsid w:val="0033193D"/>
    <w:rsid w:val="00331C7B"/>
    <w:rsid w:val="00332898"/>
    <w:rsid w:val="003331C6"/>
    <w:rsid w:val="003342E5"/>
    <w:rsid w:val="00335307"/>
    <w:rsid w:val="0033543A"/>
    <w:rsid w:val="003359AA"/>
    <w:rsid w:val="00335B3F"/>
    <w:rsid w:val="00336511"/>
    <w:rsid w:val="003377E7"/>
    <w:rsid w:val="003405D0"/>
    <w:rsid w:val="0034174C"/>
    <w:rsid w:val="00342E44"/>
    <w:rsid w:val="00343AEA"/>
    <w:rsid w:val="00344BC1"/>
    <w:rsid w:val="00345096"/>
    <w:rsid w:val="003450C5"/>
    <w:rsid w:val="00346BF6"/>
    <w:rsid w:val="00346D4A"/>
    <w:rsid w:val="00347E80"/>
    <w:rsid w:val="00347EB5"/>
    <w:rsid w:val="00350F07"/>
    <w:rsid w:val="00351BF0"/>
    <w:rsid w:val="003520FD"/>
    <w:rsid w:val="00352C64"/>
    <w:rsid w:val="0035342E"/>
    <w:rsid w:val="003542D8"/>
    <w:rsid w:val="0035472E"/>
    <w:rsid w:val="003549C4"/>
    <w:rsid w:val="00354F42"/>
    <w:rsid w:val="00354FD2"/>
    <w:rsid w:val="00355A55"/>
    <w:rsid w:val="00360966"/>
    <w:rsid w:val="00360E4C"/>
    <w:rsid w:val="003616F4"/>
    <w:rsid w:val="00361933"/>
    <w:rsid w:val="00361B54"/>
    <w:rsid w:val="003627D6"/>
    <w:rsid w:val="00362D5D"/>
    <w:rsid w:val="003633F7"/>
    <w:rsid w:val="00364A3B"/>
    <w:rsid w:val="00365272"/>
    <w:rsid w:val="003654B9"/>
    <w:rsid w:val="00365A94"/>
    <w:rsid w:val="003670B9"/>
    <w:rsid w:val="00367879"/>
    <w:rsid w:val="00370159"/>
    <w:rsid w:val="00370171"/>
    <w:rsid w:val="003725F4"/>
    <w:rsid w:val="003727CA"/>
    <w:rsid w:val="0037309F"/>
    <w:rsid w:val="003742AA"/>
    <w:rsid w:val="0037433B"/>
    <w:rsid w:val="00374609"/>
    <w:rsid w:val="00374B17"/>
    <w:rsid w:val="00374BD0"/>
    <w:rsid w:val="0037516B"/>
    <w:rsid w:val="0037582A"/>
    <w:rsid w:val="003759A1"/>
    <w:rsid w:val="0037602C"/>
    <w:rsid w:val="003772F3"/>
    <w:rsid w:val="00377D7F"/>
    <w:rsid w:val="00381494"/>
    <w:rsid w:val="00381992"/>
    <w:rsid w:val="00382B7D"/>
    <w:rsid w:val="00382D1B"/>
    <w:rsid w:val="00382F39"/>
    <w:rsid w:val="00383163"/>
    <w:rsid w:val="00384B8F"/>
    <w:rsid w:val="0038505A"/>
    <w:rsid w:val="00385388"/>
    <w:rsid w:val="00385510"/>
    <w:rsid w:val="0038616F"/>
    <w:rsid w:val="00386299"/>
    <w:rsid w:val="003863DC"/>
    <w:rsid w:val="00386C3B"/>
    <w:rsid w:val="003870C5"/>
    <w:rsid w:val="0038765C"/>
    <w:rsid w:val="003877C2"/>
    <w:rsid w:val="00390392"/>
    <w:rsid w:val="0039115F"/>
    <w:rsid w:val="003929CE"/>
    <w:rsid w:val="00392D3D"/>
    <w:rsid w:val="00393380"/>
    <w:rsid w:val="003934D0"/>
    <w:rsid w:val="0039356F"/>
    <w:rsid w:val="00393FB2"/>
    <w:rsid w:val="003945C9"/>
    <w:rsid w:val="003946C0"/>
    <w:rsid w:val="00394706"/>
    <w:rsid w:val="0039487C"/>
    <w:rsid w:val="0039488D"/>
    <w:rsid w:val="0039494D"/>
    <w:rsid w:val="00394FCD"/>
    <w:rsid w:val="00395894"/>
    <w:rsid w:val="00395AF6"/>
    <w:rsid w:val="00395B63"/>
    <w:rsid w:val="003960CB"/>
    <w:rsid w:val="0039680D"/>
    <w:rsid w:val="00397469"/>
    <w:rsid w:val="00397476"/>
    <w:rsid w:val="00397A9F"/>
    <w:rsid w:val="00397BE7"/>
    <w:rsid w:val="003A0C1E"/>
    <w:rsid w:val="003A15F2"/>
    <w:rsid w:val="003A1A93"/>
    <w:rsid w:val="003A1C3F"/>
    <w:rsid w:val="003A1E47"/>
    <w:rsid w:val="003A316D"/>
    <w:rsid w:val="003A3483"/>
    <w:rsid w:val="003A3B50"/>
    <w:rsid w:val="003A4775"/>
    <w:rsid w:val="003A74AA"/>
    <w:rsid w:val="003B0BE6"/>
    <w:rsid w:val="003B0C20"/>
    <w:rsid w:val="003B113A"/>
    <w:rsid w:val="003B122F"/>
    <w:rsid w:val="003B141E"/>
    <w:rsid w:val="003B1559"/>
    <w:rsid w:val="003B16FB"/>
    <w:rsid w:val="003B1B3B"/>
    <w:rsid w:val="003B1CF2"/>
    <w:rsid w:val="003B223E"/>
    <w:rsid w:val="003B27CD"/>
    <w:rsid w:val="003B3425"/>
    <w:rsid w:val="003B36A8"/>
    <w:rsid w:val="003B5B33"/>
    <w:rsid w:val="003B5EF0"/>
    <w:rsid w:val="003B6DDC"/>
    <w:rsid w:val="003B713B"/>
    <w:rsid w:val="003B728A"/>
    <w:rsid w:val="003B7292"/>
    <w:rsid w:val="003B77B7"/>
    <w:rsid w:val="003B78A4"/>
    <w:rsid w:val="003B7F7E"/>
    <w:rsid w:val="003C04C7"/>
    <w:rsid w:val="003C0C1A"/>
    <w:rsid w:val="003C195A"/>
    <w:rsid w:val="003C2064"/>
    <w:rsid w:val="003C2448"/>
    <w:rsid w:val="003C2756"/>
    <w:rsid w:val="003C3298"/>
    <w:rsid w:val="003C35AB"/>
    <w:rsid w:val="003C3B87"/>
    <w:rsid w:val="003C3D09"/>
    <w:rsid w:val="003C3DD4"/>
    <w:rsid w:val="003C47B7"/>
    <w:rsid w:val="003C484E"/>
    <w:rsid w:val="003C4A85"/>
    <w:rsid w:val="003C52A7"/>
    <w:rsid w:val="003C61DB"/>
    <w:rsid w:val="003C6496"/>
    <w:rsid w:val="003C6AE0"/>
    <w:rsid w:val="003C6B28"/>
    <w:rsid w:val="003C6DF4"/>
    <w:rsid w:val="003C6FD5"/>
    <w:rsid w:val="003C7CFA"/>
    <w:rsid w:val="003D0A3A"/>
    <w:rsid w:val="003D1485"/>
    <w:rsid w:val="003D1798"/>
    <w:rsid w:val="003D1BA4"/>
    <w:rsid w:val="003D1D53"/>
    <w:rsid w:val="003D2FE3"/>
    <w:rsid w:val="003D3D72"/>
    <w:rsid w:val="003D455A"/>
    <w:rsid w:val="003D4E81"/>
    <w:rsid w:val="003D6250"/>
    <w:rsid w:val="003D64B7"/>
    <w:rsid w:val="003D677E"/>
    <w:rsid w:val="003D7ADB"/>
    <w:rsid w:val="003D7D83"/>
    <w:rsid w:val="003E4044"/>
    <w:rsid w:val="003E46B7"/>
    <w:rsid w:val="003E4CA9"/>
    <w:rsid w:val="003E4CDE"/>
    <w:rsid w:val="003E6D36"/>
    <w:rsid w:val="003E6ED2"/>
    <w:rsid w:val="003F003D"/>
    <w:rsid w:val="003F022E"/>
    <w:rsid w:val="003F03FF"/>
    <w:rsid w:val="003F1019"/>
    <w:rsid w:val="003F2B32"/>
    <w:rsid w:val="003F2D12"/>
    <w:rsid w:val="003F346B"/>
    <w:rsid w:val="003F3A30"/>
    <w:rsid w:val="003F3A64"/>
    <w:rsid w:val="003F3B29"/>
    <w:rsid w:val="003F3FB4"/>
    <w:rsid w:val="003F4461"/>
    <w:rsid w:val="003F458B"/>
    <w:rsid w:val="003F471D"/>
    <w:rsid w:val="003F5B51"/>
    <w:rsid w:val="003F795E"/>
    <w:rsid w:val="00401664"/>
    <w:rsid w:val="004022B3"/>
    <w:rsid w:val="00402C97"/>
    <w:rsid w:val="004030EF"/>
    <w:rsid w:val="00403528"/>
    <w:rsid w:val="004037E0"/>
    <w:rsid w:val="004054A6"/>
    <w:rsid w:val="00405853"/>
    <w:rsid w:val="00405925"/>
    <w:rsid w:val="00405AAA"/>
    <w:rsid w:val="0040694C"/>
    <w:rsid w:val="00407B8D"/>
    <w:rsid w:val="00410851"/>
    <w:rsid w:val="00410ADF"/>
    <w:rsid w:val="00410CBF"/>
    <w:rsid w:val="0041142A"/>
    <w:rsid w:val="004117F7"/>
    <w:rsid w:val="00411FB5"/>
    <w:rsid w:val="00412C95"/>
    <w:rsid w:val="004133F3"/>
    <w:rsid w:val="00414262"/>
    <w:rsid w:val="00414947"/>
    <w:rsid w:val="00414E9B"/>
    <w:rsid w:val="00414EB0"/>
    <w:rsid w:val="004151EF"/>
    <w:rsid w:val="0041544E"/>
    <w:rsid w:val="00415634"/>
    <w:rsid w:val="00415E3C"/>
    <w:rsid w:val="00416B65"/>
    <w:rsid w:val="004170CC"/>
    <w:rsid w:val="004179C5"/>
    <w:rsid w:val="00417D92"/>
    <w:rsid w:val="004200AD"/>
    <w:rsid w:val="004200FC"/>
    <w:rsid w:val="0042024B"/>
    <w:rsid w:val="004203F8"/>
    <w:rsid w:val="00420DE4"/>
    <w:rsid w:val="004219DE"/>
    <w:rsid w:val="00421A75"/>
    <w:rsid w:val="00421EDA"/>
    <w:rsid w:val="004220DB"/>
    <w:rsid w:val="00422EF4"/>
    <w:rsid w:val="0042346C"/>
    <w:rsid w:val="00423DB4"/>
    <w:rsid w:val="00423E64"/>
    <w:rsid w:val="004243FB"/>
    <w:rsid w:val="004269D1"/>
    <w:rsid w:val="00431461"/>
    <w:rsid w:val="00432B1A"/>
    <w:rsid w:val="00432C6C"/>
    <w:rsid w:val="0043430A"/>
    <w:rsid w:val="0043459F"/>
    <w:rsid w:val="00435296"/>
    <w:rsid w:val="0043687C"/>
    <w:rsid w:val="0043734D"/>
    <w:rsid w:val="00437921"/>
    <w:rsid w:val="00437BCA"/>
    <w:rsid w:val="00437C30"/>
    <w:rsid w:val="004417E6"/>
    <w:rsid w:val="004426D3"/>
    <w:rsid w:val="00442982"/>
    <w:rsid w:val="00442AB5"/>
    <w:rsid w:val="00442CBB"/>
    <w:rsid w:val="0044304F"/>
    <w:rsid w:val="0044319A"/>
    <w:rsid w:val="004436ED"/>
    <w:rsid w:val="00443D73"/>
    <w:rsid w:val="00444A13"/>
    <w:rsid w:val="00445DEB"/>
    <w:rsid w:val="00446254"/>
    <w:rsid w:val="0044636F"/>
    <w:rsid w:val="0044654D"/>
    <w:rsid w:val="00446D81"/>
    <w:rsid w:val="004472FB"/>
    <w:rsid w:val="00447797"/>
    <w:rsid w:val="00447E2E"/>
    <w:rsid w:val="00450282"/>
    <w:rsid w:val="004504AF"/>
    <w:rsid w:val="004506EA"/>
    <w:rsid w:val="00452C74"/>
    <w:rsid w:val="004539CD"/>
    <w:rsid w:val="00453A1F"/>
    <w:rsid w:val="004541C5"/>
    <w:rsid w:val="00455A20"/>
    <w:rsid w:val="00456B97"/>
    <w:rsid w:val="00456C55"/>
    <w:rsid w:val="00456DBC"/>
    <w:rsid w:val="004572B9"/>
    <w:rsid w:val="00460213"/>
    <w:rsid w:val="00460389"/>
    <w:rsid w:val="00460ECD"/>
    <w:rsid w:val="0046168A"/>
    <w:rsid w:val="004629D9"/>
    <w:rsid w:val="0046499F"/>
    <w:rsid w:val="004652C1"/>
    <w:rsid w:val="00465F7E"/>
    <w:rsid w:val="0046678B"/>
    <w:rsid w:val="00466ED9"/>
    <w:rsid w:val="0046752B"/>
    <w:rsid w:val="00470621"/>
    <w:rsid w:val="00470775"/>
    <w:rsid w:val="0047164B"/>
    <w:rsid w:val="00471C3D"/>
    <w:rsid w:val="00471CF1"/>
    <w:rsid w:val="004724C5"/>
    <w:rsid w:val="00473131"/>
    <w:rsid w:val="0047342B"/>
    <w:rsid w:val="004744AF"/>
    <w:rsid w:val="00474841"/>
    <w:rsid w:val="00475850"/>
    <w:rsid w:val="00475C43"/>
    <w:rsid w:val="00480967"/>
    <w:rsid w:val="00483778"/>
    <w:rsid w:val="0048466E"/>
    <w:rsid w:val="0048506A"/>
    <w:rsid w:val="004857A6"/>
    <w:rsid w:val="00485F25"/>
    <w:rsid w:val="00486114"/>
    <w:rsid w:val="004874FA"/>
    <w:rsid w:val="004876A8"/>
    <w:rsid w:val="004879E9"/>
    <w:rsid w:val="004914AF"/>
    <w:rsid w:val="004919EB"/>
    <w:rsid w:val="00491E00"/>
    <w:rsid w:val="00491F2E"/>
    <w:rsid w:val="004921B1"/>
    <w:rsid w:val="00492E17"/>
    <w:rsid w:val="00492F70"/>
    <w:rsid w:val="0049319B"/>
    <w:rsid w:val="0049376A"/>
    <w:rsid w:val="00493ED9"/>
    <w:rsid w:val="00494BEB"/>
    <w:rsid w:val="004955B3"/>
    <w:rsid w:val="004960C7"/>
    <w:rsid w:val="00496461"/>
    <w:rsid w:val="004964E3"/>
    <w:rsid w:val="00497242"/>
    <w:rsid w:val="00497A40"/>
    <w:rsid w:val="004A11BF"/>
    <w:rsid w:val="004A15C8"/>
    <w:rsid w:val="004A218C"/>
    <w:rsid w:val="004A24C5"/>
    <w:rsid w:val="004A2556"/>
    <w:rsid w:val="004A3265"/>
    <w:rsid w:val="004A3B9C"/>
    <w:rsid w:val="004A3BC5"/>
    <w:rsid w:val="004A4698"/>
    <w:rsid w:val="004A5ED6"/>
    <w:rsid w:val="004B2776"/>
    <w:rsid w:val="004B2E26"/>
    <w:rsid w:val="004B31AE"/>
    <w:rsid w:val="004B3D5D"/>
    <w:rsid w:val="004B4806"/>
    <w:rsid w:val="004B5957"/>
    <w:rsid w:val="004B6E27"/>
    <w:rsid w:val="004B6FF9"/>
    <w:rsid w:val="004C20D3"/>
    <w:rsid w:val="004C22B0"/>
    <w:rsid w:val="004C235C"/>
    <w:rsid w:val="004C23B9"/>
    <w:rsid w:val="004C3206"/>
    <w:rsid w:val="004C3271"/>
    <w:rsid w:val="004C6434"/>
    <w:rsid w:val="004C661D"/>
    <w:rsid w:val="004C707D"/>
    <w:rsid w:val="004D0942"/>
    <w:rsid w:val="004D1239"/>
    <w:rsid w:val="004D1479"/>
    <w:rsid w:val="004D15F4"/>
    <w:rsid w:val="004D1868"/>
    <w:rsid w:val="004D25FE"/>
    <w:rsid w:val="004D36E6"/>
    <w:rsid w:val="004D5CEF"/>
    <w:rsid w:val="004D683C"/>
    <w:rsid w:val="004D691C"/>
    <w:rsid w:val="004D7B4C"/>
    <w:rsid w:val="004E00C4"/>
    <w:rsid w:val="004E0157"/>
    <w:rsid w:val="004E102F"/>
    <w:rsid w:val="004E164B"/>
    <w:rsid w:val="004E277D"/>
    <w:rsid w:val="004E2978"/>
    <w:rsid w:val="004E29C7"/>
    <w:rsid w:val="004E44F3"/>
    <w:rsid w:val="004E4B08"/>
    <w:rsid w:val="004E6330"/>
    <w:rsid w:val="004E6626"/>
    <w:rsid w:val="004E6861"/>
    <w:rsid w:val="004E70A0"/>
    <w:rsid w:val="004E7594"/>
    <w:rsid w:val="004E7E49"/>
    <w:rsid w:val="004F006F"/>
    <w:rsid w:val="004F0773"/>
    <w:rsid w:val="004F09DB"/>
    <w:rsid w:val="004F0DA0"/>
    <w:rsid w:val="004F26B0"/>
    <w:rsid w:val="004F27EE"/>
    <w:rsid w:val="004F334B"/>
    <w:rsid w:val="004F4309"/>
    <w:rsid w:val="004F43A2"/>
    <w:rsid w:val="004F4470"/>
    <w:rsid w:val="004F4A2C"/>
    <w:rsid w:val="004F4E51"/>
    <w:rsid w:val="004F5BCA"/>
    <w:rsid w:val="004F6FFD"/>
    <w:rsid w:val="004F721E"/>
    <w:rsid w:val="004F7489"/>
    <w:rsid w:val="004F7BAA"/>
    <w:rsid w:val="004F7F4A"/>
    <w:rsid w:val="00500104"/>
    <w:rsid w:val="005002D6"/>
    <w:rsid w:val="005003A4"/>
    <w:rsid w:val="00500636"/>
    <w:rsid w:val="00500BA1"/>
    <w:rsid w:val="00501708"/>
    <w:rsid w:val="00502FC9"/>
    <w:rsid w:val="005030F0"/>
    <w:rsid w:val="005032C2"/>
    <w:rsid w:val="00503318"/>
    <w:rsid w:val="0050351B"/>
    <w:rsid w:val="00504119"/>
    <w:rsid w:val="005042B9"/>
    <w:rsid w:val="005059DF"/>
    <w:rsid w:val="00505FA7"/>
    <w:rsid w:val="00506796"/>
    <w:rsid w:val="00510922"/>
    <w:rsid w:val="005109FC"/>
    <w:rsid w:val="005111B9"/>
    <w:rsid w:val="00512C8F"/>
    <w:rsid w:val="0051372A"/>
    <w:rsid w:val="00515737"/>
    <w:rsid w:val="00515917"/>
    <w:rsid w:val="00515BC7"/>
    <w:rsid w:val="00515C95"/>
    <w:rsid w:val="0051687A"/>
    <w:rsid w:val="00516A69"/>
    <w:rsid w:val="0052036D"/>
    <w:rsid w:val="00520A0D"/>
    <w:rsid w:val="00521630"/>
    <w:rsid w:val="00522EB1"/>
    <w:rsid w:val="005231F5"/>
    <w:rsid w:val="0052332B"/>
    <w:rsid w:val="005236A1"/>
    <w:rsid w:val="00523701"/>
    <w:rsid w:val="00523CB6"/>
    <w:rsid w:val="005246B3"/>
    <w:rsid w:val="00524E22"/>
    <w:rsid w:val="00525C8B"/>
    <w:rsid w:val="00526854"/>
    <w:rsid w:val="00527521"/>
    <w:rsid w:val="00527F6E"/>
    <w:rsid w:val="0053193A"/>
    <w:rsid w:val="00531A3A"/>
    <w:rsid w:val="00532B6D"/>
    <w:rsid w:val="00532D21"/>
    <w:rsid w:val="005332A1"/>
    <w:rsid w:val="00533306"/>
    <w:rsid w:val="00533A44"/>
    <w:rsid w:val="005344E4"/>
    <w:rsid w:val="005348F4"/>
    <w:rsid w:val="0053570E"/>
    <w:rsid w:val="00535E83"/>
    <w:rsid w:val="00536E28"/>
    <w:rsid w:val="0053709B"/>
    <w:rsid w:val="005370BF"/>
    <w:rsid w:val="005413EF"/>
    <w:rsid w:val="00541B85"/>
    <w:rsid w:val="00541CDC"/>
    <w:rsid w:val="00543332"/>
    <w:rsid w:val="00543EE0"/>
    <w:rsid w:val="00543FAB"/>
    <w:rsid w:val="005451E8"/>
    <w:rsid w:val="00545947"/>
    <w:rsid w:val="0054631E"/>
    <w:rsid w:val="00546641"/>
    <w:rsid w:val="005467E3"/>
    <w:rsid w:val="005470E2"/>
    <w:rsid w:val="00547B93"/>
    <w:rsid w:val="00550B58"/>
    <w:rsid w:val="0055130C"/>
    <w:rsid w:val="00551B22"/>
    <w:rsid w:val="0055202B"/>
    <w:rsid w:val="00552970"/>
    <w:rsid w:val="00553160"/>
    <w:rsid w:val="005532FE"/>
    <w:rsid w:val="00554EF0"/>
    <w:rsid w:val="00555CE7"/>
    <w:rsid w:val="00556733"/>
    <w:rsid w:val="005572EB"/>
    <w:rsid w:val="00557486"/>
    <w:rsid w:val="00557F33"/>
    <w:rsid w:val="005641FB"/>
    <w:rsid w:val="00565221"/>
    <w:rsid w:val="00565E57"/>
    <w:rsid w:val="00566619"/>
    <w:rsid w:val="00566BA9"/>
    <w:rsid w:val="005679B1"/>
    <w:rsid w:val="005700C4"/>
    <w:rsid w:val="0057212A"/>
    <w:rsid w:val="00572CDE"/>
    <w:rsid w:val="00572DA0"/>
    <w:rsid w:val="005739E2"/>
    <w:rsid w:val="00574746"/>
    <w:rsid w:val="00574776"/>
    <w:rsid w:val="005747BE"/>
    <w:rsid w:val="0057490F"/>
    <w:rsid w:val="00574B93"/>
    <w:rsid w:val="0057521D"/>
    <w:rsid w:val="00575D96"/>
    <w:rsid w:val="00576642"/>
    <w:rsid w:val="005820CC"/>
    <w:rsid w:val="00582817"/>
    <w:rsid w:val="005830A4"/>
    <w:rsid w:val="005832AD"/>
    <w:rsid w:val="00583C5B"/>
    <w:rsid w:val="0058400C"/>
    <w:rsid w:val="00584162"/>
    <w:rsid w:val="0058437C"/>
    <w:rsid w:val="00584A96"/>
    <w:rsid w:val="0058555D"/>
    <w:rsid w:val="005857D0"/>
    <w:rsid w:val="00585C1C"/>
    <w:rsid w:val="00585CD4"/>
    <w:rsid w:val="00585E1C"/>
    <w:rsid w:val="00587ADE"/>
    <w:rsid w:val="00590252"/>
    <w:rsid w:val="00590E32"/>
    <w:rsid w:val="0059119C"/>
    <w:rsid w:val="00591F1A"/>
    <w:rsid w:val="005927D5"/>
    <w:rsid w:val="005929A2"/>
    <w:rsid w:val="00593EC1"/>
    <w:rsid w:val="005940B5"/>
    <w:rsid w:val="00594478"/>
    <w:rsid w:val="00594A73"/>
    <w:rsid w:val="00595ED4"/>
    <w:rsid w:val="00596E8A"/>
    <w:rsid w:val="005978AB"/>
    <w:rsid w:val="00597BC8"/>
    <w:rsid w:val="00597D24"/>
    <w:rsid w:val="005A056E"/>
    <w:rsid w:val="005A1ED2"/>
    <w:rsid w:val="005A2099"/>
    <w:rsid w:val="005A2A5C"/>
    <w:rsid w:val="005A3C5A"/>
    <w:rsid w:val="005A4098"/>
    <w:rsid w:val="005A56CE"/>
    <w:rsid w:val="005A5B12"/>
    <w:rsid w:val="005A5BC6"/>
    <w:rsid w:val="005A66A0"/>
    <w:rsid w:val="005A7E50"/>
    <w:rsid w:val="005B065E"/>
    <w:rsid w:val="005B08E7"/>
    <w:rsid w:val="005B0BA8"/>
    <w:rsid w:val="005B2922"/>
    <w:rsid w:val="005B2BDC"/>
    <w:rsid w:val="005B2E28"/>
    <w:rsid w:val="005B4632"/>
    <w:rsid w:val="005B54E5"/>
    <w:rsid w:val="005B61DB"/>
    <w:rsid w:val="005B6A8B"/>
    <w:rsid w:val="005B7896"/>
    <w:rsid w:val="005C12BF"/>
    <w:rsid w:val="005C13AE"/>
    <w:rsid w:val="005C1805"/>
    <w:rsid w:val="005C2694"/>
    <w:rsid w:val="005C3304"/>
    <w:rsid w:val="005C4A99"/>
    <w:rsid w:val="005C5618"/>
    <w:rsid w:val="005C5687"/>
    <w:rsid w:val="005C65D1"/>
    <w:rsid w:val="005C6E01"/>
    <w:rsid w:val="005C703F"/>
    <w:rsid w:val="005D05BC"/>
    <w:rsid w:val="005D0B15"/>
    <w:rsid w:val="005D10FB"/>
    <w:rsid w:val="005D1391"/>
    <w:rsid w:val="005D1F18"/>
    <w:rsid w:val="005D268B"/>
    <w:rsid w:val="005D28BE"/>
    <w:rsid w:val="005D2BD0"/>
    <w:rsid w:val="005D3249"/>
    <w:rsid w:val="005D3B5D"/>
    <w:rsid w:val="005D442D"/>
    <w:rsid w:val="005D45D2"/>
    <w:rsid w:val="005D4BAE"/>
    <w:rsid w:val="005D51FE"/>
    <w:rsid w:val="005D54B1"/>
    <w:rsid w:val="005D5EFA"/>
    <w:rsid w:val="005D698B"/>
    <w:rsid w:val="005D6E9F"/>
    <w:rsid w:val="005D7501"/>
    <w:rsid w:val="005E00B3"/>
    <w:rsid w:val="005E015E"/>
    <w:rsid w:val="005E03B3"/>
    <w:rsid w:val="005E04A5"/>
    <w:rsid w:val="005E0A91"/>
    <w:rsid w:val="005E1402"/>
    <w:rsid w:val="005E2488"/>
    <w:rsid w:val="005E346C"/>
    <w:rsid w:val="005E3F1F"/>
    <w:rsid w:val="005E4336"/>
    <w:rsid w:val="005E456F"/>
    <w:rsid w:val="005E4694"/>
    <w:rsid w:val="005E4ACA"/>
    <w:rsid w:val="005E5800"/>
    <w:rsid w:val="005E6F3B"/>
    <w:rsid w:val="005E7AB7"/>
    <w:rsid w:val="005F14DC"/>
    <w:rsid w:val="005F1C87"/>
    <w:rsid w:val="005F21D8"/>
    <w:rsid w:val="005F2BCA"/>
    <w:rsid w:val="005F3A42"/>
    <w:rsid w:val="005F4819"/>
    <w:rsid w:val="005F4F1D"/>
    <w:rsid w:val="005F5285"/>
    <w:rsid w:val="005F5ACD"/>
    <w:rsid w:val="005F5E7D"/>
    <w:rsid w:val="005F6172"/>
    <w:rsid w:val="005F61CC"/>
    <w:rsid w:val="005F6515"/>
    <w:rsid w:val="005F76C1"/>
    <w:rsid w:val="0060013D"/>
    <w:rsid w:val="006009B1"/>
    <w:rsid w:val="00600C36"/>
    <w:rsid w:val="006017B7"/>
    <w:rsid w:val="0060220C"/>
    <w:rsid w:val="00602643"/>
    <w:rsid w:val="0060298A"/>
    <w:rsid w:val="00602D01"/>
    <w:rsid w:val="00602F16"/>
    <w:rsid w:val="00603164"/>
    <w:rsid w:val="0060374B"/>
    <w:rsid w:val="00603E67"/>
    <w:rsid w:val="006044E1"/>
    <w:rsid w:val="00604AE9"/>
    <w:rsid w:val="00604C9E"/>
    <w:rsid w:val="006059D5"/>
    <w:rsid w:val="00606E84"/>
    <w:rsid w:val="00607209"/>
    <w:rsid w:val="006073B0"/>
    <w:rsid w:val="00607644"/>
    <w:rsid w:val="00607B08"/>
    <w:rsid w:val="006119C8"/>
    <w:rsid w:val="00611D83"/>
    <w:rsid w:val="006125D9"/>
    <w:rsid w:val="0061295C"/>
    <w:rsid w:val="00613985"/>
    <w:rsid w:val="00614D8A"/>
    <w:rsid w:val="00615752"/>
    <w:rsid w:val="00615CE9"/>
    <w:rsid w:val="006162B4"/>
    <w:rsid w:val="00616B36"/>
    <w:rsid w:val="00616EF1"/>
    <w:rsid w:val="006172B5"/>
    <w:rsid w:val="00617454"/>
    <w:rsid w:val="00617C98"/>
    <w:rsid w:val="00617F88"/>
    <w:rsid w:val="00620FD6"/>
    <w:rsid w:val="006210C3"/>
    <w:rsid w:val="006214AF"/>
    <w:rsid w:val="00621CF7"/>
    <w:rsid w:val="006232C5"/>
    <w:rsid w:val="006232C8"/>
    <w:rsid w:val="00623D77"/>
    <w:rsid w:val="00624FE4"/>
    <w:rsid w:val="0062504F"/>
    <w:rsid w:val="0062508C"/>
    <w:rsid w:val="006255FB"/>
    <w:rsid w:val="00625716"/>
    <w:rsid w:val="00625A10"/>
    <w:rsid w:val="0062658A"/>
    <w:rsid w:val="00626F37"/>
    <w:rsid w:val="00627621"/>
    <w:rsid w:val="00627A97"/>
    <w:rsid w:val="006311FB"/>
    <w:rsid w:val="00631970"/>
    <w:rsid w:val="0063197C"/>
    <w:rsid w:val="006321BA"/>
    <w:rsid w:val="006327D8"/>
    <w:rsid w:val="006328B6"/>
    <w:rsid w:val="00632EF9"/>
    <w:rsid w:val="006337BB"/>
    <w:rsid w:val="0063406D"/>
    <w:rsid w:val="00634640"/>
    <w:rsid w:val="006346FC"/>
    <w:rsid w:val="00634B9D"/>
    <w:rsid w:val="00634C84"/>
    <w:rsid w:val="00634CC8"/>
    <w:rsid w:val="00635F17"/>
    <w:rsid w:val="00636223"/>
    <w:rsid w:val="00636444"/>
    <w:rsid w:val="00636B5C"/>
    <w:rsid w:val="00636CCD"/>
    <w:rsid w:val="00637B36"/>
    <w:rsid w:val="0064074F"/>
    <w:rsid w:val="00642703"/>
    <w:rsid w:val="00642730"/>
    <w:rsid w:val="0064347C"/>
    <w:rsid w:val="00643494"/>
    <w:rsid w:val="00644659"/>
    <w:rsid w:val="006449B4"/>
    <w:rsid w:val="00644F71"/>
    <w:rsid w:val="00645C4B"/>
    <w:rsid w:val="006463B3"/>
    <w:rsid w:val="006465F6"/>
    <w:rsid w:val="006471BF"/>
    <w:rsid w:val="00647276"/>
    <w:rsid w:val="00647395"/>
    <w:rsid w:val="00647840"/>
    <w:rsid w:val="00647CD7"/>
    <w:rsid w:val="00650614"/>
    <w:rsid w:val="00651DE6"/>
    <w:rsid w:val="00651F45"/>
    <w:rsid w:val="00652C8D"/>
    <w:rsid w:val="006548D4"/>
    <w:rsid w:val="00656457"/>
    <w:rsid w:val="00656C81"/>
    <w:rsid w:val="00656E9B"/>
    <w:rsid w:val="00657E65"/>
    <w:rsid w:val="00657F30"/>
    <w:rsid w:val="006614B5"/>
    <w:rsid w:val="00661B73"/>
    <w:rsid w:val="00662E8D"/>
    <w:rsid w:val="00663BCA"/>
    <w:rsid w:val="00664516"/>
    <w:rsid w:val="00664718"/>
    <w:rsid w:val="006647C2"/>
    <w:rsid w:val="0066487E"/>
    <w:rsid w:val="006648D5"/>
    <w:rsid w:val="00665070"/>
    <w:rsid w:val="00665C07"/>
    <w:rsid w:val="00665CF8"/>
    <w:rsid w:val="00665F99"/>
    <w:rsid w:val="00671386"/>
    <w:rsid w:val="00671B37"/>
    <w:rsid w:val="006724B8"/>
    <w:rsid w:val="0067273F"/>
    <w:rsid w:val="00673116"/>
    <w:rsid w:val="00673E2B"/>
    <w:rsid w:val="006754C3"/>
    <w:rsid w:val="00675DA1"/>
    <w:rsid w:val="00676134"/>
    <w:rsid w:val="0067655E"/>
    <w:rsid w:val="006766C4"/>
    <w:rsid w:val="00677237"/>
    <w:rsid w:val="00680305"/>
    <w:rsid w:val="006804E4"/>
    <w:rsid w:val="00681CA5"/>
    <w:rsid w:val="00681F02"/>
    <w:rsid w:val="00682F50"/>
    <w:rsid w:val="00683540"/>
    <w:rsid w:val="006835BE"/>
    <w:rsid w:val="00683DD4"/>
    <w:rsid w:val="006848E8"/>
    <w:rsid w:val="00684CFA"/>
    <w:rsid w:val="00685C05"/>
    <w:rsid w:val="006862FD"/>
    <w:rsid w:val="00686BEC"/>
    <w:rsid w:val="00692EED"/>
    <w:rsid w:val="00692F53"/>
    <w:rsid w:val="0069314B"/>
    <w:rsid w:val="006934CC"/>
    <w:rsid w:val="00693546"/>
    <w:rsid w:val="00694343"/>
    <w:rsid w:val="006967B0"/>
    <w:rsid w:val="00696A6F"/>
    <w:rsid w:val="00696E56"/>
    <w:rsid w:val="0069772D"/>
    <w:rsid w:val="00697BFF"/>
    <w:rsid w:val="006A01DC"/>
    <w:rsid w:val="006A0A44"/>
    <w:rsid w:val="006A1411"/>
    <w:rsid w:val="006A14AD"/>
    <w:rsid w:val="006A2D47"/>
    <w:rsid w:val="006A338F"/>
    <w:rsid w:val="006A3509"/>
    <w:rsid w:val="006A362E"/>
    <w:rsid w:val="006A3FA2"/>
    <w:rsid w:val="006A496E"/>
    <w:rsid w:val="006A4AC2"/>
    <w:rsid w:val="006A4D41"/>
    <w:rsid w:val="006A5580"/>
    <w:rsid w:val="006A72E3"/>
    <w:rsid w:val="006B0381"/>
    <w:rsid w:val="006B08C0"/>
    <w:rsid w:val="006B18D7"/>
    <w:rsid w:val="006B1B69"/>
    <w:rsid w:val="006B20C7"/>
    <w:rsid w:val="006B2214"/>
    <w:rsid w:val="006B2713"/>
    <w:rsid w:val="006B2A86"/>
    <w:rsid w:val="006B380C"/>
    <w:rsid w:val="006B4AB5"/>
    <w:rsid w:val="006B570A"/>
    <w:rsid w:val="006B5DB4"/>
    <w:rsid w:val="006B603E"/>
    <w:rsid w:val="006C09F6"/>
    <w:rsid w:val="006C0EF3"/>
    <w:rsid w:val="006C1032"/>
    <w:rsid w:val="006C13E9"/>
    <w:rsid w:val="006C1CA1"/>
    <w:rsid w:val="006C24C7"/>
    <w:rsid w:val="006C3E7F"/>
    <w:rsid w:val="006C560E"/>
    <w:rsid w:val="006C5F58"/>
    <w:rsid w:val="006C64B0"/>
    <w:rsid w:val="006C6DED"/>
    <w:rsid w:val="006C7123"/>
    <w:rsid w:val="006C785D"/>
    <w:rsid w:val="006C7B7C"/>
    <w:rsid w:val="006C7CAA"/>
    <w:rsid w:val="006C7E36"/>
    <w:rsid w:val="006C7E8E"/>
    <w:rsid w:val="006D1C01"/>
    <w:rsid w:val="006D1EFB"/>
    <w:rsid w:val="006D317E"/>
    <w:rsid w:val="006D3485"/>
    <w:rsid w:val="006D4585"/>
    <w:rsid w:val="006D46AC"/>
    <w:rsid w:val="006D57B6"/>
    <w:rsid w:val="006D66EC"/>
    <w:rsid w:val="006D6AA3"/>
    <w:rsid w:val="006D6CCE"/>
    <w:rsid w:val="006D6FF7"/>
    <w:rsid w:val="006D707B"/>
    <w:rsid w:val="006D7927"/>
    <w:rsid w:val="006D7CC6"/>
    <w:rsid w:val="006E0655"/>
    <w:rsid w:val="006E20C3"/>
    <w:rsid w:val="006E2278"/>
    <w:rsid w:val="006E2A7B"/>
    <w:rsid w:val="006E2F22"/>
    <w:rsid w:val="006E3366"/>
    <w:rsid w:val="006E33CE"/>
    <w:rsid w:val="006E3443"/>
    <w:rsid w:val="006E3CAA"/>
    <w:rsid w:val="006E474D"/>
    <w:rsid w:val="006E4E4D"/>
    <w:rsid w:val="006E53FA"/>
    <w:rsid w:val="006E5C61"/>
    <w:rsid w:val="006E600D"/>
    <w:rsid w:val="006E662F"/>
    <w:rsid w:val="006E6683"/>
    <w:rsid w:val="006E6996"/>
    <w:rsid w:val="006E6A89"/>
    <w:rsid w:val="006E6AEF"/>
    <w:rsid w:val="006E6EE2"/>
    <w:rsid w:val="006F188C"/>
    <w:rsid w:val="006F3B22"/>
    <w:rsid w:val="006F4347"/>
    <w:rsid w:val="006F4BE1"/>
    <w:rsid w:val="006F5538"/>
    <w:rsid w:val="006F5BC0"/>
    <w:rsid w:val="006F659F"/>
    <w:rsid w:val="006F74EC"/>
    <w:rsid w:val="007003D3"/>
    <w:rsid w:val="0070267E"/>
    <w:rsid w:val="00702B7C"/>
    <w:rsid w:val="00703D91"/>
    <w:rsid w:val="00704D08"/>
    <w:rsid w:val="00704FA9"/>
    <w:rsid w:val="0070565E"/>
    <w:rsid w:val="00706590"/>
    <w:rsid w:val="00707298"/>
    <w:rsid w:val="007072E5"/>
    <w:rsid w:val="00707716"/>
    <w:rsid w:val="00707E41"/>
    <w:rsid w:val="0071038A"/>
    <w:rsid w:val="00710A02"/>
    <w:rsid w:val="007111D8"/>
    <w:rsid w:val="00713743"/>
    <w:rsid w:val="00713C33"/>
    <w:rsid w:val="0071425C"/>
    <w:rsid w:val="007144B5"/>
    <w:rsid w:val="0071481D"/>
    <w:rsid w:val="0071487B"/>
    <w:rsid w:val="00714B99"/>
    <w:rsid w:val="00715800"/>
    <w:rsid w:val="00715F3F"/>
    <w:rsid w:val="0071686C"/>
    <w:rsid w:val="00717670"/>
    <w:rsid w:val="00722693"/>
    <w:rsid w:val="00723218"/>
    <w:rsid w:val="00723986"/>
    <w:rsid w:val="007248AB"/>
    <w:rsid w:val="00724F7C"/>
    <w:rsid w:val="00725C93"/>
    <w:rsid w:val="00726E8E"/>
    <w:rsid w:val="007270B2"/>
    <w:rsid w:val="00727337"/>
    <w:rsid w:val="00727B31"/>
    <w:rsid w:val="0073020C"/>
    <w:rsid w:val="00731582"/>
    <w:rsid w:val="00731A04"/>
    <w:rsid w:val="00731B46"/>
    <w:rsid w:val="0073311E"/>
    <w:rsid w:val="00733167"/>
    <w:rsid w:val="007334F1"/>
    <w:rsid w:val="00733A2E"/>
    <w:rsid w:val="00733C01"/>
    <w:rsid w:val="00735212"/>
    <w:rsid w:val="007355C4"/>
    <w:rsid w:val="007406FA"/>
    <w:rsid w:val="0074098A"/>
    <w:rsid w:val="007411E7"/>
    <w:rsid w:val="007414AA"/>
    <w:rsid w:val="007420C4"/>
    <w:rsid w:val="007429BF"/>
    <w:rsid w:val="007429C1"/>
    <w:rsid w:val="00743142"/>
    <w:rsid w:val="007438BE"/>
    <w:rsid w:val="00743ACC"/>
    <w:rsid w:val="00743B55"/>
    <w:rsid w:val="00743D26"/>
    <w:rsid w:val="00744108"/>
    <w:rsid w:val="00744A45"/>
    <w:rsid w:val="007450C7"/>
    <w:rsid w:val="00745108"/>
    <w:rsid w:val="00745AFA"/>
    <w:rsid w:val="00745D5B"/>
    <w:rsid w:val="00745F14"/>
    <w:rsid w:val="00746EFA"/>
    <w:rsid w:val="0074723A"/>
    <w:rsid w:val="0075034E"/>
    <w:rsid w:val="00750BBC"/>
    <w:rsid w:val="0075106A"/>
    <w:rsid w:val="0075134B"/>
    <w:rsid w:val="0075189F"/>
    <w:rsid w:val="00751F59"/>
    <w:rsid w:val="00752B3A"/>
    <w:rsid w:val="007558D9"/>
    <w:rsid w:val="007574CC"/>
    <w:rsid w:val="0075765F"/>
    <w:rsid w:val="00757BDF"/>
    <w:rsid w:val="00757FD9"/>
    <w:rsid w:val="00760DA3"/>
    <w:rsid w:val="007630EA"/>
    <w:rsid w:val="007635D8"/>
    <w:rsid w:val="00764E9E"/>
    <w:rsid w:val="00765BEE"/>
    <w:rsid w:val="00766CA0"/>
    <w:rsid w:val="0076709E"/>
    <w:rsid w:val="00767AAA"/>
    <w:rsid w:val="007702A2"/>
    <w:rsid w:val="007704C2"/>
    <w:rsid w:val="00770A56"/>
    <w:rsid w:val="0077116C"/>
    <w:rsid w:val="0077122B"/>
    <w:rsid w:val="00771FF4"/>
    <w:rsid w:val="007721E1"/>
    <w:rsid w:val="0077376C"/>
    <w:rsid w:val="00773E7F"/>
    <w:rsid w:val="00774BAB"/>
    <w:rsid w:val="00774C66"/>
    <w:rsid w:val="00775E7D"/>
    <w:rsid w:val="007760CB"/>
    <w:rsid w:val="0077673A"/>
    <w:rsid w:val="007769D4"/>
    <w:rsid w:val="00777172"/>
    <w:rsid w:val="00777BF7"/>
    <w:rsid w:val="00777DF5"/>
    <w:rsid w:val="007800A1"/>
    <w:rsid w:val="00780A34"/>
    <w:rsid w:val="00781175"/>
    <w:rsid w:val="00782768"/>
    <w:rsid w:val="00782857"/>
    <w:rsid w:val="00783756"/>
    <w:rsid w:val="007852E9"/>
    <w:rsid w:val="00785C5B"/>
    <w:rsid w:val="00786F8F"/>
    <w:rsid w:val="00787705"/>
    <w:rsid w:val="00787937"/>
    <w:rsid w:val="00787A2C"/>
    <w:rsid w:val="00787BDB"/>
    <w:rsid w:val="00787E3E"/>
    <w:rsid w:val="00790779"/>
    <w:rsid w:val="00790875"/>
    <w:rsid w:val="007908E0"/>
    <w:rsid w:val="0079129C"/>
    <w:rsid w:val="00791936"/>
    <w:rsid w:val="00791F5E"/>
    <w:rsid w:val="00792404"/>
    <w:rsid w:val="00792480"/>
    <w:rsid w:val="00792874"/>
    <w:rsid w:val="00793EA4"/>
    <w:rsid w:val="00793FB9"/>
    <w:rsid w:val="0079490E"/>
    <w:rsid w:val="00794EE3"/>
    <w:rsid w:val="00794FBF"/>
    <w:rsid w:val="007950ED"/>
    <w:rsid w:val="007955A2"/>
    <w:rsid w:val="00795FF8"/>
    <w:rsid w:val="00796561"/>
    <w:rsid w:val="0079682C"/>
    <w:rsid w:val="0079707C"/>
    <w:rsid w:val="0079734F"/>
    <w:rsid w:val="00797F71"/>
    <w:rsid w:val="007A100E"/>
    <w:rsid w:val="007A1109"/>
    <w:rsid w:val="007A1395"/>
    <w:rsid w:val="007A140B"/>
    <w:rsid w:val="007A19F7"/>
    <w:rsid w:val="007A1C62"/>
    <w:rsid w:val="007A2517"/>
    <w:rsid w:val="007A317E"/>
    <w:rsid w:val="007A342C"/>
    <w:rsid w:val="007A35DA"/>
    <w:rsid w:val="007A387B"/>
    <w:rsid w:val="007A39C9"/>
    <w:rsid w:val="007A3AAD"/>
    <w:rsid w:val="007A4B90"/>
    <w:rsid w:val="007A4CEE"/>
    <w:rsid w:val="007A4DCD"/>
    <w:rsid w:val="007A7426"/>
    <w:rsid w:val="007A7CAB"/>
    <w:rsid w:val="007B1CAE"/>
    <w:rsid w:val="007B3D74"/>
    <w:rsid w:val="007B4770"/>
    <w:rsid w:val="007B4DA2"/>
    <w:rsid w:val="007B4DA6"/>
    <w:rsid w:val="007B5DF8"/>
    <w:rsid w:val="007B6C99"/>
    <w:rsid w:val="007B702B"/>
    <w:rsid w:val="007B7807"/>
    <w:rsid w:val="007B792B"/>
    <w:rsid w:val="007C01EC"/>
    <w:rsid w:val="007C07C5"/>
    <w:rsid w:val="007C0F3B"/>
    <w:rsid w:val="007C134F"/>
    <w:rsid w:val="007C1554"/>
    <w:rsid w:val="007C162D"/>
    <w:rsid w:val="007C1BD0"/>
    <w:rsid w:val="007C23FC"/>
    <w:rsid w:val="007C3938"/>
    <w:rsid w:val="007C3C2B"/>
    <w:rsid w:val="007C5E80"/>
    <w:rsid w:val="007C5FA5"/>
    <w:rsid w:val="007C724C"/>
    <w:rsid w:val="007D0171"/>
    <w:rsid w:val="007D034F"/>
    <w:rsid w:val="007D040B"/>
    <w:rsid w:val="007D0E91"/>
    <w:rsid w:val="007D129A"/>
    <w:rsid w:val="007D3428"/>
    <w:rsid w:val="007D3A8D"/>
    <w:rsid w:val="007D3BD0"/>
    <w:rsid w:val="007D3E49"/>
    <w:rsid w:val="007D4231"/>
    <w:rsid w:val="007D4B2B"/>
    <w:rsid w:val="007D5646"/>
    <w:rsid w:val="007D5752"/>
    <w:rsid w:val="007D6385"/>
    <w:rsid w:val="007D694B"/>
    <w:rsid w:val="007D7D3B"/>
    <w:rsid w:val="007E0A8F"/>
    <w:rsid w:val="007E11D4"/>
    <w:rsid w:val="007E1594"/>
    <w:rsid w:val="007E2E1C"/>
    <w:rsid w:val="007E2FE2"/>
    <w:rsid w:val="007E56C0"/>
    <w:rsid w:val="007E5E7D"/>
    <w:rsid w:val="007E6096"/>
    <w:rsid w:val="007E7709"/>
    <w:rsid w:val="007F0C90"/>
    <w:rsid w:val="007F2999"/>
    <w:rsid w:val="007F2CCE"/>
    <w:rsid w:val="007F378F"/>
    <w:rsid w:val="007F3CCC"/>
    <w:rsid w:val="007F45D7"/>
    <w:rsid w:val="007F4C50"/>
    <w:rsid w:val="007F634F"/>
    <w:rsid w:val="007F644A"/>
    <w:rsid w:val="007F653F"/>
    <w:rsid w:val="007F7DC4"/>
    <w:rsid w:val="0080018C"/>
    <w:rsid w:val="00801DB2"/>
    <w:rsid w:val="00804040"/>
    <w:rsid w:val="00804974"/>
    <w:rsid w:val="00804E7B"/>
    <w:rsid w:val="00805785"/>
    <w:rsid w:val="00805A07"/>
    <w:rsid w:val="00806A5B"/>
    <w:rsid w:val="00806CC7"/>
    <w:rsid w:val="00807303"/>
    <w:rsid w:val="00810602"/>
    <w:rsid w:val="008107D2"/>
    <w:rsid w:val="00811F04"/>
    <w:rsid w:val="00812384"/>
    <w:rsid w:val="00812928"/>
    <w:rsid w:val="008129AC"/>
    <w:rsid w:val="008131C9"/>
    <w:rsid w:val="00813CD9"/>
    <w:rsid w:val="00813DE9"/>
    <w:rsid w:val="008147EC"/>
    <w:rsid w:val="00815579"/>
    <w:rsid w:val="00815586"/>
    <w:rsid w:val="00816339"/>
    <w:rsid w:val="00817CBB"/>
    <w:rsid w:val="00817D5C"/>
    <w:rsid w:val="00817F18"/>
    <w:rsid w:val="00820068"/>
    <w:rsid w:val="008201C8"/>
    <w:rsid w:val="0082045C"/>
    <w:rsid w:val="00821398"/>
    <w:rsid w:val="008213AF"/>
    <w:rsid w:val="008215C4"/>
    <w:rsid w:val="00821923"/>
    <w:rsid w:val="00822189"/>
    <w:rsid w:val="008235CD"/>
    <w:rsid w:val="00823628"/>
    <w:rsid w:val="00823738"/>
    <w:rsid w:val="00824376"/>
    <w:rsid w:val="00824624"/>
    <w:rsid w:val="00824814"/>
    <w:rsid w:val="00825078"/>
    <w:rsid w:val="00826387"/>
    <w:rsid w:val="0082675C"/>
    <w:rsid w:val="0082682F"/>
    <w:rsid w:val="00826BB0"/>
    <w:rsid w:val="00826D2E"/>
    <w:rsid w:val="0082784B"/>
    <w:rsid w:val="00827A74"/>
    <w:rsid w:val="00830B5F"/>
    <w:rsid w:val="00830DDC"/>
    <w:rsid w:val="00831207"/>
    <w:rsid w:val="0083141F"/>
    <w:rsid w:val="008316FB"/>
    <w:rsid w:val="0083193C"/>
    <w:rsid w:val="00831A8D"/>
    <w:rsid w:val="00831B3A"/>
    <w:rsid w:val="00833099"/>
    <w:rsid w:val="008336E6"/>
    <w:rsid w:val="00834CC1"/>
    <w:rsid w:val="008354E8"/>
    <w:rsid w:val="00835EC7"/>
    <w:rsid w:val="0083742D"/>
    <w:rsid w:val="00837B78"/>
    <w:rsid w:val="00840800"/>
    <w:rsid w:val="00840B21"/>
    <w:rsid w:val="008419C4"/>
    <w:rsid w:val="00841CE7"/>
    <w:rsid w:val="00843148"/>
    <w:rsid w:val="0084341F"/>
    <w:rsid w:val="00843D71"/>
    <w:rsid w:val="00845524"/>
    <w:rsid w:val="008455EC"/>
    <w:rsid w:val="0084602E"/>
    <w:rsid w:val="00846040"/>
    <w:rsid w:val="008460BD"/>
    <w:rsid w:val="00847121"/>
    <w:rsid w:val="00847EE8"/>
    <w:rsid w:val="008503A5"/>
    <w:rsid w:val="0085099F"/>
    <w:rsid w:val="008510A4"/>
    <w:rsid w:val="00851E94"/>
    <w:rsid w:val="00852306"/>
    <w:rsid w:val="00852466"/>
    <w:rsid w:val="00852AF9"/>
    <w:rsid w:val="00852CCF"/>
    <w:rsid w:val="00853640"/>
    <w:rsid w:val="008544F0"/>
    <w:rsid w:val="00854BAE"/>
    <w:rsid w:val="00854F93"/>
    <w:rsid w:val="0085558C"/>
    <w:rsid w:val="00856DEC"/>
    <w:rsid w:val="008574B7"/>
    <w:rsid w:val="00857F15"/>
    <w:rsid w:val="00861F0E"/>
    <w:rsid w:val="00862378"/>
    <w:rsid w:val="00862400"/>
    <w:rsid w:val="00862450"/>
    <w:rsid w:val="0086260D"/>
    <w:rsid w:val="008628C4"/>
    <w:rsid w:val="00862E87"/>
    <w:rsid w:val="008637B0"/>
    <w:rsid w:val="00863828"/>
    <w:rsid w:val="0087020C"/>
    <w:rsid w:val="00871366"/>
    <w:rsid w:val="00872857"/>
    <w:rsid w:val="00873345"/>
    <w:rsid w:val="008736F9"/>
    <w:rsid w:val="00873901"/>
    <w:rsid w:val="00874C5D"/>
    <w:rsid w:val="00874F76"/>
    <w:rsid w:val="008757E7"/>
    <w:rsid w:val="008763D9"/>
    <w:rsid w:val="00876456"/>
    <w:rsid w:val="00876510"/>
    <w:rsid w:val="00876EC8"/>
    <w:rsid w:val="00877011"/>
    <w:rsid w:val="008771D9"/>
    <w:rsid w:val="00880438"/>
    <w:rsid w:val="008809F2"/>
    <w:rsid w:val="00880A1F"/>
    <w:rsid w:val="00882CB1"/>
    <w:rsid w:val="0088305D"/>
    <w:rsid w:val="0088445E"/>
    <w:rsid w:val="00885115"/>
    <w:rsid w:val="0088558E"/>
    <w:rsid w:val="00885D4E"/>
    <w:rsid w:val="0088623C"/>
    <w:rsid w:val="0088732D"/>
    <w:rsid w:val="00887632"/>
    <w:rsid w:val="00887788"/>
    <w:rsid w:val="00887957"/>
    <w:rsid w:val="00887BFC"/>
    <w:rsid w:val="0089051F"/>
    <w:rsid w:val="008916E1"/>
    <w:rsid w:val="0089188C"/>
    <w:rsid w:val="00891BD9"/>
    <w:rsid w:val="008926CB"/>
    <w:rsid w:val="008929A6"/>
    <w:rsid w:val="00892F3F"/>
    <w:rsid w:val="00893D66"/>
    <w:rsid w:val="00894A5F"/>
    <w:rsid w:val="0089568A"/>
    <w:rsid w:val="00895833"/>
    <w:rsid w:val="00895C79"/>
    <w:rsid w:val="00897545"/>
    <w:rsid w:val="00897AE5"/>
    <w:rsid w:val="00897D35"/>
    <w:rsid w:val="00897D91"/>
    <w:rsid w:val="008A04D7"/>
    <w:rsid w:val="008A0B27"/>
    <w:rsid w:val="008A1B1A"/>
    <w:rsid w:val="008A2BD7"/>
    <w:rsid w:val="008A3D4C"/>
    <w:rsid w:val="008A62ED"/>
    <w:rsid w:val="008A6307"/>
    <w:rsid w:val="008A68E5"/>
    <w:rsid w:val="008A6C34"/>
    <w:rsid w:val="008A71CE"/>
    <w:rsid w:val="008A7C61"/>
    <w:rsid w:val="008A7CA4"/>
    <w:rsid w:val="008B02D9"/>
    <w:rsid w:val="008B0854"/>
    <w:rsid w:val="008B0D38"/>
    <w:rsid w:val="008B0E2C"/>
    <w:rsid w:val="008B0ED5"/>
    <w:rsid w:val="008B1861"/>
    <w:rsid w:val="008B1B9E"/>
    <w:rsid w:val="008B56A2"/>
    <w:rsid w:val="008B56CA"/>
    <w:rsid w:val="008B60B8"/>
    <w:rsid w:val="008B6CE1"/>
    <w:rsid w:val="008B7047"/>
    <w:rsid w:val="008B70B6"/>
    <w:rsid w:val="008B7AE3"/>
    <w:rsid w:val="008B7F22"/>
    <w:rsid w:val="008B7F51"/>
    <w:rsid w:val="008C12FF"/>
    <w:rsid w:val="008C13A0"/>
    <w:rsid w:val="008C2938"/>
    <w:rsid w:val="008C315B"/>
    <w:rsid w:val="008C43DE"/>
    <w:rsid w:val="008C4FFD"/>
    <w:rsid w:val="008C5F64"/>
    <w:rsid w:val="008C7B1F"/>
    <w:rsid w:val="008C7DA5"/>
    <w:rsid w:val="008C7EEE"/>
    <w:rsid w:val="008D08AA"/>
    <w:rsid w:val="008D0AFA"/>
    <w:rsid w:val="008D0E16"/>
    <w:rsid w:val="008D0FBF"/>
    <w:rsid w:val="008D13AA"/>
    <w:rsid w:val="008D151C"/>
    <w:rsid w:val="008D4540"/>
    <w:rsid w:val="008D555B"/>
    <w:rsid w:val="008D6790"/>
    <w:rsid w:val="008D7214"/>
    <w:rsid w:val="008E028B"/>
    <w:rsid w:val="008E055C"/>
    <w:rsid w:val="008E06D7"/>
    <w:rsid w:val="008E0B1D"/>
    <w:rsid w:val="008E0DFF"/>
    <w:rsid w:val="008E0EBC"/>
    <w:rsid w:val="008E0F20"/>
    <w:rsid w:val="008E1F4A"/>
    <w:rsid w:val="008E24E5"/>
    <w:rsid w:val="008E25AB"/>
    <w:rsid w:val="008E25E7"/>
    <w:rsid w:val="008E346E"/>
    <w:rsid w:val="008E3E63"/>
    <w:rsid w:val="008E63ED"/>
    <w:rsid w:val="008F08DE"/>
    <w:rsid w:val="008F0FE2"/>
    <w:rsid w:val="008F1155"/>
    <w:rsid w:val="008F18E5"/>
    <w:rsid w:val="008F1FAE"/>
    <w:rsid w:val="008F24EB"/>
    <w:rsid w:val="008F359F"/>
    <w:rsid w:val="008F4341"/>
    <w:rsid w:val="008F46D6"/>
    <w:rsid w:val="008F4E27"/>
    <w:rsid w:val="008F50D2"/>
    <w:rsid w:val="008F52B8"/>
    <w:rsid w:val="008F668C"/>
    <w:rsid w:val="008F6914"/>
    <w:rsid w:val="008F6D79"/>
    <w:rsid w:val="008F7165"/>
    <w:rsid w:val="008F7E1D"/>
    <w:rsid w:val="009008BF"/>
    <w:rsid w:val="009011FA"/>
    <w:rsid w:val="00901959"/>
    <w:rsid w:val="00901C86"/>
    <w:rsid w:val="00901E5A"/>
    <w:rsid w:val="0090295F"/>
    <w:rsid w:val="009029B2"/>
    <w:rsid w:val="00903448"/>
    <w:rsid w:val="00903523"/>
    <w:rsid w:val="0090412F"/>
    <w:rsid w:val="00905AD9"/>
    <w:rsid w:val="00906670"/>
    <w:rsid w:val="009067EC"/>
    <w:rsid w:val="00906A98"/>
    <w:rsid w:val="00906E47"/>
    <w:rsid w:val="0090716C"/>
    <w:rsid w:val="00907D06"/>
    <w:rsid w:val="00910019"/>
    <w:rsid w:val="0091055E"/>
    <w:rsid w:val="00910E82"/>
    <w:rsid w:val="00910F4B"/>
    <w:rsid w:val="0091154A"/>
    <w:rsid w:val="00911EFC"/>
    <w:rsid w:val="009120A4"/>
    <w:rsid w:val="00912255"/>
    <w:rsid w:val="0091294E"/>
    <w:rsid w:val="0091331A"/>
    <w:rsid w:val="00914BE5"/>
    <w:rsid w:val="009166C9"/>
    <w:rsid w:val="00916721"/>
    <w:rsid w:val="00916761"/>
    <w:rsid w:val="009167D6"/>
    <w:rsid w:val="00916C0E"/>
    <w:rsid w:val="009170DF"/>
    <w:rsid w:val="00917A03"/>
    <w:rsid w:val="00917C97"/>
    <w:rsid w:val="0092087F"/>
    <w:rsid w:val="00920CB8"/>
    <w:rsid w:val="00920DDA"/>
    <w:rsid w:val="0092189F"/>
    <w:rsid w:val="0092260A"/>
    <w:rsid w:val="00922E1D"/>
    <w:rsid w:val="00923870"/>
    <w:rsid w:val="00924168"/>
    <w:rsid w:val="009246D2"/>
    <w:rsid w:val="009247BB"/>
    <w:rsid w:val="0092482F"/>
    <w:rsid w:val="00924C44"/>
    <w:rsid w:val="00925109"/>
    <w:rsid w:val="009252CE"/>
    <w:rsid w:val="00925738"/>
    <w:rsid w:val="00925A6B"/>
    <w:rsid w:val="00926E01"/>
    <w:rsid w:val="00926F3A"/>
    <w:rsid w:val="00926F6E"/>
    <w:rsid w:val="0093068B"/>
    <w:rsid w:val="0093126F"/>
    <w:rsid w:val="00932301"/>
    <w:rsid w:val="009329F3"/>
    <w:rsid w:val="00932E6E"/>
    <w:rsid w:val="00933969"/>
    <w:rsid w:val="00933EDC"/>
    <w:rsid w:val="00935219"/>
    <w:rsid w:val="00935356"/>
    <w:rsid w:val="00935661"/>
    <w:rsid w:val="0093574A"/>
    <w:rsid w:val="00936156"/>
    <w:rsid w:val="00936600"/>
    <w:rsid w:val="00936B75"/>
    <w:rsid w:val="009374C7"/>
    <w:rsid w:val="00937DA5"/>
    <w:rsid w:val="00940549"/>
    <w:rsid w:val="00941351"/>
    <w:rsid w:val="00941385"/>
    <w:rsid w:val="00941D0B"/>
    <w:rsid w:val="00941D78"/>
    <w:rsid w:val="00941F90"/>
    <w:rsid w:val="00943729"/>
    <w:rsid w:val="0094373C"/>
    <w:rsid w:val="0094450C"/>
    <w:rsid w:val="009446F8"/>
    <w:rsid w:val="00944794"/>
    <w:rsid w:val="009450E9"/>
    <w:rsid w:val="009456BB"/>
    <w:rsid w:val="00945D77"/>
    <w:rsid w:val="00945E51"/>
    <w:rsid w:val="009469A8"/>
    <w:rsid w:val="009478AD"/>
    <w:rsid w:val="00947C47"/>
    <w:rsid w:val="00947FE1"/>
    <w:rsid w:val="00950015"/>
    <w:rsid w:val="0095098E"/>
    <w:rsid w:val="00950FF8"/>
    <w:rsid w:val="00951CE7"/>
    <w:rsid w:val="009522AE"/>
    <w:rsid w:val="00953D2D"/>
    <w:rsid w:val="00953FE9"/>
    <w:rsid w:val="0095485A"/>
    <w:rsid w:val="00954C85"/>
    <w:rsid w:val="00955242"/>
    <w:rsid w:val="009558B4"/>
    <w:rsid w:val="00956509"/>
    <w:rsid w:val="009574CB"/>
    <w:rsid w:val="009576DF"/>
    <w:rsid w:val="00957851"/>
    <w:rsid w:val="00957E46"/>
    <w:rsid w:val="00960440"/>
    <w:rsid w:val="00960D26"/>
    <w:rsid w:val="00960D6A"/>
    <w:rsid w:val="00961574"/>
    <w:rsid w:val="0096167B"/>
    <w:rsid w:val="009619BC"/>
    <w:rsid w:val="009623B3"/>
    <w:rsid w:val="0096273E"/>
    <w:rsid w:val="00962C63"/>
    <w:rsid w:val="00962FA9"/>
    <w:rsid w:val="00963766"/>
    <w:rsid w:val="00964132"/>
    <w:rsid w:val="00964BC5"/>
    <w:rsid w:val="00965E82"/>
    <w:rsid w:val="00966626"/>
    <w:rsid w:val="00966EA9"/>
    <w:rsid w:val="0096710C"/>
    <w:rsid w:val="00967989"/>
    <w:rsid w:val="0097051D"/>
    <w:rsid w:val="009711D2"/>
    <w:rsid w:val="009721B7"/>
    <w:rsid w:val="00972619"/>
    <w:rsid w:val="00972642"/>
    <w:rsid w:val="009726B9"/>
    <w:rsid w:val="00972DC8"/>
    <w:rsid w:val="00973DF9"/>
    <w:rsid w:val="00974C21"/>
    <w:rsid w:val="00975528"/>
    <w:rsid w:val="0097597C"/>
    <w:rsid w:val="00975A37"/>
    <w:rsid w:val="00977C19"/>
    <w:rsid w:val="009805DF"/>
    <w:rsid w:val="00980833"/>
    <w:rsid w:val="00980E41"/>
    <w:rsid w:val="00980FE4"/>
    <w:rsid w:val="009814D0"/>
    <w:rsid w:val="00982BCC"/>
    <w:rsid w:val="00982E5D"/>
    <w:rsid w:val="0098394B"/>
    <w:rsid w:val="00985186"/>
    <w:rsid w:val="00985B7E"/>
    <w:rsid w:val="00985F8B"/>
    <w:rsid w:val="00985FEB"/>
    <w:rsid w:val="009878BA"/>
    <w:rsid w:val="009908A6"/>
    <w:rsid w:val="00991D0D"/>
    <w:rsid w:val="009932E2"/>
    <w:rsid w:val="0099388C"/>
    <w:rsid w:val="00993ACF"/>
    <w:rsid w:val="00994FEF"/>
    <w:rsid w:val="00995618"/>
    <w:rsid w:val="009957E1"/>
    <w:rsid w:val="009959C3"/>
    <w:rsid w:val="00996A66"/>
    <w:rsid w:val="00997093"/>
    <w:rsid w:val="00997186"/>
    <w:rsid w:val="0099753F"/>
    <w:rsid w:val="0099798C"/>
    <w:rsid w:val="00997BAB"/>
    <w:rsid w:val="009A11D1"/>
    <w:rsid w:val="009A1F97"/>
    <w:rsid w:val="009A3FE6"/>
    <w:rsid w:val="009A59C7"/>
    <w:rsid w:val="009A5A02"/>
    <w:rsid w:val="009A5E28"/>
    <w:rsid w:val="009A6B6A"/>
    <w:rsid w:val="009A74BB"/>
    <w:rsid w:val="009B0830"/>
    <w:rsid w:val="009B296A"/>
    <w:rsid w:val="009B3E13"/>
    <w:rsid w:val="009B3E9C"/>
    <w:rsid w:val="009B5135"/>
    <w:rsid w:val="009B6610"/>
    <w:rsid w:val="009B6649"/>
    <w:rsid w:val="009B6F11"/>
    <w:rsid w:val="009B7744"/>
    <w:rsid w:val="009B7835"/>
    <w:rsid w:val="009B791C"/>
    <w:rsid w:val="009B7D70"/>
    <w:rsid w:val="009C01E6"/>
    <w:rsid w:val="009C039D"/>
    <w:rsid w:val="009C0775"/>
    <w:rsid w:val="009C1397"/>
    <w:rsid w:val="009C243A"/>
    <w:rsid w:val="009C327F"/>
    <w:rsid w:val="009C3B59"/>
    <w:rsid w:val="009C3C80"/>
    <w:rsid w:val="009C3D0C"/>
    <w:rsid w:val="009C4DAF"/>
    <w:rsid w:val="009C626B"/>
    <w:rsid w:val="009C6375"/>
    <w:rsid w:val="009C67BF"/>
    <w:rsid w:val="009C6E95"/>
    <w:rsid w:val="009C7654"/>
    <w:rsid w:val="009C78B5"/>
    <w:rsid w:val="009D104E"/>
    <w:rsid w:val="009D2E5B"/>
    <w:rsid w:val="009D3AE0"/>
    <w:rsid w:val="009D4FBE"/>
    <w:rsid w:val="009D54B7"/>
    <w:rsid w:val="009D5722"/>
    <w:rsid w:val="009D572F"/>
    <w:rsid w:val="009D5B3D"/>
    <w:rsid w:val="009D5C51"/>
    <w:rsid w:val="009D6417"/>
    <w:rsid w:val="009D7EC5"/>
    <w:rsid w:val="009E0604"/>
    <w:rsid w:val="009E25AC"/>
    <w:rsid w:val="009E2E0F"/>
    <w:rsid w:val="009E38BA"/>
    <w:rsid w:val="009E3B7C"/>
    <w:rsid w:val="009E4178"/>
    <w:rsid w:val="009E4561"/>
    <w:rsid w:val="009E50B1"/>
    <w:rsid w:val="009E67EE"/>
    <w:rsid w:val="009E71FA"/>
    <w:rsid w:val="009E77B9"/>
    <w:rsid w:val="009E7D40"/>
    <w:rsid w:val="009F064C"/>
    <w:rsid w:val="009F0817"/>
    <w:rsid w:val="009F0BD5"/>
    <w:rsid w:val="009F1797"/>
    <w:rsid w:val="009F1892"/>
    <w:rsid w:val="009F3356"/>
    <w:rsid w:val="009F3EF0"/>
    <w:rsid w:val="009F4A9E"/>
    <w:rsid w:val="009F4F7A"/>
    <w:rsid w:val="009F5C02"/>
    <w:rsid w:val="009F693F"/>
    <w:rsid w:val="009F6B1E"/>
    <w:rsid w:val="009F7143"/>
    <w:rsid w:val="009F7AF5"/>
    <w:rsid w:val="00A02023"/>
    <w:rsid w:val="00A0370D"/>
    <w:rsid w:val="00A03839"/>
    <w:rsid w:val="00A03997"/>
    <w:rsid w:val="00A0551C"/>
    <w:rsid w:val="00A05580"/>
    <w:rsid w:val="00A06762"/>
    <w:rsid w:val="00A06BB8"/>
    <w:rsid w:val="00A06D62"/>
    <w:rsid w:val="00A074EA"/>
    <w:rsid w:val="00A102AB"/>
    <w:rsid w:val="00A10931"/>
    <w:rsid w:val="00A10C0D"/>
    <w:rsid w:val="00A11282"/>
    <w:rsid w:val="00A11B05"/>
    <w:rsid w:val="00A1217F"/>
    <w:rsid w:val="00A123F9"/>
    <w:rsid w:val="00A12807"/>
    <w:rsid w:val="00A15702"/>
    <w:rsid w:val="00A157BF"/>
    <w:rsid w:val="00A159F8"/>
    <w:rsid w:val="00A15A56"/>
    <w:rsid w:val="00A16354"/>
    <w:rsid w:val="00A16C3B"/>
    <w:rsid w:val="00A16C54"/>
    <w:rsid w:val="00A16D29"/>
    <w:rsid w:val="00A16FD1"/>
    <w:rsid w:val="00A200DE"/>
    <w:rsid w:val="00A20EFE"/>
    <w:rsid w:val="00A22073"/>
    <w:rsid w:val="00A23424"/>
    <w:rsid w:val="00A23544"/>
    <w:rsid w:val="00A23995"/>
    <w:rsid w:val="00A23DB2"/>
    <w:rsid w:val="00A24B92"/>
    <w:rsid w:val="00A250D7"/>
    <w:rsid w:val="00A262FA"/>
    <w:rsid w:val="00A270EF"/>
    <w:rsid w:val="00A27392"/>
    <w:rsid w:val="00A27F52"/>
    <w:rsid w:val="00A3046B"/>
    <w:rsid w:val="00A3083B"/>
    <w:rsid w:val="00A31951"/>
    <w:rsid w:val="00A31CC1"/>
    <w:rsid w:val="00A31E6C"/>
    <w:rsid w:val="00A324C1"/>
    <w:rsid w:val="00A32DB9"/>
    <w:rsid w:val="00A32EAF"/>
    <w:rsid w:val="00A339A6"/>
    <w:rsid w:val="00A33FAB"/>
    <w:rsid w:val="00A34F17"/>
    <w:rsid w:val="00A35534"/>
    <w:rsid w:val="00A35B5F"/>
    <w:rsid w:val="00A35F0A"/>
    <w:rsid w:val="00A36BAA"/>
    <w:rsid w:val="00A3765D"/>
    <w:rsid w:val="00A376E8"/>
    <w:rsid w:val="00A402C4"/>
    <w:rsid w:val="00A40F80"/>
    <w:rsid w:val="00A4120C"/>
    <w:rsid w:val="00A42FA1"/>
    <w:rsid w:val="00A43550"/>
    <w:rsid w:val="00A436B5"/>
    <w:rsid w:val="00A4439B"/>
    <w:rsid w:val="00A44D4A"/>
    <w:rsid w:val="00A45F89"/>
    <w:rsid w:val="00A46F37"/>
    <w:rsid w:val="00A511FB"/>
    <w:rsid w:val="00A5396F"/>
    <w:rsid w:val="00A5564D"/>
    <w:rsid w:val="00A55A5A"/>
    <w:rsid w:val="00A57370"/>
    <w:rsid w:val="00A57C01"/>
    <w:rsid w:val="00A602EB"/>
    <w:rsid w:val="00A60458"/>
    <w:rsid w:val="00A605F6"/>
    <w:rsid w:val="00A60B62"/>
    <w:rsid w:val="00A62281"/>
    <w:rsid w:val="00A643D2"/>
    <w:rsid w:val="00A647E4"/>
    <w:rsid w:val="00A64A9B"/>
    <w:rsid w:val="00A64BBB"/>
    <w:rsid w:val="00A65D9E"/>
    <w:rsid w:val="00A661B1"/>
    <w:rsid w:val="00A66E0B"/>
    <w:rsid w:val="00A67B88"/>
    <w:rsid w:val="00A70D0D"/>
    <w:rsid w:val="00A70E2D"/>
    <w:rsid w:val="00A71E55"/>
    <w:rsid w:val="00A7313B"/>
    <w:rsid w:val="00A73548"/>
    <w:rsid w:val="00A73901"/>
    <w:rsid w:val="00A73BE5"/>
    <w:rsid w:val="00A74AA5"/>
    <w:rsid w:val="00A74E1D"/>
    <w:rsid w:val="00A7545B"/>
    <w:rsid w:val="00A75627"/>
    <w:rsid w:val="00A765E0"/>
    <w:rsid w:val="00A768E2"/>
    <w:rsid w:val="00A773B8"/>
    <w:rsid w:val="00A776EF"/>
    <w:rsid w:val="00A8062E"/>
    <w:rsid w:val="00A80E75"/>
    <w:rsid w:val="00A81DB3"/>
    <w:rsid w:val="00A8202C"/>
    <w:rsid w:val="00A82D3B"/>
    <w:rsid w:val="00A837A0"/>
    <w:rsid w:val="00A83BCB"/>
    <w:rsid w:val="00A84430"/>
    <w:rsid w:val="00A84A12"/>
    <w:rsid w:val="00A860C4"/>
    <w:rsid w:val="00A86197"/>
    <w:rsid w:val="00A86D73"/>
    <w:rsid w:val="00A87693"/>
    <w:rsid w:val="00A87D50"/>
    <w:rsid w:val="00A91098"/>
    <w:rsid w:val="00A913D2"/>
    <w:rsid w:val="00A91539"/>
    <w:rsid w:val="00A925EF"/>
    <w:rsid w:val="00A9542B"/>
    <w:rsid w:val="00A95C89"/>
    <w:rsid w:val="00A9640D"/>
    <w:rsid w:val="00A97541"/>
    <w:rsid w:val="00A979DC"/>
    <w:rsid w:val="00A97DB9"/>
    <w:rsid w:val="00AA22FB"/>
    <w:rsid w:val="00AA26B8"/>
    <w:rsid w:val="00AA58C2"/>
    <w:rsid w:val="00AA61EE"/>
    <w:rsid w:val="00AA63BD"/>
    <w:rsid w:val="00AA6A26"/>
    <w:rsid w:val="00AA6DE8"/>
    <w:rsid w:val="00AA6F2A"/>
    <w:rsid w:val="00AA77AA"/>
    <w:rsid w:val="00AA7E52"/>
    <w:rsid w:val="00AB0A0D"/>
    <w:rsid w:val="00AB1F39"/>
    <w:rsid w:val="00AB21C3"/>
    <w:rsid w:val="00AB249E"/>
    <w:rsid w:val="00AB4552"/>
    <w:rsid w:val="00AB67D7"/>
    <w:rsid w:val="00AB6C42"/>
    <w:rsid w:val="00AC0B32"/>
    <w:rsid w:val="00AC122F"/>
    <w:rsid w:val="00AC1ADC"/>
    <w:rsid w:val="00AC2E45"/>
    <w:rsid w:val="00AC2F74"/>
    <w:rsid w:val="00AC43F9"/>
    <w:rsid w:val="00AC4CB8"/>
    <w:rsid w:val="00AC4DC3"/>
    <w:rsid w:val="00AC5266"/>
    <w:rsid w:val="00AC5793"/>
    <w:rsid w:val="00AC5A64"/>
    <w:rsid w:val="00AC6A91"/>
    <w:rsid w:val="00AC6E7E"/>
    <w:rsid w:val="00AD0092"/>
    <w:rsid w:val="00AD0391"/>
    <w:rsid w:val="00AD087F"/>
    <w:rsid w:val="00AD0CA2"/>
    <w:rsid w:val="00AD13C9"/>
    <w:rsid w:val="00AD13CD"/>
    <w:rsid w:val="00AD17AC"/>
    <w:rsid w:val="00AD197F"/>
    <w:rsid w:val="00AD223A"/>
    <w:rsid w:val="00AD2B0D"/>
    <w:rsid w:val="00AD2C95"/>
    <w:rsid w:val="00AD2E55"/>
    <w:rsid w:val="00AD34CE"/>
    <w:rsid w:val="00AD3940"/>
    <w:rsid w:val="00AD45FF"/>
    <w:rsid w:val="00AD4B69"/>
    <w:rsid w:val="00AD64B9"/>
    <w:rsid w:val="00AD6591"/>
    <w:rsid w:val="00AD65E2"/>
    <w:rsid w:val="00AD6960"/>
    <w:rsid w:val="00AD6CE2"/>
    <w:rsid w:val="00AD6DEC"/>
    <w:rsid w:val="00AD6FBD"/>
    <w:rsid w:val="00AD7047"/>
    <w:rsid w:val="00AD71DA"/>
    <w:rsid w:val="00AD775E"/>
    <w:rsid w:val="00AD7921"/>
    <w:rsid w:val="00AD7A34"/>
    <w:rsid w:val="00AE08B7"/>
    <w:rsid w:val="00AE0E63"/>
    <w:rsid w:val="00AE1088"/>
    <w:rsid w:val="00AE14E0"/>
    <w:rsid w:val="00AE19C5"/>
    <w:rsid w:val="00AE27A7"/>
    <w:rsid w:val="00AE27B9"/>
    <w:rsid w:val="00AE2A5A"/>
    <w:rsid w:val="00AE2FB2"/>
    <w:rsid w:val="00AE46DA"/>
    <w:rsid w:val="00AE5292"/>
    <w:rsid w:val="00AE5766"/>
    <w:rsid w:val="00AE5EB7"/>
    <w:rsid w:val="00AE694C"/>
    <w:rsid w:val="00AE6AFC"/>
    <w:rsid w:val="00AE6C65"/>
    <w:rsid w:val="00AF1BBE"/>
    <w:rsid w:val="00AF1CE4"/>
    <w:rsid w:val="00AF1D9F"/>
    <w:rsid w:val="00AF27D0"/>
    <w:rsid w:val="00AF3812"/>
    <w:rsid w:val="00AF3A88"/>
    <w:rsid w:val="00AF42CE"/>
    <w:rsid w:val="00AF4402"/>
    <w:rsid w:val="00AF5143"/>
    <w:rsid w:val="00AF75B3"/>
    <w:rsid w:val="00AF7E8B"/>
    <w:rsid w:val="00B00764"/>
    <w:rsid w:val="00B00D72"/>
    <w:rsid w:val="00B015A6"/>
    <w:rsid w:val="00B01745"/>
    <w:rsid w:val="00B01819"/>
    <w:rsid w:val="00B04764"/>
    <w:rsid w:val="00B05786"/>
    <w:rsid w:val="00B05C3A"/>
    <w:rsid w:val="00B07D40"/>
    <w:rsid w:val="00B1037B"/>
    <w:rsid w:val="00B103D5"/>
    <w:rsid w:val="00B11619"/>
    <w:rsid w:val="00B11A0A"/>
    <w:rsid w:val="00B120D9"/>
    <w:rsid w:val="00B126BA"/>
    <w:rsid w:val="00B13192"/>
    <w:rsid w:val="00B13545"/>
    <w:rsid w:val="00B1395E"/>
    <w:rsid w:val="00B13DB4"/>
    <w:rsid w:val="00B13FA8"/>
    <w:rsid w:val="00B14445"/>
    <w:rsid w:val="00B1499D"/>
    <w:rsid w:val="00B156B6"/>
    <w:rsid w:val="00B157A4"/>
    <w:rsid w:val="00B1611B"/>
    <w:rsid w:val="00B16A26"/>
    <w:rsid w:val="00B1711E"/>
    <w:rsid w:val="00B171B9"/>
    <w:rsid w:val="00B179A7"/>
    <w:rsid w:val="00B203BB"/>
    <w:rsid w:val="00B20A51"/>
    <w:rsid w:val="00B21CBA"/>
    <w:rsid w:val="00B2285F"/>
    <w:rsid w:val="00B245DB"/>
    <w:rsid w:val="00B24FC1"/>
    <w:rsid w:val="00B257D9"/>
    <w:rsid w:val="00B2585A"/>
    <w:rsid w:val="00B25A89"/>
    <w:rsid w:val="00B25AFA"/>
    <w:rsid w:val="00B25CDB"/>
    <w:rsid w:val="00B26231"/>
    <w:rsid w:val="00B26352"/>
    <w:rsid w:val="00B26358"/>
    <w:rsid w:val="00B26FBC"/>
    <w:rsid w:val="00B30557"/>
    <w:rsid w:val="00B305D2"/>
    <w:rsid w:val="00B309BD"/>
    <w:rsid w:val="00B30D90"/>
    <w:rsid w:val="00B30F2D"/>
    <w:rsid w:val="00B31C8D"/>
    <w:rsid w:val="00B31CE4"/>
    <w:rsid w:val="00B31E54"/>
    <w:rsid w:val="00B32571"/>
    <w:rsid w:val="00B3348F"/>
    <w:rsid w:val="00B3460C"/>
    <w:rsid w:val="00B34B2A"/>
    <w:rsid w:val="00B354D1"/>
    <w:rsid w:val="00B36653"/>
    <w:rsid w:val="00B36D82"/>
    <w:rsid w:val="00B372E3"/>
    <w:rsid w:val="00B37B2E"/>
    <w:rsid w:val="00B37B38"/>
    <w:rsid w:val="00B37E2C"/>
    <w:rsid w:val="00B4004B"/>
    <w:rsid w:val="00B4117D"/>
    <w:rsid w:val="00B415FC"/>
    <w:rsid w:val="00B42183"/>
    <w:rsid w:val="00B42217"/>
    <w:rsid w:val="00B42587"/>
    <w:rsid w:val="00B432DB"/>
    <w:rsid w:val="00B44E2F"/>
    <w:rsid w:val="00B45EF2"/>
    <w:rsid w:val="00B46FBE"/>
    <w:rsid w:val="00B4761C"/>
    <w:rsid w:val="00B479F7"/>
    <w:rsid w:val="00B506B5"/>
    <w:rsid w:val="00B50E64"/>
    <w:rsid w:val="00B51E77"/>
    <w:rsid w:val="00B52379"/>
    <w:rsid w:val="00B52AC8"/>
    <w:rsid w:val="00B5386D"/>
    <w:rsid w:val="00B556AE"/>
    <w:rsid w:val="00B5595E"/>
    <w:rsid w:val="00B55E85"/>
    <w:rsid w:val="00B57178"/>
    <w:rsid w:val="00B5718A"/>
    <w:rsid w:val="00B57DAC"/>
    <w:rsid w:val="00B60CBB"/>
    <w:rsid w:val="00B611FE"/>
    <w:rsid w:val="00B63153"/>
    <w:rsid w:val="00B63D87"/>
    <w:rsid w:val="00B63DC8"/>
    <w:rsid w:val="00B6442B"/>
    <w:rsid w:val="00B64466"/>
    <w:rsid w:val="00B65A68"/>
    <w:rsid w:val="00B662CF"/>
    <w:rsid w:val="00B66577"/>
    <w:rsid w:val="00B671EB"/>
    <w:rsid w:val="00B67319"/>
    <w:rsid w:val="00B67DAF"/>
    <w:rsid w:val="00B70058"/>
    <w:rsid w:val="00B70736"/>
    <w:rsid w:val="00B70AA9"/>
    <w:rsid w:val="00B71040"/>
    <w:rsid w:val="00B71A59"/>
    <w:rsid w:val="00B71CA5"/>
    <w:rsid w:val="00B733DA"/>
    <w:rsid w:val="00B73701"/>
    <w:rsid w:val="00B73FFD"/>
    <w:rsid w:val="00B75683"/>
    <w:rsid w:val="00B75BF0"/>
    <w:rsid w:val="00B80B46"/>
    <w:rsid w:val="00B80C8B"/>
    <w:rsid w:val="00B81B02"/>
    <w:rsid w:val="00B8245E"/>
    <w:rsid w:val="00B82AA7"/>
    <w:rsid w:val="00B8342D"/>
    <w:rsid w:val="00B83AB4"/>
    <w:rsid w:val="00B8483C"/>
    <w:rsid w:val="00B85054"/>
    <w:rsid w:val="00B854B2"/>
    <w:rsid w:val="00B85813"/>
    <w:rsid w:val="00B86940"/>
    <w:rsid w:val="00B87227"/>
    <w:rsid w:val="00B87509"/>
    <w:rsid w:val="00B87A8C"/>
    <w:rsid w:val="00B90A2E"/>
    <w:rsid w:val="00B90DAC"/>
    <w:rsid w:val="00B9156D"/>
    <w:rsid w:val="00B93F94"/>
    <w:rsid w:val="00B944B5"/>
    <w:rsid w:val="00B945C9"/>
    <w:rsid w:val="00B94D76"/>
    <w:rsid w:val="00B95405"/>
    <w:rsid w:val="00B9555B"/>
    <w:rsid w:val="00B95F17"/>
    <w:rsid w:val="00B970F3"/>
    <w:rsid w:val="00B97CAD"/>
    <w:rsid w:val="00BA026F"/>
    <w:rsid w:val="00BA0CB0"/>
    <w:rsid w:val="00BA1008"/>
    <w:rsid w:val="00BA1322"/>
    <w:rsid w:val="00BA207A"/>
    <w:rsid w:val="00BA2083"/>
    <w:rsid w:val="00BA2646"/>
    <w:rsid w:val="00BA2661"/>
    <w:rsid w:val="00BA37AC"/>
    <w:rsid w:val="00BA4B4B"/>
    <w:rsid w:val="00BA5A8F"/>
    <w:rsid w:val="00BA6F61"/>
    <w:rsid w:val="00BB0BF4"/>
    <w:rsid w:val="00BB1203"/>
    <w:rsid w:val="00BB1288"/>
    <w:rsid w:val="00BB16FC"/>
    <w:rsid w:val="00BB1AB4"/>
    <w:rsid w:val="00BB1B8F"/>
    <w:rsid w:val="00BB1E47"/>
    <w:rsid w:val="00BB24F9"/>
    <w:rsid w:val="00BB252D"/>
    <w:rsid w:val="00BB2E96"/>
    <w:rsid w:val="00BB32AB"/>
    <w:rsid w:val="00BB3A7E"/>
    <w:rsid w:val="00BB48C2"/>
    <w:rsid w:val="00BB4E9A"/>
    <w:rsid w:val="00BB6CAF"/>
    <w:rsid w:val="00BB6CB1"/>
    <w:rsid w:val="00BB77D4"/>
    <w:rsid w:val="00BC067A"/>
    <w:rsid w:val="00BC13F1"/>
    <w:rsid w:val="00BC1AFE"/>
    <w:rsid w:val="00BC291B"/>
    <w:rsid w:val="00BC2981"/>
    <w:rsid w:val="00BC30E4"/>
    <w:rsid w:val="00BC4A40"/>
    <w:rsid w:val="00BC4BAD"/>
    <w:rsid w:val="00BC4D25"/>
    <w:rsid w:val="00BC4F15"/>
    <w:rsid w:val="00BC4FD8"/>
    <w:rsid w:val="00BC6154"/>
    <w:rsid w:val="00BC6C27"/>
    <w:rsid w:val="00BC72F2"/>
    <w:rsid w:val="00BC783D"/>
    <w:rsid w:val="00BD011B"/>
    <w:rsid w:val="00BD17FF"/>
    <w:rsid w:val="00BD394D"/>
    <w:rsid w:val="00BD3F14"/>
    <w:rsid w:val="00BD4340"/>
    <w:rsid w:val="00BD4C64"/>
    <w:rsid w:val="00BD4F31"/>
    <w:rsid w:val="00BD552A"/>
    <w:rsid w:val="00BD5D25"/>
    <w:rsid w:val="00BD7376"/>
    <w:rsid w:val="00BD77F5"/>
    <w:rsid w:val="00BD79D7"/>
    <w:rsid w:val="00BD7F6C"/>
    <w:rsid w:val="00BE2369"/>
    <w:rsid w:val="00BE3084"/>
    <w:rsid w:val="00BE30C4"/>
    <w:rsid w:val="00BE3283"/>
    <w:rsid w:val="00BE3887"/>
    <w:rsid w:val="00BE514E"/>
    <w:rsid w:val="00BE5ECE"/>
    <w:rsid w:val="00BE789D"/>
    <w:rsid w:val="00BE7FEA"/>
    <w:rsid w:val="00BF03EC"/>
    <w:rsid w:val="00BF1BB7"/>
    <w:rsid w:val="00BF2495"/>
    <w:rsid w:val="00BF290C"/>
    <w:rsid w:val="00BF304C"/>
    <w:rsid w:val="00BF3BD9"/>
    <w:rsid w:val="00BF4810"/>
    <w:rsid w:val="00BF58C5"/>
    <w:rsid w:val="00BF60F1"/>
    <w:rsid w:val="00C01878"/>
    <w:rsid w:val="00C02E6E"/>
    <w:rsid w:val="00C049EF"/>
    <w:rsid w:val="00C04C55"/>
    <w:rsid w:val="00C04D16"/>
    <w:rsid w:val="00C050BB"/>
    <w:rsid w:val="00C05535"/>
    <w:rsid w:val="00C0579A"/>
    <w:rsid w:val="00C05936"/>
    <w:rsid w:val="00C06714"/>
    <w:rsid w:val="00C06C6E"/>
    <w:rsid w:val="00C06F8B"/>
    <w:rsid w:val="00C102FD"/>
    <w:rsid w:val="00C1062B"/>
    <w:rsid w:val="00C10C31"/>
    <w:rsid w:val="00C11394"/>
    <w:rsid w:val="00C114BC"/>
    <w:rsid w:val="00C114C1"/>
    <w:rsid w:val="00C14FD1"/>
    <w:rsid w:val="00C1564E"/>
    <w:rsid w:val="00C15E2E"/>
    <w:rsid w:val="00C160F6"/>
    <w:rsid w:val="00C16993"/>
    <w:rsid w:val="00C2025B"/>
    <w:rsid w:val="00C20424"/>
    <w:rsid w:val="00C21332"/>
    <w:rsid w:val="00C22B01"/>
    <w:rsid w:val="00C232A7"/>
    <w:rsid w:val="00C235F6"/>
    <w:rsid w:val="00C2457F"/>
    <w:rsid w:val="00C248A2"/>
    <w:rsid w:val="00C2505A"/>
    <w:rsid w:val="00C25379"/>
    <w:rsid w:val="00C25D49"/>
    <w:rsid w:val="00C266ED"/>
    <w:rsid w:val="00C26C58"/>
    <w:rsid w:val="00C2795D"/>
    <w:rsid w:val="00C27DCE"/>
    <w:rsid w:val="00C308A3"/>
    <w:rsid w:val="00C30938"/>
    <w:rsid w:val="00C311E3"/>
    <w:rsid w:val="00C32373"/>
    <w:rsid w:val="00C3576C"/>
    <w:rsid w:val="00C35BF8"/>
    <w:rsid w:val="00C35CC8"/>
    <w:rsid w:val="00C3606F"/>
    <w:rsid w:val="00C365E7"/>
    <w:rsid w:val="00C3680F"/>
    <w:rsid w:val="00C374BF"/>
    <w:rsid w:val="00C4197D"/>
    <w:rsid w:val="00C41DBD"/>
    <w:rsid w:val="00C426A7"/>
    <w:rsid w:val="00C43597"/>
    <w:rsid w:val="00C445CD"/>
    <w:rsid w:val="00C44F5D"/>
    <w:rsid w:val="00C450CD"/>
    <w:rsid w:val="00C45920"/>
    <w:rsid w:val="00C46A70"/>
    <w:rsid w:val="00C46B55"/>
    <w:rsid w:val="00C4709A"/>
    <w:rsid w:val="00C503A3"/>
    <w:rsid w:val="00C50697"/>
    <w:rsid w:val="00C509D9"/>
    <w:rsid w:val="00C50AD6"/>
    <w:rsid w:val="00C50B27"/>
    <w:rsid w:val="00C525D8"/>
    <w:rsid w:val="00C52BBE"/>
    <w:rsid w:val="00C53F04"/>
    <w:rsid w:val="00C55629"/>
    <w:rsid w:val="00C55AB1"/>
    <w:rsid w:val="00C56174"/>
    <w:rsid w:val="00C56989"/>
    <w:rsid w:val="00C56A7E"/>
    <w:rsid w:val="00C56C93"/>
    <w:rsid w:val="00C57C9C"/>
    <w:rsid w:val="00C61E9B"/>
    <w:rsid w:val="00C6255C"/>
    <w:rsid w:val="00C648AA"/>
    <w:rsid w:val="00C649D9"/>
    <w:rsid w:val="00C64ACE"/>
    <w:rsid w:val="00C653CE"/>
    <w:rsid w:val="00C65952"/>
    <w:rsid w:val="00C66B2E"/>
    <w:rsid w:val="00C67415"/>
    <w:rsid w:val="00C6748A"/>
    <w:rsid w:val="00C70256"/>
    <w:rsid w:val="00C7027E"/>
    <w:rsid w:val="00C71BAA"/>
    <w:rsid w:val="00C721F7"/>
    <w:rsid w:val="00C724EF"/>
    <w:rsid w:val="00C732B7"/>
    <w:rsid w:val="00C736C2"/>
    <w:rsid w:val="00C73A82"/>
    <w:rsid w:val="00C74B9E"/>
    <w:rsid w:val="00C74D2B"/>
    <w:rsid w:val="00C7505A"/>
    <w:rsid w:val="00C759B9"/>
    <w:rsid w:val="00C75F3B"/>
    <w:rsid w:val="00C77798"/>
    <w:rsid w:val="00C77AB4"/>
    <w:rsid w:val="00C800D7"/>
    <w:rsid w:val="00C80CD6"/>
    <w:rsid w:val="00C81099"/>
    <w:rsid w:val="00C81CC9"/>
    <w:rsid w:val="00C83908"/>
    <w:rsid w:val="00C841A4"/>
    <w:rsid w:val="00C84412"/>
    <w:rsid w:val="00C85368"/>
    <w:rsid w:val="00C86822"/>
    <w:rsid w:val="00C90A55"/>
    <w:rsid w:val="00C91132"/>
    <w:rsid w:val="00C91902"/>
    <w:rsid w:val="00C91BA4"/>
    <w:rsid w:val="00C91F09"/>
    <w:rsid w:val="00C9279D"/>
    <w:rsid w:val="00C93555"/>
    <w:rsid w:val="00C938DE"/>
    <w:rsid w:val="00C942D6"/>
    <w:rsid w:val="00C9437E"/>
    <w:rsid w:val="00C94861"/>
    <w:rsid w:val="00C948FB"/>
    <w:rsid w:val="00C94D37"/>
    <w:rsid w:val="00C97357"/>
    <w:rsid w:val="00C97E02"/>
    <w:rsid w:val="00C97F78"/>
    <w:rsid w:val="00CA0334"/>
    <w:rsid w:val="00CA0704"/>
    <w:rsid w:val="00CA0BD7"/>
    <w:rsid w:val="00CA0DD4"/>
    <w:rsid w:val="00CA37A9"/>
    <w:rsid w:val="00CA37D2"/>
    <w:rsid w:val="00CA49DF"/>
    <w:rsid w:val="00CA5CD0"/>
    <w:rsid w:val="00CA652D"/>
    <w:rsid w:val="00CA6837"/>
    <w:rsid w:val="00CA6F3E"/>
    <w:rsid w:val="00CA7971"/>
    <w:rsid w:val="00CA7C6F"/>
    <w:rsid w:val="00CB0487"/>
    <w:rsid w:val="00CB0CB7"/>
    <w:rsid w:val="00CB1F8B"/>
    <w:rsid w:val="00CB23AA"/>
    <w:rsid w:val="00CB2C24"/>
    <w:rsid w:val="00CB3C75"/>
    <w:rsid w:val="00CB454F"/>
    <w:rsid w:val="00CB4B4C"/>
    <w:rsid w:val="00CB5463"/>
    <w:rsid w:val="00CB6278"/>
    <w:rsid w:val="00CB62AC"/>
    <w:rsid w:val="00CB6445"/>
    <w:rsid w:val="00CB66C2"/>
    <w:rsid w:val="00CB66C4"/>
    <w:rsid w:val="00CB66E2"/>
    <w:rsid w:val="00CB71AE"/>
    <w:rsid w:val="00CB766A"/>
    <w:rsid w:val="00CC2147"/>
    <w:rsid w:val="00CC24B6"/>
    <w:rsid w:val="00CC26A9"/>
    <w:rsid w:val="00CC275D"/>
    <w:rsid w:val="00CC4232"/>
    <w:rsid w:val="00CC5273"/>
    <w:rsid w:val="00CC53CC"/>
    <w:rsid w:val="00CC6347"/>
    <w:rsid w:val="00CC6734"/>
    <w:rsid w:val="00CC7FBE"/>
    <w:rsid w:val="00CD06DA"/>
    <w:rsid w:val="00CD1314"/>
    <w:rsid w:val="00CD1D0C"/>
    <w:rsid w:val="00CD213A"/>
    <w:rsid w:val="00CD2DBA"/>
    <w:rsid w:val="00CD2F76"/>
    <w:rsid w:val="00CD38B1"/>
    <w:rsid w:val="00CD4008"/>
    <w:rsid w:val="00CD498F"/>
    <w:rsid w:val="00CD5712"/>
    <w:rsid w:val="00CD7202"/>
    <w:rsid w:val="00CD7D9D"/>
    <w:rsid w:val="00CE092C"/>
    <w:rsid w:val="00CE1570"/>
    <w:rsid w:val="00CE2D03"/>
    <w:rsid w:val="00CE3F40"/>
    <w:rsid w:val="00CE3FCF"/>
    <w:rsid w:val="00CE4154"/>
    <w:rsid w:val="00CE4869"/>
    <w:rsid w:val="00CE49E9"/>
    <w:rsid w:val="00CE4A7A"/>
    <w:rsid w:val="00CE4C10"/>
    <w:rsid w:val="00CE4E72"/>
    <w:rsid w:val="00CE4FAB"/>
    <w:rsid w:val="00CE5326"/>
    <w:rsid w:val="00CE598D"/>
    <w:rsid w:val="00CE5C64"/>
    <w:rsid w:val="00CE5E0E"/>
    <w:rsid w:val="00CE62AE"/>
    <w:rsid w:val="00CE6563"/>
    <w:rsid w:val="00CE683D"/>
    <w:rsid w:val="00CE7002"/>
    <w:rsid w:val="00CE7150"/>
    <w:rsid w:val="00CF0328"/>
    <w:rsid w:val="00CF072B"/>
    <w:rsid w:val="00CF09AD"/>
    <w:rsid w:val="00CF0E0D"/>
    <w:rsid w:val="00CF1161"/>
    <w:rsid w:val="00CF1762"/>
    <w:rsid w:val="00CF18D6"/>
    <w:rsid w:val="00CF20F8"/>
    <w:rsid w:val="00CF28F0"/>
    <w:rsid w:val="00CF57BE"/>
    <w:rsid w:val="00CF5965"/>
    <w:rsid w:val="00CF5E1E"/>
    <w:rsid w:val="00CF69FE"/>
    <w:rsid w:val="00CF6FAF"/>
    <w:rsid w:val="00CF6FB9"/>
    <w:rsid w:val="00CF734E"/>
    <w:rsid w:val="00D03F70"/>
    <w:rsid w:val="00D040D4"/>
    <w:rsid w:val="00D04426"/>
    <w:rsid w:val="00D04A9D"/>
    <w:rsid w:val="00D059EC"/>
    <w:rsid w:val="00D05EAF"/>
    <w:rsid w:val="00D06279"/>
    <w:rsid w:val="00D06F18"/>
    <w:rsid w:val="00D074F9"/>
    <w:rsid w:val="00D10328"/>
    <w:rsid w:val="00D13021"/>
    <w:rsid w:val="00D13E32"/>
    <w:rsid w:val="00D15447"/>
    <w:rsid w:val="00D17953"/>
    <w:rsid w:val="00D20E01"/>
    <w:rsid w:val="00D21C21"/>
    <w:rsid w:val="00D22211"/>
    <w:rsid w:val="00D22AA0"/>
    <w:rsid w:val="00D22BAE"/>
    <w:rsid w:val="00D22D9C"/>
    <w:rsid w:val="00D22DAA"/>
    <w:rsid w:val="00D22E5B"/>
    <w:rsid w:val="00D2301F"/>
    <w:rsid w:val="00D23148"/>
    <w:rsid w:val="00D24A9F"/>
    <w:rsid w:val="00D24E14"/>
    <w:rsid w:val="00D251B4"/>
    <w:rsid w:val="00D27916"/>
    <w:rsid w:val="00D27A27"/>
    <w:rsid w:val="00D30373"/>
    <w:rsid w:val="00D3046D"/>
    <w:rsid w:val="00D30CEE"/>
    <w:rsid w:val="00D3124F"/>
    <w:rsid w:val="00D31D69"/>
    <w:rsid w:val="00D31EA9"/>
    <w:rsid w:val="00D33815"/>
    <w:rsid w:val="00D34055"/>
    <w:rsid w:val="00D34C31"/>
    <w:rsid w:val="00D36074"/>
    <w:rsid w:val="00D360A1"/>
    <w:rsid w:val="00D364C5"/>
    <w:rsid w:val="00D36B19"/>
    <w:rsid w:val="00D36DC6"/>
    <w:rsid w:val="00D3739A"/>
    <w:rsid w:val="00D37B14"/>
    <w:rsid w:val="00D41409"/>
    <w:rsid w:val="00D41558"/>
    <w:rsid w:val="00D41A20"/>
    <w:rsid w:val="00D41ABA"/>
    <w:rsid w:val="00D422F5"/>
    <w:rsid w:val="00D42E3B"/>
    <w:rsid w:val="00D44DF2"/>
    <w:rsid w:val="00D46315"/>
    <w:rsid w:val="00D46D55"/>
    <w:rsid w:val="00D471E3"/>
    <w:rsid w:val="00D475BF"/>
    <w:rsid w:val="00D47BC1"/>
    <w:rsid w:val="00D50391"/>
    <w:rsid w:val="00D511D9"/>
    <w:rsid w:val="00D51408"/>
    <w:rsid w:val="00D514E0"/>
    <w:rsid w:val="00D51794"/>
    <w:rsid w:val="00D52143"/>
    <w:rsid w:val="00D52845"/>
    <w:rsid w:val="00D52CCD"/>
    <w:rsid w:val="00D52E0C"/>
    <w:rsid w:val="00D5323C"/>
    <w:rsid w:val="00D5555D"/>
    <w:rsid w:val="00D55A6F"/>
    <w:rsid w:val="00D56039"/>
    <w:rsid w:val="00D565B2"/>
    <w:rsid w:val="00D56683"/>
    <w:rsid w:val="00D56736"/>
    <w:rsid w:val="00D57263"/>
    <w:rsid w:val="00D57448"/>
    <w:rsid w:val="00D60B3A"/>
    <w:rsid w:val="00D610DB"/>
    <w:rsid w:val="00D611B5"/>
    <w:rsid w:val="00D61279"/>
    <w:rsid w:val="00D61A1D"/>
    <w:rsid w:val="00D61FBD"/>
    <w:rsid w:val="00D62D9C"/>
    <w:rsid w:val="00D63C0B"/>
    <w:rsid w:val="00D64875"/>
    <w:rsid w:val="00D64EE9"/>
    <w:rsid w:val="00D64FDA"/>
    <w:rsid w:val="00D651FF"/>
    <w:rsid w:val="00D65BAC"/>
    <w:rsid w:val="00D66265"/>
    <w:rsid w:val="00D67A79"/>
    <w:rsid w:val="00D70679"/>
    <w:rsid w:val="00D70EC2"/>
    <w:rsid w:val="00D711F2"/>
    <w:rsid w:val="00D71601"/>
    <w:rsid w:val="00D72AA9"/>
    <w:rsid w:val="00D738B9"/>
    <w:rsid w:val="00D73F1D"/>
    <w:rsid w:val="00D74379"/>
    <w:rsid w:val="00D747F5"/>
    <w:rsid w:val="00D752AC"/>
    <w:rsid w:val="00D75759"/>
    <w:rsid w:val="00D75B29"/>
    <w:rsid w:val="00D75C03"/>
    <w:rsid w:val="00D75D0F"/>
    <w:rsid w:val="00D75EFE"/>
    <w:rsid w:val="00D76112"/>
    <w:rsid w:val="00D76428"/>
    <w:rsid w:val="00D777E0"/>
    <w:rsid w:val="00D7792C"/>
    <w:rsid w:val="00D803F1"/>
    <w:rsid w:val="00D81A1E"/>
    <w:rsid w:val="00D81E44"/>
    <w:rsid w:val="00D81FEC"/>
    <w:rsid w:val="00D826F0"/>
    <w:rsid w:val="00D82B02"/>
    <w:rsid w:val="00D8596C"/>
    <w:rsid w:val="00D8597A"/>
    <w:rsid w:val="00D869F7"/>
    <w:rsid w:val="00D87166"/>
    <w:rsid w:val="00D87223"/>
    <w:rsid w:val="00D873F9"/>
    <w:rsid w:val="00D87776"/>
    <w:rsid w:val="00D90418"/>
    <w:rsid w:val="00D93EC0"/>
    <w:rsid w:val="00D93F8A"/>
    <w:rsid w:val="00D9421F"/>
    <w:rsid w:val="00D944F9"/>
    <w:rsid w:val="00D94B62"/>
    <w:rsid w:val="00D95C59"/>
    <w:rsid w:val="00D95EA9"/>
    <w:rsid w:val="00D96483"/>
    <w:rsid w:val="00D970A8"/>
    <w:rsid w:val="00D97CEA"/>
    <w:rsid w:val="00DA04A5"/>
    <w:rsid w:val="00DA100A"/>
    <w:rsid w:val="00DA2E37"/>
    <w:rsid w:val="00DA38D2"/>
    <w:rsid w:val="00DA42F4"/>
    <w:rsid w:val="00DA4373"/>
    <w:rsid w:val="00DA5046"/>
    <w:rsid w:val="00DA761B"/>
    <w:rsid w:val="00DA7A05"/>
    <w:rsid w:val="00DB0808"/>
    <w:rsid w:val="00DB0B38"/>
    <w:rsid w:val="00DB0F60"/>
    <w:rsid w:val="00DB248B"/>
    <w:rsid w:val="00DB2618"/>
    <w:rsid w:val="00DB3A3E"/>
    <w:rsid w:val="00DB40C2"/>
    <w:rsid w:val="00DB43B7"/>
    <w:rsid w:val="00DB43FF"/>
    <w:rsid w:val="00DB44BD"/>
    <w:rsid w:val="00DB47EB"/>
    <w:rsid w:val="00DB4911"/>
    <w:rsid w:val="00DB5731"/>
    <w:rsid w:val="00DB5BDD"/>
    <w:rsid w:val="00DB6768"/>
    <w:rsid w:val="00DB78A5"/>
    <w:rsid w:val="00DC0DEB"/>
    <w:rsid w:val="00DC0F72"/>
    <w:rsid w:val="00DC1301"/>
    <w:rsid w:val="00DC24D5"/>
    <w:rsid w:val="00DC2FF5"/>
    <w:rsid w:val="00DC33E1"/>
    <w:rsid w:val="00DC4631"/>
    <w:rsid w:val="00DC4A0B"/>
    <w:rsid w:val="00DC4C0D"/>
    <w:rsid w:val="00DC52CD"/>
    <w:rsid w:val="00DC684A"/>
    <w:rsid w:val="00DC7B0A"/>
    <w:rsid w:val="00DC7E4F"/>
    <w:rsid w:val="00DD04B4"/>
    <w:rsid w:val="00DD06EC"/>
    <w:rsid w:val="00DD0A10"/>
    <w:rsid w:val="00DD33FF"/>
    <w:rsid w:val="00DD3E0A"/>
    <w:rsid w:val="00DD3FFE"/>
    <w:rsid w:val="00DD75BC"/>
    <w:rsid w:val="00DD7CB3"/>
    <w:rsid w:val="00DE0143"/>
    <w:rsid w:val="00DE02CA"/>
    <w:rsid w:val="00DE13FA"/>
    <w:rsid w:val="00DE1C61"/>
    <w:rsid w:val="00DE1C78"/>
    <w:rsid w:val="00DE27FF"/>
    <w:rsid w:val="00DE2ABD"/>
    <w:rsid w:val="00DE2C8D"/>
    <w:rsid w:val="00DE3761"/>
    <w:rsid w:val="00DE4B65"/>
    <w:rsid w:val="00DE4DCE"/>
    <w:rsid w:val="00DE5436"/>
    <w:rsid w:val="00DE551C"/>
    <w:rsid w:val="00DE567A"/>
    <w:rsid w:val="00DE572C"/>
    <w:rsid w:val="00DE5DEE"/>
    <w:rsid w:val="00DE696D"/>
    <w:rsid w:val="00DE6A02"/>
    <w:rsid w:val="00DE6F34"/>
    <w:rsid w:val="00DE7106"/>
    <w:rsid w:val="00DE7DAB"/>
    <w:rsid w:val="00DE7ED3"/>
    <w:rsid w:val="00DF008C"/>
    <w:rsid w:val="00DF1000"/>
    <w:rsid w:val="00DF1E8E"/>
    <w:rsid w:val="00DF1FEB"/>
    <w:rsid w:val="00DF216B"/>
    <w:rsid w:val="00DF2C63"/>
    <w:rsid w:val="00DF311D"/>
    <w:rsid w:val="00DF47A3"/>
    <w:rsid w:val="00DF47C2"/>
    <w:rsid w:val="00DF4A2E"/>
    <w:rsid w:val="00DF4E77"/>
    <w:rsid w:val="00DF5707"/>
    <w:rsid w:val="00DF6E84"/>
    <w:rsid w:val="00DF6F34"/>
    <w:rsid w:val="00DF7ADD"/>
    <w:rsid w:val="00E02311"/>
    <w:rsid w:val="00E0265B"/>
    <w:rsid w:val="00E04338"/>
    <w:rsid w:val="00E05713"/>
    <w:rsid w:val="00E05DD5"/>
    <w:rsid w:val="00E060CD"/>
    <w:rsid w:val="00E066D5"/>
    <w:rsid w:val="00E07108"/>
    <w:rsid w:val="00E074DA"/>
    <w:rsid w:val="00E07B25"/>
    <w:rsid w:val="00E104F6"/>
    <w:rsid w:val="00E1050D"/>
    <w:rsid w:val="00E10F28"/>
    <w:rsid w:val="00E1100C"/>
    <w:rsid w:val="00E124AD"/>
    <w:rsid w:val="00E12B09"/>
    <w:rsid w:val="00E1419E"/>
    <w:rsid w:val="00E14B1A"/>
    <w:rsid w:val="00E1579D"/>
    <w:rsid w:val="00E159E0"/>
    <w:rsid w:val="00E160F7"/>
    <w:rsid w:val="00E170F1"/>
    <w:rsid w:val="00E20760"/>
    <w:rsid w:val="00E220F0"/>
    <w:rsid w:val="00E225E0"/>
    <w:rsid w:val="00E22D16"/>
    <w:rsid w:val="00E22EBB"/>
    <w:rsid w:val="00E230AC"/>
    <w:rsid w:val="00E238B1"/>
    <w:rsid w:val="00E23FA7"/>
    <w:rsid w:val="00E24700"/>
    <w:rsid w:val="00E2495C"/>
    <w:rsid w:val="00E24D29"/>
    <w:rsid w:val="00E25F3C"/>
    <w:rsid w:val="00E26501"/>
    <w:rsid w:val="00E26D24"/>
    <w:rsid w:val="00E27F28"/>
    <w:rsid w:val="00E305CD"/>
    <w:rsid w:val="00E30A23"/>
    <w:rsid w:val="00E31D39"/>
    <w:rsid w:val="00E32958"/>
    <w:rsid w:val="00E33F1F"/>
    <w:rsid w:val="00E3409F"/>
    <w:rsid w:val="00E34331"/>
    <w:rsid w:val="00E34BF7"/>
    <w:rsid w:val="00E3572B"/>
    <w:rsid w:val="00E35C55"/>
    <w:rsid w:val="00E35DEB"/>
    <w:rsid w:val="00E374B4"/>
    <w:rsid w:val="00E3796F"/>
    <w:rsid w:val="00E40A6D"/>
    <w:rsid w:val="00E411C3"/>
    <w:rsid w:val="00E41379"/>
    <w:rsid w:val="00E414C0"/>
    <w:rsid w:val="00E415E3"/>
    <w:rsid w:val="00E42C2A"/>
    <w:rsid w:val="00E4454E"/>
    <w:rsid w:val="00E44775"/>
    <w:rsid w:val="00E47FF4"/>
    <w:rsid w:val="00E506BE"/>
    <w:rsid w:val="00E51085"/>
    <w:rsid w:val="00E5151E"/>
    <w:rsid w:val="00E51695"/>
    <w:rsid w:val="00E53131"/>
    <w:rsid w:val="00E53D15"/>
    <w:rsid w:val="00E559F0"/>
    <w:rsid w:val="00E560A0"/>
    <w:rsid w:val="00E56382"/>
    <w:rsid w:val="00E56CB2"/>
    <w:rsid w:val="00E6122B"/>
    <w:rsid w:val="00E61EF3"/>
    <w:rsid w:val="00E63BEA"/>
    <w:rsid w:val="00E66270"/>
    <w:rsid w:val="00E67307"/>
    <w:rsid w:val="00E67907"/>
    <w:rsid w:val="00E6799F"/>
    <w:rsid w:val="00E67B35"/>
    <w:rsid w:val="00E67C4E"/>
    <w:rsid w:val="00E71813"/>
    <w:rsid w:val="00E71892"/>
    <w:rsid w:val="00E7287A"/>
    <w:rsid w:val="00E728D7"/>
    <w:rsid w:val="00E72991"/>
    <w:rsid w:val="00E73D4E"/>
    <w:rsid w:val="00E75071"/>
    <w:rsid w:val="00E752BB"/>
    <w:rsid w:val="00E75965"/>
    <w:rsid w:val="00E7647C"/>
    <w:rsid w:val="00E7673E"/>
    <w:rsid w:val="00E7690F"/>
    <w:rsid w:val="00E76F68"/>
    <w:rsid w:val="00E774D2"/>
    <w:rsid w:val="00E813C5"/>
    <w:rsid w:val="00E8189B"/>
    <w:rsid w:val="00E82124"/>
    <w:rsid w:val="00E8317B"/>
    <w:rsid w:val="00E841F6"/>
    <w:rsid w:val="00E84FAD"/>
    <w:rsid w:val="00E85F45"/>
    <w:rsid w:val="00E87164"/>
    <w:rsid w:val="00E874FC"/>
    <w:rsid w:val="00E87DF7"/>
    <w:rsid w:val="00E87F92"/>
    <w:rsid w:val="00E9280B"/>
    <w:rsid w:val="00E92A81"/>
    <w:rsid w:val="00E9312D"/>
    <w:rsid w:val="00E93228"/>
    <w:rsid w:val="00E93FB0"/>
    <w:rsid w:val="00E94DB1"/>
    <w:rsid w:val="00E951C2"/>
    <w:rsid w:val="00E956AF"/>
    <w:rsid w:val="00E96796"/>
    <w:rsid w:val="00E97131"/>
    <w:rsid w:val="00EA0119"/>
    <w:rsid w:val="00EA0B9A"/>
    <w:rsid w:val="00EA0E7B"/>
    <w:rsid w:val="00EA14FE"/>
    <w:rsid w:val="00EA1566"/>
    <w:rsid w:val="00EA1FD5"/>
    <w:rsid w:val="00EA2FFC"/>
    <w:rsid w:val="00EA3556"/>
    <w:rsid w:val="00EA377A"/>
    <w:rsid w:val="00EA53A6"/>
    <w:rsid w:val="00EA53C3"/>
    <w:rsid w:val="00EA564E"/>
    <w:rsid w:val="00EA6C69"/>
    <w:rsid w:val="00EA6EDD"/>
    <w:rsid w:val="00EA7C00"/>
    <w:rsid w:val="00EA7C14"/>
    <w:rsid w:val="00EB024F"/>
    <w:rsid w:val="00EB0274"/>
    <w:rsid w:val="00EB039E"/>
    <w:rsid w:val="00EB04B8"/>
    <w:rsid w:val="00EB0899"/>
    <w:rsid w:val="00EB15ED"/>
    <w:rsid w:val="00EB36A2"/>
    <w:rsid w:val="00EB3AD7"/>
    <w:rsid w:val="00EB3F43"/>
    <w:rsid w:val="00EB4151"/>
    <w:rsid w:val="00EB48CA"/>
    <w:rsid w:val="00EB5790"/>
    <w:rsid w:val="00EB6124"/>
    <w:rsid w:val="00EB6443"/>
    <w:rsid w:val="00EB67CC"/>
    <w:rsid w:val="00EB67EA"/>
    <w:rsid w:val="00EB74A8"/>
    <w:rsid w:val="00EB74FB"/>
    <w:rsid w:val="00EB7EAD"/>
    <w:rsid w:val="00EC0F23"/>
    <w:rsid w:val="00EC1BBD"/>
    <w:rsid w:val="00EC2D7F"/>
    <w:rsid w:val="00EC3064"/>
    <w:rsid w:val="00EC3189"/>
    <w:rsid w:val="00EC36CC"/>
    <w:rsid w:val="00EC4AAB"/>
    <w:rsid w:val="00EC4DFB"/>
    <w:rsid w:val="00EC5EC2"/>
    <w:rsid w:val="00EC6278"/>
    <w:rsid w:val="00EC65CE"/>
    <w:rsid w:val="00EC66B6"/>
    <w:rsid w:val="00EC6EF9"/>
    <w:rsid w:val="00EC78B7"/>
    <w:rsid w:val="00ED07CA"/>
    <w:rsid w:val="00ED0BFC"/>
    <w:rsid w:val="00ED0CC2"/>
    <w:rsid w:val="00ED1216"/>
    <w:rsid w:val="00ED2454"/>
    <w:rsid w:val="00ED4416"/>
    <w:rsid w:val="00ED5216"/>
    <w:rsid w:val="00ED55F9"/>
    <w:rsid w:val="00ED6A6B"/>
    <w:rsid w:val="00ED7AAE"/>
    <w:rsid w:val="00EE052F"/>
    <w:rsid w:val="00EE0AC3"/>
    <w:rsid w:val="00EE0EF4"/>
    <w:rsid w:val="00EE0F1B"/>
    <w:rsid w:val="00EE132A"/>
    <w:rsid w:val="00EE1978"/>
    <w:rsid w:val="00EE1BCA"/>
    <w:rsid w:val="00EE3E20"/>
    <w:rsid w:val="00EE45AB"/>
    <w:rsid w:val="00EE552E"/>
    <w:rsid w:val="00EE5651"/>
    <w:rsid w:val="00EE66A6"/>
    <w:rsid w:val="00EE6AE8"/>
    <w:rsid w:val="00EF0101"/>
    <w:rsid w:val="00EF06A2"/>
    <w:rsid w:val="00EF0DD4"/>
    <w:rsid w:val="00EF0F7B"/>
    <w:rsid w:val="00EF13D8"/>
    <w:rsid w:val="00EF3737"/>
    <w:rsid w:val="00EF4676"/>
    <w:rsid w:val="00EF4EF9"/>
    <w:rsid w:val="00EF6168"/>
    <w:rsid w:val="00EF6C30"/>
    <w:rsid w:val="00EF6EC6"/>
    <w:rsid w:val="00EF74AF"/>
    <w:rsid w:val="00EF7943"/>
    <w:rsid w:val="00F0139B"/>
    <w:rsid w:val="00F015D4"/>
    <w:rsid w:val="00F01B8A"/>
    <w:rsid w:val="00F01F7C"/>
    <w:rsid w:val="00F02245"/>
    <w:rsid w:val="00F0231E"/>
    <w:rsid w:val="00F02826"/>
    <w:rsid w:val="00F03752"/>
    <w:rsid w:val="00F03856"/>
    <w:rsid w:val="00F04DFC"/>
    <w:rsid w:val="00F05292"/>
    <w:rsid w:val="00F0553C"/>
    <w:rsid w:val="00F05AA7"/>
    <w:rsid w:val="00F06611"/>
    <w:rsid w:val="00F06934"/>
    <w:rsid w:val="00F07797"/>
    <w:rsid w:val="00F07819"/>
    <w:rsid w:val="00F10115"/>
    <w:rsid w:val="00F1038E"/>
    <w:rsid w:val="00F11388"/>
    <w:rsid w:val="00F12AB3"/>
    <w:rsid w:val="00F137F2"/>
    <w:rsid w:val="00F14030"/>
    <w:rsid w:val="00F14058"/>
    <w:rsid w:val="00F140E9"/>
    <w:rsid w:val="00F14435"/>
    <w:rsid w:val="00F14722"/>
    <w:rsid w:val="00F1505F"/>
    <w:rsid w:val="00F15071"/>
    <w:rsid w:val="00F1508C"/>
    <w:rsid w:val="00F1546C"/>
    <w:rsid w:val="00F157B1"/>
    <w:rsid w:val="00F15ADD"/>
    <w:rsid w:val="00F160BA"/>
    <w:rsid w:val="00F17E74"/>
    <w:rsid w:val="00F20CF3"/>
    <w:rsid w:val="00F21639"/>
    <w:rsid w:val="00F22660"/>
    <w:rsid w:val="00F228F7"/>
    <w:rsid w:val="00F233F5"/>
    <w:rsid w:val="00F24B36"/>
    <w:rsid w:val="00F24F5F"/>
    <w:rsid w:val="00F260C7"/>
    <w:rsid w:val="00F26142"/>
    <w:rsid w:val="00F26A63"/>
    <w:rsid w:val="00F26F68"/>
    <w:rsid w:val="00F27054"/>
    <w:rsid w:val="00F306EE"/>
    <w:rsid w:val="00F3076A"/>
    <w:rsid w:val="00F30A76"/>
    <w:rsid w:val="00F30BF5"/>
    <w:rsid w:val="00F31F5E"/>
    <w:rsid w:val="00F33553"/>
    <w:rsid w:val="00F335AF"/>
    <w:rsid w:val="00F335EE"/>
    <w:rsid w:val="00F34A9F"/>
    <w:rsid w:val="00F34C40"/>
    <w:rsid w:val="00F357AB"/>
    <w:rsid w:val="00F35A10"/>
    <w:rsid w:val="00F3681A"/>
    <w:rsid w:val="00F4050F"/>
    <w:rsid w:val="00F40B3C"/>
    <w:rsid w:val="00F40B72"/>
    <w:rsid w:val="00F41086"/>
    <w:rsid w:val="00F41671"/>
    <w:rsid w:val="00F41808"/>
    <w:rsid w:val="00F41E71"/>
    <w:rsid w:val="00F42E93"/>
    <w:rsid w:val="00F4314B"/>
    <w:rsid w:val="00F438A4"/>
    <w:rsid w:val="00F44721"/>
    <w:rsid w:val="00F449C3"/>
    <w:rsid w:val="00F449E4"/>
    <w:rsid w:val="00F46999"/>
    <w:rsid w:val="00F47251"/>
    <w:rsid w:val="00F51A42"/>
    <w:rsid w:val="00F536D9"/>
    <w:rsid w:val="00F53812"/>
    <w:rsid w:val="00F555AC"/>
    <w:rsid w:val="00F55F3F"/>
    <w:rsid w:val="00F57059"/>
    <w:rsid w:val="00F57546"/>
    <w:rsid w:val="00F57B15"/>
    <w:rsid w:val="00F60B45"/>
    <w:rsid w:val="00F60C15"/>
    <w:rsid w:val="00F60DC2"/>
    <w:rsid w:val="00F617C1"/>
    <w:rsid w:val="00F61F03"/>
    <w:rsid w:val="00F62FCA"/>
    <w:rsid w:val="00F6537A"/>
    <w:rsid w:val="00F660E9"/>
    <w:rsid w:val="00F6629C"/>
    <w:rsid w:val="00F67F72"/>
    <w:rsid w:val="00F70034"/>
    <w:rsid w:val="00F704B5"/>
    <w:rsid w:val="00F70E8A"/>
    <w:rsid w:val="00F714A4"/>
    <w:rsid w:val="00F72AA7"/>
    <w:rsid w:val="00F734AE"/>
    <w:rsid w:val="00F7391A"/>
    <w:rsid w:val="00F74377"/>
    <w:rsid w:val="00F74ADB"/>
    <w:rsid w:val="00F74EA7"/>
    <w:rsid w:val="00F761AF"/>
    <w:rsid w:val="00F767C8"/>
    <w:rsid w:val="00F76F0D"/>
    <w:rsid w:val="00F773FE"/>
    <w:rsid w:val="00F77CE1"/>
    <w:rsid w:val="00F8034F"/>
    <w:rsid w:val="00F80F74"/>
    <w:rsid w:val="00F81C7F"/>
    <w:rsid w:val="00F82774"/>
    <w:rsid w:val="00F82AA0"/>
    <w:rsid w:val="00F8414C"/>
    <w:rsid w:val="00F8462D"/>
    <w:rsid w:val="00F849B5"/>
    <w:rsid w:val="00F84F84"/>
    <w:rsid w:val="00F85BFF"/>
    <w:rsid w:val="00F8795C"/>
    <w:rsid w:val="00F906F1"/>
    <w:rsid w:val="00F90977"/>
    <w:rsid w:val="00F90B90"/>
    <w:rsid w:val="00F9269C"/>
    <w:rsid w:val="00F926FB"/>
    <w:rsid w:val="00F934E4"/>
    <w:rsid w:val="00F93C3B"/>
    <w:rsid w:val="00F93CA6"/>
    <w:rsid w:val="00F94908"/>
    <w:rsid w:val="00F95951"/>
    <w:rsid w:val="00F966FA"/>
    <w:rsid w:val="00F967DC"/>
    <w:rsid w:val="00F968F9"/>
    <w:rsid w:val="00F96B01"/>
    <w:rsid w:val="00F97560"/>
    <w:rsid w:val="00FA0234"/>
    <w:rsid w:val="00FA1446"/>
    <w:rsid w:val="00FA228B"/>
    <w:rsid w:val="00FA2533"/>
    <w:rsid w:val="00FA3083"/>
    <w:rsid w:val="00FA354A"/>
    <w:rsid w:val="00FA3968"/>
    <w:rsid w:val="00FA3CBD"/>
    <w:rsid w:val="00FA55A3"/>
    <w:rsid w:val="00FA55AC"/>
    <w:rsid w:val="00FA65CB"/>
    <w:rsid w:val="00FA74AA"/>
    <w:rsid w:val="00FA76BD"/>
    <w:rsid w:val="00FB1C4B"/>
    <w:rsid w:val="00FB1D4D"/>
    <w:rsid w:val="00FB2ADF"/>
    <w:rsid w:val="00FB2BB9"/>
    <w:rsid w:val="00FB32A7"/>
    <w:rsid w:val="00FB44B3"/>
    <w:rsid w:val="00FB4730"/>
    <w:rsid w:val="00FB6844"/>
    <w:rsid w:val="00FB6E8E"/>
    <w:rsid w:val="00FC0D68"/>
    <w:rsid w:val="00FC112B"/>
    <w:rsid w:val="00FC136F"/>
    <w:rsid w:val="00FC20A0"/>
    <w:rsid w:val="00FC2C35"/>
    <w:rsid w:val="00FC349C"/>
    <w:rsid w:val="00FC36AC"/>
    <w:rsid w:val="00FC3F69"/>
    <w:rsid w:val="00FC4AB1"/>
    <w:rsid w:val="00FC5DD2"/>
    <w:rsid w:val="00FC5EDA"/>
    <w:rsid w:val="00FC61A1"/>
    <w:rsid w:val="00FC666C"/>
    <w:rsid w:val="00FC66D3"/>
    <w:rsid w:val="00FC6825"/>
    <w:rsid w:val="00FD1460"/>
    <w:rsid w:val="00FD14C6"/>
    <w:rsid w:val="00FD20EB"/>
    <w:rsid w:val="00FD3939"/>
    <w:rsid w:val="00FD3B80"/>
    <w:rsid w:val="00FD440F"/>
    <w:rsid w:val="00FD46E3"/>
    <w:rsid w:val="00FD48F5"/>
    <w:rsid w:val="00FD52FF"/>
    <w:rsid w:val="00FD6825"/>
    <w:rsid w:val="00FD7529"/>
    <w:rsid w:val="00FE0FAC"/>
    <w:rsid w:val="00FE14DE"/>
    <w:rsid w:val="00FE1636"/>
    <w:rsid w:val="00FE195C"/>
    <w:rsid w:val="00FE1A59"/>
    <w:rsid w:val="00FE264B"/>
    <w:rsid w:val="00FE30EC"/>
    <w:rsid w:val="00FE32BB"/>
    <w:rsid w:val="00FE3319"/>
    <w:rsid w:val="00FE3570"/>
    <w:rsid w:val="00FE6278"/>
    <w:rsid w:val="00FE6BDD"/>
    <w:rsid w:val="00FE70D7"/>
    <w:rsid w:val="00FE7373"/>
    <w:rsid w:val="00FE7AB4"/>
    <w:rsid w:val="00FF0392"/>
    <w:rsid w:val="00FF0AF3"/>
    <w:rsid w:val="00FF180E"/>
    <w:rsid w:val="00FF1B43"/>
    <w:rsid w:val="00FF349C"/>
    <w:rsid w:val="00FF478C"/>
    <w:rsid w:val="00FF503A"/>
    <w:rsid w:val="00FF55A3"/>
    <w:rsid w:val="00FF5EE3"/>
    <w:rsid w:val="00FF62E1"/>
    <w:rsid w:val="00FF6593"/>
    <w:rsid w:val="00FF672A"/>
    <w:rsid w:val="00FF76DD"/>
    <w:rsid w:val="00FF7AA9"/>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883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qFormat="1"/>
    <w:lsdException w:name="table of figures"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4F006F"/>
    <w:pPr>
      <w:spacing w:after="60" w:line="264" w:lineRule="auto"/>
      <w:jc w:val="both"/>
    </w:pPr>
    <w:rPr>
      <w:rFonts w:ascii="Times New Roman" w:hAnsi="Times New Roman"/>
      <w:sz w:val="24"/>
      <w:lang w:val="en-US"/>
    </w:rPr>
  </w:style>
  <w:style w:type="paragraph" w:styleId="Heading1">
    <w:name w:val="heading 1"/>
    <w:aliases w:val="Heading 1 WB"/>
    <w:basedOn w:val="Normal"/>
    <w:link w:val="Heading1Char"/>
    <w:uiPriority w:val="9"/>
    <w:qFormat/>
    <w:rsid w:val="002B6EE2"/>
    <w:pPr>
      <w:keepNext/>
      <w:tabs>
        <w:tab w:val="left" w:pos="720"/>
      </w:tabs>
      <w:spacing w:after="120" w:line="240" w:lineRule="auto"/>
      <w:outlineLvl w:val="0"/>
    </w:pPr>
    <w:rPr>
      <w:rFonts w:ascii="Calibri" w:eastAsia="Times New Roman" w:hAnsi="Calibri" w:cs="Times New Roman"/>
      <w:b/>
      <w:bCs/>
      <w:color w:val="365F91" w:themeColor="accent1" w:themeShade="BF"/>
      <w:kern w:val="36"/>
      <w:sz w:val="32"/>
      <w:szCs w:val="18"/>
      <w:lang w:eastAsia="bg-BG"/>
    </w:rPr>
  </w:style>
  <w:style w:type="paragraph" w:styleId="Heading2">
    <w:name w:val="heading 2"/>
    <w:aliases w:val="Heading 2 WB"/>
    <w:basedOn w:val="Normal"/>
    <w:next w:val="Normal"/>
    <w:link w:val="Heading2Char"/>
    <w:uiPriority w:val="9"/>
    <w:unhideWhenUsed/>
    <w:qFormat/>
    <w:rsid w:val="00CD2F76"/>
    <w:pPr>
      <w:keepNext/>
      <w:keepLines/>
      <w:autoSpaceDE w:val="0"/>
      <w:autoSpaceDN w:val="0"/>
      <w:adjustRightInd w:val="0"/>
      <w:spacing w:before="200" w:after="120" w:line="240" w:lineRule="auto"/>
      <w:ind w:left="720" w:hanging="720"/>
      <w:outlineLvl w:val="1"/>
    </w:pPr>
    <w:rPr>
      <w:rFonts w:ascii="Calibri" w:eastAsia="Times New Roman" w:hAnsi="Calibri" w:cs="Times New Roman"/>
      <w:b/>
      <w:color w:val="365F91"/>
      <w:sz w:val="28"/>
      <w:szCs w:val="26"/>
    </w:rPr>
  </w:style>
  <w:style w:type="paragraph" w:styleId="Heading3">
    <w:name w:val="heading 3"/>
    <w:basedOn w:val="Normal"/>
    <w:next w:val="Normal"/>
    <w:link w:val="Heading3Char"/>
    <w:uiPriority w:val="9"/>
    <w:unhideWhenUsed/>
    <w:qFormat/>
    <w:rsid w:val="00D610DB"/>
    <w:pPr>
      <w:keepNext/>
      <w:keepLines/>
      <w:autoSpaceDE w:val="0"/>
      <w:autoSpaceDN w:val="0"/>
      <w:adjustRightInd w:val="0"/>
      <w:spacing w:before="120" w:after="120" w:line="240" w:lineRule="auto"/>
      <w:ind w:left="720" w:hanging="720"/>
      <w:outlineLvl w:val="2"/>
    </w:pPr>
    <w:rPr>
      <w:rFonts w:ascii="Calibri" w:eastAsia="Times New Roman" w:hAnsi="Calibri" w:cs="Times New Roman"/>
      <w:b/>
      <w:i/>
      <w:color w:val="4F81BD"/>
      <w:sz w:val="26"/>
      <w:szCs w:val="24"/>
    </w:rPr>
  </w:style>
  <w:style w:type="paragraph" w:styleId="Heading4">
    <w:name w:val="heading 4"/>
    <w:aliases w:val="Heading 4 WB"/>
    <w:basedOn w:val="Normal"/>
    <w:next w:val="Normal"/>
    <w:link w:val="Heading4Char"/>
    <w:uiPriority w:val="9"/>
    <w:unhideWhenUsed/>
    <w:qFormat/>
    <w:rsid w:val="00FC4AB1"/>
    <w:pPr>
      <w:keepNext/>
      <w:keepLines/>
      <w:autoSpaceDE w:val="0"/>
      <w:autoSpaceDN w:val="0"/>
      <w:adjustRightInd w:val="0"/>
      <w:spacing w:before="60" w:line="240" w:lineRule="auto"/>
      <w:outlineLvl w:val="3"/>
    </w:pPr>
    <w:rPr>
      <w:rFonts w:ascii="Calibri" w:eastAsia="Times New Roman" w:hAnsi="Calibri" w:cs="Times New Roman"/>
      <w:bCs/>
      <w:i/>
      <w:iCs/>
      <w:color w:val="2F5496"/>
      <w:szCs w:val="24"/>
    </w:rPr>
  </w:style>
  <w:style w:type="paragraph" w:styleId="Heading5">
    <w:name w:val="heading 5"/>
    <w:basedOn w:val="Normal"/>
    <w:next w:val="Normal"/>
    <w:link w:val="Heading5Char"/>
    <w:uiPriority w:val="9"/>
    <w:unhideWhenUsed/>
    <w:qFormat/>
    <w:rsid w:val="00D61279"/>
    <w:pPr>
      <w:keepNext/>
      <w:keepLines/>
      <w:spacing w:before="40" w:after="160" w:line="259" w:lineRule="auto"/>
      <w:ind w:left="1008" w:hanging="1008"/>
      <w:outlineLvl w:val="4"/>
    </w:pPr>
    <w:rPr>
      <w:rFonts w:eastAsia="Times New Roman" w:cs="Times New Roman"/>
      <w:color w:val="1F4E79"/>
      <w:sz w:val="22"/>
    </w:rPr>
  </w:style>
  <w:style w:type="paragraph" w:styleId="Heading6">
    <w:name w:val="heading 6"/>
    <w:basedOn w:val="Normal"/>
    <w:next w:val="Normal"/>
    <w:link w:val="Heading6Char"/>
    <w:uiPriority w:val="9"/>
    <w:unhideWhenUsed/>
    <w:qFormat/>
    <w:rsid w:val="00D61279"/>
    <w:pPr>
      <w:keepNext/>
      <w:keepLines/>
      <w:spacing w:before="40" w:after="160" w:line="259" w:lineRule="auto"/>
      <w:ind w:left="1152" w:hanging="1152"/>
      <w:outlineLvl w:val="5"/>
    </w:pPr>
    <w:rPr>
      <w:rFonts w:ascii="Calibri Light" w:eastAsia="Times New Roman" w:hAnsi="Calibri Light" w:cs="Times New Roman"/>
      <w:color w:val="1F4D78"/>
      <w:sz w:val="22"/>
    </w:rPr>
  </w:style>
  <w:style w:type="paragraph" w:styleId="Heading7">
    <w:name w:val="heading 7"/>
    <w:basedOn w:val="Normal"/>
    <w:next w:val="Normal"/>
    <w:link w:val="Heading7Char"/>
    <w:uiPriority w:val="9"/>
    <w:unhideWhenUsed/>
    <w:qFormat/>
    <w:rsid w:val="00D61279"/>
    <w:pPr>
      <w:keepNext/>
      <w:keepLines/>
      <w:spacing w:before="40" w:after="160" w:line="259" w:lineRule="auto"/>
      <w:ind w:left="1296" w:hanging="1296"/>
      <w:outlineLvl w:val="6"/>
    </w:pPr>
    <w:rPr>
      <w:rFonts w:ascii="Calibri Light" w:eastAsia="Times New Roman" w:hAnsi="Calibri Light" w:cs="Times New Roman"/>
      <w:i/>
      <w:iCs/>
      <w:color w:val="1F4D78"/>
      <w:sz w:val="22"/>
    </w:rPr>
  </w:style>
  <w:style w:type="paragraph" w:styleId="Heading8">
    <w:name w:val="heading 8"/>
    <w:basedOn w:val="Normal"/>
    <w:next w:val="Normal"/>
    <w:link w:val="Heading8Char"/>
    <w:uiPriority w:val="9"/>
    <w:unhideWhenUsed/>
    <w:qFormat/>
    <w:rsid w:val="00D61279"/>
    <w:pPr>
      <w:keepNext/>
      <w:keepLines/>
      <w:spacing w:before="40" w:after="160" w:line="259" w:lineRule="auto"/>
      <w:ind w:left="1440" w:hanging="144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unhideWhenUsed/>
    <w:qFormat/>
    <w:rsid w:val="00D61279"/>
    <w:pPr>
      <w:keepNext/>
      <w:keepLines/>
      <w:spacing w:before="40" w:after="160" w:line="259" w:lineRule="auto"/>
      <w:ind w:left="1584" w:hanging="1584"/>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2B6EE2"/>
    <w:rPr>
      <w:rFonts w:ascii="Calibri" w:eastAsia="Times New Roman" w:hAnsi="Calibri" w:cs="Times New Roman"/>
      <w:b/>
      <w:bCs/>
      <w:color w:val="365F91" w:themeColor="accent1" w:themeShade="BF"/>
      <w:kern w:val="36"/>
      <w:sz w:val="32"/>
      <w:szCs w:val="18"/>
      <w:lang w:val="en-US" w:eastAsia="bg-BG"/>
    </w:rPr>
  </w:style>
  <w:style w:type="character" w:customStyle="1" w:styleId="Heading2Char">
    <w:name w:val="Heading 2 Char"/>
    <w:aliases w:val="Heading 2 WB Char"/>
    <w:basedOn w:val="DefaultParagraphFont"/>
    <w:link w:val="Heading2"/>
    <w:uiPriority w:val="9"/>
    <w:rsid w:val="00CD2F76"/>
    <w:rPr>
      <w:rFonts w:ascii="Calibri" w:eastAsia="Times New Roman" w:hAnsi="Calibri" w:cs="Times New Roman"/>
      <w:b/>
      <w:color w:val="365F91"/>
      <w:sz w:val="28"/>
      <w:szCs w:val="26"/>
      <w:lang w:val="en-US"/>
    </w:rPr>
  </w:style>
  <w:style w:type="character" w:customStyle="1" w:styleId="Heading3Char">
    <w:name w:val="Heading 3 Char"/>
    <w:basedOn w:val="DefaultParagraphFont"/>
    <w:link w:val="Heading3"/>
    <w:uiPriority w:val="9"/>
    <w:rsid w:val="00D610DB"/>
    <w:rPr>
      <w:rFonts w:ascii="Calibri" w:eastAsia="Times New Roman" w:hAnsi="Calibri" w:cs="Times New Roman"/>
      <w:b/>
      <w:i/>
      <w:color w:val="4F81BD"/>
      <w:sz w:val="26"/>
      <w:szCs w:val="24"/>
      <w:lang w:val="en-US"/>
    </w:rPr>
  </w:style>
  <w:style w:type="character" w:customStyle="1" w:styleId="Heading4Char">
    <w:name w:val="Heading 4 Char"/>
    <w:aliases w:val="Heading 4 WB Char"/>
    <w:basedOn w:val="DefaultParagraphFont"/>
    <w:link w:val="Heading4"/>
    <w:uiPriority w:val="9"/>
    <w:rsid w:val="00FC4AB1"/>
    <w:rPr>
      <w:rFonts w:ascii="Calibri" w:eastAsia="Times New Roman" w:hAnsi="Calibri" w:cs="Times New Roman"/>
      <w:bCs/>
      <w:i/>
      <w:iCs/>
      <w:color w:val="2F5496"/>
      <w:sz w:val="24"/>
      <w:szCs w:val="24"/>
      <w:lang w:val="en-US"/>
    </w:rPr>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link w:val="ListParagraphChar"/>
    <w:uiPriority w:val="34"/>
    <w:qFormat/>
    <w:rsid w:val="008F4E27"/>
    <w:pPr>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uiPriority w:val="99"/>
    <w:qFormat/>
    <w:rsid w:val="00E1579D"/>
    <w:pPr>
      <w:spacing w:after="0" w:line="240" w:lineRule="auto"/>
      <w:jc w:val="left"/>
    </w:pPr>
    <w:rPr>
      <w:rFonts w:eastAsiaTheme="majorEastAsia" w:cs="Arial"/>
      <w:sz w:val="20"/>
      <w:szCs w:val="20"/>
    </w:rPr>
  </w:style>
  <w:style w:type="character" w:customStyle="1" w:styleId="FootnoteTextChar">
    <w:name w:val="Footnote Text Char"/>
    <w:aliases w:val="Footnote Text Char Char Char Char Char Char Char1,fn Char1,single space Char1,FOOTNOTES Char1,Footnote Text Char Char Char1,ft Char1,Texto nota pie Car Char1,Footnote Text Char1 Char1,Fußnotentext Char Char1,Fußnotentext arial Char"/>
    <w:basedOn w:val="DefaultParagraphFont"/>
    <w:link w:val="FootnoteText"/>
    <w:uiPriority w:val="99"/>
    <w:rsid w:val="00E1579D"/>
    <w:rPr>
      <w:rFonts w:ascii="Times New Roman" w:eastAsiaTheme="majorEastAsia" w:hAnsi="Times New Roman" w:cs="Arial"/>
      <w:sz w:val="20"/>
      <w:szCs w:val="20"/>
      <w:lang w:val="en-US"/>
    </w:rPr>
  </w:style>
  <w:style w:type="character" w:styleId="FootnoteReference">
    <w:name w:val="footnote reference"/>
    <w:aliases w:val="Footnote Refernece Char Char,BVI fnr Char Char,callout Char Char,ftref Char Char,Footnotes refss Char Char,Fussnota Char Char,Footnote symbol Char Char,Footnote reference number Char Char,Times 10 Point Char Char,Footnote symbol"/>
    <w:basedOn w:val="DefaultParagraphFont"/>
    <w:link w:val="FootnoteReferneceChar"/>
    <w:uiPriority w:val="99"/>
    <w:qFormat/>
    <w:rsid w:val="008129AC"/>
    <w:rPr>
      <w:rFonts w:ascii="Times New Roman" w:hAnsi="Times New Roman" w:cs="Times New Roman"/>
      <w:sz w:val="18"/>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336511"/>
    <w:rPr>
      <w:rFonts w:ascii="Times New Roman" w:hAnsi="Times New Roman"/>
      <w:color w:val="0000FF" w:themeColor="hyperlink"/>
      <w:sz w:val="18"/>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702B7C"/>
    <w:pPr>
      <w:numPr>
        <w:numId w:val="7"/>
      </w:numPr>
      <w:spacing w:after="120" w:line="276" w:lineRule="auto"/>
    </w:pPr>
    <w:rPr>
      <w:rFonts w:eastAsiaTheme="minorEastAsia" w:cs="Times New Roman"/>
      <w:szCs w:val="24"/>
      <w:lang w:eastAsia="bg-BG"/>
    </w:rPr>
  </w:style>
  <w:style w:type="character" w:customStyle="1" w:styleId="BodyTextChar">
    <w:name w:val="Body Text Char"/>
    <w:basedOn w:val="DefaultParagraphFont"/>
    <w:link w:val="BodyText"/>
    <w:uiPriority w:val="99"/>
    <w:rsid w:val="00702B7C"/>
    <w:rPr>
      <w:rFonts w:ascii="Times New Roman" w:eastAsiaTheme="minorEastAsia" w:hAnsi="Times New Roman" w:cs="Times New Roman"/>
      <w:sz w:val="24"/>
      <w:szCs w:val="24"/>
      <w:lang w:val="en-US" w:eastAsia="bg-BG"/>
    </w:rPr>
  </w:style>
  <w:style w:type="paragraph" w:customStyle="1" w:styleId="TableParagraph">
    <w:name w:val="Table Paragraph"/>
    <w:basedOn w:val="Normal"/>
    <w:uiPriority w:val="99"/>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uiPriority w:val="39"/>
    <w:unhideWhenUsed/>
    <w:qFormat/>
    <w:rsid w:val="00702B7C"/>
    <w:pPr>
      <w:widowControl w:val="0"/>
      <w:autoSpaceDE w:val="0"/>
      <w:autoSpaceDN w:val="0"/>
      <w:adjustRightInd w:val="0"/>
      <w:spacing w:after="100"/>
    </w:pPr>
    <w:rPr>
      <w:rFonts w:ascii="Calibri" w:eastAsiaTheme="minorEastAsia" w:hAnsi="Calibri" w:cs="Times New Roman"/>
      <w:sz w:val="22"/>
      <w:szCs w:val="24"/>
      <w:lang w:eastAsia="bg-BG"/>
    </w:rPr>
  </w:style>
  <w:style w:type="character" w:styleId="Strong">
    <w:name w:val="Strong"/>
    <w:basedOn w:val="DefaultParagraphFont"/>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uiPriority w:val="10"/>
    <w:qFormat/>
    <w:rsid w:val="004960C7"/>
    <w:pPr>
      <w:spacing w:after="0" w:line="240" w:lineRule="auto"/>
      <w:contextualSpacing/>
    </w:pPr>
    <w:rPr>
      <w:rFonts w:ascii="Calibri" w:eastAsiaTheme="majorEastAsia" w:hAnsi="Calibri" w:cstheme="majorBidi"/>
      <w:b/>
      <w:spacing w:val="-10"/>
      <w:kern w:val="28"/>
      <w:sz w:val="44"/>
      <w:szCs w:val="56"/>
    </w:rPr>
  </w:style>
  <w:style w:type="character" w:customStyle="1" w:styleId="TitleChar">
    <w:name w:val="Title Char"/>
    <w:basedOn w:val="DefaultParagraphFont"/>
    <w:link w:val="Title"/>
    <w:uiPriority w:val="10"/>
    <w:rsid w:val="004960C7"/>
    <w:rPr>
      <w:rFonts w:ascii="Calibri" w:eastAsiaTheme="majorEastAsia" w:hAnsi="Calibri" w:cstheme="majorBidi"/>
      <w:b/>
      <w:spacing w:val="-10"/>
      <w:kern w:val="28"/>
      <w:sz w:val="44"/>
      <w:szCs w:val="56"/>
    </w:rPr>
  </w:style>
  <w:style w:type="table" w:customStyle="1" w:styleId="ListTable3-Accent11">
    <w:name w:val="List Table 3 - Accent 11"/>
    <w:basedOn w:val="TableNormal"/>
    <w:next w:val="ListTable3-Accent12"/>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rsid w:val="00A64BBB"/>
    <w:pPr>
      <w:keepLines/>
      <w:spacing w:before="240" w:after="0" w:line="259" w:lineRule="auto"/>
      <w:jc w:val="left"/>
      <w:outlineLvl w:val="9"/>
    </w:pPr>
    <w:rPr>
      <w:rFonts w:asciiTheme="majorHAnsi" w:eastAsiaTheme="majorEastAsia" w:hAnsiTheme="majorHAnsi" w:cstheme="majorBidi"/>
      <w:b w:val="0"/>
      <w:bCs w:val="0"/>
      <w:kern w:val="0"/>
      <w:szCs w:val="32"/>
      <w:lang w:eastAsia="en-US"/>
    </w:rPr>
  </w:style>
  <w:style w:type="paragraph" w:styleId="TOC2">
    <w:name w:val="toc 2"/>
    <w:basedOn w:val="Normal"/>
    <w:next w:val="Normal"/>
    <w:uiPriority w:val="39"/>
    <w:unhideWhenUsed/>
    <w:qFormat/>
    <w:rsid w:val="00702B7C"/>
    <w:pPr>
      <w:spacing w:after="100"/>
      <w:ind w:left="245"/>
    </w:pPr>
    <w:rPr>
      <w:rFonts w:ascii="Calibri" w:hAnsi="Calibri"/>
      <w:sz w:val="22"/>
    </w:rPr>
  </w:style>
  <w:style w:type="paragraph" w:styleId="TOC3">
    <w:name w:val="toc 3"/>
    <w:basedOn w:val="Normal"/>
    <w:next w:val="Normal"/>
    <w:uiPriority w:val="39"/>
    <w:unhideWhenUsed/>
    <w:qFormat/>
    <w:rsid w:val="00603E67"/>
    <w:pPr>
      <w:spacing w:after="100"/>
      <w:ind w:left="475"/>
    </w:pPr>
    <w:rPr>
      <w:rFonts w:asciiTheme="minorHAnsi" w:hAnsiTheme="minorHAns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unhideWhenUsed/>
    <w:rsid w:val="00F40B3C"/>
    <w:pPr>
      <w:spacing w:after="0" w:line="240" w:lineRule="auto"/>
    </w:pPr>
    <w:rPr>
      <w:rFonts w:eastAsia="Calibri" w:cs="Times New Roman"/>
      <w:sz w:val="20"/>
      <w:szCs w:val="20"/>
      <w:lang w:val="x-none" w:eastAsia="x-none"/>
    </w:rPr>
  </w:style>
  <w:style w:type="character" w:customStyle="1" w:styleId="EndnoteTextChar">
    <w:name w:val="Endnote Text Char"/>
    <w:basedOn w:val="DefaultParagraphFont"/>
    <w:link w:val="EndnoteText"/>
    <w:uiPriority w:val="99"/>
    <w:rsid w:val="00F40B3C"/>
    <w:rPr>
      <w:rFonts w:ascii="Times New Roman" w:eastAsia="Calibri" w:hAnsi="Times New Roman" w:cs="Times New Roman"/>
      <w:sz w:val="20"/>
      <w:szCs w:val="20"/>
      <w:lang w:val="x-none" w:eastAsia="x-none"/>
    </w:rPr>
  </w:style>
  <w:style w:type="character" w:styleId="EndnoteReference">
    <w:name w:val="endnote reference"/>
    <w:uiPriority w:val="99"/>
    <w:unhideWhenUsed/>
    <w:rsid w:val="00F40B3C"/>
    <w:rPr>
      <w:vertAlign w:val="superscript"/>
    </w:rPr>
  </w:style>
  <w:style w:type="character" w:styleId="Emphasis">
    <w:name w:val="Emphasis"/>
    <w:uiPriority w:val="20"/>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1"/>
      </w:numPr>
      <w:tabs>
        <w:tab w:val="left" w:pos="709"/>
      </w:tabs>
      <w:spacing w:before="120"/>
      <w:ind w:left="0" w:firstLine="0"/>
    </w:pPr>
  </w:style>
  <w:style w:type="character" w:customStyle="1" w:styleId="WBNormalNumberedChar">
    <w:name w:val="WB Normal Numbered Char"/>
    <w:basedOn w:val="DefaultParagraphFont"/>
    <w:link w:val="WBNormalNumbered"/>
    <w:rsid w:val="00500BA1"/>
    <w:rPr>
      <w:rFonts w:ascii="Times New Roman" w:hAnsi="Times New Roman"/>
      <w:sz w:val="24"/>
      <w:lang w:val="en-US"/>
    </w:rPr>
  </w:style>
  <w:style w:type="table" w:customStyle="1" w:styleId="TableGrid1">
    <w:name w:val="Table Grid1"/>
    <w:basedOn w:val="TableNormal"/>
    <w:next w:val="TableGrid"/>
    <w:uiPriority w:val="5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rPr>
  </w:style>
  <w:style w:type="paragraph" w:customStyle="1" w:styleId="BulletNormal">
    <w:name w:val="Bullet Normal"/>
    <w:basedOn w:val="ListParagraph"/>
    <w:link w:val="BulletNormalChar"/>
    <w:rsid w:val="004506EA"/>
    <w:pPr>
      <w:numPr>
        <w:numId w:val="2"/>
      </w:numPr>
      <w:spacing w:after="180" w:line="240" w:lineRule="auto"/>
      <w:contextualSpacing w:val="0"/>
      <w:jc w:val="left"/>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4506EA"/>
    <w:rPr>
      <w:rFonts w:ascii="Times New Roman" w:hAnsi="Times New Roman"/>
      <w:sz w:val="24"/>
    </w:rPr>
  </w:style>
  <w:style w:type="character" w:customStyle="1" w:styleId="BulletNormalChar">
    <w:name w:val="Bullet Normal Char"/>
    <w:basedOn w:val="ListParagraph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basedOn w:val="DefaultParagraphFont"/>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after="120" w:line="240" w:lineRule="auto"/>
      <w:jc w:val="left"/>
    </w:pPr>
    <w:rPr>
      <w:rFonts w:ascii="Arial" w:hAnsi="Arial"/>
      <w:b/>
      <w:sz w:val="20"/>
    </w:rPr>
  </w:style>
  <w:style w:type="character" w:customStyle="1" w:styleId="TableChar">
    <w:name w:val="Table Char"/>
    <w:basedOn w:val="DefaultParagraphFont"/>
    <w:link w:val="Table"/>
    <w:rsid w:val="004506EA"/>
    <w:rPr>
      <w:rFonts w:ascii="Arial" w:hAnsi="Arial"/>
      <w:b/>
      <w:sz w:val="20"/>
      <w:lang w:val="en-US"/>
    </w:rPr>
  </w:style>
  <w:style w:type="character" w:customStyle="1" w:styleId="Mention2">
    <w:name w:val="Mention2"/>
    <w:basedOn w:val="DefaultParagraphFont"/>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basedOn w:val="TableChar"/>
    <w:link w:val="Figure"/>
    <w:rsid w:val="004506EA"/>
    <w:rPr>
      <w:rFonts w:ascii="Arial" w:hAnsi="Arial"/>
      <w:b/>
      <w:sz w:val="20"/>
      <w:lang w:val="en-GB"/>
    </w:rPr>
  </w:style>
  <w:style w:type="paragraph" w:customStyle="1" w:styleId="Footnote">
    <w:name w:val="Footnote"/>
    <w:basedOn w:val="FootnoteText"/>
    <w:link w:val="FootnoteChar"/>
    <w:rsid w:val="002067E8"/>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themeFill="accent5" w:themeFillTint="33"/>
      <w:spacing w:before="180" w:after="180" w:line="240" w:lineRule="auto"/>
      <w:ind w:left="426" w:right="567"/>
      <w:jc w:val="left"/>
    </w:pPr>
    <w:rPr>
      <w:rFonts w:ascii="Arial" w:hAnsi="Arial"/>
      <w:sz w:val="20"/>
      <w:lang w:val="en-GB"/>
    </w:rPr>
  </w:style>
  <w:style w:type="character" w:customStyle="1" w:styleId="FootnoteChar">
    <w:name w:val="Footnote Char"/>
    <w:aliases w:val="Footnote Text Char2,Footnote Text Char Char Char Char Char Char Char,fn Char,single space Char,FOOTNOTES Char,Footnote Text Char Char Char,ft Char,Texto nota pie Car Char,Footnote Text Char1 Char,Fußnotentext Char Char,ALTS FOOTNOTE Char"/>
    <w:basedOn w:val="FootnoteTextChar"/>
    <w:link w:val="Footnote"/>
    <w:uiPriority w:val="99"/>
    <w:rsid w:val="002067E8"/>
    <w:rPr>
      <w:rFonts w:ascii="Times New Roman" w:eastAsia="Times New Roman" w:hAnsi="Times New Roman" w:cs="Times New Roman"/>
      <w:sz w:val="18"/>
      <w:szCs w:val="20"/>
      <w:lang w:val="en-US"/>
    </w:rPr>
  </w:style>
  <w:style w:type="paragraph" w:customStyle="1" w:styleId="TableTitle">
    <w:name w:val="TableTitle"/>
    <w:basedOn w:val="Normal"/>
    <w:uiPriority w:val="15"/>
    <w:rsid w:val="004506EA"/>
    <w:pPr>
      <w:numPr>
        <w:numId w:val="3"/>
      </w:numPr>
      <w:spacing w:before="240" w:after="120" w:line="240" w:lineRule="auto"/>
      <w:jc w:val="left"/>
    </w:pPr>
    <w:rPr>
      <w:rFonts w:ascii="Arial" w:hAnsi="Arial"/>
      <w:b/>
      <w:color w:val="1F497D" w:themeColor="text2"/>
      <w:sz w:val="20"/>
    </w:rPr>
  </w:style>
  <w:style w:type="paragraph" w:customStyle="1" w:styleId="Bodytable">
    <w:name w:val="Body table"/>
    <w:uiPriority w:val="2"/>
    <w:rsid w:val="004506EA"/>
    <w:pPr>
      <w:spacing w:before="40" w:after="40" w:line="240" w:lineRule="auto"/>
    </w:pPr>
    <w:rPr>
      <w:rFonts w:eastAsia="Batang" w:cs="Arial"/>
      <w:color w:val="394A58"/>
      <w:sz w:val="20"/>
      <w:szCs w:val="20"/>
      <w:lang w:val="en-GB" w:eastAsia="ko-KR"/>
    </w:rPr>
  </w:style>
  <w:style w:type="character" w:customStyle="1" w:styleId="font551">
    <w:name w:val="font551"/>
    <w:basedOn w:val="DefaultParagraphFont"/>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themeColor="accent1" w:themeShade="BF"/>
      <w:sz w:val="32"/>
      <w:szCs w:val="32"/>
      <w:lang w:val="en-GB"/>
    </w:rPr>
  </w:style>
  <w:style w:type="character" w:customStyle="1" w:styleId="FalseHeadingChar">
    <w:name w:val="False Heading Char"/>
    <w:basedOn w:val="DefaultParagraphFont"/>
    <w:link w:val="FalseHeading"/>
    <w:rsid w:val="004506EA"/>
    <w:rPr>
      <w:rFonts w:ascii="Arial" w:hAnsi="Arial"/>
      <w:color w:val="365F91" w:themeColor="accent1" w:themeShade="BF"/>
      <w:sz w:val="32"/>
      <w:szCs w:val="32"/>
      <w:lang w:val="en-GB"/>
    </w:rPr>
  </w:style>
  <w:style w:type="paragraph" w:styleId="TableofFigures">
    <w:name w:val="table of figures"/>
    <w:basedOn w:val="Normal"/>
    <w:next w:val="Normal"/>
    <w:uiPriority w:val="99"/>
    <w:unhideWhenUsed/>
    <w:qFormat/>
    <w:rsid w:val="002A41FA"/>
    <w:pPr>
      <w:tabs>
        <w:tab w:val="right" w:leader="dot" w:pos="9074"/>
      </w:tabs>
      <w:spacing w:after="100"/>
      <w:jc w:val="left"/>
    </w:pPr>
    <w:rPr>
      <w:rFonts w:ascii="Calibri" w:hAnsi="Calibri"/>
      <w:sz w:val="22"/>
    </w:rPr>
  </w:style>
  <w:style w:type="paragraph" w:customStyle="1" w:styleId="TablesFigures">
    <w:name w:val="Tables &amp; Figures"/>
    <w:basedOn w:val="Table"/>
    <w:link w:val="TablesFiguresChar"/>
    <w:autoRedefine/>
    <w:qFormat/>
    <w:rsid w:val="00527521"/>
    <w:pPr>
      <w:keepNext w:val="0"/>
      <w:spacing w:before="60" w:after="60"/>
      <w:jc w:val="center"/>
    </w:pPr>
    <w:rPr>
      <w:rFonts w:asciiTheme="minorHAnsi" w:hAnsiTheme="minorHAnsi" w:cstheme="minorHAnsi"/>
      <w:sz w:val="22"/>
      <w:lang w:val="bg-BG"/>
    </w:rPr>
  </w:style>
  <w:style w:type="paragraph" w:customStyle="1" w:styleId="Sourceline">
    <w:name w:val="Source line"/>
    <w:basedOn w:val="Normal"/>
    <w:link w:val="SourcelineChar"/>
    <w:autoRedefine/>
    <w:qFormat/>
    <w:rsid w:val="003C52A7"/>
    <w:pPr>
      <w:spacing w:after="120" w:line="240" w:lineRule="auto"/>
      <w:jc w:val="left"/>
    </w:pPr>
    <w:rPr>
      <w:rFonts w:ascii="Calibri" w:hAnsi="Calibri" w:cs="Arial"/>
      <w:i/>
      <w:sz w:val="18"/>
      <w:szCs w:val="18"/>
      <w:lang w:val="en-GB"/>
    </w:rPr>
  </w:style>
  <w:style w:type="character" w:customStyle="1" w:styleId="TablesFiguresChar">
    <w:name w:val="Tables &amp; Figures Char"/>
    <w:basedOn w:val="TableChar"/>
    <w:link w:val="TablesFigures"/>
    <w:rsid w:val="00527521"/>
    <w:rPr>
      <w:rFonts w:ascii="Arial" w:hAnsi="Arial" w:cstheme="minorHAnsi"/>
      <w:b/>
      <w:sz w:val="20"/>
      <w:lang w:val="en-US"/>
    </w:rPr>
  </w:style>
  <w:style w:type="paragraph" w:customStyle="1" w:styleId="Bullet">
    <w:name w:val="Bullet"/>
    <w:basedOn w:val="BulletNormal"/>
    <w:autoRedefine/>
    <w:qFormat/>
    <w:rsid w:val="00527521"/>
    <w:pPr>
      <w:numPr>
        <w:numId w:val="11"/>
      </w:numPr>
      <w:spacing w:before="60" w:after="60"/>
      <w:jc w:val="both"/>
    </w:pPr>
    <w:rPr>
      <w:lang w:val="en-GB"/>
    </w:rPr>
  </w:style>
  <w:style w:type="character" w:customStyle="1" w:styleId="SourcelineChar">
    <w:name w:val="Source line Char"/>
    <w:basedOn w:val="DefaultParagraphFont"/>
    <w:link w:val="Sourceline"/>
    <w:rsid w:val="003C52A7"/>
    <w:rPr>
      <w:rFonts w:ascii="Calibri" w:hAnsi="Calibri" w:cs="Arial"/>
      <w:i/>
      <w:sz w:val="18"/>
      <w:szCs w:val="18"/>
      <w:lang w:val="en-GB"/>
    </w:rPr>
  </w:style>
  <w:style w:type="paragraph" w:customStyle="1" w:styleId="NormalIndent1">
    <w:name w:val="Normal Indent1"/>
    <w:basedOn w:val="Footnote"/>
    <w:link w:val="NormalindentChar0"/>
    <w:autoRedefine/>
    <w:qFormat/>
    <w:rsid w:val="001F7253"/>
    <w:pPr>
      <w:pBdr>
        <w:top w:val="single" w:sz="4" w:space="1" w:color="auto"/>
        <w:left w:val="single" w:sz="4" w:space="4" w:color="auto"/>
        <w:bottom w:val="single" w:sz="4" w:space="1" w:color="auto"/>
        <w:right w:val="single" w:sz="4" w:space="4" w:color="auto"/>
      </w:pBdr>
      <w:shd w:val="clear" w:color="auto" w:fill="B8CCE4"/>
      <w:spacing w:before="120" w:after="120" w:line="264" w:lineRule="auto"/>
      <w:ind w:left="397" w:right="397"/>
      <w:jc w:val="both"/>
    </w:pPr>
    <w:rPr>
      <w:sz w:val="24"/>
    </w:rPr>
  </w:style>
  <w:style w:type="character" w:customStyle="1" w:styleId="NormalindentChar0">
    <w:name w:val="Normal indent Char"/>
    <w:basedOn w:val="FootnoteChar"/>
    <w:link w:val="NormalIndent1"/>
    <w:rsid w:val="001F7253"/>
    <w:rPr>
      <w:rFonts w:ascii="Times New Roman" w:eastAsia="Times New Roman" w:hAnsi="Times New Roman" w:cs="Times New Roman"/>
      <w:sz w:val="24"/>
      <w:szCs w:val="20"/>
      <w:shd w:val="clear" w:color="auto" w:fill="B8CCE4"/>
      <w:lang w:val="en-US"/>
    </w:rPr>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таблица Char"/>
    <w:basedOn w:val="Normal"/>
    <w:next w:val="Normal"/>
    <w:link w:val="CaptionChar"/>
    <w:uiPriority w:val="99"/>
    <w:unhideWhenUsed/>
    <w:qFormat/>
    <w:rsid w:val="00CD2F76"/>
    <w:pPr>
      <w:keepNext/>
      <w:spacing w:before="120" w:after="120" w:line="240" w:lineRule="auto"/>
      <w:jc w:val="center"/>
    </w:pPr>
    <w:rPr>
      <w:rFonts w:eastAsia="Calibri" w:cs="Times New Roman"/>
      <w:b/>
      <w:iCs/>
      <w:color w:val="000000" w:themeColor="text1"/>
      <w:sz w:val="20"/>
      <w:szCs w:val="20"/>
      <w:lang w:eastAsia="bg-BG"/>
    </w:rPr>
  </w:style>
  <w:style w:type="paragraph" w:customStyle="1" w:styleId="Chapter">
    <w:name w:val="Chapter"/>
    <w:basedOn w:val="Heading1"/>
    <w:next w:val="Heading1"/>
    <w:qFormat/>
    <w:rsid w:val="00D61279"/>
    <w:pPr>
      <w:ind w:left="1418" w:hanging="1418"/>
    </w:pPr>
  </w:style>
  <w:style w:type="paragraph" w:customStyle="1" w:styleId="Tabletxt">
    <w:name w:val="Table txt"/>
    <w:basedOn w:val="Normal"/>
    <w:link w:val="TabletxtChar"/>
    <w:qFormat/>
    <w:rsid w:val="00133A31"/>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link w:val="Tabletxt"/>
    <w:rsid w:val="00133A31"/>
    <w:rPr>
      <w:rFonts w:ascii="Calibri" w:hAnsi="Calibri"/>
      <w:sz w:val="20"/>
      <w:szCs w:val="20"/>
      <w:lang w:val="en-GB"/>
    </w:rPr>
  </w:style>
  <w:style w:type="character" w:customStyle="1" w:styleId="Heading5Char">
    <w:name w:val="Heading 5 Char"/>
    <w:basedOn w:val="DefaultParagraphFont"/>
    <w:link w:val="Heading5"/>
    <w:uiPriority w:val="9"/>
    <w:rsid w:val="00D61279"/>
    <w:rPr>
      <w:rFonts w:ascii="Times New Roman" w:eastAsia="Times New Roman" w:hAnsi="Times New Roman" w:cs="Times New Roman"/>
      <w:color w:val="1F4E79"/>
      <w:lang w:val="en-US"/>
    </w:rPr>
  </w:style>
  <w:style w:type="character" w:customStyle="1" w:styleId="Heading6Char">
    <w:name w:val="Heading 6 Char"/>
    <w:basedOn w:val="DefaultParagraphFont"/>
    <w:link w:val="Heading6"/>
    <w:uiPriority w:val="9"/>
    <w:rsid w:val="00D61279"/>
    <w:rPr>
      <w:rFonts w:ascii="Calibri Light" w:eastAsia="Times New Roman" w:hAnsi="Calibri Light" w:cs="Times New Roman"/>
      <w:color w:val="1F4D78"/>
      <w:lang w:val="en-US"/>
    </w:rPr>
  </w:style>
  <w:style w:type="character" w:customStyle="1" w:styleId="Heading7Char">
    <w:name w:val="Heading 7 Char"/>
    <w:basedOn w:val="DefaultParagraphFont"/>
    <w:link w:val="Heading7"/>
    <w:uiPriority w:val="9"/>
    <w:rsid w:val="00D61279"/>
    <w:rPr>
      <w:rFonts w:ascii="Calibri Light" w:eastAsia="Times New Roman" w:hAnsi="Calibri Light" w:cs="Times New Roman"/>
      <w:i/>
      <w:iCs/>
      <w:color w:val="1F4D78"/>
      <w:lang w:val="en-US"/>
    </w:rPr>
  </w:style>
  <w:style w:type="character" w:customStyle="1" w:styleId="Heading8Char">
    <w:name w:val="Heading 8 Char"/>
    <w:basedOn w:val="DefaultParagraphFont"/>
    <w:link w:val="Heading8"/>
    <w:uiPriority w:val="9"/>
    <w:rsid w:val="00D61279"/>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uiPriority w:val="9"/>
    <w:rsid w:val="00D61279"/>
    <w:rPr>
      <w:rFonts w:ascii="Calibri Light" w:eastAsia="Times New Roman" w:hAnsi="Calibri Light" w:cs="Times New Roman"/>
      <w:i/>
      <w:iCs/>
      <w:color w:val="272727"/>
      <w:sz w:val="21"/>
      <w:szCs w:val="21"/>
      <w:lang w:val="en-US"/>
    </w:rPr>
  </w:style>
  <w:style w:type="character" w:customStyle="1" w:styleId="notranslate">
    <w:name w:val="notranslate"/>
    <w:basedOn w:val="DefaultParagraphFont"/>
    <w:rsid w:val="00D61279"/>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uiPriority w:val="99"/>
    <w:locked/>
    <w:rsid w:val="00CD2F76"/>
    <w:rPr>
      <w:rFonts w:ascii="Times New Roman" w:eastAsia="Calibri" w:hAnsi="Times New Roman" w:cs="Times New Roman"/>
      <w:b/>
      <w:iCs/>
      <w:color w:val="000000" w:themeColor="text1"/>
      <w:sz w:val="20"/>
      <w:szCs w:val="20"/>
      <w:lang w:val="en-US" w:eastAsia="bg-BG"/>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 BVI fnr Char"/>
    <w:basedOn w:val="Normal"/>
    <w:next w:val="Normal"/>
    <w:link w:val="FootnoteReference"/>
    <w:uiPriority w:val="99"/>
    <w:rsid w:val="008129AC"/>
    <w:pPr>
      <w:spacing w:before="100" w:beforeAutospacing="1" w:after="160" w:line="240" w:lineRule="exact"/>
    </w:pPr>
    <w:rPr>
      <w:rFonts w:cs="Times New Roman"/>
      <w:sz w:val="18"/>
      <w:vertAlign w:val="superscript"/>
      <w:lang w:val="bg-BG"/>
    </w:rPr>
  </w:style>
  <w:style w:type="table" w:customStyle="1" w:styleId="TableGrid2">
    <w:name w:val="Table Grid2"/>
    <w:basedOn w:val="TableNormal"/>
    <w:next w:val="TableGrid"/>
    <w:uiPriority w:val="39"/>
    <w:rsid w:val="0067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266437"/>
    <w:pPr>
      <w:autoSpaceDE w:val="0"/>
      <w:autoSpaceDN w:val="0"/>
      <w:adjustRightInd w:val="0"/>
      <w:spacing w:after="0" w:line="240" w:lineRule="auto"/>
      <w:jc w:val="left"/>
    </w:pPr>
    <w:rPr>
      <w:rFonts w:ascii="EUAlbertina" w:hAnsi="EUAlbertina"/>
      <w:szCs w:val="24"/>
      <w:lang w:val="en-GB"/>
    </w:rPr>
  </w:style>
  <w:style w:type="character" w:customStyle="1" w:styleId="rpf1">
    <w:name w:val="_rp_f1"/>
    <w:basedOn w:val="DefaultParagraphFont"/>
    <w:rsid w:val="00266437"/>
  </w:style>
  <w:style w:type="character" w:customStyle="1" w:styleId="pel">
    <w:name w:val="_pe_l"/>
    <w:basedOn w:val="DefaultParagraphFont"/>
    <w:rsid w:val="00266437"/>
  </w:style>
  <w:style w:type="character" w:customStyle="1" w:styleId="bidi">
    <w:name w:val="bidi"/>
    <w:basedOn w:val="DefaultParagraphFont"/>
    <w:rsid w:val="00266437"/>
  </w:style>
  <w:style w:type="character" w:customStyle="1" w:styleId="rpp1">
    <w:name w:val="_rp_p1"/>
    <w:basedOn w:val="DefaultParagraphFont"/>
    <w:rsid w:val="00266437"/>
  </w:style>
  <w:style w:type="character" w:customStyle="1" w:styleId="allowtextselection">
    <w:name w:val="allowtextselection"/>
    <w:basedOn w:val="DefaultParagraphFont"/>
    <w:rsid w:val="00266437"/>
  </w:style>
  <w:style w:type="character" w:customStyle="1" w:styleId="dbz">
    <w:name w:val="_db_z"/>
    <w:basedOn w:val="DefaultParagraphFont"/>
    <w:rsid w:val="00266437"/>
  </w:style>
  <w:style w:type="character" w:customStyle="1" w:styleId="shorttext">
    <w:name w:val="short_text"/>
    <w:basedOn w:val="DefaultParagraphFont"/>
    <w:rsid w:val="00266437"/>
  </w:style>
  <w:style w:type="table" w:customStyle="1" w:styleId="TableGrid11">
    <w:name w:val="Table Grid11"/>
    <w:basedOn w:val="TableNormal"/>
    <w:next w:val="TableGrid"/>
    <w:uiPriority w:val="59"/>
    <w:rsid w:val="00266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66437"/>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266437"/>
    <w:rPr>
      <w:rFonts w:eastAsiaTheme="minorEastAsia"/>
      <w:sz w:val="20"/>
      <w:szCs w:val="20"/>
    </w:rPr>
  </w:style>
  <w:style w:type="paragraph" w:customStyle="1" w:styleId="a0">
    <w:name w:val="Абзац списка"/>
    <w:basedOn w:val="Normal"/>
    <w:rsid w:val="00266437"/>
    <w:pPr>
      <w:spacing w:after="0" w:line="240" w:lineRule="auto"/>
      <w:ind w:left="720"/>
      <w:jc w:val="left"/>
    </w:pPr>
    <w:rPr>
      <w:rFonts w:ascii="Verdana" w:eastAsia="Times New Roman" w:hAnsi="Verdana" w:cs="Verdana"/>
      <w:color w:val="6A6A6A"/>
      <w:szCs w:val="24"/>
    </w:rPr>
  </w:style>
  <w:style w:type="table" w:customStyle="1" w:styleId="TableGrid3">
    <w:name w:val="Table Grid3"/>
    <w:basedOn w:val="TableNormal"/>
    <w:next w:val="TableGrid"/>
    <w:uiPriority w:val="59"/>
    <w:rsid w:val="006E662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D1C0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1">
    <w:name w:val="Grid Table 1 Light1"/>
    <w:basedOn w:val="TableNormal"/>
    <w:uiPriority w:val="46"/>
    <w:rsid w:val="000830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1779C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
    <w:name w:val="List Table 1 Light"/>
    <w:basedOn w:val="TableNormal"/>
    <w:uiPriority w:val="46"/>
    <w:rsid w:val="008A62ED"/>
    <w:pPr>
      <w:spacing w:after="0" w:line="240" w:lineRule="auto"/>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FF5EE3"/>
    <w:rPr>
      <w:color w:val="808080"/>
      <w:shd w:val="clear" w:color="auto" w:fill="E6E6E6"/>
    </w:rPr>
  </w:style>
  <w:style w:type="table" w:customStyle="1" w:styleId="GridTable4Accent1">
    <w:name w:val="Grid Table 4 Accent 1"/>
    <w:basedOn w:val="TableNormal"/>
    <w:uiPriority w:val="49"/>
    <w:rsid w:val="00EE0F1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4">
    <w:name w:val="Table Grid4"/>
    <w:basedOn w:val="TableNormal"/>
    <w:next w:val="TableGrid"/>
    <w:uiPriority w:val="39"/>
    <w:rsid w:val="000B77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87D50"/>
    <w:rPr>
      <w:color w:val="808080"/>
      <w:shd w:val="clear" w:color="auto" w:fill="E6E6E6"/>
    </w:rPr>
  </w:style>
  <w:style w:type="paragraph" w:customStyle="1" w:styleId="paragraph">
    <w:name w:val="paragraph"/>
    <w:basedOn w:val="Normal"/>
    <w:rsid w:val="00F04DFC"/>
    <w:pPr>
      <w:spacing w:after="0" w:line="240" w:lineRule="auto"/>
      <w:jc w:val="left"/>
    </w:pPr>
    <w:rPr>
      <w:rFonts w:eastAsia="Times New Roman" w:cs="Times New Roman"/>
      <w:szCs w:val="24"/>
    </w:rPr>
  </w:style>
  <w:style w:type="character" w:customStyle="1" w:styleId="normaltextrun1">
    <w:name w:val="normaltextrun1"/>
    <w:basedOn w:val="DefaultParagraphFont"/>
    <w:rsid w:val="00F04DFC"/>
  </w:style>
  <w:style w:type="character" w:customStyle="1" w:styleId="eop">
    <w:name w:val="eop"/>
    <w:basedOn w:val="DefaultParagraphFont"/>
    <w:rsid w:val="00F04DFC"/>
  </w:style>
  <w:style w:type="table" w:customStyle="1" w:styleId="GridTable2">
    <w:name w:val="Grid Table 2"/>
    <w:basedOn w:val="TableNormal"/>
    <w:uiPriority w:val="47"/>
    <w:rsid w:val="00550B58"/>
    <w:pPr>
      <w:spacing w:after="0" w:line="240" w:lineRule="auto"/>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3">
    <w:name w:val="Unresolved Mention3"/>
    <w:basedOn w:val="DefaultParagraphFont"/>
    <w:uiPriority w:val="99"/>
    <w:semiHidden/>
    <w:unhideWhenUsed/>
    <w:rsid w:val="002F1D7C"/>
    <w:rPr>
      <w:color w:val="808080"/>
      <w:shd w:val="clear" w:color="auto" w:fill="E6E6E6"/>
    </w:rPr>
  </w:style>
  <w:style w:type="paragraph" w:customStyle="1" w:styleId="Source">
    <w:name w:val="Source"/>
    <w:basedOn w:val="Normal"/>
    <w:qFormat/>
    <w:rsid w:val="0006676D"/>
    <w:pPr>
      <w:spacing w:before="60" w:after="200" w:line="240" w:lineRule="auto"/>
      <w:jc w:val="center"/>
    </w:pPr>
    <w:rPr>
      <w:rFonts w:ascii="Calibri" w:eastAsia="Calibri" w:hAnsi="Calibri" w:cs="Calibri"/>
      <w:i/>
      <w:sz w:val="20"/>
      <w:szCs w:val="20"/>
    </w:rPr>
  </w:style>
  <w:style w:type="character" w:customStyle="1" w:styleId="UnresolvedMention4">
    <w:name w:val="Unresolved Mention4"/>
    <w:basedOn w:val="DefaultParagraphFont"/>
    <w:uiPriority w:val="99"/>
    <w:semiHidden/>
    <w:unhideWhenUsed/>
    <w:rsid w:val="000233BE"/>
    <w:rPr>
      <w:color w:val="808080"/>
      <w:shd w:val="clear" w:color="auto" w:fill="E6E6E6"/>
    </w:rPr>
  </w:style>
  <w:style w:type="character" w:customStyle="1" w:styleId="field">
    <w:name w:val="field"/>
    <w:basedOn w:val="DefaultParagraphFont"/>
    <w:rsid w:val="00E506BE"/>
  </w:style>
  <w:style w:type="table" w:customStyle="1" w:styleId="TableGrid5">
    <w:name w:val="Table Grid5"/>
    <w:basedOn w:val="TableNormal"/>
    <w:next w:val="TableGrid"/>
    <w:uiPriority w:val="39"/>
    <w:rsid w:val="00DB3A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qFormat="1"/>
    <w:lsdException w:name="table of figures"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4F006F"/>
    <w:pPr>
      <w:spacing w:after="60" w:line="264" w:lineRule="auto"/>
      <w:jc w:val="both"/>
    </w:pPr>
    <w:rPr>
      <w:rFonts w:ascii="Times New Roman" w:hAnsi="Times New Roman"/>
      <w:sz w:val="24"/>
      <w:lang w:val="en-US"/>
    </w:rPr>
  </w:style>
  <w:style w:type="paragraph" w:styleId="Heading1">
    <w:name w:val="heading 1"/>
    <w:aliases w:val="Heading 1 WB"/>
    <w:basedOn w:val="Normal"/>
    <w:link w:val="Heading1Char"/>
    <w:uiPriority w:val="9"/>
    <w:qFormat/>
    <w:rsid w:val="002B6EE2"/>
    <w:pPr>
      <w:keepNext/>
      <w:tabs>
        <w:tab w:val="left" w:pos="720"/>
      </w:tabs>
      <w:spacing w:after="120" w:line="240" w:lineRule="auto"/>
      <w:outlineLvl w:val="0"/>
    </w:pPr>
    <w:rPr>
      <w:rFonts w:ascii="Calibri" w:eastAsia="Times New Roman" w:hAnsi="Calibri" w:cs="Times New Roman"/>
      <w:b/>
      <w:bCs/>
      <w:color w:val="365F91" w:themeColor="accent1" w:themeShade="BF"/>
      <w:kern w:val="36"/>
      <w:sz w:val="32"/>
      <w:szCs w:val="18"/>
      <w:lang w:eastAsia="bg-BG"/>
    </w:rPr>
  </w:style>
  <w:style w:type="paragraph" w:styleId="Heading2">
    <w:name w:val="heading 2"/>
    <w:aliases w:val="Heading 2 WB"/>
    <w:basedOn w:val="Normal"/>
    <w:next w:val="Normal"/>
    <w:link w:val="Heading2Char"/>
    <w:uiPriority w:val="9"/>
    <w:unhideWhenUsed/>
    <w:qFormat/>
    <w:rsid w:val="00CD2F76"/>
    <w:pPr>
      <w:keepNext/>
      <w:keepLines/>
      <w:autoSpaceDE w:val="0"/>
      <w:autoSpaceDN w:val="0"/>
      <w:adjustRightInd w:val="0"/>
      <w:spacing w:before="200" w:after="120" w:line="240" w:lineRule="auto"/>
      <w:ind w:left="720" w:hanging="720"/>
      <w:outlineLvl w:val="1"/>
    </w:pPr>
    <w:rPr>
      <w:rFonts w:ascii="Calibri" w:eastAsia="Times New Roman" w:hAnsi="Calibri" w:cs="Times New Roman"/>
      <w:b/>
      <w:color w:val="365F91"/>
      <w:sz w:val="28"/>
      <w:szCs w:val="26"/>
    </w:rPr>
  </w:style>
  <w:style w:type="paragraph" w:styleId="Heading3">
    <w:name w:val="heading 3"/>
    <w:basedOn w:val="Normal"/>
    <w:next w:val="Normal"/>
    <w:link w:val="Heading3Char"/>
    <w:uiPriority w:val="9"/>
    <w:unhideWhenUsed/>
    <w:qFormat/>
    <w:rsid w:val="00D610DB"/>
    <w:pPr>
      <w:keepNext/>
      <w:keepLines/>
      <w:autoSpaceDE w:val="0"/>
      <w:autoSpaceDN w:val="0"/>
      <w:adjustRightInd w:val="0"/>
      <w:spacing w:before="120" w:after="120" w:line="240" w:lineRule="auto"/>
      <w:ind w:left="720" w:hanging="720"/>
      <w:outlineLvl w:val="2"/>
    </w:pPr>
    <w:rPr>
      <w:rFonts w:ascii="Calibri" w:eastAsia="Times New Roman" w:hAnsi="Calibri" w:cs="Times New Roman"/>
      <w:b/>
      <w:i/>
      <w:color w:val="4F81BD"/>
      <w:sz w:val="26"/>
      <w:szCs w:val="24"/>
    </w:rPr>
  </w:style>
  <w:style w:type="paragraph" w:styleId="Heading4">
    <w:name w:val="heading 4"/>
    <w:aliases w:val="Heading 4 WB"/>
    <w:basedOn w:val="Normal"/>
    <w:next w:val="Normal"/>
    <w:link w:val="Heading4Char"/>
    <w:uiPriority w:val="9"/>
    <w:unhideWhenUsed/>
    <w:qFormat/>
    <w:rsid w:val="00FC4AB1"/>
    <w:pPr>
      <w:keepNext/>
      <w:keepLines/>
      <w:autoSpaceDE w:val="0"/>
      <w:autoSpaceDN w:val="0"/>
      <w:adjustRightInd w:val="0"/>
      <w:spacing w:before="60" w:line="240" w:lineRule="auto"/>
      <w:outlineLvl w:val="3"/>
    </w:pPr>
    <w:rPr>
      <w:rFonts w:ascii="Calibri" w:eastAsia="Times New Roman" w:hAnsi="Calibri" w:cs="Times New Roman"/>
      <w:bCs/>
      <w:i/>
      <w:iCs/>
      <w:color w:val="2F5496"/>
      <w:szCs w:val="24"/>
    </w:rPr>
  </w:style>
  <w:style w:type="paragraph" w:styleId="Heading5">
    <w:name w:val="heading 5"/>
    <w:basedOn w:val="Normal"/>
    <w:next w:val="Normal"/>
    <w:link w:val="Heading5Char"/>
    <w:uiPriority w:val="9"/>
    <w:unhideWhenUsed/>
    <w:qFormat/>
    <w:rsid w:val="00D61279"/>
    <w:pPr>
      <w:keepNext/>
      <w:keepLines/>
      <w:spacing w:before="40" w:after="160" w:line="259" w:lineRule="auto"/>
      <w:ind w:left="1008" w:hanging="1008"/>
      <w:outlineLvl w:val="4"/>
    </w:pPr>
    <w:rPr>
      <w:rFonts w:eastAsia="Times New Roman" w:cs="Times New Roman"/>
      <w:color w:val="1F4E79"/>
      <w:sz w:val="22"/>
    </w:rPr>
  </w:style>
  <w:style w:type="paragraph" w:styleId="Heading6">
    <w:name w:val="heading 6"/>
    <w:basedOn w:val="Normal"/>
    <w:next w:val="Normal"/>
    <w:link w:val="Heading6Char"/>
    <w:uiPriority w:val="9"/>
    <w:unhideWhenUsed/>
    <w:qFormat/>
    <w:rsid w:val="00D61279"/>
    <w:pPr>
      <w:keepNext/>
      <w:keepLines/>
      <w:spacing w:before="40" w:after="160" w:line="259" w:lineRule="auto"/>
      <w:ind w:left="1152" w:hanging="1152"/>
      <w:outlineLvl w:val="5"/>
    </w:pPr>
    <w:rPr>
      <w:rFonts w:ascii="Calibri Light" w:eastAsia="Times New Roman" w:hAnsi="Calibri Light" w:cs="Times New Roman"/>
      <w:color w:val="1F4D78"/>
      <w:sz w:val="22"/>
    </w:rPr>
  </w:style>
  <w:style w:type="paragraph" w:styleId="Heading7">
    <w:name w:val="heading 7"/>
    <w:basedOn w:val="Normal"/>
    <w:next w:val="Normal"/>
    <w:link w:val="Heading7Char"/>
    <w:uiPriority w:val="9"/>
    <w:unhideWhenUsed/>
    <w:qFormat/>
    <w:rsid w:val="00D61279"/>
    <w:pPr>
      <w:keepNext/>
      <w:keepLines/>
      <w:spacing w:before="40" w:after="160" w:line="259" w:lineRule="auto"/>
      <w:ind w:left="1296" w:hanging="1296"/>
      <w:outlineLvl w:val="6"/>
    </w:pPr>
    <w:rPr>
      <w:rFonts w:ascii="Calibri Light" w:eastAsia="Times New Roman" w:hAnsi="Calibri Light" w:cs="Times New Roman"/>
      <w:i/>
      <w:iCs/>
      <w:color w:val="1F4D78"/>
      <w:sz w:val="22"/>
    </w:rPr>
  </w:style>
  <w:style w:type="paragraph" w:styleId="Heading8">
    <w:name w:val="heading 8"/>
    <w:basedOn w:val="Normal"/>
    <w:next w:val="Normal"/>
    <w:link w:val="Heading8Char"/>
    <w:uiPriority w:val="9"/>
    <w:unhideWhenUsed/>
    <w:qFormat/>
    <w:rsid w:val="00D61279"/>
    <w:pPr>
      <w:keepNext/>
      <w:keepLines/>
      <w:spacing w:before="40" w:after="160" w:line="259" w:lineRule="auto"/>
      <w:ind w:left="1440" w:hanging="144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unhideWhenUsed/>
    <w:qFormat/>
    <w:rsid w:val="00D61279"/>
    <w:pPr>
      <w:keepNext/>
      <w:keepLines/>
      <w:spacing w:before="40" w:after="160" w:line="259" w:lineRule="auto"/>
      <w:ind w:left="1584" w:hanging="1584"/>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2B6EE2"/>
    <w:rPr>
      <w:rFonts w:ascii="Calibri" w:eastAsia="Times New Roman" w:hAnsi="Calibri" w:cs="Times New Roman"/>
      <w:b/>
      <w:bCs/>
      <w:color w:val="365F91" w:themeColor="accent1" w:themeShade="BF"/>
      <w:kern w:val="36"/>
      <w:sz w:val="32"/>
      <w:szCs w:val="18"/>
      <w:lang w:val="en-US" w:eastAsia="bg-BG"/>
    </w:rPr>
  </w:style>
  <w:style w:type="character" w:customStyle="1" w:styleId="Heading2Char">
    <w:name w:val="Heading 2 Char"/>
    <w:aliases w:val="Heading 2 WB Char"/>
    <w:basedOn w:val="DefaultParagraphFont"/>
    <w:link w:val="Heading2"/>
    <w:uiPriority w:val="9"/>
    <w:rsid w:val="00CD2F76"/>
    <w:rPr>
      <w:rFonts w:ascii="Calibri" w:eastAsia="Times New Roman" w:hAnsi="Calibri" w:cs="Times New Roman"/>
      <w:b/>
      <w:color w:val="365F91"/>
      <w:sz w:val="28"/>
      <w:szCs w:val="26"/>
      <w:lang w:val="en-US"/>
    </w:rPr>
  </w:style>
  <w:style w:type="character" w:customStyle="1" w:styleId="Heading3Char">
    <w:name w:val="Heading 3 Char"/>
    <w:basedOn w:val="DefaultParagraphFont"/>
    <w:link w:val="Heading3"/>
    <w:uiPriority w:val="9"/>
    <w:rsid w:val="00D610DB"/>
    <w:rPr>
      <w:rFonts w:ascii="Calibri" w:eastAsia="Times New Roman" w:hAnsi="Calibri" w:cs="Times New Roman"/>
      <w:b/>
      <w:i/>
      <w:color w:val="4F81BD"/>
      <w:sz w:val="26"/>
      <w:szCs w:val="24"/>
      <w:lang w:val="en-US"/>
    </w:rPr>
  </w:style>
  <w:style w:type="character" w:customStyle="1" w:styleId="Heading4Char">
    <w:name w:val="Heading 4 Char"/>
    <w:aliases w:val="Heading 4 WB Char"/>
    <w:basedOn w:val="DefaultParagraphFont"/>
    <w:link w:val="Heading4"/>
    <w:uiPriority w:val="9"/>
    <w:rsid w:val="00FC4AB1"/>
    <w:rPr>
      <w:rFonts w:ascii="Calibri" w:eastAsia="Times New Roman" w:hAnsi="Calibri" w:cs="Times New Roman"/>
      <w:bCs/>
      <w:i/>
      <w:iCs/>
      <w:color w:val="2F5496"/>
      <w:sz w:val="24"/>
      <w:szCs w:val="24"/>
      <w:lang w:val="en-US"/>
    </w:rPr>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link w:val="ListParagraphChar"/>
    <w:uiPriority w:val="34"/>
    <w:qFormat/>
    <w:rsid w:val="008F4E27"/>
    <w:pPr>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uiPriority w:val="99"/>
    <w:qFormat/>
    <w:rsid w:val="00E1579D"/>
    <w:pPr>
      <w:spacing w:after="0" w:line="240" w:lineRule="auto"/>
      <w:jc w:val="left"/>
    </w:pPr>
    <w:rPr>
      <w:rFonts w:eastAsiaTheme="majorEastAsia" w:cs="Arial"/>
      <w:sz w:val="20"/>
      <w:szCs w:val="20"/>
    </w:rPr>
  </w:style>
  <w:style w:type="character" w:customStyle="1" w:styleId="FootnoteTextChar">
    <w:name w:val="Footnote Text Char"/>
    <w:aliases w:val="Footnote Text Char Char Char Char Char Char Char1,fn Char1,single space Char1,FOOTNOTES Char1,Footnote Text Char Char Char1,ft Char1,Texto nota pie Car Char1,Footnote Text Char1 Char1,Fußnotentext Char Char1,Fußnotentext arial Char"/>
    <w:basedOn w:val="DefaultParagraphFont"/>
    <w:link w:val="FootnoteText"/>
    <w:uiPriority w:val="99"/>
    <w:rsid w:val="00E1579D"/>
    <w:rPr>
      <w:rFonts w:ascii="Times New Roman" w:eastAsiaTheme="majorEastAsia" w:hAnsi="Times New Roman" w:cs="Arial"/>
      <w:sz w:val="20"/>
      <w:szCs w:val="20"/>
      <w:lang w:val="en-US"/>
    </w:rPr>
  </w:style>
  <w:style w:type="character" w:styleId="FootnoteReference">
    <w:name w:val="footnote reference"/>
    <w:aliases w:val="Footnote Refernece Char Char,BVI fnr Char Char,callout Char Char,ftref Char Char,Footnotes refss Char Char,Fussnota Char Char,Footnote symbol Char Char,Footnote reference number Char Char,Times 10 Point Char Char,Footnote symbol"/>
    <w:basedOn w:val="DefaultParagraphFont"/>
    <w:link w:val="FootnoteReferneceChar"/>
    <w:uiPriority w:val="99"/>
    <w:qFormat/>
    <w:rsid w:val="008129AC"/>
    <w:rPr>
      <w:rFonts w:ascii="Times New Roman" w:hAnsi="Times New Roman" w:cs="Times New Roman"/>
      <w:sz w:val="18"/>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336511"/>
    <w:rPr>
      <w:rFonts w:ascii="Times New Roman" w:hAnsi="Times New Roman"/>
      <w:color w:val="0000FF" w:themeColor="hyperlink"/>
      <w:sz w:val="18"/>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702B7C"/>
    <w:pPr>
      <w:numPr>
        <w:numId w:val="7"/>
      </w:numPr>
      <w:spacing w:after="120" w:line="276" w:lineRule="auto"/>
    </w:pPr>
    <w:rPr>
      <w:rFonts w:eastAsiaTheme="minorEastAsia" w:cs="Times New Roman"/>
      <w:szCs w:val="24"/>
      <w:lang w:eastAsia="bg-BG"/>
    </w:rPr>
  </w:style>
  <w:style w:type="character" w:customStyle="1" w:styleId="BodyTextChar">
    <w:name w:val="Body Text Char"/>
    <w:basedOn w:val="DefaultParagraphFont"/>
    <w:link w:val="BodyText"/>
    <w:uiPriority w:val="99"/>
    <w:rsid w:val="00702B7C"/>
    <w:rPr>
      <w:rFonts w:ascii="Times New Roman" w:eastAsiaTheme="minorEastAsia" w:hAnsi="Times New Roman" w:cs="Times New Roman"/>
      <w:sz w:val="24"/>
      <w:szCs w:val="24"/>
      <w:lang w:val="en-US" w:eastAsia="bg-BG"/>
    </w:rPr>
  </w:style>
  <w:style w:type="paragraph" w:customStyle="1" w:styleId="TableParagraph">
    <w:name w:val="Table Paragraph"/>
    <w:basedOn w:val="Normal"/>
    <w:uiPriority w:val="99"/>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uiPriority w:val="39"/>
    <w:unhideWhenUsed/>
    <w:qFormat/>
    <w:rsid w:val="00702B7C"/>
    <w:pPr>
      <w:widowControl w:val="0"/>
      <w:autoSpaceDE w:val="0"/>
      <w:autoSpaceDN w:val="0"/>
      <w:adjustRightInd w:val="0"/>
      <w:spacing w:after="100"/>
    </w:pPr>
    <w:rPr>
      <w:rFonts w:ascii="Calibri" w:eastAsiaTheme="minorEastAsia" w:hAnsi="Calibri" w:cs="Times New Roman"/>
      <w:sz w:val="22"/>
      <w:szCs w:val="24"/>
      <w:lang w:eastAsia="bg-BG"/>
    </w:rPr>
  </w:style>
  <w:style w:type="character" w:styleId="Strong">
    <w:name w:val="Strong"/>
    <w:basedOn w:val="DefaultParagraphFont"/>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uiPriority w:val="10"/>
    <w:qFormat/>
    <w:rsid w:val="004960C7"/>
    <w:pPr>
      <w:spacing w:after="0" w:line="240" w:lineRule="auto"/>
      <w:contextualSpacing/>
    </w:pPr>
    <w:rPr>
      <w:rFonts w:ascii="Calibri" w:eastAsiaTheme="majorEastAsia" w:hAnsi="Calibri" w:cstheme="majorBidi"/>
      <w:b/>
      <w:spacing w:val="-10"/>
      <w:kern w:val="28"/>
      <w:sz w:val="44"/>
      <w:szCs w:val="56"/>
    </w:rPr>
  </w:style>
  <w:style w:type="character" w:customStyle="1" w:styleId="TitleChar">
    <w:name w:val="Title Char"/>
    <w:basedOn w:val="DefaultParagraphFont"/>
    <w:link w:val="Title"/>
    <w:uiPriority w:val="10"/>
    <w:rsid w:val="004960C7"/>
    <w:rPr>
      <w:rFonts w:ascii="Calibri" w:eastAsiaTheme="majorEastAsia" w:hAnsi="Calibri" w:cstheme="majorBidi"/>
      <w:b/>
      <w:spacing w:val="-10"/>
      <w:kern w:val="28"/>
      <w:sz w:val="44"/>
      <w:szCs w:val="56"/>
    </w:rPr>
  </w:style>
  <w:style w:type="table" w:customStyle="1" w:styleId="ListTable3-Accent11">
    <w:name w:val="List Table 3 - Accent 11"/>
    <w:basedOn w:val="TableNormal"/>
    <w:next w:val="ListTable3-Accent12"/>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rsid w:val="00A64BBB"/>
    <w:pPr>
      <w:keepLines/>
      <w:spacing w:before="240" w:after="0" w:line="259" w:lineRule="auto"/>
      <w:jc w:val="left"/>
      <w:outlineLvl w:val="9"/>
    </w:pPr>
    <w:rPr>
      <w:rFonts w:asciiTheme="majorHAnsi" w:eastAsiaTheme="majorEastAsia" w:hAnsiTheme="majorHAnsi" w:cstheme="majorBidi"/>
      <w:b w:val="0"/>
      <w:bCs w:val="0"/>
      <w:kern w:val="0"/>
      <w:szCs w:val="32"/>
      <w:lang w:eastAsia="en-US"/>
    </w:rPr>
  </w:style>
  <w:style w:type="paragraph" w:styleId="TOC2">
    <w:name w:val="toc 2"/>
    <w:basedOn w:val="Normal"/>
    <w:next w:val="Normal"/>
    <w:uiPriority w:val="39"/>
    <w:unhideWhenUsed/>
    <w:qFormat/>
    <w:rsid w:val="00702B7C"/>
    <w:pPr>
      <w:spacing w:after="100"/>
      <w:ind w:left="245"/>
    </w:pPr>
    <w:rPr>
      <w:rFonts w:ascii="Calibri" w:hAnsi="Calibri"/>
      <w:sz w:val="22"/>
    </w:rPr>
  </w:style>
  <w:style w:type="paragraph" w:styleId="TOC3">
    <w:name w:val="toc 3"/>
    <w:basedOn w:val="Normal"/>
    <w:next w:val="Normal"/>
    <w:uiPriority w:val="39"/>
    <w:unhideWhenUsed/>
    <w:qFormat/>
    <w:rsid w:val="00603E67"/>
    <w:pPr>
      <w:spacing w:after="100"/>
      <w:ind w:left="475"/>
    </w:pPr>
    <w:rPr>
      <w:rFonts w:asciiTheme="minorHAnsi" w:hAnsiTheme="minorHAns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unhideWhenUsed/>
    <w:rsid w:val="00F40B3C"/>
    <w:pPr>
      <w:spacing w:after="0" w:line="240" w:lineRule="auto"/>
    </w:pPr>
    <w:rPr>
      <w:rFonts w:eastAsia="Calibri" w:cs="Times New Roman"/>
      <w:sz w:val="20"/>
      <w:szCs w:val="20"/>
      <w:lang w:val="x-none" w:eastAsia="x-none"/>
    </w:rPr>
  </w:style>
  <w:style w:type="character" w:customStyle="1" w:styleId="EndnoteTextChar">
    <w:name w:val="Endnote Text Char"/>
    <w:basedOn w:val="DefaultParagraphFont"/>
    <w:link w:val="EndnoteText"/>
    <w:uiPriority w:val="99"/>
    <w:rsid w:val="00F40B3C"/>
    <w:rPr>
      <w:rFonts w:ascii="Times New Roman" w:eastAsia="Calibri" w:hAnsi="Times New Roman" w:cs="Times New Roman"/>
      <w:sz w:val="20"/>
      <w:szCs w:val="20"/>
      <w:lang w:val="x-none" w:eastAsia="x-none"/>
    </w:rPr>
  </w:style>
  <w:style w:type="character" w:styleId="EndnoteReference">
    <w:name w:val="endnote reference"/>
    <w:uiPriority w:val="99"/>
    <w:unhideWhenUsed/>
    <w:rsid w:val="00F40B3C"/>
    <w:rPr>
      <w:vertAlign w:val="superscript"/>
    </w:rPr>
  </w:style>
  <w:style w:type="character" w:styleId="Emphasis">
    <w:name w:val="Emphasis"/>
    <w:uiPriority w:val="20"/>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1"/>
      </w:numPr>
      <w:tabs>
        <w:tab w:val="left" w:pos="709"/>
      </w:tabs>
      <w:spacing w:before="120"/>
      <w:ind w:left="0" w:firstLine="0"/>
    </w:pPr>
  </w:style>
  <w:style w:type="character" w:customStyle="1" w:styleId="WBNormalNumberedChar">
    <w:name w:val="WB Normal Numbered Char"/>
    <w:basedOn w:val="DefaultParagraphFont"/>
    <w:link w:val="WBNormalNumbered"/>
    <w:rsid w:val="00500BA1"/>
    <w:rPr>
      <w:rFonts w:ascii="Times New Roman" w:hAnsi="Times New Roman"/>
      <w:sz w:val="24"/>
      <w:lang w:val="en-US"/>
    </w:rPr>
  </w:style>
  <w:style w:type="table" w:customStyle="1" w:styleId="TableGrid1">
    <w:name w:val="Table Grid1"/>
    <w:basedOn w:val="TableNormal"/>
    <w:next w:val="TableGrid"/>
    <w:uiPriority w:val="5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rPr>
  </w:style>
  <w:style w:type="paragraph" w:customStyle="1" w:styleId="BulletNormal">
    <w:name w:val="Bullet Normal"/>
    <w:basedOn w:val="ListParagraph"/>
    <w:link w:val="BulletNormalChar"/>
    <w:rsid w:val="004506EA"/>
    <w:pPr>
      <w:numPr>
        <w:numId w:val="2"/>
      </w:numPr>
      <w:spacing w:after="180" w:line="240" w:lineRule="auto"/>
      <w:contextualSpacing w:val="0"/>
      <w:jc w:val="left"/>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4506EA"/>
    <w:rPr>
      <w:rFonts w:ascii="Times New Roman" w:hAnsi="Times New Roman"/>
      <w:sz w:val="24"/>
    </w:rPr>
  </w:style>
  <w:style w:type="character" w:customStyle="1" w:styleId="BulletNormalChar">
    <w:name w:val="Bullet Normal Char"/>
    <w:basedOn w:val="ListParagraph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basedOn w:val="DefaultParagraphFont"/>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after="120" w:line="240" w:lineRule="auto"/>
      <w:jc w:val="left"/>
    </w:pPr>
    <w:rPr>
      <w:rFonts w:ascii="Arial" w:hAnsi="Arial"/>
      <w:b/>
      <w:sz w:val="20"/>
    </w:rPr>
  </w:style>
  <w:style w:type="character" w:customStyle="1" w:styleId="TableChar">
    <w:name w:val="Table Char"/>
    <w:basedOn w:val="DefaultParagraphFont"/>
    <w:link w:val="Table"/>
    <w:rsid w:val="004506EA"/>
    <w:rPr>
      <w:rFonts w:ascii="Arial" w:hAnsi="Arial"/>
      <w:b/>
      <w:sz w:val="20"/>
      <w:lang w:val="en-US"/>
    </w:rPr>
  </w:style>
  <w:style w:type="character" w:customStyle="1" w:styleId="Mention2">
    <w:name w:val="Mention2"/>
    <w:basedOn w:val="DefaultParagraphFont"/>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basedOn w:val="TableChar"/>
    <w:link w:val="Figure"/>
    <w:rsid w:val="004506EA"/>
    <w:rPr>
      <w:rFonts w:ascii="Arial" w:hAnsi="Arial"/>
      <w:b/>
      <w:sz w:val="20"/>
      <w:lang w:val="en-GB"/>
    </w:rPr>
  </w:style>
  <w:style w:type="paragraph" w:customStyle="1" w:styleId="Footnote">
    <w:name w:val="Footnote"/>
    <w:basedOn w:val="FootnoteText"/>
    <w:link w:val="FootnoteChar"/>
    <w:rsid w:val="002067E8"/>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themeFill="accent5" w:themeFillTint="33"/>
      <w:spacing w:before="180" w:after="180" w:line="240" w:lineRule="auto"/>
      <w:ind w:left="426" w:right="567"/>
      <w:jc w:val="left"/>
    </w:pPr>
    <w:rPr>
      <w:rFonts w:ascii="Arial" w:hAnsi="Arial"/>
      <w:sz w:val="20"/>
      <w:lang w:val="en-GB"/>
    </w:rPr>
  </w:style>
  <w:style w:type="character" w:customStyle="1" w:styleId="FootnoteChar">
    <w:name w:val="Footnote Char"/>
    <w:aliases w:val="Footnote Text Char2,Footnote Text Char Char Char Char Char Char Char,fn Char,single space Char,FOOTNOTES Char,Footnote Text Char Char Char,ft Char,Texto nota pie Car Char,Footnote Text Char1 Char,Fußnotentext Char Char,ALTS FOOTNOTE Char"/>
    <w:basedOn w:val="FootnoteTextChar"/>
    <w:link w:val="Footnote"/>
    <w:uiPriority w:val="99"/>
    <w:rsid w:val="002067E8"/>
    <w:rPr>
      <w:rFonts w:ascii="Times New Roman" w:eastAsia="Times New Roman" w:hAnsi="Times New Roman" w:cs="Times New Roman"/>
      <w:sz w:val="18"/>
      <w:szCs w:val="20"/>
      <w:lang w:val="en-US"/>
    </w:rPr>
  </w:style>
  <w:style w:type="paragraph" w:customStyle="1" w:styleId="TableTitle">
    <w:name w:val="TableTitle"/>
    <w:basedOn w:val="Normal"/>
    <w:uiPriority w:val="15"/>
    <w:rsid w:val="004506EA"/>
    <w:pPr>
      <w:numPr>
        <w:numId w:val="3"/>
      </w:numPr>
      <w:spacing w:before="240" w:after="120" w:line="240" w:lineRule="auto"/>
      <w:jc w:val="left"/>
    </w:pPr>
    <w:rPr>
      <w:rFonts w:ascii="Arial" w:hAnsi="Arial"/>
      <w:b/>
      <w:color w:val="1F497D" w:themeColor="text2"/>
      <w:sz w:val="20"/>
    </w:rPr>
  </w:style>
  <w:style w:type="paragraph" w:customStyle="1" w:styleId="Bodytable">
    <w:name w:val="Body table"/>
    <w:uiPriority w:val="2"/>
    <w:rsid w:val="004506EA"/>
    <w:pPr>
      <w:spacing w:before="40" w:after="40" w:line="240" w:lineRule="auto"/>
    </w:pPr>
    <w:rPr>
      <w:rFonts w:eastAsia="Batang" w:cs="Arial"/>
      <w:color w:val="394A58"/>
      <w:sz w:val="20"/>
      <w:szCs w:val="20"/>
      <w:lang w:val="en-GB" w:eastAsia="ko-KR"/>
    </w:rPr>
  </w:style>
  <w:style w:type="character" w:customStyle="1" w:styleId="font551">
    <w:name w:val="font551"/>
    <w:basedOn w:val="DefaultParagraphFont"/>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themeColor="accent1" w:themeShade="BF"/>
      <w:sz w:val="32"/>
      <w:szCs w:val="32"/>
      <w:lang w:val="en-GB"/>
    </w:rPr>
  </w:style>
  <w:style w:type="character" w:customStyle="1" w:styleId="FalseHeadingChar">
    <w:name w:val="False Heading Char"/>
    <w:basedOn w:val="DefaultParagraphFont"/>
    <w:link w:val="FalseHeading"/>
    <w:rsid w:val="004506EA"/>
    <w:rPr>
      <w:rFonts w:ascii="Arial" w:hAnsi="Arial"/>
      <w:color w:val="365F91" w:themeColor="accent1" w:themeShade="BF"/>
      <w:sz w:val="32"/>
      <w:szCs w:val="32"/>
      <w:lang w:val="en-GB"/>
    </w:rPr>
  </w:style>
  <w:style w:type="paragraph" w:styleId="TableofFigures">
    <w:name w:val="table of figures"/>
    <w:basedOn w:val="Normal"/>
    <w:next w:val="Normal"/>
    <w:uiPriority w:val="99"/>
    <w:unhideWhenUsed/>
    <w:qFormat/>
    <w:rsid w:val="002A41FA"/>
    <w:pPr>
      <w:tabs>
        <w:tab w:val="right" w:leader="dot" w:pos="9074"/>
      </w:tabs>
      <w:spacing w:after="100"/>
      <w:jc w:val="left"/>
    </w:pPr>
    <w:rPr>
      <w:rFonts w:ascii="Calibri" w:hAnsi="Calibri"/>
      <w:sz w:val="22"/>
    </w:rPr>
  </w:style>
  <w:style w:type="paragraph" w:customStyle="1" w:styleId="TablesFigures">
    <w:name w:val="Tables &amp; Figures"/>
    <w:basedOn w:val="Table"/>
    <w:link w:val="TablesFiguresChar"/>
    <w:autoRedefine/>
    <w:qFormat/>
    <w:rsid w:val="00527521"/>
    <w:pPr>
      <w:keepNext w:val="0"/>
      <w:spacing w:before="60" w:after="60"/>
      <w:jc w:val="center"/>
    </w:pPr>
    <w:rPr>
      <w:rFonts w:asciiTheme="minorHAnsi" w:hAnsiTheme="minorHAnsi" w:cstheme="minorHAnsi"/>
      <w:sz w:val="22"/>
      <w:lang w:val="bg-BG"/>
    </w:rPr>
  </w:style>
  <w:style w:type="paragraph" w:customStyle="1" w:styleId="Sourceline">
    <w:name w:val="Source line"/>
    <w:basedOn w:val="Normal"/>
    <w:link w:val="SourcelineChar"/>
    <w:autoRedefine/>
    <w:qFormat/>
    <w:rsid w:val="003C52A7"/>
    <w:pPr>
      <w:spacing w:after="120" w:line="240" w:lineRule="auto"/>
      <w:jc w:val="left"/>
    </w:pPr>
    <w:rPr>
      <w:rFonts w:ascii="Calibri" w:hAnsi="Calibri" w:cs="Arial"/>
      <w:i/>
      <w:sz w:val="18"/>
      <w:szCs w:val="18"/>
      <w:lang w:val="en-GB"/>
    </w:rPr>
  </w:style>
  <w:style w:type="character" w:customStyle="1" w:styleId="TablesFiguresChar">
    <w:name w:val="Tables &amp; Figures Char"/>
    <w:basedOn w:val="TableChar"/>
    <w:link w:val="TablesFigures"/>
    <w:rsid w:val="00527521"/>
    <w:rPr>
      <w:rFonts w:ascii="Arial" w:hAnsi="Arial" w:cstheme="minorHAnsi"/>
      <w:b/>
      <w:sz w:val="20"/>
      <w:lang w:val="en-US"/>
    </w:rPr>
  </w:style>
  <w:style w:type="paragraph" w:customStyle="1" w:styleId="Bullet">
    <w:name w:val="Bullet"/>
    <w:basedOn w:val="BulletNormal"/>
    <w:autoRedefine/>
    <w:qFormat/>
    <w:rsid w:val="00527521"/>
    <w:pPr>
      <w:numPr>
        <w:numId w:val="11"/>
      </w:numPr>
      <w:spacing w:before="60" w:after="60"/>
      <w:jc w:val="both"/>
    </w:pPr>
    <w:rPr>
      <w:lang w:val="en-GB"/>
    </w:rPr>
  </w:style>
  <w:style w:type="character" w:customStyle="1" w:styleId="SourcelineChar">
    <w:name w:val="Source line Char"/>
    <w:basedOn w:val="DefaultParagraphFont"/>
    <w:link w:val="Sourceline"/>
    <w:rsid w:val="003C52A7"/>
    <w:rPr>
      <w:rFonts w:ascii="Calibri" w:hAnsi="Calibri" w:cs="Arial"/>
      <w:i/>
      <w:sz w:val="18"/>
      <w:szCs w:val="18"/>
      <w:lang w:val="en-GB"/>
    </w:rPr>
  </w:style>
  <w:style w:type="paragraph" w:customStyle="1" w:styleId="NormalIndent1">
    <w:name w:val="Normal Indent1"/>
    <w:basedOn w:val="Footnote"/>
    <w:link w:val="NormalindentChar0"/>
    <w:autoRedefine/>
    <w:qFormat/>
    <w:rsid w:val="001F7253"/>
    <w:pPr>
      <w:pBdr>
        <w:top w:val="single" w:sz="4" w:space="1" w:color="auto"/>
        <w:left w:val="single" w:sz="4" w:space="4" w:color="auto"/>
        <w:bottom w:val="single" w:sz="4" w:space="1" w:color="auto"/>
        <w:right w:val="single" w:sz="4" w:space="4" w:color="auto"/>
      </w:pBdr>
      <w:shd w:val="clear" w:color="auto" w:fill="B8CCE4"/>
      <w:spacing w:before="120" w:after="120" w:line="264" w:lineRule="auto"/>
      <w:ind w:left="397" w:right="397"/>
      <w:jc w:val="both"/>
    </w:pPr>
    <w:rPr>
      <w:sz w:val="24"/>
    </w:rPr>
  </w:style>
  <w:style w:type="character" w:customStyle="1" w:styleId="NormalindentChar0">
    <w:name w:val="Normal indent Char"/>
    <w:basedOn w:val="FootnoteChar"/>
    <w:link w:val="NormalIndent1"/>
    <w:rsid w:val="001F7253"/>
    <w:rPr>
      <w:rFonts w:ascii="Times New Roman" w:eastAsia="Times New Roman" w:hAnsi="Times New Roman" w:cs="Times New Roman"/>
      <w:sz w:val="24"/>
      <w:szCs w:val="20"/>
      <w:shd w:val="clear" w:color="auto" w:fill="B8CCE4"/>
      <w:lang w:val="en-US"/>
    </w:rPr>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таблица Char"/>
    <w:basedOn w:val="Normal"/>
    <w:next w:val="Normal"/>
    <w:link w:val="CaptionChar"/>
    <w:uiPriority w:val="99"/>
    <w:unhideWhenUsed/>
    <w:qFormat/>
    <w:rsid w:val="00CD2F76"/>
    <w:pPr>
      <w:keepNext/>
      <w:spacing w:before="120" w:after="120" w:line="240" w:lineRule="auto"/>
      <w:jc w:val="center"/>
    </w:pPr>
    <w:rPr>
      <w:rFonts w:eastAsia="Calibri" w:cs="Times New Roman"/>
      <w:b/>
      <w:iCs/>
      <w:color w:val="000000" w:themeColor="text1"/>
      <w:sz w:val="20"/>
      <w:szCs w:val="20"/>
      <w:lang w:eastAsia="bg-BG"/>
    </w:rPr>
  </w:style>
  <w:style w:type="paragraph" w:customStyle="1" w:styleId="Chapter">
    <w:name w:val="Chapter"/>
    <w:basedOn w:val="Heading1"/>
    <w:next w:val="Heading1"/>
    <w:qFormat/>
    <w:rsid w:val="00D61279"/>
    <w:pPr>
      <w:ind w:left="1418" w:hanging="1418"/>
    </w:pPr>
  </w:style>
  <w:style w:type="paragraph" w:customStyle="1" w:styleId="Tabletxt">
    <w:name w:val="Table txt"/>
    <w:basedOn w:val="Normal"/>
    <w:link w:val="TabletxtChar"/>
    <w:qFormat/>
    <w:rsid w:val="00133A31"/>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link w:val="Tabletxt"/>
    <w:rsid w:val="00133A31"/>
    <w:rPr>
      <w:rFonts w:ascii="Calibri" w:hAnsi="Calibri"/>
      <w:sz w:val="20"/>
      <w:szCs w:val="20"/>
      <w:lang w:val="en-GB"/>
    </w:rPr>
  </w:style>
  <w:style w:type="character" w:customStyle="1" w:styleId="Heading5Char">
    <w:name w:val="Heading 5 Char"/>
    <w:basedOn w:val="DefaultParagraphFont"/>
    <w:link w:val="Heading5"/>
    <w:uiPriority w:val="9"/>
    <w:rsid w:val="00D61279"/>
    <w:rPr>
      <w:rFonts w:ascii="Times New Roman" w:eastAsia="Times New Roman" w:hAnsi="Times New Roman" w:cs="Times New Roman"/>
      <w:color w:val="1F4E79"/>
      <w:lang w:val="en-US"/>
    </w:rPr>
  </w:style>
  <w:style w:type="character" w:customStyle="1" w:styleId="Heading6Char">
    <w:name w:val="Heading 6 Char"/>
    <w:basedOn w:val="DefaultParagraphFont"/>
    <w:link w:val="Heading6"/>
    <w:uiPriority w:val="9"/>
    <w:rsid w:val="00D61279"/>
    <w:rPr>
      <w:rFonts w:ascii="Calibri Light" w:eastAsia="Times New Roman" w:hAnsi="Calibri Light" w:cs="Times New Roman"/>
      <w:color w:val="1F4D78"/>
      <w:lang w:val="en-US"/>
    </w:rPr>
  </w:style>
  <w:style w:type="character" w:customStyle="1" w:styleId="Heading7Char">
    <w:name w:val="Heading 7 Char"/>
    <w:basedOn w:val="DefaultParagraphFont"/>
    <w:link w:val="Heading7"/>
    <w:uiPriority w:val="9"/>
    <w:rsid w:val="00D61279"/>
    <w:rPr>
      <w:rFonts w:ascii="Calibri Light" w:eastAsia="Times New Roman" w:hAnsi="Calibri Light" w:cs="Times New Roman"/>
      <w:i/>
      <w:iCs/>
      <w:color w:val="1F4D78"/>
      <w:lang w:val="en-US"/>
    </w:rPr>
  </w:style>
  <w:style w:type="character" w:customStyle="1" w:styleId="Heading8Char">
    <w:name w:val="Heading 8 Char"/>
    <w:basedOn w:val="DefaultParagraphFont"/>
    <w:link w:val="Heading8"/>
    <w:uiPriority w:val="9"/>
    <w:rsid w:val="00D61279"/>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uiPriority w:val="9"/>
    <w:rsid w:val="00D61279"/>
    <w:rPr>
      <w:rFonts w:ascii="Calibri Light" w:eastAsia="Times New Roman" w:hAnsi="Calibri Light" w:cs="Times New Roman"/>
      <w:i/>
      <w:iCs/>
      <w:color w:val="272727"/>
      <w:sz w:val="21"/>
      <w:szCs w:val="21"/>
      <w:lang w:val="en-US"/>
    </w:rPr>
  </w:style>
  <w:style w:type="character" w:customStyle="1" w:styleId="notranslate">
    <w:name w:val="notranslate"/>
    <w:basedOn w:val="DefaultParagraphFont"/>
    <w:rsid w:val="00D61279"/>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uiPriority w:val="99"/>
    <w:locked/>
    <w:rsid w:val="00CD2F76"/>
    <w:rPr>
      <w:rFonts w:ascii="Times New Roman" w:eastAsia="Calibri" w:hAnsi="Times New Roman" w:cs="Times New Roman"/>
      <w:b/>
      <w:iCs/>
      <w:color w:val="000000" w:themeColor="text1"/>
      <w:sz w:val="20"/>
      <w:szCs w:val="20"/>
      <w:lang w:val="en-US" w:eastAsia="bg-BG"/>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 BVI fnr Char"/>
    <w:basedOn w:val="Normal"/>
    <w:next w:val="Normal"/>
    <w:link w:val="FootnoteReference"/>
    <w:uiPriority w:val="99"/>
    <w:rsid w:val="008129AC"/>
    <w:pPr>
      <w:spacing w:before="100" w:beforeAutospacing="1" w:after="160" w:line="240" w:lineRule="exact"/>
    </w:pPr>
    <w:rPr>
      <w:rFonts w:cs="Times New Roman"/>
      <w:sz w:val="18"/>
      <w:vertAlign w:val="superscript"/>
      <w:lang w:val="bg-BG"/>
    </w:rPr>
  </w:style>
  <w:style w:type="table" w:customStyle="1" w:styleId="TableGrid2">
    <w:name w:val="Table Grid2"/>
    <w:basedOn w:val="TableNormal"/>
    <w:next w:val="TableGrid"/>
    <w:uiPriority w:val="39"/>
    <w:rsid w:val="0067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266437"/>
    <w:pPr>
      <w:autoSpaceDE w:val="0"/>
      <w:autoSpaceDN w:val="0"/>
      <w:adjustRightInd w:val="0"/>
      <w:spacing w:after="0" w:line="240" w:lineRule="auto"/>
      <w:jc w:val="left"/>
    </w:pPr>
    <w:rPr>
      <w:rFonts w:ascii="EUAlbertina" w:hAnsi="EUAlbertina"/>
      <w:szCs w:val="24"/>
      <w:lang w:val="en-GB"/>
    </w:rPr>
  </w:style>
  <w:style w:type="character" w:customStyle="1" w:styleId="rpf1">
    <w:name w:val="_rp_f1"/>
    <w:basedOn w:val="DefaultParagraphFont"/>
    <w:rsid w:val="00266437"/>
  </w:style>
  <w:style w:type="character" w:customStyle="1" w:styleId="pel">
    <w:name w:val="_pe_l"/>
    <w:basedOn w:val="DefaultParagraphFont"/>
    <w:rsid w:val="00266437"/>
  </w:style>
  <w:style w:type="character" w:customStyle="1" w:styleId="bidi">
    <w:name w:val="bidi"/>
    <w:basedOn w:val="DefaultParagraphFont"/>
    <w:rsid w:val="00266437"/>
  </w:style>
  <w:style w:type="character" w:customStyle="1" w:styleId="rpp1">
    <w:name w:val="_rp_p1"/>
    <w:basedOn w:val="DefaultParagraphFont"/>
    <w:rsid w:val="00266437"/>
  </w:style>
  <w:style w:type="character" w:customStyle="1" w:styleId="allowtextselection">
    <w:name w:val="allowtextselection"/>
    <w:basedOn w:val="DefaultParagraphFont"/>
    <w:rsid w:val="00266437"/>
  </w:style>
  <w:style w:type="character" w:customStyle="1" w:styleId="dbz">
    <w:name w:val="_db_z"/>
    <w:basedOn w:val="DefaultParagraphFont"/>
    <w:rsid w:val="00266437"/>
  </w:style>
  <w:style w:type="character" w:customStyle="1" w:styleId="shorttext">
    <w:name w:val="short_text"/>
    <w:basedOn w:val="DefaultParagraphFont"/>
    <w:rsid w:val="00266437"/>
  </w:style>
  <w:style w:type="table" w:customStyle="1" w:styleId="TableGrid11">
    <w:name w:val="Table Grid11"/>
    <w:basedOn w:val="TableNormal"/>
    <w:next w:val="TableGrid"/>
    <w:uiPriority w:val="59"/>
    <w:rsid w:val="00266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66437"/>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266437"/>
    <w:rPr>
      <w:rFonts w:eastAsiaTheme="minorEastAsia"/>
      <w:sz w:val="20"/>
      <w:szCs w:val="20"/>
    </w:rPr>
  </w:style>
  <w:style w:type="paragraph" w:customStyle="1" w:styleId="a0">
    <w:name w:val="Абзац списка"/>
    <w:basedOn w:val="Normal"/>
    <w:rsid w:val="00266437"/>
    <w:pPr>
      <w:spacing w:after="0" w:line="240" w:lineRule="auto"/>
      <w:ind w:left="720"/>
      <w:jc w:val="left"/>
    </w:pPr>
    <w:rPr>
      <w:rFonts w:ascii="Verdana" w:eastAsia="Times New Roman" w:hAnsi="Verdana" w:cs="Verdana"/>
      <w:color w:val="6A6A6A"/>
      <w:szCs w:val="24"/>
    </w:rPr>
  </w:style>
  <w:style w:type="table" w:customStyle="1" w:styleId="TableGrid3">
    <w:name w:val="Table Grid3"/>
    <w:basedOn w:val="TableNormal"/>
    <w:next w:val="TableGrid"/>
    <w:uiPriority w:val="59"/>
    <w:rsid w:val="006E662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D1C0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1">
    <w:name w:val="Grid Table 1 Light1"/>
    <w:basedOn w:val="TableNormal"/>
    <w:uiPriority w:val="46"/>
    <w:rsid w:val="000830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1779C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
    <w:name w:val="List Table 1 Light"/>
    <w:basedOn w:val="TableNormal"/>
    <w:uiPriority w:val="46"/>
    <w:rsid w:val="008A62ED"/>
    <w:pPr>
      <w:spacing w:after="0" w:line="240" w:lineRule="auto"/>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FF5EE3"/>
    <w:rPr>
      <w:color w:val="808080"/>
      <w:shd w:val="clear" w:color="auto" w:fill="E6E6E6"/>
    </w:rPr>
  </w:style>
  <w:style w:type="table" w:customStyle="1" w:styleId="GridTable4Accent1">
    <w:name w:val="Grid Table 4 Accent 1"/>
    <w:basedOn w:val="TableNormal"/>
    <w:uiPriority w:val="49"/>
    <w:rsid w:val="00EE0F1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4">
    <w:name w:val="Table Grid4"/>
    <w:basedOn w:val="TableNormal"/>
    <w:next w:val="TableGrid"/>
    <w:uiPriority w:val="39"/>
    <w:rsid w:val="000B77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87D50"/>
    <w:rPr>
      <w:color w:val="808080"/>
      <w:shd w:val="clear" w:color="auto" w:fill="E6E6E6"/>
    </w:rPr>
  </w:style>
  <w:style w:type="paragraph" w:customStyle="1" w:styleId="paragraph">
    <w:name w:val="paragraph"/>
    <w:basedOn w:val="Normal"/>
    <w:rsid w:val="00F04DFC"/>
    <w:pPr>
      <w:spacing w:after="0" w:line="240" w:lineRule="auto"/>
      <w:jc w:val="left"/>
    </w:pPr>
    <w:rPr>
      <w:rFonts w:eastAsia="Times New Roman" w:cs="Times New Roman"/>
      <w:szCs w:val="24"/>
    </w:rPr>
  </w:style>
  <w:style w:type="character" w:customStyle="1" w:styleId="normaltextrun1">
    <w:name w:val="normaltextrun1"/>
    <w:basedOn w:val="DefaultParagraphFont"/>
    <w:rsid w:val="00F04DFC"/>
  </w:style>
  <w:style w:type="character" w:customStyle="1" w:styleId="eop">
    <w:name w:val="eop"/>
    <w:basedOn w:val="DefaultParagraphFont"/>
    <w:rsid w:val="00F04DFC"/>
  </w:style>
  <w:style w:type="table" w:customStyle="1" w:styleId="GridTable2">
    <w:name w:val="Grid Table 2"/>
    <w:basedOn w:val="TableNormal"/>
    <w:uiPriority w:val="47"/>
    <w:rsid w:val="00550B58"/>
    <w:pPr>
      <w:spacing w:after="0" w:line="240" w:lineRule="auto"/>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3">
    <w:name w:val="Unresolved Mention3"/>
    <w:basedOn w:val="DefaultParagraphFont"/>
    <w:uiPriority w:val="99"/>
    <w:semiHidden/>
    <w:unhideWhenUsed/>
    <w:rsid w:val="002F1D7C"/>
    <w:rPr>
      <w:color w:val="808080"/>
      <w:shd w:val="clear" w:color="auto" w:fill="E6E6E6"/>
    </w:rPr>
  </w:style>
  <w:style w:type="paragraph" w:customStyle="1" w:styleId="Source">
    <w:name w:val="Source"/>
    <w:basedOn w:val="Normal"/>
    <w:qFormat/>
    <w:rsid w:val="0006676D"/>
    <w:pPr>
      <w:spacing w:before="60" w:after="200" w:line="240" w:lineRule="auto"/>
      <w:jc w:val="center"/>
    </w:pPr>
    <w:rPr>
      <w:rFonts w:ascii="Calibri" w:eastAsia="Calibri" w:hAnsi="Calibri" w:cs="Calibri"/>
      <w:i/>
      <w:sz w:val="20"/>
      <w:szCs w:val="20"/>
    </w:rPr>
  </w:style>
  <w:style w:type="character" w:customStyle="1" w:styleId="UnresolvedMention4">
    <w:name w:val="Unresolved Mention4"/>
    <w:basedOn w:val="DefaultParagraphFont"/>
    <w:uiPriority w:val="99"/>
    <w:semiHidden/>
    <w:unhideWhenUsed/>
    <w:rsid w:val="000233BE"/>
    <w:rPr>
      <w:color w:val="808080"/>
      <w:shd w:val="clear" w:color="auto" w:fill="E6E6E6"/>
    </w:rPr>
  </w:style>
  <w:style w:type="character" w:customStyle="1" w:styleId="field">
    <w:name w:val="field"/>
    <w:basedOn w:val="DefaultParagraphFont"/>
    <w:rsid w:val="00E506BE"/>
  </w:style>
  <w:style w:type="table" w:customStyle="1" w:styleId="TableGrid5">
    <w:name w:val="Table Grid5"/>
    <w:basedOn w:val="TableNormal"/>
    <w:next w:val="TableGrid"/>
    <w:uiPriority w:val="39"/>
    <w:rsid w:val="00DB3A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0759">
      <w:bodyDiv w:val="1"/>
      <w:marLeft w:val="0"/>
      <w:marRight w:val="0"/>
      <w:marTop w:val="0"/>
      <w:marBottom w:val="0"/>
      <w:divBdr>
        <w:top w:val="none" w:sz="0" w:space="0" w:color="auto"/>
        <w:left w:val="none" w:sz="0" w:space="0" w:color="auto"/>
        <w:bottom w:val="none" w:sz="0" w:space="0" w:color="auto"/>
        <w:right w:val="none" w:sz="0" w:space="0" w:color="auto"/>
      </w:divBdr>
    </w:div>
    <w:div w:id="68507206">
      <w:bodyDiv w:val="1"/>
      <w:marLeft w:val="0"/>
      <w:marRight w:val="0"/>
      <w:marTop w:val="0"/>
      <w:marBottom w:val="0"/>
      <w:divBdr>
        <w:top w:val="none" w:sz="0" w:space="0" w:color="auto"/>
        <w:left w:val="none" w:sz="0" w:space="0" w:color="auto"/>
        <w:bottom w:val="none" w:sz="0" w:space="0" w:color="auto"/>
        <w:right w:val="none" w:sz="0" w:space="0" w:color="auto"/>
      </w:divBdr>
    </w:div>
    <w:div w:id="212079758">
      <w:bodyDiv w:val="1"/>
      <w:marLeft w:val="0"/>
      <w:marRight w:val="0"/>
      <w:marTop w:val="0"/>
      <w:marBottom w:val="0"/>
      <w:divBdr>
        <w:top w:val="none" w:sz="0" w:space="0" w:color="auto"/>
        <w:left w:val="none" w:sz="0" w:space="0" w:color="auto"/>
        <w:bottom w:val="none" w:sz="0" w:space="0" w:color="auto"/>
        <w:right w:val="none" w:sz="0" w:space="0" w:color="auto"/>
      </w:divBdr>
      <w:divsChild>
        <w:div w:id="336424971">
          <w:marLeft w:val="0"/>
          <w:marRight w:val="0"/>
          <w:marTop w:val="0"/>
          <w:marBottom w:val="0"/>
          <w:divBdr>
            <w:top w:val="none" w:sz="0" w:space="0" w:color="auto"/>
            <w:left w:val="none" w:sz="0" w:space="0" w:color="auto"/>
            <w:bottom w:val="none" w:sz="0" w:space="0" w:color="auto"/>
            <w:right w:val="none" w:sz="0" w:space="0" w:color="auto"/>
          </w:divBdr>
          <w:divsChild>
            <w:div w:id="336811498">
              <w:marLeft w:val="0"/>
              <w:marRight w:val="0"/>
              <w:marTop w:val="0"/>
              <w:marBottom w:val="0"/>
              <w:divBdr>
                <w:top w:val="none" w:sz="0" w:space="0" w:color="auto"/>
                <w:left w:val="none" w:sz="0" w:space="0" w:color="auto"/>
                <w:bottom w:val="none" w:sz="0" w:space="0" w:color="auto"/>
                <w:right w:val="none" w:sz="0" w:space="0" w:color="auto"/>
              </w:divBdr>
              <w:divsChild>
                <w:div w:id="588274381">
                  <w:marLeft w:val="0"/>
                  <w:marRight w:val="0"/>
                  <w:marTop w:val="0"/>
                  <w:marBottom w:val="0"/>
                  <w:divBdr>
                    <w:top w:val="none" w:sz="0" w:space="0" w:color="auto"/>
                    <w:left w:val="none" w:sz="0" w:space="0" w:color="auto"/>
                    <w:bottom w:val="none" w:sz="0" w:space="0" w:color="auto"/>
                    <w:right w:val="none" w:sz="0" w:space="0" w:color="auto"/>
                  </w:divBdr>
                  <w:divsChild>
                    <w:div w:id="146932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517906">
      <w:bodyDiv w:val="1"/>
      <w:marLeft w:val="0"/>
      <w:marRight w:val="0"/>
      <w:marTop w:val="0"/>
      <w:marBottom w:val="0"/>
      <w:divBdr>
        <w:top w:val="none" w:sz="0" w:space="0" w:color="auto"/>
        <w:left w:val="none" w:sz="0" w:space="0" w:color="auto"/>
        <w:bottom w:val="none" w:sz="0" w:space="0" w:color="auto"/>
        <w:right w:val="none" w:sz="0" w:space="0" w:color="auto"/>
      </w:divBdr>
    </w:div>
    <w:div w:id="375668218">
      <w:bodyDiv w:val="1"/>
      <w:marLeft w:val="0"/>
      <w:marRight w:val="0"/>
      <w:marTop w:val="0"/>
      <w:marBottom w:val="0"/>
      <w:divBdr>
        <w:top w:val="none" w:sz="0" w:space="0" w:color="auto"/>
        <w:left w:val="none" w:sz="0" w:space="0" w:color="auto"/>
        <w:bottom w:val="none" w:sz="0" w:space="0" w:color="auto"/>
        <w:right w:val="none" w:sz="0" w:space="0" w:color="auto"/>
      </w:divBdr>
      <w:divsChild>
        <w:div w:id="148450819">
          <w:marLeft w:val="0"/>
          <w:marRight w:val="0"/>
          <w:marTop w:val="0"/>
          <w:marBottom w:val="0"/>
          <w:divBdr>
            <w:top w:val="none" w:sz="0" w:space="0" w:color="auto"/>
            <w:left w:val="none" w:sz="0" w:space="0" w:color="auto"/>
            <w:bottom w:val="none" w:sz="0" w:space="0" w:color="auto"/>
            <w:right w:val="none" w:sz="0" w:space="0" w:color="auto"/>
          </w:divBdr>
        </w:div>
        <w:div w:id="426577557">
          <w:marLeft w:val="0"/>
          <w:marRight w:val="0"/>
          <w:marTop w:val="0"/>
          <w:marBottom w:val="0"/>
          <w:divBdr>
            <w:top w:val="none" w:sz="0" w:space="0" w:color="auto"/>
            <w:left w:val="none" w:sz="0" w:space="0" w:color="auto"/>
            <w:bottom w:val="none" w:sz="0" w:space="0" w:color="auto"/>
            <w:right w:val="none" w:sz="0" w:space="0" w:color="auto"/>
          </w:divBdr>
        </w:div>
        <w:div w:id="470053770">
          <w:marLeft w:val="0"/>
          <w:marRight w:val="0"/>
          <w:marTop w:val="0"/>
          <w:marBottom w:val="0"/>
          <w:divBdr>
            <w:top w:val="none" w:sz="0" w:space="0" w:color="auto"/>
            <w:left w:val="none" w:sz="0" w:space="0" w:color="auto"/>
            <w:bottom w:val="none" w:sz="0" w:space="0" w:color="auto"/>
            <w:right w:val="none" w:sz="0" w:space="0" w:color="auto"/>
          </w:divBdr>
        </w:div>
        <w:div w:id="583758450">
          <w:marLeft w:val="0"/>
          <w:marRight w:val="0"/>
          <w:marTop w:val="0"/>
          <w:marBottom w:val="0"/>
          <w:divBdr>
            <w:top w:val="none" w:sz="0" w:space="0" w:color="auto"/>
            <w:left w:val="none" w:sz="0" w:space="0" w:color="auto"/>
            <w:bottom w:val="none" w:sz="0" w:space="0" w:color="auto"/>
            <w:right w:val="none" w:sz="0" w:space="0" w:color="auto"/>
          </w:divBdr>
        </w:div>
        <w:div w:id="793865638">
          <w:marLeft w:val="0"/>
          <w:marRight w:val="0"/>
          <w:marTop w:val="0"/>
          <w:marBottom w:val="0"/>
          <w:divBdr>
            <w:top w:val="none" w:sz="0" w:space="0" w:color="auto"/>
            <w:left w:val="none" w:sz="0" w:space="0" w:color="auto"/>
            <w:bottom w:val="none" w:sz="0" w:space="0" w:color="auto"/>
            <w:right w:val="none" w:sz="0" w:space="0" w:color="auto"/>
          </w:divBdr>
        </w:div>
        <w:div w:id="1603562369">
          <w:marLeft w:val="0"/>
          <w:marRight w:val="0"/>
          <w:marTop w:val="0"/>
          <w:marBottom w:val="0"/>
          <w:divBdr>
            <w:top w:val="none" w:sz="0" w:space="0" w:color="auto"/>
            <w:left w:val="none" w:sz="0" w:space="0" w:color="auto"/>
            <w:bottom w:val="none" w:sz="0" w:space="0" w:color="auto"/>
            <w:right w:val="none" w:sz="0" w:space="0" w:color="auto"/>
          </w:divBdr>
        </w:div>
        <w:div w:id="1674187243">
          <w:marLeft w:val="0"/>
          <w:marRight w:val="0"/>
          <w:marTop w:val="0"/>
          <w:marBottom w:val="0"/>
          <w:divBdr>
            <w:top w:val="none" w:sz="0" w:space="0" w:color="auto"/>
            <w:left w:val="none" w:sz="0" w:space="0" w:color="auto"/>
            <w:bottom w:val="none" w:sz="0" w:space="0" w:color="auto"/>
            <w:right w:val="none" w:sz="0" w:space="0" w:color="auto"/>
          </w:divBdr>
        </w:div>
        <w:div w:id="1779327129">
          <w:marLeft w:val="0"/>
          <w:marRight w:val="0"/>
          <w:marTop w:val="0"/>
          <w:marBottom w:val="0"/>
          <w:divBdr>
            <w:top w:val="none" w:sz="0" w:space="0" w:color="auto"/>
            <w:left w:val="none" w:sz="0" w:space="0" w:color="auto"/>
            <w:bottom w:val="none" w:sz="0" w:space="0" w:color="auto"/>
            <w:right w:val="none" w:sz="0" w:space="0" w:color="auto"/>
          </w:divBdr>
        </w:div>
        <w:div w:id="1824276681">
          <w:marLeft w:val="0"/>
          <w:marRight w:val="0"/>
          <w:marTop w:val="0"/>
          <w:marBottom w:val="0"/>
          <w:divBdr>
            <w:top w:val="none" w:sz="0" w:space="0" w:color="auto"/>
            <w:left w:val="none" w:sz="0" w:space="0" w:color="auto"/>
            <w:bottom w:val="none" w:sz="0" w:space="0" w:color="auto"/>
            <w:right w:val="none" w:sz="0" w:space="0" w:color="auto"/>
          </w:divBdr>
        </w:div>
      </w:divsChild>
    </w:div>
    <w:div w:id="385372376">
      <w:bodyDiv w:val="1"/>
      <w:marLeft w:val="0"/>
      <w:marRight w:val="0"/>
      <w:marTop w:val="0"/>
      <w:marBottom w:val="0"/>
      <w:divBdr>
        <w:top w:val="none" w:sz="0" w:space="0" w:color="auto"/>
        <w:left w:val="none" w:sz="0" w:space="0" w:color="auto"/>
        <w:bottom w:val="none" w:sz="0" w:space="0" w:color="auto"/>
        <w:right w:val="none" w:sz="0" w:space="0" w:color="auto"/>
      </w:divBdr>
    </w:div>
    <w:div w:id="45629408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6">
          <w:marLeft w:val="0"/>
          <w:marRight w:val="0"/>
          <w:marTop w:val="0"/>
          <w:marBottom w:val="0"/>
          <w:divBdr>
            <w:top w:val="none" w:sz="0" w:space="0" w:color="auto"/>
            <w:left w:val="none" w:sz="0" w:space="0" w:color="auto"/>
            <w:bottom w:val="none" w:sz="0" w:space="0" w:color="auto"/>
            <w:right w:val="none" w:sz="0" w:space="0" w:color="auto"/>
          </w:divBdr>
        </w:div>
        <w:div w:id="561791653">
          <w:marLeft w:val="0"/>
          <w:marRight w:val="0"/>
          <w:marTop w:val="0"/>
          <w:marBottom w:val="0"/>
          <w:divBdr>
            <w:top w:val="none" w:sz="0" w:space="0" w:color="auto"/>
            <w:left w:val="none" w:sz="0" w:space="0" w:color="auto"/>
            <w:bottom w:val="none" w:sz="0" w:space="0" w:color="auto"/>
            <w:right w:val="none" w:sz="0" w:space="0" w:color="auto"/>
          </w:divBdr>
        </w:div>
        <w:div w:id="1198467448">
          <w:marLeft w:val="0"/>
          <w:marRight w:val="0"/>
          <w:marTop w:val="0"/>
          <w:marBottom w:val="0"/>
          <w:divBdr>
            <w:top w:val="none" w:sz="0" w:space="0" w:color="auto"/>
            <w:left w:val="none" w:sz="0" w:space="0" w:color="auto"/>
            <w:bottom w:val="none" w:sz="0" w:space="0" w:color="auto"/>
            <w:right w:val="none" w:sz="0" w:space="0" w:color="auto"/>
          </w:divBdr>
        </w:div>
        <w:div w:id="1458336600">
          <w:marLeft w:val="0"/>
          <w:marRight w:val="0"/>
          <w:marTop w:val="0"/>
          <w:marBottom w:val="0"/>
          <w:divBdr>
            <w:top w:val="none" w:sz="0" w:space="0" w:color="auto"/>
            <w:left w:val="none" w:sz="0" w:space="0" w:color="auto"/>
            <w:bottom w:val="none" w:sz="0" w:space="0" w:color="auto"/>
            <w:right w:val="none" w:sz="0" w:space="0" w:color="auto"/>
          </w:divBdr>
        </w:div>
        <w:div w:id="1506550073">
          <w:marLeft w:val="0"/>
          <w:marRight w:val="0"/>
          <w:marTop w:val="0"/>
          <w:marBottom w:val="0"/>
          <w:divBdr>
            <w:top w:val="none" w:sz="0" w:space="0" w:color="auto"/>
            <w:left w:val="none" w:sz="0" w:space="0" w:color="auto"/>
            <w:bottom w:val="none" w:sz="0" w:space="0" w:color="auto"/>
            <w:right w:val="none" w:sz="0" w:space="0" w:color="auto"/>
          </w:divBdr>
        </w:div>
        <w:div w:id="1681615571">
          <w:marLeft w:val="0"/>
          <w:marRight w:val="0"/>
          <w:marTop w:val="0"/>
          <w:marBottom w:val="0"/>
          <w:divBdr>
            <w:top w:val="none" w:sz="0" w:space="0" w:color="auto"/>
            <w:left w:val="none" w:sz="0" w:space="0" w:color="auto"/>
            <w:bottom w:val="none" w:sz="0" w:space="0" w:color="auto"/>
            <w:right w:val="none" w:sz="0" w:space="0" w:color="auto"/>
          </w:divBdr>
        </w:div>
        <w:div w:id="1960917726">
          <w:marLeft w:val="0"/>
          <w:marRight w:val="0"/>
          <w:marTop w:val="0"/>
          <w:marBottom w:val="0"/>
          <w:divBdr>
            <w:top w:val="none" w:sz="0" w:space="0" w:color="auto"/>
            <w:left w:val="none" w:sz="0" w:space="0" w:color="auto"/>
            <w:bottom w:val="none" w:sz="0" w:space="0" w:color="auto"/>
            <w:right w:val="none" w:sz="0" w:space="0" w:color="auto"/>
          </w:divBdr>
        </w:div>
        <w:div w:id="2106488714">
          <w:marLeft w:val="0"/>
          <w:marRight w:val="0"/>
          <w:marTop w:val="0"/>
          <w:marBottom w:val="0"/>
          <w:divBdr>
            <w:top w:val="none" w:sz="0" w:space="0" w:color="auto"/>
            <w:left w:val="none" w:sz="0" w:space="0" w:color="auto"/>
            <w:bottom w:val="none" w:sz="0" w:space="0" w:color="auto"/>
            <w:right w:val="none" w:sz="0" w:space="0" w:color="auto"/>
          </w:divBdr>
        </w:div>
      </w:divsChild>
    </w:div>
    <w:div w:id="537083837">
      <w:bodyDiv w:val="1"/>
      <w:marLeft w:val="0"/>
      <w:marRight w:val="0"/>
      <w:marTop w:val="0"/>
      <w:marBottom w:val="0"/>
      <w:divBdr>
        <w:top w:val="none" w:sz="0" w:space="0" w:color="auto"/>
        <w:left w:val="none" w:sz="0" w:space="0" w:color="auto"/>
        <w:bottom w:val="none" w:sz="0" w:space="0" w:color="auto"/>
        <w:right w:val="none" w:sz="0" w:space="0" w:color="auto"/>
      </w:divBdr>
    </w:div>
    <w:div w:id="587545732">
      <w:bodyDiv w:val="1"/>
      <w:marLeft w:val="0"/>
      <w:marRight w:val="0"/>
      <w:marTop w:val="0"/>
      <w:marBottom w:val="0"/>
      <w:divBdr>
        <w:top w:val="none" w:sz="0" w:space="0" w:color="auto"/>
        <w:left w:val="none" w:sz="0" w:space="0" w:color="auto"/>
        <w:bottom w:val="none" w:sz="0" w:space="0" w:color="auto"/>
        <w:right w:val="none" w:sz="0" w:space="0" w:color="auto"/>
      </w:divBdr>
    </w:div>
    <w:div w:id="657156447">
      <w:bodyDiv w:val="1"/>
      <w:marLeft w:val="0"/>
      <w:marRight w:val="0"/>
      <w:marTop w:val="0"/>
      <w:marBottom w:val="0"/>
      <w:divBdr>
        <w:top w:val="none" w:sz="0" w:space="0" w:color="auto"/>
        <w:left w:val="none" w:sz="0" w:space="0" w:color="auto"/>
        <w:bottom w:val="none" w:sz="0" w:space="0" w:color="auto"/>
        <w:right w:val="none" w:sz="0" w:space="0" w:color="auto"/>
      </w:divBdr>
    </w:div>
    <w:div w:id="661394280">
      <w:bodyDiv w:val="1"/>
      <w:marLeft w:val="0"/>
      <w:marRight w:val="0"/>
      <w:marTop w:val="0"/>
      <w:marBottom w:val="0"/>
      <w:divBdr>
        <w:top w:val="none" w:sz="0" w:space="0" w:color="auto"/>
        <w:left w:val="none" w:sz="0" w:space="0" w:color="auto"/>
        <w:bottom w:val="none" w:sz="0" w:space="0" w:color="auto"/>
        <w:right w:val="none" w:sz="0" w:space="0" w:color="auto"/>
      </w:divBdr>
    </w:div>
    <w:div w:id="705448232">
      <w:bodyDiv w:val="1"/>
      <w:marLeft w:val="0"/>
      <w:marRight w:val="0"/>
      <w:marTop w:val="0"/>
      <w:marBottom w:val="0"/>
      <w:divBdr>
        <w:top w:val="none" w:sz="0" w:space="0" w:color="auto"/>
        <w:left w:val="none" w:sz="0" w:space="0" w:color="auto"/>
        <w:bottom w:val="none" w:sz="0" w:space="0" w:color="auto"/>
        <w:right w:val="none" w:sz="0" w:space="0" w:color="auto"/>
      </w:divBdr>
    </w:div>
    <w:div w:id="711805071">
      <w:bodyDiv w:val="1"/>
      <w:marLeft w:val="0"/>
      <w:marRight w:val="0"/>
      <w:marTop w:val="0"/>
      <w:marBottom w:val="0"/>
      <w:divBdr>
        <w:top w:val="none" w:sz="0" w:space="0" w:color="auto"/>
        <w:left w:val="none" w:sz="0" w:space="0" w:color="auto"/>
        <w:bottom w:val="none" w:sz="0" w:space="0" w:color="auto"/>
        <w:right w:val="none" w:sz="0" w:space="0" w:color="auto"/>
      </w:divBdr>
    </w:div>
    <w:div w:id="738206920">
      <w:bodyDiv w:val="1"/>
      <w:marLeft w:val="0"/>
      <w:marRight w:val="0"/>
      <w:marTop w:val="0"/>
      <w:marBottom w:val="0"/>
      <w:divBdr>
        <w:top w:val="none" w:sz="0" w:space="0" w:color="auto"/>
        <w:left w:val="none" w:sz="0" w:space="0" w:color="auto"/>
        <w:bottom w:val="none" w:sz="0" w:space="0" w:color="auto"/>
        <w:right w:val="none" w:sz="0" w:space="0" w:color="auto"/>
      </w:divBdr>
    </w:div>
    <w:div w:id="790900327">
      <w:bodyDiv w:val="1"/>
      <w:marLeft w:val="0"/>
      <w:marRight w:val="0"/>
      <w:marTop w:val="0"/>
      <w:marBottom w:val="0"/>
      <w:divBdr>
        <w:top w:val="none" w:sz="0" w:space="0" w:color="auto"/>
        <w:left w:val="none" w:sz="0" w:space="0" w:color="auto"/>
        <w:bottom w:val="none" w:sz="0" w:space="0" w:color="auto"/>
        <w:right w:val="none" w:sz="0" w:space="0" w:color="auto"/>
      </w:divBdr>
    </w:div>
    <w:div w:id="852959333">
      <w:bodyDiv w:val="1"/>
      <w:marLeft w:val="0"/>
      <w:marRight w:val="0"/>
      <w:marTop w:val="0"/>
      <w:marBottom w:val="0"/>
      <w:divBdr>
        <w:top w:val="none" w:sz="0" w:space="0" w:color="auto"/>
        <w:left w:val="none" w:sz="0" w:space="0" w:color="auto"/>
        <w:bottom w:val="none" w:sz="0" w:space="0" w:color="auto"/>
        <w:right w:val="none" w:sz="0" w:space="0" w:color="auto"/>
      </w:divBdr>
      <w:divsChild>
        <w:div w:id="1410691179">
          <w:marLeft w:val="0"/>
          <w:marRight w:val="0"/>
          <w:marTop w:val="0"/>
          <w:marBottom w:val="0"/>
          <w:divBdr>
            <w:top w:val="none" w:sz="0" w:space="0" w:color="auto"/>
            <w:left w:val="none" w:sz="0" w:space="0" w:color="auto"/>
            <w:bottom w:val="none" w:sz="0" w:space="0" w:color="auto"/>
            <w:right w:val="none" w:sz="0" w:space="0" w:color="auto"/>
          </w:divBdr>
        </w:div>
        <w:div w:id="1517233593">
          <w:marLeft w:val="0"/>
          <w:marRight w:val="0"/>
          <w:marTop w:val="0"/>
          <w:marBottom w:val="0"/>
          <w:divBdr>
            <w:top w:val="none" w:sz="0" w:space="0" w:color="auto"/>
            <w:left w:val="none" w:sz="0" w:space="0" w:color="auto"/>
            <w:bottom w:val="none" w:sz="0" w:space="0" w:color="auto"/>
            <w:right w:val="none" w:sz="0" w:space="0" w:color="auto"/>
          </w:divBdr>
        </w:div>
        <w:div w:id="1564754858">
          <w:marLeft w:val="0"/>
          <w:marRight w:val="0"/>
          <w:marTop w:val="0"/>
          <w:marBottom w:val="0"/>
          <w:divBdr>
            <w:top w:val="none" w:sz="0" w:space="0" w:color="auto"/>
            <w:left w:val="none" w:sz="0" w:space="0" w:color="auto"/>
            <w:bottom w:val="none" w:sz="0" w:space="0" w:color="auto"/>
            <w:right w:val="none" w:sz="0" w:space="0" w:color="auto"/>
          </w:divBdr>
        </w:div>
      </w:divsChild>
    </w:div>
    <w:div w:id="860515122">
      <w:bodyDiv w:val="1"/>
      <w:marLeft w:val="0"/>
      <w:marRight w:val="0"/>
      <w:marTop w:val="0"/>
      <w:marBottom w:val="0"/>
      <w:divBdr>
        <w:top w:val="none" w:sz="0" w:space="0" w:color="auto"/>
        <w:left w:val="none" w:sz="0" w:space="0" w:color="auto"/>
        <w:bottom w:val="none" w:sz="0" w:space="0" w:color="auto"/>
        <w:right w:val="none" w:sz="0" w:space="0" w:color="auto"/>
      </w:divBdr>
    </w:div>
    <w:div w:id="990905370">
      <w:bodyDiv w:val="1"/>
      <w:marLeft w:val="0"/>
      <w:marRight w:val="0"/>
      <w:marTop w:val="0"/>
      <w:marBottom w:val="0"/>
      <w:divBdr>
        <w:top w:val="none" w:sz="0" w:space="0" w:color="auto"/>
        <w:left w:val="none" w:sz="0" w:space="0" w:color="auto"/>
        <w:bottom w:val="none" w:sz="0" w:space="0" w:color="auto"/>
        <w:right w:val="none" w:sz="0" w:space="0" w:color="auto"/>
      </w:divBdr>
    </w:div>
    <w:div w:id="1033072552">
      <w:bodyDiv w:val="1"/>
      <w:marLeft w:val="0"/>
      <w:marRight w:val="0"/>
      <w:marTop w:val="0"/>
      <w:marBottom w:val="0"/>
      <w:divBdr>
        <w:top w:val="none" w:sz="0" w:space="0" w:color="auto"/>
        <w:left w:val="none" w:sz="0" w:space="0" w:color="auto"/>
        <w:bottom w:val="none" w:sz="0" w:space="0" w:color="auto"/>
        <w:right w:val="none" w:sz="0" w:space="0" w:color="auto"/>
      </w:divBdr>
    </w:div>
    <w:div w:id="1036195287">
      <w:bodyDiv w:val="1"/>
      <w:marLeft w:val="0"/>
      <w:marRight w:val="0"/>
      <w:marTop w:val="0"/>
      <w:marBottom w:val="0"/>
      <w:divBdr>
        <w:top w:val="none" w:sz="0" w:space="0" w:color="auto"/>
        <w:left w:val="none" w:sz="0" w:space="0" w:color="auto"/>
        <w:bottom w:val="none" w:sz="0" w:space="0" w:color="auto"/>
        <w:right w:val="none" w:sz="0" w:space="0" w:color="auto"/>
      </w:divBdr>
    </w:div>
    <w:div w:id="1102650651">
      <w:bodyDiv w:val="1"/>
      <w:marLeft w:val="0"/>
      <w:marRight w:val="0"/>
      <w:marTop w:val="0"/>
      <w:marBottom w:val="0"/>
      <w:divBdr>
        <w:top w:val="none" w:sz="0" w:space="0" w:color="auto"/>
        <w:left w:val="none" w:sz="0" w:space="0" w:color="auto"/>
        <w:bottom w:val="none" w:sz="0" w:space="0" w:color="auto"/>
        <w:right w:val="none" w:sz="0" w:space="0" w:color="auto"/>
      </w:divBdr>
    </w:div>
    <w:div w:id="1150177026">
      <w:bodyDiv w:val="1"/>
      <w:marLeft w:val="0"/>
      <w:marRight w:val="0"/>
      <w:marTop w:val="0"/>
      <w:marBottom w:val="0"/>
      <w:divBdr>
        <w:top w:val="none" w:sz="0" w:space="0" w:color="auto"/>
        <w:left w:val="none" w:sz="0" w:space="0" w:color="auto"/>
        <w:bottom w:val="none" w:sz="0" w:space="0" w:color="auto"/>
        <w:right w:val="none" w:sz="0" w:space="0" w:color="auto"/>
      </w:divBdr>
      <w:divsChild>
        <w:div w:id="807207738">
          <w:marLeft w:val="0"/>
          <w:marRight w:val="0"/>
          <w:marTop w:val="0"/>
          <w:marBottom w:val="0"/>
          <w:divBdr>
            <w:top w:val="none" w:sz="0" w:space="0" w:color="auto"/>
            <w:left w:val="none" w:sz="0" w:space="0" w:color="auto"/>
            <w:bottom w:val="none" w:sz="0" w:space="0" w:color="auto"/>
            <w:right w:val="none" w:sz="0" w:space="0" w:color="auto"/>
          </w:divBdr>
        </w:div>
        <w:div w:id="940794955">
          <w:marLeft w:val="0"/>
          <w:marRight w:val="0"/>
          <w:marTop w:val="0"/>
          <w:marBottom w:val="0"/>
          <w:divBdr>
            <w:top w:val="none" w:sz="0" w:space="0" w:color="auto"/>
            <w:left w:val="none" w:sz="0" w:space="0" w:color="auto"/>
            <w:bottom w:val="none" w:sz="0" w:space="0" w:color="auto"/>
            <w:right w:val="none" w:sz="0" w:space="0" w:color="auto"/>
          </w:divBdr>
        </w:div>
        <w:div w:id="1532497856">
          <w:marLeft w:val="0"/>
          <w:marRight w:val="0"/>
          <w:marTop w:val="0"/>
          <w:marBottom w:val="0"/>
          <w:divBdr>
            <w:top w:val="none" w:sz="0" w:space="0" w:color="auto"/>
            <w:left w:val="none" w:sz="0" w:space="0" w:color="auto"/>
            <w:bottom w:val="none" w:sz="0" w:space="0" w:color="auto"/>
            <w:right w:val="none" w:sz="0" w:space="0" w:color="auto"/>
          </w:divBdr>
        </w:div>
      </w:divsChild>
    </w:div>
    <w:div w:id="1177619445">
      <w:bodyDiv w:val="1"/>
      <w:marLeft w:val="0"/>
      <w:marRight w:val="0"/>
      <w:marTop w:val="0"/>
      <w:marBottom w:val="0"/>
      <w:divBdr>
        <w:top w:val="none" w:sz="0" w:space="0" w:color="auto"/>
        <w:left w:val="none" w:sz="0" w:space="0" w:color="auto"/>
        <w:bottom w:val="none" w:sz="0" w:space="0" w:color="auto"/>
        <w:right w:val="none" w:sz="0" w:space="0" w:color="auto"/>
      </w:divBdr>
    </w:div>
    <w:div w:id="1284269402">
      <w:bodyDiv w:val="1"/>
      <w:marLeft w:val="0"/>
      <w:marRight w:val="0"/>
      <w:marTop w:val="0"/>
      <w:marBottom w:val="0"/>
      <w:divBdr>
        <w:top w:val="none" w:sz="0" w:space="0" w:color="auto"/>
        <w:left w:val="none" w:sz="0" w:space="0" w:color="auto"/>
        <w:bottom w:val="none" w:sz="0" w:space="0" w:color="auto"/>
        <w:right w:val="none" w:sz="0" w:space="0" w:color="auto"/>
      </w:divBdr>
    </w:div>
    <w:div w:id="1349137196">
      <w:bodyDiv w:val="1"/>
      <w:marLeft w:val="0"/>
      <w:marRight w:val="0"/>
      <w:marTop w:val="0"/>
      <w:marBottom w:val="0"/>
      <w:divBdr>
        <w:top w:val="none" w:sz="0" w:space="0" w:color="auto"/>
        <w:left w:val="none" w:sz="0" w:space="0" w:color="auto"/>
        <w:bottom w:val="none" w:sz="0" w:space="0" w:color="auto"/>
        <w:right w:val="none" w:sz="0" w:space="0" w:color="auto"/>
      </w:divBdr>
    </w:div>
    <w:div w:id="1437481954">
      <w:bodyDiv w:val="1"/>
      <w:marLeft w:val="0"/>
      <w:marRight w:val="0"/>
      <w:marTop w:val="0"/>
      <w:marBottom w:val="0"/>
      <w:divBdr>
        <w:top w:val="none" w:sz="0" w:space="0" w:color="auto"/>
        <w:left w:val="none" w:sz="0" w:space="0" w:color="auto"/>
        <w:bottom w:val="none" w:sz="0" w:space="0" w:color="auto"/>
        <w:right w:val="none" w:sz="0" w:space="0" w:color="auto"/>
      </w:divBdr>
      <w:divsChild>
        <w:div w:id="255601769">
          <w:marLeft w:val="0"/>
          <w:marRight w:val="0"/>
          <w:marTop w:val="0"/>
          <w:marBottom w:val="0"/>
          <w:divBdr>
            <w:top w:val="none" w:sz="0" w:space="0" w:color="auto"/>
            <w:left w:val="none" w:sz="0" w:space="0" w:color="auto"/>
            <w:bottom w:val="none" w:sz="0" w:space="0" w:color="auto"/>
            <w:right w:val="none" w:sz="0" w:space="0" w:color="auto"/>
          </w:divBdr>
        </w:div>
        <w:div w:id="732001172">
          <w:marLeft w:val="0"/>
          <w:marRight w:val="0"/>
          <w:marTop w:val="0"/>
          <w:marBottom w:val="0"/>
          <w:divBdr>
            <w:top w:val="none" w:sz="0" w:space="0" w:color="auto"/>
            <w:left w:val="none" w:sz="0" w:space="0" w:color="auto"/>
            <w:bottom w:val="none" w:sz="0" w:space="0" w:color="auto"/>
            <w:right w:val="none" w:sz="0" w:space="0" w:color="auto"/>
          </w:divBdr>
        </w:div>
        <w:div w:id="1567033270">
          <w:marLeft w:val="0"/>
          <w:marRight w:val="0"/>
          <w:marTop w:val="0"/>
          <w:marBottom w:val="0"/>
          <w:divBdr>
            <w:top w:val="none" w:sz="0" w:space="0" w:color="auto"/>
            <w:left w:val="none" w:sz="0" w:space="0" w:color="auto"/>
            <w:bottom w:val="none" w:sz="0" w:space="0" w:color="auto"/>
            <w:right w:val="none" w:sz="0" w:space="0" w:color="auto"/>
          </w:divBdr>
        </w:div>
        <w:div w:id="1602571288">
          <w:marLeft w:val="0"/>
          <w:marRight w:val="0"/>
          <w:marTop w:val="0"/>
          <w:marBottom w:val="0"/>
          <w:divBdr>
            <w:top w:val="none" w:sz="0" w:space="0" w:color="auto"/>
            <w:left w:val="none" w:sz="0" w:space="0" w:color="auto"/>
            <w:bottom w:val="none" w:sz="0" w:space="0" w:color="auto"/>
            <w:right w:val="none" w:sz="0" w:space="0" w:color="auto"/>
          </w:divBdr>
        </w:div>
      </w:divsChild>
    </w:div>
    <w:div w:id="1481269201">
      <w:bodyDiv w:val="1"/>
      <w:marLeft w:val="0"/>
      <w:marRight w:val="0"/>
      <w:marTop w:val="0"/>
      <w:marBottom w:val="0"/>
      <w:divBdr>
        <w:top w:val="none" w:sz="0" w:space="0" w:color="auto"/>
        <w:left w:val="none" w:sz="0" w:space="0" w:color="auto"/>
        <w:bottom w:val="none" w:sz="0" w:space="0" w:color="auto"/>
        <w:right w:val="none" w:sz="0" w:space="0" w:color="auto"/>
      </w:divBdr>
      <w:divsChild>
        <w:div w:id="173963794">
          <w:marLeft w:val="0"/>
          <w:marRight w:val="0"/>
          <w:marTop w:val="0"/>
          <w:marBottom w:val="0"/>
          <w:divBdr>
            <w:top w:val="none" w:sz="0" w:space="0" w:color="auto"/>
            <w:left w:val="none" w:sz="0" w:space="0" w:color="auto"/>
            <w:bottom w:val="none" w:sz="0" w:space="0" w:color="auto"/>
            <w:right w:val="none" w:sz="0" w:space="0" w:color="auto"/>
          </w:divBdr>
        </w:div>
        <w:div w:id="179244398">
          <w:marLeft w:val="0"/>
          <w:marRight w:val="0"/>
          <w:marTop w:val="0"/>
          <w:marBottom w:val="0"/>
          <w:divBdr>
            <w:top w:val="none" w:sz="0" w:space="0" w:color="auto"/>
            <w:left w:val="none" w:sz="0" w:space="0" w:color="auto"/>
            <w:bottom w:val="none" w:sz="0" w:space="0" w:color="auto"/>
            <w:right w:val="none" w:sz="0" w:space="0" w:color="auto"/>
          </w:divBdr>
        </w:div>
        <w:div w:id="263156377">
          <w:marLeft w:val="0"/>
          <w:marRight w:val="0"/>
          <w:marTop w:val="0"/>
          <w:marBottom w:val="0"/>
          <w:divBdr>
            <w:top w:val="none" w:sz="0" w:space="0" w:color="auto"/>
            <w:left w:val="none" w:sz="0" w:space="0" w:color="auto"/>
            <w:bottom w:val="none" w:sz="0" w:space="0" w:color="auto"/>
            <w:right w:val="none" w:sz="0" w:space="0" w:color="auto"/>
          </w:divBdr>
        </w:div>
        <w:div w:id="699625714">
          <w:marLeft w:val="0"/>
          <w:marRight w:val="0"/>
          <w:marTop w:val="0"/>
          <w:marBottom w:val="0"/>
          <w:divBdr>
            <w:top w:val="none" w:sz="0" w:space="0" w:color="auto"/>
            <w:left w:val="none" w:sz="0" w:space="0" w:color="auto"/>
            <w:bottom w:val="none" w:sz="0" w:space="0" w:color="auto"/>
            <w:right w:val="none" w:sz="0" w:space="0" w:color="auto"/>
          </w:divBdr>
        </w:div>
        <w:div w:id="764883600">
          <w:marLeft w:val="0"/>
          <w:marRight w:val="0"/>
          <w:marTop w:val="0"/>
          <w:marBottom w:val="0"/>
          <w:divBdr>
            <w:top w:val="none" w:sz="0" w:space="0" w:color="auto"/>
            <w:left w:val="none" w:sz="0" w:space="0" w:color="auto"/>
            <w:bottom w:val="none" w:sz="0" w:space="0" w:color="auto"/>
            <w:right w:val="none" w:sz="0" w:space="0" w:color="auto"/>
          </w:divBdr>
        </w:div>
        <w:div w:id="1007517285">
          <w:marLeft w:val="0"/>
          <w:marRight w:val="0"/>
          <w:marTop w:val="0"/>
          <w:marBottom w:val="0"/>
          <w:divBdr>
            <w:top w:val="none" w:sz="0" w:space="0" w:color="auto"/>
            <w:left w:val="none" w:sz="0" w:space="0" w:color="auto"/>
            <w:bottom w:val="none" w:sz="0" w:space="0" w:color="auto"/>
            <w:right w:val="none" w:sz="0" w:space="0" w:color="auto"/>
          </w:divBdr>
        </w:div>
        <w:div w:id="1097019630">
          <w:marLeft w:val="0"/>
          <w:marRight w:val="0"/>
          <w:marTop w:val="0"/>
          <w:marBottom w:val="0"/>
          <w:divBdr>
            <w:top w:val="none" w:sz="0" w:space="0" w:color="auto"/>
            <w:left w:val="none" w:sz="0" w:space="0" w:color="auto"/>
            <w:bottom w:val="none" w:sz="0" w:space="0" w:color="auto"/>
            <w:right w:val="none" w:sz="0" w:space="0" w:color="auto"/>
          </w:divBdr>
        </w:div>
        <w:div w:id="2065984204">
          <w:marLeft w:val="0"/>
          <w:marRight w:val="0"/>
          <w:marTop w:val="0"/>
          <w:marBottom w:val="0"/>
          <w:divBdr>
            <w:top w:val="none" w:sz="0" w:space="0" w:color="auto"/>
            <w:left w:val="none" w:sz="0" w:space="0" w:color="auto"/>
            <w:bottom w:val="none" w:sz="0" w:space="0" w:color="auto"/>
            <w:right w:val="none" w:sz="0" w:space="0" w:color="auto"/>
          </w:divBdr>
        </w:div>
      </w:divsChild>
    </w:div>
    <w:div w:id="1498612322">
      <w:bodyDiv w:val="1"/>
      <w:marLeft w:val="0"/>
      <w:marRight w:val="0"/>
      <w:marTop w:val="0"/>
      <w:marBottom w:val="0"/>
      <w:divBdr>
        <w:top w:val="none" w:sz="0" w:space="0" w:color="auto"/>
        <w:left w:val="none" w:sz="0" w:space="0" w:color="auto"/>
        <w:bottom w:val="none" w:sz="0" w:space="0" w:color="auto"/>
        <w:right w:val="none" w:sz="0" w:space="0" w:color="auto"/>
      </w:divBdr>
      <w:divsChild>
        <w:div w:id="782456120">
          <w:marLeft w:val="0"/>
          <w:marRight w:val="0"/>
          <w:marTop w:val="0"/>
          <w:marBottom w:val="0"/>
          <w:divBdr>
            <w:top w:val="none" w:sz="0" w:space="0" w:color="auto"/>
            <w:left w:val="none" w:sz="0" w:space="0" w:color="auto"/>
            <w:bottom w:val="none" w:sz="0" w:space="0" w:color="auto"/>
            <w:right w:val="none" w:sz="0" w:space="0" w:color="auto"/>
          </w:divBdr>
        </w:div>
        <w:div w:id="1175147969">
          <w:marLeft w:val="0"/>
          <w:marRight w:val="0"/>
          <w:marTop w:val="0"/>
          <w:marBottom w:val="0"/>
          <w:divBdr>
            <w:top w:val="none" w:sz="0" w:space="0" w:color="auto"/>
            <w:left w:val="none" w:sz="0" w:space="0" w:color="auto"/>
            <w:bottom w:val="none" w:sz="0" w:space="0" w:color="auto"/>
            <w:right w:val="none" w:sz="0" w:space="0" w:color="auto"/>
          </w:divBdr>
        </w:div>
        <w:div w:id="1491557110">
          <w:marLeft w:val="0"/>
          <w:marRight w:val="0"/>
          <w:marTop w:val="0"/>
          <w:marBottom w:val="0"/>
          <w:divBdr>
            <w:top w:val="none" w:sz="0" w:space="0" w:color="auto"/>
            <w:left w:val="none" w:sz="0" w:space="0" w:color="auto"/>
            <w:bottom w:val="none" w:sz="0" w:space="0" w:color="auto"/>
            <w:right w:val="none" w:sz="0" w:space="0" w:color="auto"/>
          </w:divBdr>
        </w:div>
        <w:div w:id="1781415706">
          <w:marLeft w:val="0"/>
          <w:marRight w:val="0"/>
          <w:marTop w:val="0"/>
          <w:marBottom w:val="0"/>
          <w:divBdr>
            <w:top w:val="none" w:sz="0" w:space="0" w:color="auto"/>
            <w:left w:val="none" w:sz="0" w:space="0" w:color="auto"/>
            <w:bottom w:val="none" w:sz="0" w:space="0" w:color="auto"/>
            <w:right w:val="none" w:sz="0" w:space="0" w:color="auto"/>
          </w:divBdr>
        </w:div>
        <w:div w:id="1978030809">
          <w:marLeft w:val="0"/>
          <w:marRight w:val="0"/>
          <w:marTop w:val="0"/>
          <w:marBottom w:val="0"/>
          <w:divBdr>
            <w:top w:val="none" w:sz="0" w:space="0" w:color="auto"/>
            <w:left w:val="none" w:sz="0" w:space="0" w:color="auto"/>
            <w:bottom w:val="none" w:sz="0" w:space="0" w:color="auto"/>
            <w:right w:val="none" w:sz="0" w:space="0" w:color="auto"/>
          </w:divBdr>
        </w:div>
      </w:divsChild>
    </w:div>
    <w:div w:id="1620528266">
      <w:bodyDiv w:val="1"/>
      <w:marLeft w:val="0"/>
      <w:marRight w:val="0"/>
      <w:marTop w:val="0"/>
      <w:marBottom w:val="0"/>
      <w:divBdr>
        <w:top w:val="none" w:sz="0" w:space="0" w:color="auto"/>
        <w:left w:val="none" w:sz="0" w:space="0" w:color="auto"/>
        <w:bottom w:val="none" w:sz="0" w:space="0" w:color="auto"/>
        <w:right w:val="none" w:sz="0" w:space="0" w:color="auto"/>
      </w:divBdr>
      <w:divsChild>
        <w:div w:id="826746445">
          <w:marLeft w:val="0"/>
          <w:marRight w:val="0"/>
          <w:marTop w:val="0"/>
          <w:marBottom w:val="0"/>
          <w:divBdr>
            <w:top w:val="none" w:sz="0" w:space="0" w:color="auto"/>
            <w:left w:val="none" w:sz="0" w:space="0" w:color="auto"/>
            <w:bottom w:val="none" w:sz="0" w:space="0" w:color="auto"/>
            <w:right w:val="none" w:sz="0" w:space="0" w:color="auto"/>
          </w:divBdr>
        </w:div>
        <w:div w:id="995261034">
          <w:marLeft w:val="0"/>
          <w:marRight w:val="0"/>
          <w:marTop w:val="0"/>
          <w:marBottom w:val="0"/>
          <w:divBdr>
            <w:top w:val="none" w:sz="0" w:space="0" w:color="auto"/>
            <w:left w:val="none" w:sz="0" w:space="0" w:color="auto"/>
            <w:bottom w:val="none" w:sz="0" w:space="0" w:color="auto"/>
            <w:right w:val="none" w:sz="0" w:space="0" w:color="auto"/>
          </w:divBdr>
        </w:div>
        <w:div w:id="2024165253">
          <w:marLeft w:val="0"/>
          <w:marRight w:val="0"/>
          <w:marTop w:val="0"/>
          <w:marBottom w:val="0"/>
          <w:divBdr>
            <w:top w:val="none" w:sz="0" w:space="0" w:color="auto"/>
            <w:left w:val="none" w:sz="0" w:space="0" w:color="auto"/>
            <w:bottom w:val="none" w:sz="0" w:space="0" w:color="auto"/>
            <w:right w:val="none" w:sz="0" w:space="0" w:color="auto"/>
          </w:divBdr>
        </w:div>
      </w:divsChild>
    </w:div>
    <w:div w:id="1624459263">
      <w:bodyDiv w:val="1"/>
      <w:marLeft w:val="0"/>
      <w:marRight w:val="0"/>
      <w:marTop w:val="0"/>
      <w:marBottom w:val="0"/>
      <w:divBdr>
        <w:top w:val="none" w:sz="0" w:space="0" w:color="auto"/>
        <w:left w:val="none" w:sz="0" w:space="0" w:color="auto"/>
        <w:bottom w:val="none" w:sz="0" w:space="0" w:color="auto"/>
        <w:right w:val="none" w:sz="0" w:space="0" w:color="auto"/>
      </w:divBdr>
    </w:div>
    <w:div w:id="1677616128">
      <w:bodyDiv w:val="1"/>
      <w:marLeft w:val="0"/>
      <w:marRight w:val="0"/>
      <w:marTop w:val="0"/>
      <w:marBottom w:val="0"/>
      <w:divBdr>
        <w:top w:val="none" w:sz="0" w:space="0" w:color="auto"/>
        <w:left w:val="none" w:sz="0" w:space="0" w:color="auto"/>
        <w:bottom w:val="none" w:sz="0" w:space="0" w:color="auto"/>
        <w:right w:val="none" w:sz="0" w:space="0" w:color="auto"/>
      </w:divBdr>
    </w:div>
    <w:div w:id="1715544379">
      <w:bodyDiv w:val="1"/>
      <w:marLeft w:val="0"/>
      <w:marRight w:val="0"/>
      <w:marTop w:val="0"/>
      <w:marBottom w:val="0"/>
      <w:divBdr>
        <w:top w:val="none" w:sz="0" w:space="0" w:color="auto"/>
        <w:left w:val="none" w:sz="0" w:space="0" w:color="auto"/>
        <w:bottom w:val="none" w:sz="0" w:space="0" w:color="auto"/>
        <w:right w:val="none" w:sz="0" w:space="0" w:color="auto"/>
      </w:divBdr>
    </w:div>
    <w:div w:id="1747651568">
      <w:bodyDiv w:val="1"/>
      <w:marLeft w:val="0"/>
      <w:marRight w:val="0"/>
      <w:marTop w:val="0"/>
      <w:marBottom w:val="0"/>
      <w:divBdr>
        <w:top w:val="none" w:sz="0" w:space="0" w:color="auto"/>
        <w:left w:val="none" w:sz="0" w:space="0" w:color="auto"/>
        <w:bottom w:val="none" w:sz="0" w:space="0" w:color="auto"/>
        <w:right w:val="none" w:sz="0" w:space="0" w:color="auto"/>
      </w:divBdr>
      <w:divsChild>
        <w:div w:id="80765185">
          <w:marLeft w:val="0"/>
          <w:marRight w:val="0"/>
          <w:marTop w:val="0"/>
          <w:marBottom w:val="0"/>
          <w:divBdr>
            <w:top w:val="none" w:sz="0" w:space="0" w:color="auto"/>
            <w:left w:val="none" w:sz="0" w:space="0" w:color="auto"/>
            <w:bottom w:val="none" w:sz="0" w:space="0" w:color="auto"/>
            <w:right w:val="none" w:sz="0" w:space="0" w:color="auto"/>
          </w:divBdr>
        </w:div>
        <w:div w:id="227226345">
          <w:marLeft w:val="0"/>
          <w:marRight w:val="0"/>
          <w:marTop w:val="0"/>
          <w:marBottom w:val="0"/>
          <w:divBdr>
            <w:top w:val="none" w:sz="0" w:space="0" w:color="auto"/>
            <w:left w:val="none" w:sz="0" w:space="0" w:color="auto"/>
            <w:bottom w:val="none" w:sz="0" w:space="0" w:color="auto"/>
            <w:right w:val="none" w:sz="0" w:space="0" w:color="auto"/>
          </w:divBdr>
        </w:div>
        <w:div w:id="287587007">
          <w:marLeft w:val="0"/>
          <w:marRight w:val="0"/>
          <w:marTop w:val="0"/>
          <w:marBottom w:val="0"/>
          <w:divBdr>
            <w:top w:val="none" w:sz="0" w:space="0" w:color="auto"/>
            <w:left w:val="none" w:sz="0" w:space="0" w:color="auto"/>
            <w:bottom w:val="none" w:sz="0" w:space="0" w:color="auto"/>
            <w:right w:val="none" w:sz="0" w:space="0" w:color="auto"/>
          </w:divBdr>
        </w:div>
        <w:div w:id="595788036">
          <w:marLeft w:val="0"/>
          <w:marRight w:val="0"/>
          <w:marTop w:val="0"/>
          <w:marBottom w:val="0"/>
          <w:divBdr>
            <w:top w:val="none" w:sz="0" w:space="0" w:color="auto"/>
            <w:left w:val="none" w:sz="0" w:space="0" w:color="auto"/>
            <w:bottom w:val="none" w:sz="0" w:space="0" w:color="auto"/>
            <w:right w:val="none" w:sz="0" w:space="0" w:color="auto"/>
          </w:divBdr>
        </w:div>
        <w:div w:id="799958186">
          <w:marLeft w:val="0"/>
          <w:marRight w:val="0"/>
          <w:marTop w:val="0"/>
          <w:marBottom w:val="0"/>
          <w:divBdr>
            <w:top w:val="none" w:sz="0" w:space="0" w:color="auto"/>
            <w:left w:val="none" w:sz="0" w:space="0" w:color="auto"/>
            <w:bottom w:val="none" w:sz="0" w:space="0" w:color="auto"/>
            <w:right w:val="none" w:sz="0" w:space="0" w:color="auto"/>
          </w:divBdr>
        </w:div>
        <w:div w:id="1151756699">
          <w:marLeft w:val="0"/>
          <w:marRight w:val="0"/>
          <w:marTop w:val="0"/>
          <w:marBottom w:val="0"/>
          <w:divBdr>
            <w:top w:val="none" w:sz="0" w:space="0" w:color="auto"/>
            <w:left w:val="none" w:sz="0" w:space="0" w:color="auto"/>
            <w:bottom w:val="none" w:sz="0" w:space="0" w:color="auto"/>
            <w:right w:val="none" w:sz="0" w:space="0" w:color="auto"/>
          </w:divBdr>
        </w:div>
        <w:div w:id="2031252701">
          <w:marLeft w:val="0"/>
          <w:marRight w:val="0"/>
          <w:marTop w:val="0"/>
          <w:marBottom w:val="0"/>
          <w:divBdr>
            <w:top w:val="none" w:sz="0" w:space="0" w:color="auto"/>
            <w:left w:val="none" w:sz="0" w:space="0" w:color="auto"/>
            <w:bottom w:val="none" w:sz="0" w:space="0" w:color="auto"/>
            <w:right w:val="none" w:sz="0" w:space="0" w:color="auto"/>
          </w:divBdr>
        </w:div>
        <w:div w:id="2134399757">
          <w:marLeft w:val="0"/>
          <w:marRight w:val="0"/>
          <w:marTop w:val="0"/>
          <w:marBottom w:val="0"/>
          <w:divBdr>
            <w:top w:val="none" w:sz="0" w:space="0" w:color="auto"/>
            <w:left w:val="none" w:sz="0" w:space="0" w:color="auto"/>
            <w:bottom w:val="none" w:sz="0" w:space="0" w:color="auto"/>
            <w:right w:val="none" w:sz="0" w:space="0" w:color="auto"/>
          </w:divBdr>
        </w:div>
      </w:divsChild>
    </w:div>
    <w:div w:id="1759011508">
      <w:bodyDiv w:val="1"/>
      <w:marLeft w:val="0"/>
      <w:marRight w:val="0"/>
      <w:marTop w:val="0"/>
      <w:marBottom w:val="0"/>
      <w:divBdr>
        <w:top w:val="none" w:sz="0" w:space="0" w:color="auto"/>
        <w:left w:val="none" w:sz="0" w:space="0" w:color="auto"/>
        <w:bottom w:val="none" w:sz="0" w:space="0" w:color="auto"/>
        <w:right w:val="none" w:sz="0" w:space="0" w:color="auto"/>
      </w:divBdr>
    </w:div>
    <w:div w:id="1803842415">
      <w:bodyDiv w:val="1"/>
      <w:marLeft w:val="0"/>
      <w:marRight w:val="0"/>
      <w:marTop w:val="0"/>
      <w:marBottom w:val="0"/>
      <w:divBdr>
        <w:top w:val="none" w:sz="0" w:space="0" w:color="auto"/>
        <w:left w:val="none" w:sz="0" w:space="0" w:color="auto"/>
        <w:bottom w:val="none" w:sz="0" w:space="0" w:color="auto"/>
        <w:right w:val="none" w:sz="0" w:space="0" w:color="auto"/>
      </w:divBdr>
      <w:divsChild>
        <w:div w:id="1445882236">
          <w:marLeft w:val="0"/>
          <w:marRight w:val="0"/>
          <w:marTop w:val="0"/>
          <w:marBottom w:val="0"/>
          <w:divBdr>
            <w:top w:val="none" w:sz="0" w:space="0" w:color="auto"/>
            <w:left w:val="none" w:sz="0" w:space="0" w:color="auto"/>
            <w:bottom w:val="none" w:sz="0" w:space="0" w:color="auto"/>
            <w:right w:val="none" w:sz="0" w:space="0" w:color="auto"/>
          </w:divBdr>
          <w:divsChild>
            <w:div w:id="141313584">
              <w:marLeft w:val="0"/>
              <w:marRight w:val="0"/>
              <w:marTop w:val="0"/>
              <w:marBottom w:val="0"/>
              <w:divBdr>
                <w:top w:val="none" w:sz="0" w:space="0" w:color="auto"/>
                <w:left w:val="none" w:sz="0" w:space="0" w:color="auto"/>
                <w:bottom w:val="none" w:sz="0" w:space="0" w:color="auto"/>
                <w:right w:val="none" w:sz="0" w:space="0" w:color="auto"/>
              </w:divBdr>
            </w:div>
            <w:div w:id="214239965">
              <w:marLeft w:val="0"/>
              <w:marRight w:val="0"/>
              <w:marTop w:val="0"/>
              <w:marBottom w:val="0"/>
              <w:divBdr>
                <w:top w:val="none" w:sz="0" w:space="0" w:color="auto"/>
                <w:left w:val="none" w:sz="0" w:space="0" w:color="auto"/>
                <w:bottom w:val="none" w:sz="0" w:space="0" w:color="auto"/>
                <w:right w:val="none" w:sz="0" w:space="0" w:color="auto"/>
              </w:divBdr>
            </w:div>
            <w:div w:id="442071903">
              <w:marLeft w:val="0"/>
              <w:marRight w:val="0"/>
              <w:marTop w:val="0"/>
              <w:marBottom w:val="0"/>
              <w:divBdr>
                <w:top w:val="none" w:sz="0" w:space="0" w:color="auto"/>
                <w:left w:val="none" w:sz="0" w:space="0" w:color="auto"/>
                <w:bottom w:val="none" w:sz="0" w:space="0" w:color="auto"/>
                <w:right w:val="none" w:sz="0" w:space="0" w:color="auto"/>
              </w:divBdr>
            </w:div>
            <w:div w:id="653995969">
              <w:marLeft w:val="0"/>
              <w:marRight w:val="0"/>
              <w:marTop w:val="0"/>
              <w:marBottom w:val="0"/>
              <w:divBdr>
                <w:top w:val="none" w:sz="0" w:space="0" w:color="auto"/>
                <w:left w:val="none" w:sz="0" w:space="0" w:color="auto"/>
                <w:bottom w:val="none" w:sz="0" w:space="0" w:color="auto"/>
                <w:right w:val="none" w:sz="0" w:space="0" w:color="auto"/>
              </w:divBdr>
            </w:div>
            <w:div w:id="663434061">
              <w:marLeft w:val="0"/>
              <w:marRight w:val="0"/>
              <w:marTop w:val="0"/>
              <w:marBottom w:val="0"/>
              <w:divBdr>
                <w:top w:val="none" w:sz="0" w:space="0" w:color="auto"/>
                <w:left w:val="none" w:sz="0" w:space="0" w:color="auto"/>
                <w:bottom w:val="none" w:sz="0" w:space="0" w:color="auto"/>
                <w:right w:val="none" w:sz="0" w:space="0" w:color="auto"/>
              </w:divBdr>
            </w:div>
            <w:div w:id="822041922">
              <w:marLeft w:val="0"/>
              <w:marRight w:val="0"/>
              <w:marTop w:val="0"/>
              <w:marBottom w:val="0"/>
              <w:divBdr>
                <w:top w:val="none" w:sz="0" w:space="0" w:color="auto"/>
                <w:left w:val="none" w:sz="0" w:space="0" w:color="auto"/>
                <w:bottom w:val="none" w:sz="0" w:space="0" w:color="auto"/>
                <w:right w:val="none" w:sz="0" w:space="0" w:color="auto"/>
              </w:divBdr>
            </w:div>
            <w:div w:id="13956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7222">
      <w:bodyDiv w:val="1"/>
      <w:marLeft w:val="0"/>
      <w:marRight w:val="0"/>
      <w:marTop w:val="0"/>
      <w:marBottom w:val="0"/>
      <w:divBdr>
        <w:top w:val="none" w:sz="0" w:space="0" w:color="auto"/>
        <w:left w:val="none" w:sz="0" w:space="0" w:color="auto"/>
        <w:bottom w:val="none" w:sz="0" w:space="0" w:color="auto"/>
        <w:right w:val="none" w:sz="0" w:space="0" w:color="auto"/>
      </w:divBdr>
    </w:div>
    <w:div w:id="1912425132">
      <w:bodyDiv w:val="1"/>
      <w:marLeft w:val="0"/>
      <w:marRight w:val="0"/>
      <w:marTop w:val="0"/>
      <w:marBottom w:val="0"/>
      <w:divBdr>
        <w:top w:val="none" w:sz="0" w:space="0" w:color="auto"/>
        <w:left w:val="none" w:sz="0" w:space="0" w:color="auto"/>
        <w:bottom w:val="none" w:sz="0" w:space="0" w:color="auto"/>
        <w:right w:val="none" w:sz="0" w:space="0" w:color="auto"/>
      </w:divBdr>
      <w:divsChild>
        <w:div w:id="1215581883">
          <w:marLeft w:val="0"/>
          <w:marRight w:val="0"/>
          <w:marTop w:val="0"/>
          <w:marBottom w:val="0"/>
          <w:divBdr>
            <w:top w:val="none" w:sz="0" w:space="0" w:color="auto"/>
            <w:left w:val="none" w:sz="0" w:space="0" w:color="auto"/>
            <w:bottom w:val="none" w:sz="0" w:space="0" w:color="auto"/>
            <w:right w:val="none" w:sz="0" w:space="0" w:color="auto"/>
          </w:divBdr>
          <w:divsChild>
            <w:div w:id="1920753235">
              <w:marLeft w:val="0"/>
              <w:marRight w:val="0"/>
              <w:marTop w:val="0"/>
              <w:marBottom w:val="0"/>
              <w:divBdr>
                <w:top w:val="none" w:sz="0" w:space="0" w:color="auto"/>
                <w:left w:val="none" w:sz="0" w:space="0" w:color="auto"/>
                <w:bottom w:val="none" w:sz="0" w:space="0" w:color="auto"/>
                <w:right w:val="none" w:sz="0" w:space="0" w:color="auto"/>
              </w:divBdr>
              <w:divsChild>
                <w:div w:id="105782967">
                  <w:marLeft w:val="0"/>
                  <w:marRight w:val="0"/>
                  <w:marTop w:val="0"/>
                  <w:marBottom w:val="0"/>
                  <w:divBdr>
                    <w:top w:val="none" w:sz="0" w:space="0" w:color="auto"/>
                    <w:left w:val="none" w:sz="0" w:space="0" w:color="auto"/>
                    <w:bottom w:val="none" w:sz="0" w:space="0" w:color="auto"/>
                    <w:right w:val="none" w:sz="0" w:space="0" w:color="auto"/>
                  </w:divBdr>
                  <w:divsChild>
                    <w:div w:id="158889662">
                      <w:marLeft w:val="0"/>
                      <w:marRight w:val="0"/>
                      <w:marTop w:val="0"/>
                      <w:marBottom w:val="0"/>
                      <w:divBdr>
                        <w:top w:val="none" w:sz="0" w:space="0" w:color="auto"/>
                        <w:left w:val="none" w:sz="0" w:space="0" w:color="auto"/>
                        <w:bottom w:val="none" w:sz="0" w:space="0" w:color="auto"/>
                        <w:right w:val="none" w:sz="0" w:space="0" w:color="auto"/>
                      </w:divBdr>
                      <w:divsChild>
                        <w:div w:id="1249119870">
                          <w:marLeft w:val="0"/>
                          <w:marRight w:val="0"/>
                          <w:marTop w:val="0"/>
                          <w:marBottom w:val="0"/>
                          <w:divBdr>
                            <w:top w:val="none" w:sz="0" w:space="0" w:color="auto"/>
                            <w:left w:val="none" w:sz="0" w:space="0" w:color="auto"/>
                            <w:bottom w:val="none" w:sz="0" w:space="0" w:color="auto"/>
                            <w:right w:val="none" w:sz="0" w:space="0" w:color="auto"/>
                          </w:divBdr>
                          <w:divsChild>
                            <w:div w:id="101069749">
                              <w:marLeft w:val="0"/>
                              <w:marRight w:val="0"/>
                              <w:marTop w:val="0"/>
                              <w:marBottom w:val="0"/>
                              <w:divBdr>
                                <w:top w:val="none" w:sz="0" w:space="0" w:color="auto"/>
                                <w:left w:val="none" w:sz="0" w:space="0" w:color="auto"/>
                                <w:bottom w:val="none" w:sz="0" w:space="0" w:color="auto"/>
                                <w:right w:val="none" w:sz="0" w:space="0" w:color="auto"/>
                              </w:divBdr>
                              <w:divsChild>
                                <w:div w:id="796488132">
                                  <w:marLeft w:val="0"/>
                                  <w:marRight w:val="0"/>
                                  <w:marTop w:val="0"/>
                                  <w:marBottom w:val="0"/>
                                  <w:divBdr>
                                    <w:top w:val="none" w:sz="0" w:space="0" w:color="auto"/>
                                    <w:left w:val="none" w:sz="0" w:space="0" w:color="auto"/>
                                    <w:bottom w:val="none" w:sz="0" w:space="0" w:color="auto"/>
                                    <w:right w:val="none" w:sz="0" w:space="0" w:color="auto"/>
                                  </w:divBdr>
                                  <w:divsChild>
                                    <w:div w:id="902789099">
                                      <w:marLeft w:val="0"/>
                                      <w:marRight w:val="0"/>
                                      <w:marTop w:val="0"/>
                                      <w:marBottom w:val="0"/>
                                      <w:divBdr>
                                        <w:top w:val="none" w:sz="0" w:space="0" w:color="auto"/>
                                        <w:left w:val="none" w:sz="0" w:space="0" w:color="auto"/>
                                        <w:bottom w:val="none" w:sz="0" w:space="0" w:color="auto"/>
                                        <w:right w:val="none" w:sz="0" w:space="0" w:color="auto"/>
                                      </w:divBdr>
                                      <w:divsChild>
                                        <w:div w:id="1443068961">
                                          <w:marLeft w:val="0"/>
                                          <w:marRight w:val="0"/>
                                          <w:marTop w:val="0"/>
                                          <w:marBottom w:val="0"/>
                                          <w:divBdr>
                                            <w:top w:val="none" w:sz="0" w:space="0" w:color="auto"/>
                                            <w:left w:val="none" w:sz="0" w:space="0" w:color="auto"/>
                                            <w:bottom w:val="none" w:sz="0" w:space="0" w:color="auto"/>
                                            <w:right w:val="none" w:sz="0" w:space="0" w:color="auto"/>
                                          </w:divBdr>
                                          <w:divsChild>
                                            <w:div w:id="558980588">
                                              <w:marLeft w:val="0"/>
                                              <w:marRight w:val="0"/>
                                              <w:marTop w:val="0"/>
                                              <w:marBottom w:val="0"/>
                                              <w:divBdr>
                                                <w:top w:val="none" w:sz="0" w:space="0" w:color="auto"/>
                                                <w:left w:val="none" w:sz="0" w:space="0" w:color="auto"/>
                                                <w:bottom w:val="none" w:sz="0" w:space="0" w:color="auto"/>
                                                <w:right w:val="none" w:sz="0" w:space="0" w:color="auto"/>
                                              </w:divBdr>
                                              <w:divsChild>
                                                <w:div w:id="1501967328">
                                                  <w:marLeft w:val="0"/>
                                                  <w:marRight w:val="0"/>
                                                  <w:marTop w:val="0"/>
                                                  <w:marBottom w:val="0"/>
                                                  <w:divBdr>
                                                    <w:top w:val="none" w:sz="0" w:space="0" w:color="auto"/>
                                                    <w:left w:val="none" w:sz="0" w:space="0" w:color="auto"/>
                                                    <w:bottom w:val="none" w:sz="0" w:space="0" w:color="auto"/>
                                                    <w:right w:val="none" w:sz="0" w:space="0" w:color="auto"/>
                                                  </w:divBdr>
                                                  <w:divsChild>
                                                    <w:div w:id="19858448">
                                                      <w:marLeft w:val="0"/>
                                                      <w:marRight w:val="0"/>
                                                      <w:marTop w:val="0"/>
                                                      <w:marBottom w:val="0"/>
                                                      <w:divBdr>
                                                        <w:top w:val="single" w:sz="12" w:space="0" w:color="ABABAB"/>
                                                        <w:left w:val="single" w:sz="6" w:space="0" w:color="ABABAB"/>
                                                        <w:bottom w:val="single" w:sz="12" w:space="0" w:color="ABABAB"/>
                                                        <w:right w:val="single" w:sz="6" w:space="0" w:color="ABABAB"/>
                                                      </w:divBdr>
                                                      <w:divsChild>
                                                        <w:div w:id="1777865025">
                                                          <w:marLeft w:val="0"/>
                                                          <w:marRight w:val="0"/>
                                                          <w:marTop w:val="0"/>
                                                          <w:marBottom w:val="0"/>
                                                          <w:divBdr>
                                                            <w:top w:val="none" w:sz="0" w:space="0" w:color="auto"/>
                                                            <w:left w:val="none" w:sz="0" w:space="0" w:color="auto"/>
                                                            <w:bottom w:val="none" w:sz="0" w:space="0" w:color="auto"/>
                                                            <w:right w:val="none" w:sz="0" w:space="0" w:color="auto"/>
                                                          </w:divBdr>
                                                          <w:divsChild>
                                                            <w:div w:id="1102258244">
                                                              <w:marLeft w:val="0"/>
                                                              <w:marRight w:val="0"/>
                                                              <w:marTop w:val="0"/>
                                                              <w:marBottom w:val="0"/>
                                                              <w:divBdr>
                                                                <w:top w:val="none" w:sz="0" w:space="0" w:color="auto"/>
                                                                <w:left w:val="none" w:sz="0" w:space="0" w:color="auto"/>
                                                                <w:bottom w:val="none" w:sz="0" w:space="0" w:color="auto"/>
                                                                <w:right w:val="none" w:sz="0" w:space="0" w:color="auto"/>
                                                              </w:divBdr>
                                                              <w:divsChild>
                                                                <w:div w:id="1996640046">
                                                                  <w:marLeft w:val="0"/>
                                                                  <w:marRight w:val="0"/>
                                                                  <w:marTop w:val="0"/>
                                                                  <w:marBottom w:val="0"/>
                                                                  <w:divBdr>
                                                                    <w:top w:val="none" w:sz="0" w:space="0" w:color="auto"/>
                                                                    <w:left w:val="none" w:sz="0" w:space="0" w:color="auto"/>
                                                                    <w:bottom w:val="none" w:sz="0" w:space="0" w:color="auto"/>
                                                                    <w:right w:val="none" w:sz="0" w:space="0" w:color="auto"/>
                                                                  </w:divBdr>
                                                                  <w:divsChild>
                                                                    <w:div w:id="1557928745">
                                                                      <w:marLeft w:val="0"/>
                                                                      <w:marRight w:val="0"/>
                                                                      <w:marTop w:val="0"/>
                                                                      <w:marBottom w:val="0"/>
                                                                      <w:divBdr>
                                                                        <w:top w:val="none" w:sz="0" w:space="0" w:color="auto"/>
                                                                        <w:left w:val="none" w:sz="0" w:space="0" w:color="auto"/>
                                                                        <w:bottom w:val="none" w:sz="0" w:space="0" w:color="auto"/>
                                                                        <w:right w:val="none" w:sz="0" w:space="0" w:color="auto"/>
                                                                      </w:divBdr>
                                                                      <w:divsChild>
                                                                        <w:div w:id="489098537">
                                                                          <w:marLeft w:val="0"/>
                                                                          <w:marRight w:val="0"/>
                                                                          <w:marTop w:val="0"/>
                                                                          <w:marBottom w:val="0"/>
                                                                          <w:divBdr>
                                                                            <w:top w:val="none" w:sz="0" w:space="0" w:color="auto"/>
                                                                            <w:left w:val="none" w:sz="0" w:space="0" w:color="auto"/>
                                                                            <w:bottom w:val="none" w:sz="0" w:space="0" w:color="auto"/>
                                                                            <w:right w:val="none" w:sz="0" w:space="0" w:color="auto"/>
                                                                          </w:divBdr>
                                                                          <w:divsChild>
                                                                            <w:div w:id="659113883">
                                                                              <w:marLeft w:val="0"/>
                                                                              <w:marRight w:val="0"/>
                                                                              <w:marTop w:val="0"/>
                                                                              <w:marBottom w:val="0"/>
                                                                              <w:divBdr>
                                                                                <w:top w:val="none" w:sz="0" w:space="0" w:color="auto"/>
                                                                                <w:left w:val="none" w:sz="0" w:space="0" w:color="auto"/>
                                                                                <w:bottom w:val="none" w:sz="0" w:space="0" w:color="auto"/>
                                                                                <w:right w:val="none" w:sz="0" w:space="0" w:color="auto"/>
                                                                              </w:divBdr>
                                                                              <w:divsChild>
                                                                                <w:div w:id="11788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556566">
      <w:bodyDiv w:val="1"/>
      <w:marLeft w:val="0"/>
      <w:marRight w:val="0"/>
      <w:marTop w:val="0"/>
      <w:marBottom w:val="0"/>
      <w:divBdr>
        <w:top w:val="none" w:sz="0" w:space="0" w:color="auto"/>
        <w:left w:val="none" w:sz="0" w:space="0" w:color="auto"/>
        <w:bottom w:val="none" w:sz="0" w:space="0" w:color="auto"/>
        <w:right w:val="none" w:sz="0" w:space="0" w:color="auto"/>
      </w:divBdr>
    </w:div>
    <w:div w:id="1936018208">
      <w:bodyDiv w:val="1"/>
      <w:marLeft w:val="0"/>
      <w:marRight w:val="0"/>
      <w:marTop w:val="0"/>
      <w:marBottom w:val="0"/>
      <w:divBdr>
        <w:top w:val="none" w:sz="0" w:space="0" w:color="auto"/>
        <w:left w:val="none" w:sz="0" w:space="0" w:color="auto"/>
        <w:bottom w:val="none" w:sz="0" w:space="0" w:color="auto"/>
        <w:right w:val="none" w:sz="0" w:space="0" w:color="auto"/>
      </w:divBdr>
    </w:div>
    <w:div w:id="1941909789">
      <w:bodyDiv w:val="1"/>
      <w:marLeft w:val="0"/>
      <w:marRight w:val="0"/>
      <w:marTop w:val="0"/>
      <w:marBottom w:val="0"/>
      <w:divBdr>
        <w:top w:val="none" w:sz="0" w:space="0" w:color="auto"/>
        <w:left w:val="none" w:sz="0" w:space="0" w:color="auto"/>
        <w:bottom w:val="none" w:sz="0" w:space="0" w:color="auto"/>
        <w:right w:val="none" w:sz="0" w:space="0" w:color="auto"/>
      </w:divBdr>
    </w:div>
    <w:div w:id="1982464512">
      <w:bodyDiv w:val="1"/>
      <w:marLeft w:val="0"/>
      <w:marRight w:val="0"/>
      <w:marTop w:val="0"/>
      <w:marBottom w:val="0"/>
      <w:divBdr>
        <w:top w:val="none" w:sz="0" w:space="0" w:color="auto"/>
        <w:left w:val="none" w:sz="0" w:space="0" w:color="auto"/>
        <w:bottom w:val="none" w:sz="0" w:space="0" w:color="auto"/>
        <w:right w:val="none" w:sz="0" w:space="0" w:color="auto"/>
      </w:divBdr>
    </w:div>
    <w:div w:id="1992903817">
      <w:bodyDiv w:val="1"/>
      <w:marLeft w:val="0"/>
      <w:marRight w:val="0"/>
      <w:marTop w:val="0"/>
      <w:marBottom w:val="0"/>
      <w:divBdr>
        <w:top w:val="none" w:sz="0" w:space="0" w:color="auto"/>
        <w:left w:val="none" w:sz="0" w:space="0" w:color="auto"/>
        <w:bottom w:val="none" w:sz="0" w:space="0" w:color="auto"/>
        <w:right w:val="none" w:sz="0" w:space="0" w:color="auto"/>
      </w:divBdr>
    </w:div>
    <w:div w:id="2009748505">
      <w:bodyDiv w:val="1"/>
      <w:marLeft w:val="0"/>
      <w:marRight w:val="0"/>
      <w:marTop w:val="0"/>
      <w:marBottom w:val="0"/>
      <w:divBdr>
        <w:top w:val="none" w:sz="0" w:space="0" w:color="auto"/>
        <w:left w:val="none" w:sz="0" w:space="0" w:color="auto"/>
        <w:bottom w:val="none" w:sz="0" w:space="0" w:color="auto"/>
        <w:right w:val="none" w:sz="0" w:space="0" w:color="auto"/>
      </w:divBdr>
      <w:divsChild>
        <w:div w:id="316615953">
          <w:marLeft w:val="0"/>
          <w:marRight w:val="0"/>
          <w:marTop w:val="0"/>
          <w:marBottom w:val="0"/>
          <w:divBdr>
            <w:top w:val="none" w:sz="0" w:space="0" w:color="auto"/>
            <w:left w:val="none" w:sz="0" w:space="0" w:color="auto"/>
            <w:bottom w:val="none" w:sz="0" w:space="0" w:color="auto"/>
            <w:right w:val="none" w:sz="0" w:space="0" w:color="auto"/>
          </w:divBdr>
        </w:div>
      </w:divsChild>
    </w:div>
    <w:div w:id="2103989054">
      <w:bodyDiv w:val="1"/>
      <w:marLeft w:val="0"/>
      <w:marRight w:val="0"/>
      <w:marTop w:val="0"/>
      <w:marBottom w:val="0"/>
      <w:divBdr>
        <w:top w:val="none" w:sz="0" w:space="0" w:color="auto"/>
        <w:left w:val="none" w:sz="0" w:space="0" w:color="auto"/>
        <w:bottom w:val="none" w:sz="0" w:space="0" w:color="auto"/>
        <w:right w:val="none" w:sz="0" w:space="0" w:color="auto"/>
      </w:divBdr>
      <w:divsChild>
        <w:div w:id="75247301">
          <w:marLeft w:val="0"/>
          <w:marRight w:val="0"/>
          <w:marTop w:val="0"/>
          <w:marBottom w:val="0"/>
          <w:divBdr>
            <w:top w:val="none" w:sz="0" w:space="0" w:color="auto"/>
            <w:left w:val="none" w:sz="0" w:space="0" w:color="auto"/>
            <w:bottom w:val="none" w:sz="0" w:space="0" w:color="auto"/>
            <w:right w:val="none" w:sz="0" w:space="0" w:color="auto"/>
          </w:divBdr>
        </w:div>
        <w:div w:id="499388367">
          <w:marLeft w:val="0"/>
          <w:marRight w:val="0"/>
          <w:marTop w:val="0"/>
          <w:marBottom w:val="0"/>
          <w:divBdr>
            <w:top w:val="none" w:sz="0" w:space="0" w:color="auto"/>
            <w:left w:val="none" w:sz="0" w:space="0" w:color="auto"/>
            <w:bottom w:val="none" w:sz="0" w:space="0" w:color="auto"/>
            <w:right w:val="none" w:sz="0" w:space="0" w:color="auto"/>
          </w:divBdr>
        </w:div>
        <w:div w:id="1493176355">
          <w:marLeft w:val="0"/>
          <w:marRight w:val="0"/>
          <w:marTop w:val="0"/>
          <w:marBottom w:val="0"/>
          <w:divBdr>
            <w:top w:val="none" w:sz="0" w:space="0" w:color="auto"/>
            <w:left w:val="none" w:sz="0" w:space="0" w:color="auto"/>
            <w:bottom w:val="none" w:sz="0" w:space="0" w:color="auto"/>
            <w:right w:val="none" w:sz="0" w:space="0" w:color="auto"/>
          </w:divBdr>
        </w:div>
      </w:divsChild>
    </w:div>
    <w:div w:id="2122801826">
      <w:bodyDiv w:val="1"/>
      <w:marLeft w:val="0"/>
      <w:marRight w:val="0"/>
      <w:marTop w:val="0"/>
      <w:marBottom w:val="0"/>
      <w:divBdr>
        <w:top w:val="none" w:sz="0" w:space="0" w:color="auto"/>
        <w:left w:val="none" w:sz="0" w:space="0" w:color="auto"/>
        <w:bottom w:val="none" w:sz="0" w:space="0" w:color="auto"/>
        <w:right w:val="none" w:sz="0" w:space="0" w:color="auto"/>
      </w:divBdr>
      <w:divsChild>
        <w:div w:id="1347293147">
          <w:marLeft w:val="0"/>
          <w:marRight w:val="0"/>
          <w:marTop w:val="0"/>
          <w:marBottom w:val="0"/>
          <w:divBdr>
            <w:top w:val="none" w:sz="0" w:space="0" w:color="auto"/>
            <w:left w:val="none" w:sz="0" w:space="0" w:color="auto"/>
            <w:bottom w:val="none" w:sz="0" w:space="0" w:color="auto"/>
            <w:right w:val="none" w:sz="0" w:space="0" w:color="auto"/>
          </w:divBdr>
        </w:div>
        <w:div w:id="1499661472">
          <w:marLeft w:val="0"/>
          <w:marRight w:val="0"/>
          <w:marTop w:val="0"/>
          <w:marBottom w:val="0"/>
          <w:divBdr>
            <w:top w:val="none" w:sz="0" w:space="0" w:color="auto"/>
            <w:left w:val="none" w:sz="0" w:space="0" w:color="auto"/>
            <w:bottom w:val="none" w:sz="0" w:space="0" w:color="auto"/>
            <w:right w:val="none" w:sz="0" w:space="0" w:color="auto"/>
          </w:divBdr>
        </w:div>
        <w:div w:id="1639919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emf"/><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chart" Target="charts/chart18.xml"/><Relationship Id="rId55" Type="http://schemas.openxmlformats.org/officeDocument/2006/relationships/chart" Target="charts/chart21.xml"/><Relationship Id="rId63" Type="http://schemas.openxmlformats.org/officeDocument/2006/relationships/chart" Target="charts/chart29.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emf"/><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image" Target="media/image21.png"/><Relationship Id="rId58" Type="http://schemas.openxmlformats.org/officeDocument/2006/relationships/chart" Target="charts/chart24.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chart" Target="charts/chart27.xml"/><Relationship Id="rId19" Type="http://schemas.openxmlformats.org/officeDocument/2006/relationships/image" Target="media/image6.emf"/><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image" Target="media/image15.emf"/><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image" Target="media/image18.png"/><Relationship Id="rId56" Type="http://schemas.openxmlformats.org/officeDocument/2006/relationships/chart" Target="charts/chart22.xml"/><Relationship Id="rId64" Type="http://schemas.openxmlformats.org/officeDocument/2006/relationships/hyperlink" Target="https://www.gtap.agecon.purdue.edu/resources/res_display.asp?RecordID=4840" TargetMode="External"/><Relationship Id="rId8" Type="http://schemas.openxmlformats.org/officeDocument/2006/relationships/settings" Target="settings.xml"/><Relationship Id="rId51" Type="http://schemas.openxmlformats.org/officeDocument/2006/relationships/chart" Target="charts/chart1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chart" Target="charts/chart25.xml"/><Relationship Id="rId20" Type="http://schemas.openxmlformats.org/officeDocument/2006/relationships/image" Target="media/image7.png"/><Relationship Id="rId41" Type="http://schemas.openxmlformats.org/officeDocument/2006/relationships/chart" Target="charts/chart11.xml"/><Relationship Id="rId54" Type="http://schemas.openxmlformats.org/officeDocument/2006/relationships/chart" Target="charts/chart20.xml"/><Relationship Id="rId62"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chart" Target="charts/chart2.xml"/><Relationship Id="rId36" Type="http://schemas.openxmlformats.org/officeDocument/2006/relationships/chart" Target="charts/chart6.xml"/><Relationship Id="rId49" Type="http://schemas.openxmlformats.org/officeDocument/2006/relationships/image" Target="media/image19.png"/><Relationship Id="rId57" Type="http://schemas.openxmlformats.org/officeDocument/2006/relationships/chart" Target="charts/chart23.xml"/><Relationship Id="rId10" Type="http://schemas.openxmlformats.org/officeDocument/2006/relationships/footnotes" Target="footnotes.xml"/><Relationship Id="rId31" Type="http://schemas.openxmlformats.org/officeDocument/2006/relationships/image" Target="media/image16.emf"/><Relationship Id="rId44" Type="http://schemas.openxmlformats.org/officeDocument/2006/relationships/chart" Target="charts/chart14.xml"/><Relationship Id="rId52" Type="http://schemas.openxmlformats.org/officeDocument/2006/relationships/image" Target="media/image20.png"/><Relationship Id="rId60" Type="http://schemas.openxmlformats.org/officeDocument/2006/relationships/chart" Target="charts/chart26.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chart" Target="charts/chart9.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IPCC_Fifth_Assessment_Report" TargetMode="External"/><Relationship Id="rId2" Type="http://schemas.openxmlformats.org/officeDocument/2006/relationships/hyperlink" Target="https://en.wikipedia.org/wiki/Intergovernmental_Panel_on_Climate_Change" TargetMode="External"/><Relationship Id="rId1" Type="http://schemas.openxmlformats.org/officeDocument/2006/relationships/hyperlink" Target="https://en.wikipedia.org/wiki/Greenhouse_gas" TargetMode="External"/><Relationship Id="rId4" Type="http://schemas.openxmlformats.org/officeDocument/2006/relationships/hyperlink" Target="http://topdad.services.geodesk.nl/en/web/guest/long-term-macroeconomic-effect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2190ed81f9e2588d/BGcomments/BG/figures/basin_figu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rojects\water\Climate_Sim_Figure10_to_Figure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2190ed81f9e2588d/BGcomments/BG/figures/Climate_Sim_Figure10_to_Figure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docs.live.net/2190ed81f9e2588d/BGcomments/BG/figures/Climate_Sim_Figure10_to_Figure16.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1" Type="http://schemas.openxmlformats.org/officeDocument/2006/relationships/oleObject" Target="file:///D:\Projects\water\Climate_Sim_Figure10_to_Figure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Projects\water\Climate_Sim_Figure10_to_Figure16.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ebnem\Desktop\Copy%20of%20adaptation_figures.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Projects\water\write_up\adaptation%20shock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2190ed81f9e2588d/BGcomments/BG/figures/basin_figur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Projects\water\write_up\climate_new_fig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Projects\water\write_up\climate_new_fig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Projects\water\write_up\climate_new_ssc_figs.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4.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Projects\water\write_up\climate_new_ssc_fig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Projects\water\write_up\climate_new_ssc_fig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Projects\water\write_up\climate_new_ssc_fig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Projects\water\write_up\climate_new_ssc_fig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ebnem\Documents\BG\BG_sim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2190ed81f9e2588d/BGcomments/BG/figures/climate_new_ssc_fig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rojects\water\Climate_Sim_Figure10_to_Figure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rojects\water\Climate_Sim_Figure10_to_Figure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rojects\water\Climate_Sim_Figure10_to_Figure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rojects\water\Climate_Sim_Figure10_to_Figure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rojects\water\Climate_Sim_Figure10_to_Figure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87766749076596"/>
          <c:y val="3.6887994634473509E-2"/>
          <c:w val="0.79054001476050817"/>
          <c:h val="0.82537429300210718"/>
        </c:manualLayout>
      </c:layout>
      <c:barChart>
        <c:barDir val="bar"/>
        <c:grouping val="clustered"/>
        <c:varyColors val="0"/>
        <c:ser>
          <c:idx val="0"/>
          <c:order val="0"/>
          <c:tx>
            <c:strRef>
              <c:f>Volume!$B$1</c:f>
              <c:strCache>
                <c:ptCount val="1"/>
                <c:pt idx="0">
                  <c:v>Danube</c:v>
                </c:pt>
              </c:strCache>
            </c:strRef>
          </c:tx>
          <c:spPr>
            <a:solidFill>
              <a:schemeClr val="accent1"/>
            </a:solidFill>
            <a:ln>
              <a:noFill/>
            </a:ln>
            <a:effectLst/>
          </c:spPr>
          <c:invertIfNegative val="0"/>
          <c:cat>
            <c:strRef>
              <c:f>Volume!$A$2:$A$6</c:f>
              <c:strCache>
                <c:ptCount val="5"/>
                <c:pt idx="0">
                  <c:v>Agriculture</c:v>
                </c:pt>
                <c:pt idx="1">
                  <c:v>Electricity</c:v>
                </c:pt>
                <c:pt idx="2">
                  <c:v>Other Industries</c:v>
                </c:pt>
                <c:pt idx="3">
                  <c:v>Services</c:v>
                </c:pt>
                <c:pt idx="4">
                  <c:v>Households</c:v>
                </c:pt>
              </c:strCache>
            </c:strRef>
          </c:cat>
          <c:val>
            <c:numRef>
              <c:f>Volume!$B$2:$B$6</c:f>
              <c:numCache>
                <c:formatCode>General</c:formatCode>
                <c:ptCount val="5"/>
                <c:pt idx="0">
                  <c:v>11</c:v>
                </c:pt>
                <c:pt idx="1">
                  <c:v>2735</c:v>
                </c:pt>
                <c:pt idx="2">
                  <c:v>37</c:v>
                </c:pt>
                <c:pt idx="3">
                  <c:v>24</c:v>
                </c:pt>
                <c:pt idx="4">
                  <c:v>133</c:v>
                </c:pt>
              </c:numCache>
            </c:numRef>
          </c:val>
          <c:extLst xmlns:c16r2="http://schemas.microsoft.com/office/drawing/2015/06/chart">
            <c:ext xmlns:c16="http://schemas.microsoft.com/office/drawing/2014/chart" uri="{C3380CC4-5D6E-409C-BE32-E72D297353CC}">
              <c16:uniqueId val="{00000000-F86E-40B7-8121-DB762CDCFB95}"/>
            </c:ext>
          </c:extLst>
        </c:ser>
        <c:ser>
          <c:idx val="1"/>
          <c:order val="1"/>
          <c:tx>
            <c:strRef>
              <c:f>Volume!$C$1</c:f>
              <c:strCache>
                <c:ptCount val="1"/>
                <c:pt idx="0">
                  <c:v>BlackSea</c:v>
                </c:pt>
              </c:strCache>
            </c:strRef>
          </c:tx>
          <c:spPr>
            <a:solidFill>
              <a:schemeClr val="accent2"/>
            </a:solidFill>
            <a:ln>
              <a:noFill/>
            </a:ln>
            <a:effectLst/>
          </c:spPr>
          <c:invertIfNegative val="0"/>
          <c:cat>
            <c:strRef>
              <c:f>Volume!$A$2:$A$6</c:f>
              <c:strCache>
                <c:ptCount val="5"/>
                <c:pt idx="0">
                  <c:v>Agriculture</c:v>
                </c:pt>
                <c:pt idx="1">
                  <c:v>Electricity</c:v>
                </c:pt>
                <c:pt idx="2">
                  <c:v>Other Industries</c:v>
                </c:pt>
                <c:pt idx="3">
                  <c:v>Services</c:v>
                </c:pt>
                <c:pt idx="4">
                  <c:v>Households</c:v>
                </c:pt>
              </c:strCache>
            </c:strRef>
          </c:cat>
          <c:val>
            <c:numRef>
              <c:f>Volume!$C$2:$C$6</c:f>
              <c:numCache>
                <c:formatCode>General</c:formatCode>
                <c:ptCount val="5"/>
                <c:pt idx="0">
                  <c:v>6</c:v>
                </c:pt>
                <c:pt idx="1">
                  <c:v>394</c:v>
                </c:pt>
                <c:pt idx="2">
                  <c:v>50</c:v>
                </c:pt>
                <c:pt idx="3">
                  <c:v>16</c:v>
                </c:pt>
                <c:pt idx="4">
                  <c:v>40</c:v>
                </c:pt>
              </c:numCache>
            </c:numRef>
          </c:val>
          <c:extLst xmlns:c16r2="http://schemas.microsoft.com/office/drawing/2015/06/chart">
            <c:ext xmlns:c16="http://schemas.microsoft.com/office/drawing/2014/chart" uri="{C3380CC4-5D6E-409C-BE32-E72D297353CC}">
              <c16:uniqueId val="{00000001-F86E-40B7-8121-DB762CDCFB95}"/>
            </c:ext>
          </c:extLst>
        </c:ser>
        <c:ser>
          <c:idx val="2"/>
          <c:order val="2"/>
          <c:tx>
            <c:strRef>
              <c:f>Volume!$D$1</c:f>
              <c:strCache>
                <c:ptCount val="1"/>
                <c:pt idx="0">
                  <c:v>WestAegean</c:v>
                </c:pt>
              </c:strCache>
            </c:strRef>
          </c:tx>
          <c:spPr>
            <a:solidFill>
              <a:schemeClr val="accent3"/>
            </a:solidFill>
            <a:ln>
              <a:noFill/>
            </a:ln>
            <a:effectLst/>
          </c:spPr>
          <c:invertIfNegative val="0"/>
          <c:cat>
            <c:strRef>
              <c:f>Volume!$A$2:$A$6</c:f>
              <c:strCache>
                <c:ptCount val="5"/>
                <c:pt idx="0">
                  <c:v>Agriculture</c:v>
                </c:pt>
                <c:pt idx="1">
                  <c:v>Electricity</c:v>
                </c:pt>
                <c:pt idx="2">
                  <c:v>Other Industries</c:v>
                </c:pt>
                <c:pt idx="3">
                  <c:v>Services</c:v>
                </c:pt>
                <c:pt idx="4">
                  <c:v>Households</c:v>
                </c:pt>
              </c:strCache>
            </c:strRef>
          </c:cat>
          <c:val>
            <c:numRef>
              <c:f>Volume!$D$2:$D$6</c:f>
              <c:numCache>
                <c:formatCode>General</c:formatCode>
                <c:ptCount val="5"/>
                <c:pt idx="0">
                  <c:v>6</c:v>
                </c:pt>
                <c:pt idx="1">
                  <c:v>22</c:v>
                </c:pt>
                <c:pt idx="2">
                  <c:v>11</c:v>
                </c:pt>
                <c:pt idx="3">
                  <c:v>9</c:v>
                </c:pt>
                <c:pt idx="4">
                  <c:v>22</c:v>
                </c:pt>
              </c:numCache>
            </c:numRef>
          </c:val>
          <c:extLst xmlns:c16r2="http://schemas.microsoft.com/office/drawing/2015/06/chart">
            <c:ext xmlns:c16="http://schemas.microsoft.com/office/drawing/2014/chart" uri="{C3380CC4-5D6E-409C-BE32-E72D297353CC}">
              <c16:uniqueId val="{00000002-F86E-40B7-8121-DB762CDCFB95}"/>
            </c:ext>
          </c:extLst>
        </c:ser>
        <c:ser>
          <c:idx val="3"/>
          <c:order val="3"/>
          <c:tx>
            <c:strRef>
              <c:f>Volume!$E$1</c:f>
              <c:strCache>
                <c:ptCount val="1"/>
                <c:pt idx="0">
                  <c:v>EastAegean</c:v>
                </c:pt>
              </c:strCache>
            </c:strRef>
          </c:tx>
          <c:spPr>
            <a:solidFill>
              <a:schemeClr val="accent4"/>
            </a:solidFill>
            <a:ln>
              <a:noFill/>
            </a:ln>
            <a:effectLst/>
          </c:spPr>
          <c:invertIfNegative val="0"/>
          <c:cat>
            <c:strRef>
              <c:f>Volume!$A$2:$A$6</c:f>
              <c:strCache>
                <c:ptCount val="5"/>
                <c:pt idx="0">
                  <c:v>Agriculture</c:v>
                </c:pt>
                <c:pt idx="1">
                  <c:v>Electricity</c:v>
                </c:pt>
                <c:pt idx="2">
                  <c:v>Other Industries</c:v>
                </c:pt>
                <c:pt idx="3">
                  <c:v>Services</c:v>
                </c:pt>
                <c:pt idx="4">
                  <c:v>Households</c:v>
                </c:pt>
              </c:strCache>
            </c:strRef>
          </c:cat>
          <c:val>
            <c:numRef>
              <c:f>Volume!$E$2:$E$6</c:f>
              <c:numCache>
                <c:formatCode>General</c:formatCode>
                <c:ptCount val="5"/>
                <c:pt idx="0">
                  <c:v>325</c:v>
                </c:pt>
                <c:pt idx="1">
                  <c:v>1185</c:v>
                </c:pt>
                <c:pt idx="2">
                  <c:v>63</c:v>
                </c:pt>
                <c:pt idx="3">
                  <c:v>18</c:v>
                </c:pt>
                <c:pt idx="4">
                  <c:v>71</c:v>
                </c:pt>
              </c:numCache>
            </c:numRef>
          </c:val>
          <c:extLst xmlns:c16r2="http://schemas.microsoft.com/office/drawing/2015/06/chart">
            <c:ext xmlns:c16="http://schemas.microsoft.com/office/drawing/2014/chart" uri="{C3380CC4-5D6E-409C-BE32-E72D297353CC}">
              <c16:uniqueId val="{00000003-F86E-40B7-8121-DB762CDCFB95}"/>
            </c:ext>
          </c:extLst>
        </c:ser>
        <c:dLbls>
          <c:showLegendKey val="0"/>
          <c:showVal val="0"/>
          <c:showCatName val="0"/>
          <c:showSerName val="0"/>
          <c:showPercent val="0"/>
          <c:showBubbleSize val="0"/>
        </c:dLbls>
        <c:gapWidth val="182"/>
        <c:axId val="141266432"/>
        <c:axId val="149537344"/>
      </c:barChart>
      <c:catAx>
        <c:axId val="141266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37344"/>
        <c:crosses val="autoZero"/>
        <c:auto val="1"/>
        <c:lblAlgn val="ctr"/>
        <c:lblOffset val="100"/>
        <c:noMultiLvlLbl val="0"/>
      </c:catAx>
      <c:valAx>
        <c:axId val="149537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66432"/>
        <c:crosses val="autoZero"/>
        <c:crossBetween val="between"/>
      </c:valAx>
      <c:spPr>
        <a:noFill/>
        <a:ln>
          <a:noFill/>
        </a:ln>
        <a:effectLst/>
      </c:spPr>
    </c:plotArea>
    <c:legend>
      <c:legendPos val="b"/>
      <c:layout>
        <c:manualLayout>
          <c:xMode val="edge"/>
          <c:yMode val="edge"/>
          <c:x val="0.3253272060715594"/>
          <c:y val="0.96153819234134197"/>
          <c:w val="0.34934546676475131"/>
          <c:h val="2.4786593983444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151494552389586E-2"/>
          <c:y val="0.1158489688358786"/>
          <c:w val="0.92046960856511639"/>
          <c:h val="0.73574197977188616"/>
        </c:manualLayout>
      </c:layout>
      <c:barChart>
        <c:barDir val="col"/>
        <c:grouping val="clustered"/>
        <c:varyColors val="0"/>
        <c:ser>
          <c:idx val="0"/>
          <c:order val="0"/>
          <c:tx>
            <c:strRef>
              <c:f>'real skilled unskilled'!$B$1</c:f>
              <c:strCache>
                <c:ptCount val="1"/>
                <c:pt idx="0">
                  <c:v>Unskilled Labor</c:v>
                </c:pt>
              </c:strCache>
            </c:strRef>
          </c:tx>
          <c:spPr>
            <a:solidFill>
              <a:schemeClr val="accent1"/>
            </a:solidFill>
            <a:ln>
              <a:noFill/>
            </a:ln>
            <a:effectLst/>
          </c:spPr>
          <c:invertIfNegative val="0"/>
          <c:cat>
            <c:strRef>
              <c:f>'real skilled unskilled'!$A$2:$A$7</c:f>
              <c:strCache>
                <c:ptCount val="6"/>
                <c:pt idx="0">
                  <c:v>2_Optimist</c:v>
                </c:pt>
                <c:pt idx="1">
                  <c:v>2_Anticipated</c:v>
                </c:pt>
                <c:pt idx="2">
                  <c:v>2_Pessmistic</c:v>
                </c:pt>
                <c:pt idx="3">
                  <c:v>4_Optimist</c:v>
                </c:pt>
                <c:pt idx="4">
                  <c:v>4_Anticipated</c:v>
                </c:pt>
                <c:pt idx="5">
                  <c:v>4_Pessmistic</c:v>
                </c:pt>
              </c:strCache>
            </c:strRef>
          </c:cat>
          <c:val>
            <c:numRef>
              <c:f>'real skilled unskilled'!$B$2:$B$7</c:f>
              <c:numCache>
                <c:formatCode>General</c:formatCode>
                <c:ptCount val="6"/>
                <c:pt idx="0">
                  <c:v>-1.2484</c:v>
                </c:pt>
                <c:pt idx="1">
                  <c:v>-1.6937</c:v>
                </c:pt>
                <c:pt idx="2">
                  <c:v>-2.1402000000000001</c:v>
                </c:pt>
                <c:pt idx="3">
                  <c:v>-1.6862999999999999</c:v>
                </c:pt>
                <c:pt idx="4">
                  <c:v>-3.3692000000000002</c:v>
                </c:pt>
                <c:pt idx="5">
                  <c:v>-4.3733000000000004</c:v>
                </c:pt>
              </c:numCache>
            </c:numRef>
          </c:val>
          <c:extLst xmlns:c16r2="http://schemas.microsoft.com/office/drawing/2015/06/chart">
            <c:ext xmlns:c16="http://schemas.microsoft.com/office/drawing/2014/chart" uri="{C3380CC4-5D6E-409C-BE32-E72D297353CC}">
              <c16:uniqueId val="{00000000-064D-4D31-A2E5-2EC965646EAE}"/>
            </c:ext>
          </c:extLst>
        </c:ser>
        <c:ser>
          <c:idx val="1"/>
          <c:order val="1"/>
          <c:tx>
            <c:strRef>
              <c:f>'real skilled unskilled'!$C$1</c:f>
              <c:strCache>
                <c:ptCount val="1"/>
                <c:pt idx="0">
                  <c:v>Skilled Labor</c:v>
                </c:pt>
              </c:strCache>
            </c:strRef>
          </c:tx>
          <c:spPr>
            <a:solidFill>
              <a:schemeClr val="accent2"/>
            </a:solidFill>
            <a:ln>
              <a:noFill/>
            </a:ln>
            <a:effectLst/>
          </c:spPr>
          <c:invertIfNegative val="0"/>
          <c:cat>
            <c:strRef>
              <c:f>'real skilled unskilled'!$A$2:$A$7</c:f>
              <c:strCache>
                <c:ptCount val="6"/>
                <c:pt idx="0">
                  <c:v>2_Optimist</c:v>
                </c:pt>
                <c:pt idx="1">
                  <c:v>2_Anticipated</c:v>
                </c:pt>
                <c:pt idx="2">
                  <c:v>2_Pessmistic</c:v>
                </c:pt>
                <c:pt idx="3">
                  <c:v>4_Optimist</c:v>
                </c:pt>
                <c:pt idx="4">
                  <c:v>4_Anticipated</c:v>
                </c:pt>
                <c:pt idx="5">
                  <c:v>4_Pessmistic</c:v>
                </c:pt>
              </c:strCache>
            </c:strRef>
          </c:cat>
          <c:val>
            <c:numRef>
              <c:f>'real skilled unskilled'!$C$2:$C$7</c:f>
              <c:numCache>
                <c:formatCode>General</c:formatCode>
                <c:ptCount val="6"/>
                <c:pt idx="0">
                  <c:v>-1.4213</c:v>
                </c:pt>
                <c:pt idx="1">
                  <c:v>-1.9233</c:v>
                </c:pt>
                <c:pt idx="2">
                  <c:v>-2.4262000000000001</c:v>
                </c:pt>
                <c:pt idx="3">
                  <c:v>-1.9314</c:v>
                </c:pt>
                <c:pt idx="4">
                  <c:v>-3.8868</c:v>
                </c:pt>
                <c:pt idx="5">
                  <c:v>-5.0214999999999996</c:v>
                </c:pt>
              </c:numCache>
            </c:numRef>
          </c:val>
          <c:extLst xmlns:c16r2="http://schemas.microsoft.com/office/drawing/2015/06/chart">
            <c:ext xmlns:c16="http://schemas.microsoft.com/office/drawing/2014/chart" uri="{C3380CC4-5D6E-409C-BE32-E72D297353CC}">
              <c16:uniqueId val="{00000001-064D-4D31-A2E5-2EC965646EAE}"/>
            </c:ext>
          </c:extLst>
        </c:ser>
        <c:dLbls>
          <c:showLegendKey val="0"/>
          <c:showVal val="0"/>
          <c:showCatName val="0"/>
          <c:showSerName val="0"/>
          <c:showPercent val="0"/>
          <c:showBubbleSize val="0"/>
        </c:dLbls>
        <c:gapWidth val="219"/>
        <c:overlap val="-27"/>
        <c:axId val="186025984"/>
        <c:axId val="185933120"/>
      </c:barChart>
      <c:catAx>
        <c:axId val="186025984"/>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33120"/>
        <c:crosses val="autoZero"/>
        <c:auto val="1"/>
        <c:lblAlgn val="ctr"/>
        <c:lblOffset val="100"/>
        <c:noMultiLvlLbl val="0"/>
      </c:catAx>
      <c:valAx>
        <c:axId val="18593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25984"/>
        <c:crosses val="autoZero"/>
        <c:crossBetween val="between"/>
      </c:valAx>
      <c:spPr>
        <a:noFill/>
        <a:ln>
          <a:noFill/>
        </a:ln>
        <a:effectLst/>
      </c:spPr>
    </c:plotArea>
    <c:legend>
      <c:legendPos val="b"/>
      <c:layout>
        <c:manualLayout>
          <c:xMode val="edge"/>
          <c:yMode val="edge"/>
          <c:x val="0.32386525425329021"/>
          <c:y val="0.90321125259399937"/>
          <c:w val="0.35226930266810175"/>
          <c:h val="9.678874740600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48556430446191E-2"/>
          <c:y val="3.3628859675940079E-2"/>
          <c:w val="0.91606255468066489"/>
          <c:h val="0.84386002498694068"/>
        </c:manualLayout>
      </c:layout>
      <c:barChart>
        <c:barDir val="bar"/>
        <c:grouping val="clustered"/>
        <c:varyColors val="0"/>
        <c:ser>
          <c:idx val="0"/>
          <c:order val="0"/>
          <c:tx>
            <c:strRef>
              <c:f>[Climate_Sim_Figure10_to_Figure16.xlsx]qfe!$B$48</c:f>
              <c:strCache>
                <c:ptCount val="1"/>
                <c:pt idx="0">
                  <c:v>Danube</c:v>
                </c:pt>
              </c:strCache>
            </c:strRef>
          </c:tx>
          <c:spPr>
            <a:solidFill>
              <a:schemeClr val="accent1"/>
            </a:solidFill>
            <a:ln>
              <a:noFill/>
            </a:ln>
            <a:effectLst/>
          </c:spPr>
          <c:invertIfNegative val="0"/>
          <c:cat>
            <c:strRef>
              <c:f>[Climate_Sim_Figure10_to_Figure16.xlsx]qfe!$A$49:$A$56</c:f>
              <c:strCache>
                <c:ptCount val="7"/>
                <c:pt idx="0">
                  <c:v>Wheat</c:v>
                </c:pt>
                <c:pt idx="1">
                  <c:v>Grains</c:v>
                </c:pt>
                <c:pt idx="2">
                  <c:v>Vegetables</c:v>
                </c:pt>
                <c:pt idx="3">
                  <c:v>Oil seeds</c:v>
                </c:pt>
                <c:pt idx="4">
                  <c:v>Sugarcane</c:v>
                </c:pt>
                <c:pt idx="5">
                  <c:v>Plant fibers</c:v>
                </c:pt>
                <c:pt idx="6">
                  <c:v>Crops</c:v>
                </c:pt>
              </c:strCache>
            </c:strRef>
          </c:cat>
          <c:val>
            <c:numRef>
              <c:f>[Climate_Sim_Figure10_to_Figure16.xlsx]qfe!$B$49:$B$56</c:f>
              <c:numCache>
                <c:formatCode>General</c:formatCode>
                <c:ptCount val="7"/>
                <c:pt idx="0">
                  <c:v>-13.533984999999999</c:v>
                </c:pt>
                <c:pt idx="1">
                  <c:v>-3.1651419999999999</c:v>
                </c:pt>
                <c:pt idx="2">
                  <c:v>2.2428720000000002</c:v>
                </c:pt>
                <c:pt idx="3">
                  <c:v>1.6565000000000001</c:v>
                </c:pt>
                <c:pt idx="4">
                  <c:v>0.989595</c:v>
                </c:pt>
                <c:pt idx="5">
                  <c:v>0.96945899999999996</c:v>
                </c:pt>
                <c:pt idx="6">
                  <c:v>-1.4714259999999999</c:v>
                </c:pt>
              </c:numCache>
            </c:numRef>
          </c:val>
          <c:extLst xmlns:c16r2="http://schemas.microsoft.com/office/drawing/2015/06/chart">
            <c:ext xmlns:c16="http://schemas.microsoft.com/office/drawing/2014/chart" uri="{C3380CC4-5D6E-409C-BE32-E72D297353CC}">
              <c16:uniqueId val="{00000000-33E1-4787-B4A0-6FA0AB3A4F0E}"/>
            </c:ext>
          </c:extLst>
        </c:ser>
        <c:ser>
          <c:idx val="1"/>
          <c:order val="1"/>
          <c:tx>
            <c:strRef>
              <c:f>[Climate_Sim_Figure10_to_Figure16.xlsx]qfe!$C$48</c:f>
              <c:strCache>
                <c:ptCount val="1"/>
                <c:pt idx="0">
                  <c:v>BlackSea</c:v>
                </c:pt>
              </c:strCache>
            </c:strRef>
          </c:tx>
          <c:spPr>
            <a:solidFill>
              <a:schemeClr val="accent2"/>
            </a:solidFill>
            <a:ln>
              <a:noFill/>
            </a:ln>
            <a:effectLst/>
          </c:spPr>
          <c:invertIfNegative val="0"/>
          <c:cat>
            <c:strRef>
              <c:f>[Climate_Sim_Figure10_to_Figure16.xlsx]qfe!$A$49:$A$56</c:f>
              <c:strCache>
                <c:ptCount val="7"/>
                <c:pt idx="0">
                  <c:v>Wheat</c:v>
                </c:pt>
                <c:pt idx="1">
                  <c:v>Grains</c:v>
                </c:pt>
                <c:pt idx="2">
                  <c:v>Vegetables</c:v>
                </c:pt>
                <c:pt idx="3">
                  <c:v>Oil seeds</c:v>
                </c:pt>
                <c:pt idx="4">
                  <c:v>Sugarcane</c:v>
                </c:pt>
                <c:pt idx="5">
                  <c:v>Plant fibers</c:v>
                </c:pt>
                <c:pt idx="6">
                  <c:v>Crops</c:v>
                </c:pt>
              </c:strCache>
            </c:strRef>
          </c:cat>
          <c:val>
            <c:numRef>
              <c:f>[Climate_Sim_Figure10_to_Figure16.xlsx]qfe!$C$49:$C$56</c:f>
              <c:numCache>
                <c:formatCode>General</c:formatCode>
                <c:ptCount val="7"/>
                <c:pt idx="0">
                  <c:v>-2.5953170000000001</c:v>
                </c:pt>
                <c:pt idx="1">
                  <c:v>-0.60695699999999997</c:v>
                </c:pt>
                <c:pt idx="2">
                  <c:v>0.43009999999999998</c:v>
                </c:pt>
                <c:pt idx="3">
                  <c:v>0.31765500000000002</c:v>
                </c:pt>
                <c:pt idx="4">
                  <c:v>0.18976799999999999</c:v>
                </c:pt>
                <c:pt idx="5">
                  <c:v>0.18590599999999999</c:v>
                </c:pt>
                <c:pt idx="6">
                  <c:v>-0.282165</c:v>
                </c:pt>
              </c:numCache>
            </c:numRef>
          </c:val>
          <c:extLst xmlns:c16r2="http://schemas.microsoft.com/office/drawing/2015/06/chart">
            <c:ext xmlns:c16="http://schemas.microsoft.com/office/drawing/2014/chart" uri="{C3380CC4-5D6E-409C-BE32-E72D297353CC}">
              <c16:uniqueId val="{00000001-33E1-4787-B4A0-6FA0AB3A4F0E}"/>
            </c:ext>
          </c:extLst>
        </c:ser>
        <c:ser>
          <c:idx val="2"/>
          <c:order val="2"/>
          <c:tx>
            <c:strRef>
              <c:f>[Climate_Sim_Figure10_to_Figure16.xlsx]qfe!$D$48</c:f>
              <c:strCache>
                <c:ptCount val="1"/>
                <c:pt idx="0">
                  <c:v>WestAegean</c:v>
                </c:pt>
              </c:strCache>
            </c:strRef>
          </c:tx>
          <c:spPr>
            <a:solidFill>
              <a:schemeClr val="accent3"/>
            </a:solidFill>
            <a:ln>
              <a:noFill/>
            </a:ln>
            <a:effectLst/>
          </c:spPr>
          <c:invertIfNegative val="0"/>
          <c:cat>
            <c:strRef>
              <c:f>[Climate_Sim_Figure10_to_Figure16.xlsx]qfe!$A$49:$A$56</c:f>
              <c:strCache>
                <c:ptCount val="7"/>
                <c:pt idx="0">
                  <c:v>Wheat</c:v>
                </c:pt>
                <c:pt idx="1">
                  <c:v>Grains</c:v>
                </c:pt>
                <c:pt idx="2">
                  <c:v>Vegetables</c:v>
                </c:pt>
                <c:pt idx="3">
                  <c:v>Oil seeds</c:v>
                </c:pt>
                <c:pt idx="4">
                  <c:v>Sugarcane</c:v>
                </c:pt>
                <c:pt idx="5">
                  <c:v>Plant fibers</c:v>
                </c:pt>
                <c:pt idx="6">
                  <c:v>Crops</c:v>
                </c:pt>
              </c:strCache>
            </c:strRef>
          </c:cat>
          <c:val>
            <c:numRef>
              <c:f>[Climate_Sim_Figure10_to_Figure16.xlsx]qfe!$D$49:$D$56</c:f>
              <c:numCache>
                <c:formatCode>General</c:formatCode>
                <c:ptCount val="7"/>
                <c:pt idx="0">
                  <c:v>-0.15935099999999999</c:v>
                </c:pt>
                <c:pt idx="1">
                  <c:v>-3.7267000000000002E-2</c:v>
                </c:pt>
                <c:pt idx="2">
                  <c:v>2.6408000000000001E-2</c:v>
                </c:pt>
                <c:pt idx="3">
                  <c:v>1.9504000000000001E-2</c:v>
                </c:pt>
                <c:pt idx="4">
                  <c:v>1.1651999999999999E-2</c:v>
                </c:pt>
                <c:pt idx="5">
                  <c:v>1.1415E-2</c:v>
                </c:pt>
                <c:pt idx="6">
                  <c:v>-1.7325E-2</c:v>
                </c:pt>
              </c:numCache>
            </c:numRef>
          </c:val>
          <c:extLst xmlns:c16r2="http://schemas.microsoft.com/office/drawing/2015/06/chart">
            <c:ext xmlns:c16="http://schemas.microsoft.com/office/drawing/2014/chart" uri="{C3380CC4-5D6E-409C-BE32-E72D297353CC}">
              <c16:uniqueId val="{00000002-33E1-4787-B4A0-6FA0AB3A4F0E}"/>
            </c:ext>
          </c:extLst>
        </c:ser>
        <c:ser>
          <c:idx val="3"/>
          <c:order val="3"/>
          <c:tx>
            <c:strRef>
              <c:f>[Climate_Sim_Figure10_to_Figure16.xlsx]qfe!$E$48</c:f>
              <c:strCache>
                <c:ptCount val="1"/>
                <c:pt idx="0">
                  <c:v>EastAegean</c:v>
                </c:pt>
              </c:strCache>
            </c:strRef>
          </c:tx>
          <c:spPr>
            <a:solidFill>
              <a:schemeClr val="accent4"/>
            </a:solidFill>
            <a:ln>
              <a:noFill/>
            </a:ln>
            <a:effectLst/>
          </c:spPr>
          <c:invertIfNegative val="0"/>
          <c:cat>
            <c:strRef>
              <c:f>[Climate_Sim_Figure10_to_Figure16.xlsx]qfe!$A$49:$A$56</c:f>
              <c:strCache>
                <c:ptCount val="7"/>
                <c:pt idx="0">
                  <c:v>Wheat</c:v>
                </c:pt>
                <c:pt idx="1">
                  <c:v>Grains</c:v>
                </c:pt>
                <c:pt idx="2">
                  <c:v>Vegetables</c:v>
                </c:pt>
                <c:pt idx="3">
                  <c:v>Oil seeds</c:v>
                </c:pt>
                <c:pt idx="4">
                  <c:v>Sugarcane</c:v>
                </c:pt>
                <c:pt idx="5">
                  <c:v>Plant fibers</c:v>
                </c:pt>
                <c:pt idx="6">
                  <c:v>Crops</c:v>
                </c:pt>
              </c:strCache>
            </c:strRef>
          </c:cat>
          <c:val>
            <c:numRef>
              <c:f>[Climate_Sim_Figure10_to_Figure16.xlsx]qfe!$E$49:$E$56</c:f>
              <c:numCache>
                <c:formatCode>General</c:formatCode>
                <c:ptCount val="7"/>
                <c:pt idx="0">
                  <c:v>-4.4796490000000002</c:v>
                </c:pt>
                <c:pt idx="1">
                  <c:v>-1.0476380000000001</c:v>
                </c:pt>
                <c:pt idx="2">
                  <c:v>0.74237399999999998</c:v>
                </c:pt>
                <c:pt idx="3">
                  <c:v>0.54828900000000003</c:v>
                </c:pt>
                <c:pt idx="4">
                  <c:v>0.32754800000000001</c:v>
                </c:pt>
                <c:pt idx="5">
                  <c:v>0.320884</c:v>
                </c:pt>
                <c:pt idx="6">
                  <c:v>-0.48703099999999999</c:v>
                </c:pt>
              </c:numCache>
            </c:numRef>
          </c:val>
          <c:extLst xmlns:c16r2="http://schemas.microsoft.com/office/drawing/2015/06/chart">
            <c:ext xmlns:c16="http://schemas.microsoft.com/office/drawing/2014/chart" uri="{C3380CC4-5D6E-409C-BE32-E72D297353CC}">
              <c16:uniqueId val="{00000003-33E1-4787-B4A0-6FA0AB3A4F0E}"/>
            </c:ext>
          </c:extLst>
        </c:ser>
        <c:dLbls>
          <c:showLegendKey val="0"/>
          <c:showVal val="0"/>
          <c:showCatName val="0"/>
          <c:showSerName val="0"/>
          <c:showPercent val="0"/>
          <c:showBubbleSize val="0"/>
        </c:dLbls>
        <c:gapWidth val="182"/>
        <c:axId val="186027520"/>
        <c:axId val="186344576"/>
      </c:barChart>
      <c:catAx>
        <c:axId val="18602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344576"/>
        <c:crosses val="autoZero"/>
        <c:auto val="1"/>
        <c:lblAlgn val="ctr"/>
        <c:lblOffset val="50"/>
        <c:noMultiLvlLbl val="0"/>
      </c:catAx>
      <c:valAx>
        <c:axId val="186344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27520"/>
        <c:crosses val="autoZero"/>
        <c:crossBetween val="between"/>
      </c:valAx>
      <c:spPr>
        <a:noFill/>
        <a:ln>
          <a:noFill/>
        </a:ln>
        <a:effectLst/>
      </c:spPr>
    </c:plotArea>
    <c:legend>
      <c:legendPos val="b"/>
      <c:layout>
        <c:manualLayout>
          <c:xMode val="edge"/>
          <c:yMode val="edge"/>
          <c:x val="0.184497375328084"/>
          <c:y val="0.94840991100508631"/>
          <c:w val="0.63100524934383206"/>
          <c:h val="5.15900889949135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48556430446191E-2"/>
          <c:y val="3.3628859675940079E-2"/>
          <c:w val="0.91606255468066489"/>
          <c:h val="0.84997436310983887"/>
        </c:manualLayout>
      </c:layout>
      <c:barChart>
        <c:barDir val="bar"/>
        <c:grouping val="clustered"/>
        <c:varyColors val="0"/>
        <c:ser>
          <c:idx val="0"/>
          <c:order val="0"/>
          <c:tx>
            <c:strRef>
              <c:f>[Climate_Sim_Figure10_to_Figure16.xlsx]qfe!$J$48</c:f>
              <c:strCache>
                <c:ptCount val="1"/>
                <c:pt idx="0">
                  <c:v>Danube</c:v>
                </c:pt>
              </c:strCache>
            </c:strRef>
          </c:tx>
          <c:spPr>
            <a:solidFill>
              <a:schemeClr val="accent1"/>
            </a:solidFill>
            <a:ln>
              <a:noFill/>
            </a:ln>
            <a:effectLst/>
          </c:spPr>
          <c:invertIfNegative val="0"/>
          <c:cat>
            <c:strRef>
              <c:f>[Climate_Sim_Figure10_to_Figure16.xlsx]qfe!$I$49:$I$56</c:f>
              <c:strCache>
                <c:ptCount val="7"/>
                <c:pt idx="0">
                  <c:v>Wheat</c:v>
                </c:pt>
                <c:pt idx="1">
                  <c:v>Grains</c:v>
                </c:pt>
                <c:pt idx="2">
                  <c:v>Vegetables</c:v>
                </c:pt>
                <c:pt idx="3">
                  <c:v>Oil seeds</c:v>
                </c:pt>
                <c:pt idx="4">
                  <c:v>Sugarcane</c:v>
                </c:pt>
                <c:pt idx="5">
                  <c:v>Plant fibers</c:v>
                </c:pt>
                <c:pt idx="6">
                  <c:v>Crops</c:v>
                </c:pt>
              </c:strCache>
            </c:strRef>
          </c:cat>
          <c:val>
            <c:numRef>
              <c:f>[Climate_Sim_Figure10_to_Figure16.xlsx]qfe!$J$49:$J$56</c:f>
              <c:numCache>
                <c:formatCode>General</c:formatCode>
                <c:ptCount val="7"/>
                <c:pt idx="0">
                  <c:v>-12.030654999999999</c:v>
                </c:pt>
                <c:pt idx="1">
                  <c:v>-7.7033389999999997</c:v>
                </c:pt>
                <c:pt idx="2">
                  <c:v>4.3058810000000003</c:v>
                </c:pt>
                <c:pt idx="3">
                  <c:v>2.9297840000000002</c:v>
                </c:pt>
                <c:pt idx="4">
                  <c:v>1.1012459999999999</c:v>
                </c:pt>
                <c:pt idx="5">
                  <c:v>1.3446450000000001</c:v>
                </c:pt>
                <c:pt idx="6">
                  <c:v>-3.5256599999999998</c:v>
                </c:pt>
              </c:numCache>
            </c:numRef>
          </c:val>
          <c:extLst xmlns:c16r2="http://schemas.microsoft.com/office/drawing/2015/06/chart">
            <c:ext xmlns:c16="http://schemas.microsoft.com/office/drawing/2014/chart" uri="{C3380CC4-5D6E-409C-BE32-E72D297353CC}">
              <c16:uniqueId val="{00000000-64CC-41BA-A443-59F7BA44D198}"/>
            </c:ext>
          </c:extLst>
        </c:ser>
        <c:ser>
          <c:idx val="1"/>
          <c:order val="1"/>
          <c:tx>
            <c:strRef>
              <c:f>[Climate_Sim_Figure10_to_Figure16.xlsx]qfe!$K$48</c:f>
              <c:strCache>
                <c:ptCount val="1"/>
                <c:pt idx="0">
                  <c:v>BlackSea</c:v>
                </c:pt>
              </c:strCache>
            </c:strRef>
          </c:tx>
          <c:spPr>
            <a:solidFill>
              <a:schemeClr val="accent2"/>
            </a:solidFill>
            <a:ln>
              <a:noFill/>
            </a:ln>
            <a:effectLst/>
          </c:spPr>
          <c:invertIfNegative val="0"/>
          <c:cat>
            <c:strRef>
              <c:f>[Climate_Sim_Figure10_to_Figure16.xlsx]qfe!$I$49:$I$56</c:f>
              <c:strCache>
                <c:ptCount val="7"/>
                <c:pt idx="0">
                  <c:v>Wheat</c:v>
                </c:pt>
                <c:pt idx="1">
                  <c:v>Grains</c:v>
                </c:pt>
                <c:pt idx="2">
                  <c:v>Vegetables</c:v>
                </c:pt>
                <c:pt idx="3">
                  <c:v>Oil seeds</c:v>
                </c:pt>
                <c:pt idx="4">
                  <c:v>Sugarcane</c:v>
                </c:pt>
                <c:pt idx="5">
                  <c:v>Plant fibers</c:v>
                </c:pt>
                <c:pt idx="6">
                  <c:v>Crops</c:v>
                </c:pt>
              </c:strCache>
            </c:strRef>
          </c:cat>
          <c:val>
            <c:numRef>
              <c:f>[Climate_Sim_Figure10_to_Figure16.xlsx]qfe!$K$49:$K$56</c:f>
              <c:numCache>
                <c:formatCode>General</c:formatCode>
                <c:ptCount val="7"/>
                <c:pt idx="0">
                  <c:v>-2.3070339999999998</c:v>
                </c:pt>
                <c:pt idx="1">
                  <c:v>-1.4772149999999999</c:v>
                </c:pt>
                <c:pt idx="2">
                  <c:v>0.825708</c:v>
                </c:pt>
                <c:pt idx="3">
                  <c:v>0.56182399999999999</c:v>
                </c:pt>
                <c:pt idx="4">
                  <c:v>0.211178</c:v>
                </c:pt>
                <c:pt idx="5">
                  <c:v>0.257853</c:v>
                </c:pt>
                <c:pt idx="6">
                  <c:v>-0.676091</c:v>
                </c:pt>
              </c:numCache>
            </c:numRef>
          </c:val>
          <c:extLst xmlns:c16r2="http://schemas.microsoft.com/office/drawing/2015/06/chart">
            <c:ext xmlns:c16="http://schemas.microsoft.com/office/drawing/2014/chart" uri="{C3380CC4-5D6E-409C-BE32-E72D297353CC}">
              <c16:uniqueId val="{00000001-64CC-41BA-A443-59F7BA44D198}"/>
            </c:ext>
          </c:extLst>
        </c:ser>
        <c:ser>
          <c:idx val="2"/>
          <c:order val="2"/>
          <c:tx>
            <c:strRef>
              <c:f>[Climate_Sim_Figure10_to_Figure16.xlsx]qfe!$L$48</c:f>
              <c:strCache>
                <c:ptCount val="1"/>
                <c:pt idx="0">
                  <c:v>WestAegean</c:v>
                </c:pt>
              </c:strCache>
            </c:strRef>
          </c:tx>
          <c:spPr>
            <a:solidFill>
              <a:schemeClr val="accent3"/>
            </a:solidFill>
            <a:ln>
              <a:noFill/>
            </a:ln>
            <a:effectLst/>
          </c:spPr>
          <c:invertIfNegative val="0"/>
          <c:cat>
            <c:strRef>
              <c:f>[Climate_Sim_Figure10_to_Figure16.xlsx]qfe!$I$49:$I$56</c:f>
              <c:strCache>
                <c:ptCount val="7"/>
                <c:pt idx="0">
                  <c:v>Wheat</c:v>
                </c:pt>
                <c:pt idx="1">
                  <c:v>Grains</c:v>
                </c:pt>
                <c:pt idx="2">
                  <c:v>Vegetables</c:v>
                </c:pt>
                <c:pt idx="3">
                  <c:v>Oil seeds</c:v>
                </c:pt>
                <c:pt idx="4">
                  <c:v>Sugarcane</c:v>
                </c:pt>
                <c:pt idx="5">
                  <c:v>Plant fibers</c:v>
                </c:pt>
                <c:pt idx="6">
                  <c:v>Crops</c:v>
                </c:pt>
              </c:strCache>
            </c:strRef>
          </c:cat>
          <c:val>
            <c:numRef>
              <c:f>[Climate_Sim_Figure10_to_Figure16.xlsx]qfe!$L$49:$L$56</c:f>
              <c:numCache>
                <c:formatCode>General</c:formatCode>
                <c:ptCount val="7"/>
                <c:pt idx="0">
                  <c:v>-0.14165</c:v>
                </c:pt>
                <c:pt idx="1">
                  <c:v>-9.0700000000000003E-2</c:v>
                </c:pt>
                <c:pt idx="2">
                  <c:v>5.0698E-2</c:v>
                </c:pt>
                <c:pt idx="3">
                  <c:v>3.4495999999999999E-2</c:v>
                </c:pt>
                <c:pt idx="4">
                  <c:v>1.2966E-2</c:v>
                </c:pt>
                <c:pt idx="5">
                  <c:v>1.5831999999999999E-2</c:v>
                </c:pt>
                <c:pt idx="6">
                  <c:v>-4.1510999999999999E-2</c:v>
                </c:pt>
              </c:numCache>
            </c:numRef>
          </c:val>
          <c:extLst xmlns:c16r2="http://schemas.microsoft.com/office/drawing/2015/06/chart">
            <c:ext xmlns:c16="http://schemas.microsoft.com/office/drawing/2014/chart" uri="{C3380CC4-5D6E-409C-BE32-E72D297353CC}">
              <c16:uniqueId val="{00000002-64CC-41BA-A443-59F7BA44D198}"/>
            </c:ext>
          </c:extLst>
        </c:ser>
        <c:ser>
          <c:idx val="3"/>
          <c:order val="3"/>
          <c:tx>
            <c:strRef>
              <c:f>[Climate_Sim_Figure10_to_Figure16.xlsx]qfe!$M$48</c:f>
              <c:strCache>
                <c:ptCount val="1"/>
                <c:pt idx="0">
                  <c:v>EastAegean</c:v>
                </c:pt>
              </c:strCache>
            </c:strRef>
          </c:tx>
          <c:spPr>
            <a:solidFill>
              <a:schemeClr val="accent4"/>
            </a:solidFill>
            <a:ln>
              <a:noFill/>
            </a:ln>
            <a:effectLst/>
          </c:spPr>
          <c:invertIfNegative val="0"/>
          <c:cat>
            <c:strRef>
              <c:f>[Climate_Sim_Figure10_to_Figure16.xlsx]qfe!$I$49:$I$56</c:f>
              <c:strCache>
                <c:ptCount val="7"/>
                <c:pt idx="0">
                  <c:v>Wheat</c:v>
                </c:pt>
                <c:pt idx="1">
                  <c:v>Grains</c:v>
                </c:pt>
                <c:pt idx="2">
                  <c:v>Vegetables</c:v>
                </c:pt>
                <c:pt idx="3">
                  <c:v>Oil seeds</c:v>
                </c:pt>
                <c:pt idx="4">
                  <c:v>Sugarcane</c:v>
                </c:pt>
                <c:pt idx="5">
                  <c:v>Plant fibers</c:v>
                </c:pt>
                <c:pt idx="6">
                  <c:v>Crops</c:v>
                </c:pt>
              </c:strCache>
            </c:strRef>
          </c:cat>
          <c:val>
            <c:numRef>
              <c:f>[Climate_Sim_Figure10_to_Figure16.xlsx]qfe!$M$49:$M$56</c:f>
              <c:numCache>
                <c:formatCode>General</c:formatCode>
                <c:ptCount val="7"/>
                <c:pt idx="0">
                  <c:v>-3.9820570000000002</c:v>
                </c:pt>
                <c:pt idx="1">
                  <c:v>-2.5497480000000001</c:v>
                </c:pt>
                <c:pt idx="2">
                  <c:v>1.4252149999999999</c:v>
                </c:pt>
                <c:pt idx="3">
                  <c:v>0.96973699999999996</c:v>
                </c:pt>
                <c:pt idx="4">
                  <c:v>0.36450399999999999</c:v>
                </c:pt>
                <c:pt idx="5">
                  <c:v>0.44506699999999999</c:v>
                </c:pt>
                <c:pt idx="6">
                  <c:v>-1.1669670000000001</c:v>
                </c:pt>
              </c:numCache>
            </c:numRef>
          </c:val>
          <c:extLst xmlns:c16r2="http://schemas.microsoft.com/office/drawing/2015/06/chart">
            <c:ext xmlns:c16="http://schemas.microsoft.com/office/drawing/2014/chart" uri="{C3380CC4-5D6E-409C-BE32-E72D297353CC}">
              <c16:uniqueId val="{00000003-64CC-41BA-A443-59F7BA44D198}"/>
            </c:ext>
          </c:extLst>
        </c:ser>
        <c:dLbls>
          <c:showLegendKey val="0"/>
          <c:showVal val="0"/>
          <c:showCatName val="0"/>
          <c:showSerName val="0"/>
          <c:showPercent val="0"/>
          <c:showBubbleSize val="0"/>
        </c:dLbls>
        <c:gapWidth val="182"/>
        <c:axId val="141265920"/>
        <c:axId val="186346304"/>
      </c:barChart>
      <c:catAx>
        <c:axId val="14126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346304"/>
        <c:crosses val="autoZero"/>
        <c:auto val="1"/>
        <c:lblAlgn val="ctr"/>
        <c:lblOffset val="0"/>
        <c:tickLblSkip val="1"/>
        <c:noMultiLvlLbl val="0"/>
      </c:catAx>
      <c:valAx>
        <c:axId val="186346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65920"/>
        <c:crosses val="autoZero"/>
        <c:crossBetween val="between"/>
      </c:valAx>
      <c:spPr>
        <a:noFill/>
        <a:ln>
          <a:noFill/>
        </a:ln>
        <a:effectLst/>
      </c:spPr>
    </c:plotArea>
    <c:legend>
      <c:legendPos val="b"/>
      <c:layout>
        <c:manualLayout>
          <c:xMode val="edge"/>
          <c:yMode val="edge"/>
          <c:x val="0.184497375328084"/>
          <c:y val="0.94840991100508631"/>
          <c:w val="0.63100524934383206"/>
          <c:h val="5.15900889949135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525371828521433E-2"/>
          <c:y val="5.8526203777600427E-2"/>
          <c:w val="0.83899314668999714"/>
          <c:h val="0.73890191100414127"/>
        </c:manualLayout>
      </c:layout>
      <c:barChart>
        <c:barDir val="bar"/>
        <c:grouping val="clustered"/>
        <c:varyColors val="0"/>
        <c:ser>
          <c:idx val="0"/>
          <c:order val="0"/>
          <c:tx>
            <c:strRef>
              <c:f>Sheet3!$F$14</c:f>
              <c:strCache>
                <c:ptCount val="1"/>
                <c:pt idx="0">
                  <c:v>2 Degrees by 2050</c:v>
                </c:pt>
              </c:strCache>
            </c:strRef>
          </c:tx>
          <c:spPr>
            <a:solidFill>
              <a:schemeClr val="accent1"/>
            </a:solidFill>
            <a:ln>
              <a:noFill/>
            </a:ln>
            <a:effectLst/>
          </c:spPr>
          <c:invertIfNegative val="0"/>
          <c:cat>
            <c:strRef>
              <c:f>Sheet3!$G$13:$I$13</c:f>
              <c:strCache>
                <c:ptCount val="3"/>
                <c:pt idx="0">
                  <c:v>Optimistic</c:v>
                </c:pt>
                <c:pt idx="1">
                  <c:v>Anticipated</c:v>
                </c:pt>
                <c:pt idx="2">
                  <c:v>Pessimistic</c:v>
                </c:pt>
              </c:strCache>
            </c:strRef>
          </c:cat>
          <c:val>
            <c:numRef>
              <c:f>Sheet3!$G$14:$I$14</c:f>
              <c:numCache>
                <c:formatCode>General</c:formatCode>
                <c:ptCount val="3"/>
                <c:pt idx="0">
                  <c:v>-670.24300000000005</c:v>
                </c:pt>
                <c:pt idx="1">
                  <c:v>-905.77099999999996</c:v>
                </c:pt>
                <c:pt idx="2">
                  <c:v>-1147.5319999999999</c:v>
                </c:pt>
              </c:numCache>
            </c:numRef>
          </c:val>
          <c:extLst xmlns:c16r2="http://schemas.microsoft.com/office/drawing/2015/06/chart">
            <c:ext xmlns:c16="http://schemas.microsoft.com/office/drawing/2014/chart" uri="{C3380CC4-5D6E-409C-BE32-E72D297353CC}">
              <c16:uniqueId val="{00000000-1202-4511-B148-11269C83EA18}"/>
            </c:ext>
          </c:extLst>
        </c:ser>
        <c:ser>
          <c:idx val="1"/>
          <c:order val="1"/>
          <c:tx>
            <c:strRef>
              <c:f>Sheet3!$F$15</c:f>
              <c:strCache>
                <c:ptCount val="1"/>
                <c:pt idx="0">
                  <c:v>4 Degrees by 2050</c:v>
                </c:pt>
              </c:strCache>
            </c:strRef>
          </c:tx>
          <c:spPr>
            <a:solidFill>
              <a:schemeClr val="accent2"/>
            </a:solidFill>
            <a:ln>
              <a:noFill/>
            </a:ln>
            <a:effectLst/>
          </c:spPr>
          <c:invertIfNegative val="0"/>
          <c:cat>
            <c:strRef>
              <c:f>Sheet3!$G$13:$I$13</c:f>
              <c:strCache>
                <c:ptCount val="3"/>
                <c:pt idx="0">
                  <c:v>Optimistic</c:v>
                </c:pt>
                <c:pt idx="1">
                  <c:v>Anticipated</c:v>
                </c:pt>
                <c:pt idx="2">
                  <c:v>Pessimistic</c:v>
                </c:pt>
              </c:strCache>
            </c:strRef>
          </c:cat>
          <c:val>
            <c:numRef>
              <c:f>Sheet3!$G$15:$I$15</c:f>
              <c:numCache>
                <c:formatCode>General</c:formatCode>
                <c:ptCount val="3"/>
                <c:pt idx="0">
                  <c:v>-908.86400000000003</c:v>
                </c:pt>
                <c:pt idx="1">
                  <c:v>-1795.3009999999999</c:v>
                </c:pt>
                <c:pt idx="2">
                  <c:v>-2319.6990000000001</c:v>
                </c:pt>
              </c:numCache>
            </c:numRef>
          </c:val>
          <c:extLst xmlns:c16r2="http://schemas.microsoft.com/office/drawing/2015/06/chart">
            <c:ext xmlns:c16="http://schemas.microsoft.com/office/drawing/2014/chart" uri="{C3380CC4-5D6E-409C-BE32-E72D297353CC}">
              <c16:uniqueId val="{00000001-1202-4511-B148-11269C83EA18}"/>
            </c:ext>
          </c:extLst>
        </c:ser>
        <c:dLbls>
          <c:showLegendKey val="0"/>
          <c:showVal val="0"/>
          <c:showCatName val="0"/>
          <c:showSerName val="0"/>
          <c:showPercent val="0"/>
          <c:showBubbleSize val="0"/>
        </c:dLbls>
        <c:gapWidth val="182"/>
        <c:axId val="217299968"/>
        <c:axId val="186349184"/>
      </c:barChart>
      <c:catAx>
        <c:axId val="217299968"/>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349184"/>
        <c:crosses val="autoZero"/>
        <c:auto val="1"/>
        <c:lblAlgn val="ctr"/>
        <c:lblOffset val="100"/>
        <c:noMultiLvlLbl val="0"/>
      </c:catAx>
      <c:valAx>
        <c:axId val="186349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99968"/>
        <c:crosses val="autoZero"/>
        <c:crossBetween val="between"/>
      </c:valAx>
      <c:spPr>
        <a:noFill/>
        <a:ln>
          <a:noFill/>
        </a:ln>
        <a:effectLst/>
      </c:spPr>
    </c:plotArea>
    <c:legend>
      <c:legendPos val="b"/>
      <c:layout>
        <c:manualLayout>
          <c:xMode val="edge"/>
          <c:yMode val="edge"/>
          <c:x val="0"/>
          <c:y val="0.91021485442811267"/>
          <c:w val="0.99675816564596087"/>
          <c:h val="8.97851455718873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82526495394773"/>
          <c:y val="0.11689146797097014"/>
          <c:w val="0.81402383990538729"/>
          <c:h val="0.75974200495409538"/>
        </c:manualLayout>
      </c:layout>
      <c:barChart>
        <c:barDir val="col"/>
        <c:grouping val="clustered"/>
        <c:varyColors val="0"/>
        <c:ser>
          <c:idx val="0"/>
          <c:order val="0"/>
          <c:tx>
            <c:strRef>
              <c:f>F27B!$F$23</c:f>
              <c:strCache>
                <c:ptCount val="1"/>
                <c:pt idx="0">
                  <c:v>2 Degrees by 2050</c:v>
                </c:pt>
              </c:strCache>
            </c:strRef>
          </c:tx>
          <c:spPr>
            <a:solidFill>
              <a:schemeClr val="accent1"/>
            </a:solidFill>
            <a:ln>
              <a:noFill/>
            </a:ln>
            <a:effectLst/>
          </c:spPr>
          <c:invertIfNegative val="0"/>
          <c:cat>
            <c:strRef>
              <c:f>F27B!$G$22:$I$22</c:f>
              <c:strCache>
                <c:ptCount val="3"/>
                <c:pt idx="0">
                  <c:v>Optimistic</c:v>
                </c:pt>
                <c:pt idx="1">
                  <c:v>Anticipated</c:v>
                </c:pt>
                <c:pt idx="2">
                  <c:v>Pessimistic</c:v>
                </c:pt>
              </c:strCache>
            </c:strRef>
          </c:cat>
          <c:val>
            <c:numRef>
              <c:f>F27B!$G$23:$I$23</c:f>
              <c:numCache>
                <c:formatCode>General</c:formatCode>
                <c:ptCount val="3"/>
                <c:pt idx="0">
                  <c:v>-1.02430124</c:v>
                </c:pt>
                <c:pt idx="1">
                  <c:v>-1.384248097</c:v>
                </c:pt>
                <c:pt idx="2">
                  <c:v>-1.7537213599999999</c:v>
                </c:pt>
              </c:numCache>
            </c:numRef>
          </c:val>
          <c:extLst xmlns:c16r2="http://schemas.microsoft.com/office/drawing/2015/06/chart">
            <c:ext xmlns:c16="http://schemas.microsoft.com/office/drawing/2014/chart" uri="{C3380CC4-5D6E-409C-BE32-E72D297353CC}">
              <c16:uniqueId val="{00000000-A81B-4661-A74A-922AB9EA19AD}"/>
            </c:ext>
          </c:extLst>
        </c:ser>
        <c:ser>
          <c:idx val="1"/>
          <c:order val="1"/>
          <c:tx>
            <c:strRef>
              <c:f>F27B!$F$24</c:f>
              <c:strCache>
                <c:ptCount val="1"/>
                <c:pt idx="0">
                  <c:v>4 Degrees by 2050</c:v>
                </c:pt>
              </c:strCache>
            </c:strRef>
          </c:tx>
          <c:spPr>
            <a:solidFill>
              <a:schemeClr val="accent2"/>
            </a:solidFill>
            <a:ln>
              <a:noFill/>
            </a:ln>
            <a:effectLst/>
          </c:spPr>
          <c:invertIfNegative val="0"/>
          <c:cat>
            <c:strRef>
              <c:f>F27B!$G$22:$I$22</c:f>
              <c:strCache>
                <c:ptCount val="3"/>
                <c:pt idx="0">
                  <c:v>Optimistic</c:v>
                </c:pt>
                <c:pt idx="1">
                  <c:v>Anticipated</c:v>
                </c:pt>
                <c:pt idx="2">
                  <c:v>Pessimistic</c:v>
                </c:pt>
              </c:strCache>
            </c:strRef>
          </c:cat>
          <c:val>
            <c:numRef>
              <c:f>F27B!$G$24:$I$24</c:f>
              <c:numCache>
                <c:formatCode>General</c:formatCode>
                <c:ptCount val="3"/>
                <c:pt idx="0">
                  <c:v>-1.388975855</c:v>
                </c:pt>
                <c:pt idx="1">
                  <c:v>-2.74367698</c:v>
                </c:pt>
                <c:pt idx="2">
                  <c:v>-3.5450912849999998</c:v>
                </c:pt>
              </c:numCache>
            </c:numRef>
          </c:val>
          <c:extLst xmlns:c16r2="http://schemas.microsoft.com/office/drawing/2015/06/chart">
            <c:ext xmlns:c16="http://schemas.microsoft.com/office/drawing/2014/chart" uri="{C3380CC4-5D6E-409C-BE32-E72D297353CC}">
              <c16:uniqueId val="{00000001-A81B-4661-A74A-922AB9EA19AD}"/>
            </c:ext>
          </c:extLst>
        </c:ser>
        <c:dLbls>
          <c:showLegendKey val="0"/>
          <c:showVal val="0"/>
          <c:showCatName val="0"/>
          <c:showSerName val="0"/>
          <c:showPercent val="0"/>
          <c:showBubbleSize val="0"/>
        </c:dLbls>
        <c:gapWidth val="219"/>
        <c:overlap val="-27"/>
        <c:axId val="217657344"/>
        <c:axId val="186348032"/>
      </c:barChart>
      <c:catAx>
        <c:axId val="217657344"/>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348032"/>
        <c:crosses val="autoZero"/>
        <c:auto val="1"/>
        <c:lblAlgn val="ctr"/>
        <c:lblOffset val="100"/>
        <c:noMultiLvlLbl val="0"/>
      </c:catAx>
      <c:valAx>
        <c:axId val="18634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657344"/>
        <c:crosses val="autoZero"/>
        <c:crossBetween val="between"/>
      </c:valAx>
      <c:spPr>
        <a:noFill/>
        <a:ln>
          <a:noFill/>
        </a:ln>
        <a:effectLst/>
      </c:spPr>
    </c:plotArea>
    <c:legend>
      <c:legendPos val="b"/>
      <c:layout>
        <c:manualLayout>
          <c:xMode val="edge"/>
          <c:yMode val="edge"/>
          <c:x val="0"/>
          <c:y val="0.91023873345619011"/>
          <c:w val="0.99651134052326229"/>
          <c:h val="8.97612665438096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835696231498137E-2"/>
          <c:y val="0.11187921878650492"/>
          <c:w val="0.91194589777995061"/>
          <c:h val="0.81992965795073536"/>
        </c:manualLayout>
      </c:layout>
      <c:barChart>
        <c:barDir val="col"/>
        <c:grouping val="clustered"/>
        <c:varyColors val="0"/>
        <c:ser>
          <c:idx val="0"/>
          <c:order val="0"/>
          <c:tx>
            <c:strRef>
              <c:f>Sheet2!$A$2</c:f>
              <c:strCache>
                <c:ptCount val="1"/>
                <c:pt idx="0">
                  <c:v>Efficiency Impacts</c:v>
                </c:pt>
              </c:strCache>
            </c:strRef>
          </c:tx>
          <c:spPr>
            <a:solidFill>
              <a:srgbClr val="4F81BD"/>
            </a:solidFill>
            <a:ln>
              <a:noFill/>
            </a:ln>
            <a:effectLst/>
          </c:spPr>
          <c:invertIfNegative val="0"/>
          <c:cat>
            <c:strRef>
              <c:f>Sheet2!$B$1:$G$1</c:f>
              <c:strCache>
                <c:ptCount val="6"/>
                <c:pt idx="0">
                  <c:v>Optimistic</c:v>
                </c:pt>
                <c:pt idx="1">
                  <c:v>Anticipated</c:v>
                </c:pt>
                <c:pt idx="2">
                  <c:v>Pessimistic</c:v>
                </c:pt>
                <c:pt idx="3">
                  <c:v>Optimistic</c:v>
                </c:pt>
                <c:pt idx="4">
                  <c:v>Anticipated</c:v>
                </c:pt>
                <c:pt idx="5">
                  <c:v>Pessimistic</c:v>
                </c:pt>
              </c:strCache>
            </c:strRef>
          </c:cat>
          <c:val>
            <c:numRef>
              <c:f>Sheet2!$B$2:$G$2</c:f>
              <c:numCache>
                <c:formatCode>General</c:formatCode>
                <c:ptCount val="6"/>
                <c:pt idx="0">
                  <c:v>-0.21248700000000001</c:v>
                </c:pt>
                <c:pt idx="1">
                  <c:v>-0.28881899999999999</c:v>
                </c:pt>
                <c:pt idx="2">
                  <c:v>-0.36760700000000002</c:v>
                </c:pt>
                <c:pt idx="3">
                  <c:v>-0.29015099999999999</c:v>
                </c:pt>
                <c:pt idx="4">
                  <c:v>-0.60005500000000001</c:v>
                </c:pt>
                <c:pt idx="5">
                  <c:v>-0.782161</c:v>
                </c:pt>
              </c:numCache>
            </c:numRef>
          </c:val>
          <c:extLst xmlns:c16r2="http://schemas.microsoft.com/office/drawing/2015/06/chart">
            <c:ext xmlns:c16="http://schemas.microsoft.com/office/drawing/2014/chart" uri="{C3380CC4-5D6E-409C-BE32-E72D297353CC}">
              <c16:uniqueId val="{00000000-57ED-4295-84B6-F767CADB9365}"/>
            </c:ext>
          </c:extLst>
        </c:ser>
        <c:ser>
          <c:idx val="1"/>
          <c:order val="1"/>
          <c:tx>
            <c:strRef>
              <c:f>Sheet2!$A$3</c:f>
              <c:strCache>
                <c:ptCount val="1"/>
                <c:pt idx="0">
                  <c:v>Direct Impacts</c:v>
                </c:pt>
              </c:strCache>
            </c:strRef>
          </c:tx>
          <c:spPr>
            <a:solidFill>
              <a:srgbClr val="C0504D"/>
            </a:solidFill>
            <a:ln>
              <a:noFill/>
            </a:ln>
            <a:effectLst/>
          </c:spPr>
          <c:invertIfNegative val="0"/>
          <c:cat>
            <c:strRef>
              <c:f>Sheet2!$B$1:$G$1</c:f>
              <c:strCache>
                <c:ptCount val="6"/>
                <c:pt idx="0">
                  <c:v>Optimistic</c:v>
                </c:pt>
                <c:pt idx="1">
                  <c:v>Anticipated</c:v>
                </c:pt>
                <c:pt idx="2">
                  <c:v>Pessimistic</c:v>
                </c:pt>
                <c:pt idx="3">
                  <c:v>Optimistic</c:v>
                </c:pt>
                <c:pt idx="4">
                  <c:v>Anticipated</c:v>
                </c:pt>
                <c:pt idx="5">
                  <c:v>Pessimistic</c:v>
                </c:pt>
              </c:strCache>
            </c:strRef>
          </c:cat>
          <c:val>
            <c:numRef>
              <c:f>Sheet2!$B$3:$G$3</c:f>
              <c:numCache>
                <c:formatCode>General</c:formatCode>
                <c:ptCount val="6"/>
                <c:pt idx="0">
                  <c:v>-1.060611</c:v>
                </c:pt>
                <c:pt idx="1">
                  <c:v>-1.414223</c:v>
                </c:pt>
                <c:pt idx="2">
                  <c:v>-1.7685550000000001</c:v>
                </c:pt>
                <c:pt idx="3">
                  <c:v>-1.4268970000000001</c:v>
                </c:pt>
                <c:pt idx="4">
                  <c:v>-2.6837529999999998</c:v>
                </c:pt>
                <c:pt idx="5">
                  <c:v>-3.3816099999999998</c:v>
                </c:pt>
              </c:numCache>
            </c:numRef>
          </c:val>
          <c:extLst xmlns:c16r2="http://schemas.microsoft.com/office/drawing/2015/06/chart">
            <c:ext xmlns:c16="http://schemas.microsoft.com/office/drawing/2014/chart" uri="{C3380CC4-5D6E-409C-BE32-E72D297353CC}">
              <c16:uniqueId val="{00000001-57ED-4295-84B6-F767CADB9365}"/>
            </c:ext>
          </c:extLst>
        </c:ser>
        <c:ser>
          <c:idx val="2"/>
          <c:order val="2"/>
          <c:tx>
            <c:strRef>
              <c:f>Sheet2!$A$4</c:f>
              <c:strCache>
                <c:ptCount val="1"/>
                <c:pt idx="0">
                  <c:v>Terms of Trade Impacts</c:v>
                </c:pt>
              </c:strCache>
            </c:strRef>
          </c:tx>
          <c:spPr>
            <a:solidFill>
              <a:srgbClr val="F79646"/>
            </a:solidFill>
            <a:ln>
              <a:noFill/>
            </a:ln>
            <a:effectLst/>
          </c:spPr>
          <c:invertIfNegative val="0"/>
          <c:cat>
            <c:strRef>
              <c:f>Sheet2!$B$1:$G$1</c:f>
              <c:strCache>
                <c:ptCount val="6"/>
                <c:pt idx="0">
                  <c:v>Optimistic</c:v>
                </c:pt>
                <c:pt idx="1">
                  <c:v>Anticipated</c:v>
                </c:pt>
                <c:pt idx="2">
                  <c:v>Pessimistic</c:v>
                </c:pt>
                <c:pt idx="3">
                  <c:v>Optimistic</c:v>
                </c:pt>
                <c:pt idx="4">
                  <c:v>Anticipated</c:v>
                </c:pt>
                <c:pt idx="5">
                  <c:v>Pessimistic</c:v>
                </c:pt>
              </c:strCache>
            </c:strRef>
          </c:cat>
          <c:val>
            <c:numRef>
              <c:f>Sheet2!$B$4:$G$4</c:f>
              <c:numCache>
                <c:formatCode>General</c:formatCode>
                <c:ptCount val="6"/>
                <c:pt idx="0">
                  <c:v>0.280748</c:v>
                </c:pt>
                <c:pt idx="1">
                  <c:v>0.36111300000000002</c:v>
                </c:pt>
                <c:pt idx="2">
                  <c:v>0.43502299999999999</c:v>
                </c:pt>
                <c:pt idx="3">
                  <c:v>0.37040899999999999</c:v>
                </c:pt>
                <c:pt idx="4">
                  <c:v>0.61716400000000005</c:v>
                </c:pt>
                <c:pt idx="5">
                  <c:v>0.71368799999999999</c:v>
                </c:pt>
              </c:numCache>
            </c:numRef>
          </c:val>
          <c:extLst xmlns:c16r2="http://schemas.microsoft.com/office/drawing/2015/06/chart">
            <c:ext xmlns:c16="http://schemas.microsoft.com/office/drawing/2014/chart" uri="{C3380CC4-5D6E-409C-BE32-E72D297353CC}">
              <c16:uniqueId val="{00000002-57ED-4295-84B6-F767CADB9365}"/>
            </c:ext>
          </c:extLst>
        </c:ser>
        <c:dLbls>
          <c:showLegendKey val="0"/>
          <c:showVal val="0"/>
          <c:showCatName val="0"/>
          <c:showSerName val="0"/>
          <c:showPercent val="0"/>
          <c:showBubbleSize val="0"/>
        </c:dLbls>
        <c:gapWidth val="219"/>
        <c:overlap val="-27"/>
        <c:axId val="217658880"/>
        <c:axId val="217597056"/>
      </c:barChart>
      <c:catAx>
        <c:axId val="217658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217597056"/>
        <c:crosses val="autoZero"/>
        <c:auto val="1"/>
        <c:lblAlgn val="ctr"/>
        <c:lblOffset val="100"/>
        <c:noMultiLvlLbl val="0"/>
      </c:catAx>
      <c:valAx>
        <c:axId val="21759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658880"/>
        <c:crosses val="autoZero"/>
        <c:crossBetween val="between"/>
      </c:valAx>
      <c:spPr>
        <a:noFill/>
        <a:ln>
          <a:noFill/>
        </a:ln>
        <a:effectLst/>
      </c:spPr>
    </c:plotArea>
    <c:legend>
      <c:legendPos val="b"/>
      <c:layout>
        <c:manualLayout>
          <c:xMode val="edge"/>
          <c:yMode val="edge"/>
          <c:x val="0.05"/>
          <c:y val="0.94238569416994489"/>
          <c:w val="0.9"/>
          <c:h val="5.76143058300551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18288894801107"/>
          <c:y val="3.1446526719190127E-2"/>
          <c:w val="0.6581094962145172"/>
          <c:h val="0.871692750024504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78C-49F0-87AC-AA576BB5CBF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78C-49F0-87AC-AA576BB5CBF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78C-49F0-87AC-AA576BB5CB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'structure of economy'!$A$55:$A$57</c:f>
              <c:strCache>
                <c:ptCount val="3"/>
                <c:pt idx="0">
                  <c:v>Agriculture</c:v>
                </c:pt>
                <c:pt idx="1">
                  <c:v>Manufacturing</c:v>
                </c:pt>
                <c:pt idx="2">
                  <c:v>Services</c:v>
                </c:pt>
              </c:strCache>
            </c:strRef>
          </c:cat>
          <c:val>
            <c:numRef>
              <c:f>'structure of economy'!$F$55:$F$57</c:f>
              <c:numCache>
                <c:formatCode>0.0</c:formatCode>
                <c:ptCount val="3"/>
                <c:pt idx="0">
                  <c:v>3.3485841328578085</c:v>
                </c:pt>
                <c:pt idx="1">
                  <c:v>40.09561156819052</c:v>
                </c:pt>
                <c:pt idx="2">
                  <c:v>56.555804360389075</c:v>
                </c:pt>
              </c:numCache>
            </c:numRef>
          </c:val>
          <c:extLst xmlns:c16r2="http://schemas.microsoft.com/office/drawing/2015/06/chart">
            <c:ext xmlns:c16="http://schemas.microsoft.com/office/drawing/2014/chart" uri="{C3380CC4-5D6E-409C-BE32-E72D297353CC}">
              <c16:uniqueId val="{00000006-378C-49F0-87AC-AA576BB5CBF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5933720133271538E-2"/>
          <c:y val="0.89964527255669802"/>
          <c:w val="0.8281325597334569"/>
          <c:h val="9.65119708906847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7684736523318"/>
          <c:y val="7.3074223732101597E-4"/>
          <c:w val="0.72465437613567529"/>
          <c:h val="0.8926746238449537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676-4F22-B915-7DE955C5D31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676-4F22-B915-7DE955C5D31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676-4F22-B915-7DE955C5D3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'structure of economy'!$A$76:$A$78</c:f>
              <c:strCache>
                <c:ptCount val="3"/>
                <c:pt idx="0">
                  <c:v>Agriculture</c:v>
                </c:pt>
                <c:pt idx="1">
                  <c:v>Manufacturing</c:v>
                </c:pt>
                <c:pt idx="2">
                  <c:v>Services</c:v>
                </c:pt>
              </c:strCache>
            </c:strRef>
          </c:cat>
          <c:val>
            <c:numRef>
              <c:f>'structure of economy'!$C$76:$C$78</c:f>
              <c:numCache>
                <c:formatCode>0.0</c:formatCode>
                <c:ptCount val="3"/>
                <c:pt idx="0">
                  <c:v>3.3300000000000005</c:v>
                </c:pt>
                <c:pt idx="1">
                  <c:v>40.97</c:v>
                </c:pt>
                <c:pt idx="2">
                  <c:v>55.7</c:v>
                </c:pt>
              </c:numCache>
            </c:numRef>
          </c:val>
          <c:extLst xmlns:c16r2="http://schemas.microsoft.com/office/drawing/2015/06/chart">
            <c:ext xmlns:c16="http://schemas.microsoft.com/office/drawing/2014/chart" uri="{C3380CC4-5D6E-409C-BE32-E72D297353CC}">
              <c16:uniqueId val="{00000006-3676-4F22-B915-7DE955C5D31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5177165354330711E-2"/>
          <c:y val="0.90005852466546521"/>
          <c:w val="0.88964529073288912"/>
          <c:h val="9.99414753345349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045467948237025E-2"/>
          <c:y val="3.3628859675940079E-2"/>
          <c:w val="0.76877349947919482"/>
          <c:h val="0.78815146355187615"/>
        </c:manualLayout>
      </c:layout>
      <c:barChart>
        <c:barDir val="bar"/>
        <c:grouping val="clustered"/>
        <c:varyColors val="0"/>
        <c:ser>
          <c:idx val="0"/>
          <c:order val="0"/>
          <c:tx>
            <c:strRef>
              <c:f>Sheet3!$F$2</c:f>
              <c:strCache>
                <c:ptCount val="1"/>
                <c:pt idx="0">
                  <c:v>Without adaptation</c:v>
                </c:pt>
              </c:strCache>
            </c:strRef>
          </c:tx>
          <c:spPr>
            <a:solidFill>
              <a:schemeClr val="accent1"/>
            </a:solidFill>
            <a:ln>
              <a:noFill/>
            </a:ln>
            <a:effectLst/>
          </c:spPr>
          <c:invertIfNegative val="0"/>
          <c:cat>
            <c:strRef>
              <c:f>Sheet3!$G$1:$H$1</c:f>
              <c:strCache>
                <c:ptCount val="2"/>
                <c:pt idx="0">
                  <c:v>2 degree optimistic </c:v>
                </c:pt>
                <c:pt idx="1">
                  <c:v>4 degree pessmistic</c:v>
                </c:pt>
              </c:strCache>
            </c:strRef>
          </c:cat>
          <c:val>
            <c:numRef>
              <c:f>Sheet3!$G$2:$H$2</c:f>
              <c:numCache>
                <c:formatCode>General</c:formatCode>
                <c:ptCount val="2"/>
                <c:pt idx="0">
                  <c:v>-1.27</c:v>
                </c:pt>
                <c:pt idx="1">
                  <c:v>-4.1500000000000004</c:v>
                </c:pt>
              </c:numCache>
            </c:numRef>
          </c:val>
          <c:extLst xmlns:c16r2="http://schemas.microsoft.com/office/drawing/2015/06/chart">
            <c:ext xmlns:c16="http://schemas.microsoft.com/office/drawing/2014/chart" uri="{C3380CC4-5D6E-409C-BE32-E72D297353CC}">
              <c16:uniqueId val="{00000000-0B49-45F8-8EA7-6BE55CDF5C69}"/>
            </c:ext>
          </c:extLst>
        </c:ser>
        <c:ser>
          <c:idx val="1"/>
          <c:order val="1"/>
          <c:tx>
            <c:strRef>
              <c:f>Sheet3!$F$3</c:f>
              <c:strCache>
                <c:ptCount val="1"/>
                <c:pt idx="0">
                  <c:v>with adaptation</c:v>
                </c:pt>
              </c:strCache>
            </c:strRef>
          </c:tx>
          <c:spPr>
            <a:solidFill>
              <a:schemeClr val="accent2"/>
            </a:solidFill>
            <a:ln>
              <a:noFill/>
            </a:ln>
            <a:effectLst/>
          </c:spPr>
          <c:invertIfNegative val="0"/>
          <c:cat>
            <c:strRef>
              <c:f>Sheet3!$G$1:$H$1</c:f>
              <c:strCache>
                <c:ptCount val="2"/>
                <c:pt idx="0">
                  <c:v>2 degree optimistic </c:v>
                </c:pt>
                <c:pt idx="1">
                  <c:v>4 degree pessmistic</c:v>
                </c:pt>
              </c:strCache>
            </c:strRef>
          </c:cat>
          <c:val>
            <c:numRef>
              <c:f>Sheet3!$G$3:$H$3</c:f>
              <c:numCache>
                <c:formatCode>General</c:formatCode>
                <c:ptCount val="2"/>
                <c:pt idx="0">
                  <c:v>-1.23</c:v>
                </c:pt>
                <c:pt idx="1">
                  <c:v>-2.63</c:v>
                </c:pt>
              </c:numCache>
            </c:numRef>
          </c:val>
          <c:extLst xmlns:c16r2="http://schemas.microsoft.com/office/drawing/2015/06/chart">
            <c:ext xmlns:c16="http://schemas.microsoft.com/office/drawing/2014/chart" uri="{C3380CC4-5D6E-409C-BE32-E72D297353CC}">
              <c16:uniqueId val="{00000001-0B49-45F8-8EA7-6BE55CDF5C69}"/>
            </c:ext>
          </c:extLst>
        </c:ser>
        <c:dLbls>
          <c:showLegendKey val="0"/>
          <c:showVal val="0"/>
          <c:showCatName val="0"/>
          <c:showSerName val="0"/>
          <c:showPercent val="0"/>
          <c:showBubbleSize val="0"/>
        </c:dLbls>
        <c:gapWidth val="182"/>
        <c:axId val="217659392"/>
        <c:axId val="217599936"/>
      </c:barChart>
      <c:catAx>
        <c:axId val="217659392"/>
        <c:scaling>
          <c:orientation val="minMax"/>
        </c:scaling>
        <c:delete val="1"/>
        <c:axPos val="l"/>
        <c:numFmt formatCode="General" sourceLinked="1"/>
        <c:majorTickMark val="none"/>
        <c:minorTickMark val="none"/>
        <c:tickLblPos val="nextTo"/>
        <c:crossAx val="217599936"/>
        <c:crosses val="autoZero"/>
        <c:auto val="1"/>
        <c:lblAlgn val="ctr"/>
        <c:lblOffset val="100"/>
        <c:noMultiLvlLbl val="0"/>
      </c:catAx>
      <c:valAx>
        <c:axId val="217599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659392"/>
        <c:crosses val="autoZero"/>
        <c:crossBetween val="between"/>
      </c:valAx>
      <c:spPr>
        <a:noFill/>
        <a:ln>
          <a:noFill/>
        </a:ln>
        <a:effectLst/>
      </c:spPr>
    </c:plotArea>
    <c:legend>
      <c:legendPos val="b"/>
      <c:layout>
        <c:manualLayout>
          <c:xMode val="edge"/>
          <c:yMode val="edge"/>
          <c:x val="0.30015894589732894"/>
          <c:y val="0.92118113913948518"/>
          <c:w val="0.39968210820534206"/>
          <c:h val="7.88188608605148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675576408733378E-2"/>
          <c:y val="0.13318813871670296"/>
          <c:w val="0.87627001260341664"/>
          <c:h val="0.72727657712998639"/>
        </c:manualLayout>
      </c:layout>
      <c:barChart>
        <c:barDir val="col"/>
        <c:grouping val="clustered"/>
        <c:varyColors val="0"/>
        <c:ser>
          <c:idx val="0"/>
          <c:order val="0"/>
          <c:tx>
            <c:strRef>
              <c:f>Sheet3!$A$69</c:f>
              <c:strCache>
                <c:ptCount val="1"/>
                <c:pt idx="0">
                  <c:v>Without adaptation</c:v>
                </c:pt>
              </c:strCache>
            </c:strRef>
          </c:tx>
          <c:spPr>
            <a:solidFill>
              <a:schemeClr val="accent1"/>
            </a:solidFill>
            <a:ln>
              <a:noFill/>
            </a:ln>
            <a:effectLst/>
          </c:spPr>
          <c:invertIfNegative val="0"/>
          <c:cat>
            <c:strRef>
              <c:f>Sheet3!$B$68:$C$68</c:f>
              <c:strCache>
                <c:ptCount val="2"/>
                <c:pt idx="0">
                  <c:v>2 degree optimistic </c:v>
                </c:pt>
                <c:pt idx="1">
                  <c:v>4 degree pessmistic</c:v>
                </c:pt>
              </c:strCache>
            </c:strRef>
          </c:cat>
          <c:val>
            <c:numRef>
              <c:f>Sheet3!$B$69:$C$69</c:f>
              <c:numCache>
                <c:formatCode>General</c:formatCode>
                <c:ptCount val="2"/>
                <c:pt idx="0">
                  <c:v>-670.24</c:v>
                </c:pt>
                <c:pt idx="1">
                  <c:v>-2319.6999999999998</c:v>
                </c:pt>
              </c:numCache>
            </c:numRef>
          </c:val>
          <c:extLst xmlns:c16r2="http://schemas.microsoft.com/office/drawing/2015/06/chart">
            <c:ext xmlns:c16="http://schemas.microsoft.com/office/drawing/2014/chart" uri="{C3380CC4-5D6E-409C-BE32-E72D297353CC}">
              <c16:uniqueId val="{00000000-9BC6-456A-ACF1-F070ED1A6E48}"/>
            </c:ext>
          </c:extLst>
        </c:ser>
        <c:ser>
          <c:idx val="1"/>
          <c:order val="1"/>
          <c:tx>
            <c:strRef>
              <c:f>Sheet3!$A$70</c:f>
              <c:strCache>
                <c:ptCount val="1"/>
                <c:pt idx="0">
                  <c:v>with adaptation</c:v>
                </c:pt>
              </c:strCache>
            </c:strRef>
          </c:tx>
          <c:spPr>
            <a:solidFill>
              <a:schemeClr val="accent2"/>
            </a:solidFill>
            <a:ln>
              <a:noFill/>
            </a:ln>
            <a:effectLst/>
          </c:spPr>
          <c:invertIfNegative val="0"/>
          <c:cat>
            <c:strRef>
              <c:f>Sheet3!$B$68:$C$68</c:f>
              <c:strCache>
                <c:ptCount val="2"/>
                <c:pt idx="0">
                  <c:v>2 degree optimistic </c:v>
                </c:pt>
                <c:pt idx="1">
                  <c:v>4 degree pessmistic</c:v>
                </c:pt>
              </c:strCache>
            </c:strRef>
          </c:cat>
          <c:val>
            <c:numRef>
              <c:f>Sheet3!$B$70:$C$70</c:f>
              <c:numCache>
                <c:formatCode>General</c:formatCode>
                <c:ptCount val="2"/>
                <c:pt idx="0">
                  <c:v>-862.7</c:v>
                </c:pt>
                <c:pt idx="1">
                  <c:v>-1637.89</c:v>
                </c:pt>
              </c:numCache>
            </c:numRef>
          </c:val>
          <c:extLst xmlns:c16r2="http://schemas.microsoft.com/office/drawing/2015/06/chart">
            <c:ext xmlns:c16="http://schemas.microsoft.com/office/drawing/2014/chart" uri="{C3380CC4-5D6E-409C-BE32-E72D297353CC}">
              <c16:uniqueId val="{00000001-9BC6-456A-ACF1-F070ED1A6E48}"/>
            </c:ext>
          </c:extLst>
        </c:ser>
        <c:dLbls>
          <c:showLegendKey val="0"/>
          <c:showVal val="0"/>
          <c:showCatName val="0"/>
          <c:showSerName val="0"/>
          <c:showPercent val="0"/>
          <c:showBubbleSize val="0"/>
        </c:dLbls>
        <c:gapWidth val="219"/>
        <c:overlap val="-27"/>
        <c:axId val="186023936"/>
        <c:axId val="217601664"/>
      </c:barChart>
      <c:catAx>
        <c:axId val="186023936"/>
        <c:scaling>
          <c:orientation val="minMax"/>
        </c:scaling>
        <c:delete val="1"/>
        <c:axPos val="b"/>
        <c:numFmt formatCode="General" sourceLinked="1"/>
        <c:majorTickMark val="none"/>
        <c:minorTickMark val="none"/>
        <c:tickLblPos val="nextTo"/>
        <c:crossAx val="217601664"/>
        <c:crosses val="autoZero"/>
        <c:auto val="1"/>
        <c:lblAlgn val="ctr"/>
        <c:lblOffset val="100"/>
        <c:noMultiLvlLbl val="0"/>
      </c:catAx>
      <c:valAx>
        <c:axId val="21760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23936"/>
        <c:crosses val="autoZero"/>
        <c:crossBetween val="between"/>
      </c:valAx>
      <c:spPr>
        <a:noFill/>
        <a:ln>
          <a:noFill/>
        </a:ln>
        <a:effectLst/>
      </c:spPr>
    </c:plotArea>
    <c:legend>
      <c:legendPos val="b"/>
      <c:layout>
        <c:manualLayout>
          <c:xMode val="edge"/>
          <c:yMode val="edge"/>
          <c:x val="0.26178481849832164"/>
          <c:y val="0.88927087854175713"/>
          <c:w val="0.47643036300335673"/>
          <c:h val="0.110729121458242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[basin_figures.xlsx]price!$A$2</c:f>
              <c:strCache>
                <c:ptCount val="1"/>
                <c:pt idx="0">
                  <c:v>Agriculture</c:v>
                </c:pt>
              </c:strCache>
            </c:strRef>
          </c:tx>
          <c:spPr>
            <a:solidFill>
              <a:schemeClr val="accent1"/>
            </a:solidFill>
            <a:ln>
              <a:noFill/>
            </a:ln>
            <a:effectLst/>
          </c:spPr>
          <c:invertIfNegative val="0"/>
          <c:cat>
            <c:strRef>
              <c:f>[basin_figures.xlsx]price!$B$1:$E$1</c:f>
              <c:strCache>
                <c:ptCount val="4"/>
                <c:pt idx="0">
                  <c:v>Danube</c:v>
                </c:pt>
                <c:pt idx="1">
                  <c:v>BlackSea</c:v>
                </c:pt>
                <c:pt idx="2">
                  <c:v>WestAegean</c:v>
                </c:pt>
                <c:pt idx="3">
                  <c:v>EastAegean</c:v>
                </c:pt>
              </c:strCache>
            </c:strRef>
          </c:cat>
          <c:val>
            <c:numRef>
              <c:f>[basin_figures.xlsx]price!$B$2:$E$2</c:f>
              <c:numCache>
                <c:formatCode>General</c:formatCode>
                <c:ptCount val="4"/>
                <c:pt idx="0">
                  <c:v>7.0000000000000007E-2</c:v>
                </c:pt>
                <c:pt idx="1">
                  <c:v>0.12</c:v>
                </c:pt>
                <c:pt idx="2">
                  <c:v>0.03</c:v>
                </c:pt>
                <c:pt idx="3">
                  <c:v>0.03</c:v>
                </c:pt>
              </c:numCache>
            </c:numRef>
          </c:val>
          <c:extLst xmlns:c16r2="http://schemas.microsoft.com/office/drawing/2015/06/chart">
            <c:ext xmlns:c16="http://schemas.microsoft.com/office/drawing/2014/chart" uri="{C3380CC4-5D6E-409C-BE32-E72D297353CC}">
              <c16:uniqueId val="{00000000-1CD9-4AB8-AFAE-C07531AAC535}"/>
            </c:ext>
          </c:extLst>
        </c:ser>
        <c:ser>
          <c:idx val="1"/>
          <c:order val="1"/>
          <c:tx>
            <c:strRef>
              <c:f>[basin_figures.xlsx]price!$A$3</c:f>
              <c:strCache>
                <c:ptCount val="1"/>
                <c:pt idx="0">
                  <c:v>Electricity</c:v>
                </c:pt>
              </c:strCache>
            </c:strRef>
          </c:tx>
          <c:spPr>
            <a:solidFill>
              <a:schemeClr val="accent2"/>
            </a:solidFill>
            <a:ln>
              <a:noFill/>
            </a:ln>
            <a:effectLst/>
          </c:spPr>
          <c:invertIfNegative val="0"/>
          <c:cat>
            <c:strRef>
              <c:f>[basin_figures.xlsx]price!$B$1:$E$1</c:f>
              <c:strCache>
                <c:ptCount val="4"/>
                <c:pt idx="0">
                  <c:v>Danube</c:v>
                </c:pt>
                <c:pt idx="1">
                  <c:v>BlackSea</c:v>
                </c:pt>
                <c:pt idx="2">
                  <c:v>WestAegean</c:v>
                </c:pt>
                <c:pt idx="3">
                  <c:v>EastAegean</c:v>
                </c:pt>
              </c:strCache>
            </c:strRef>
          </c:cat>
          <c:val>
            <c:numRef>
              <c:f>[basin_figures.xlsx]price!$B$3:$E$3</c:f>
              <c:numCache>
                <c:formatCode>General</c:formatCode>
                <c:ptCount val="4"/>
                <c:pt idx="0">
                  <c:v>0.82</c:v>
                </c:pt>
                <c:pt idx="1">
                  <c:v>0.92</c:v>
                </c:pt>
                <c:pt idx="2">
                  <c:v>0.43918600000000002</c:v>
                </c:pt>
                <c:pt idx="3">
                  <c:v>0.58749200000000001</c:v>
                </c:pt>
              </c:numCache>
            </c:numRef>
          </c:val>
          <c:extLst xmlns:c16r2="http://schemas.microsoft.com/office/drawing/2015/06/chart">
            <c:ext xmlns:c16="http://schemas.microsoft.com/office/drawing/2014/chart" uri="{C3380CC4-5D6E-409C-BE32-E72D297353CC}">
              <c16:uniqueId val="{00000001-1CD9-4AB8-AFAE-C07531AAC535}"/>
            </c:ext>
          </c:extLst>
        </c:ser>
        <c:ser>
          <c:idx val="2"/>
          <c:order val="2"/>
          <c:tx>
            <c:strRef>
              <c:f>[basin_figures.xlsx]price!$A$4</c:f>
              <c:strCache>
                <c:ptCount val="1"/>
                <c:pt idx="0">
                  <c:v>Other Industries</c:v>
                </c:pt>
              </c:strCache>
            </c:strRef>
          </c:tx>
          <c:spPr>
            <a:solidFill>
              <a:schemeClr val="accent3"/>
            </a:solidFill>
            <a:ln>
              <a:noFill/>
            </a:ln>
            <a:effectLst/>
          </c:spPr>
          <c:invertIfNegative val="0"/>
          <c:cat>
            <c:strRef>
              <c:f>[basin_figures.xlsx]price!$B$1:$E$1</c:f>
              <c:strCache>
                <c:ptCount val="4"/>
                <c:pt idx="0">
                  <c:v>Danube</c:v>
                </c:pt>
                <c:pt idx="1">
                  <c:v>BlackSea</c:v>
                </c:pt>
                <c:pt idx="2">
                  <c:v>WestAegean</c:v>
                </c:pt>
                <c:pt idx="3">
                  <c:v>EastAegean</c:v>
                </c:pt>
              </c:strCache>
            </c:strRef>
          </c:cat>
          <c:val>
            <c:numRef>
              <c:f>[basin_figures.xlsx]price!$B$4:$E$4</c:f>
              <c:numCache>
                <c:formatCode>General</c:formatCode>
                <c:ptCount val="4"/>
                <c:pt idx="0">
                  <c:v>0.82</c:v>
                </c:pt>
                <c:pt idx="1">
                  <c:v>0.92</c:v>
                </c:pt>
                <c:pt idx="2">
                  <c:v>0.43918600000000002</c:v>
                </c:pt>
                <c:pt idx="3">
                  <c:v>0.58749200000000001</c:v>
                </c:pt>
              </c:numCache>
            </c:numRef>
          </c:val>
          <c:extLst xmlns:c16r2="http://schemas.microsoft.com/office/drawing/2015/06/chart">
            <c:ext xmlns:c16="http://schemas.microsoft.com/office/drawing/2014/chart" uri="{C3380CC4-5D6E-409C-BE32-E72D297353CC}">
              <c16:uniqueId val="{00000002-1CD9-4AB8-AFAE-C07531AAC535}"/>
            </c:ext>
          </c:extLst>
        </c:ser>
        <c:ser>
          <c:idx val="3"/>
          <c:order val="3"/>
          <c:tx>
            <c:strRef>
              <c:f>[basin_figures.xlsx]price!$A$5</c:f>
              <c:strCache>
                <c:ptCount val="1"/>
                <c:pt idx="0">
                  <c:v>Services</c:v>
                </c:pt>
              </c:strCache>
            </c:strRef>
          </c:tx>
          <c:spPr>
            <a:solidFill>
              <a:schemeClr val="accent4"/>
            </a:solidFill>
            <a:ln>
              <a:noFill/>
            </a:ln>
            <a:effectLst/>
          </c:spPr>
          <c:invertIfNegative val="0"/>
          <c:cat>
            <c:strRef>
              <c:f>[basin_figures.xlsx]price!$B$1:$E$1</c:f>
              <c:strCache>
                <c:ptCount val="4"/>
                <c:pt idx="0">
                  <c:v>Danube</c:v>
                </c:pt>
                <c:pt idx="1">
                  <c:v>BlackSea</c:v>
                </c:pt>
                <c:pt idx="2">
                  <c:v>WestAegean</c:v>
                </c:pt>
                <c:pt idx="3">
                  <c:v>EastAegean</c:v>
                </c:pt>
              </c:strCache>
            </c:strRef>
          </c:cat>
          <c:val>
            <c:numRef>
              <c:f>[basin_figures.xlsx]price!$B$5:$E$5</c:f>
              <c:numCache>
                <c:formatCode>General</c:formatCode>
                <c:ptCount val="4"/>
                <c:pt idx="0">
                  <c:v>0.82</c:v>
                </c:pt>
                <c:pt idx="1">
                  <c:v>0.92</c:v>
                </c:pt>
                <c:pt idx="2">
                  <c:v>0.43918600000000002</c:v>
                </c:pt>
                <c:pt idx="3">
                  <c:v>0.58749200000000001</c:v>
                </c:pt>
              </c:numCache>
            </c:numRef>
          </c:val>
          <c:extLst xmlns:c16r2="http://schemas.microsoft.com/office/drawing/2015/06/chart">
            <c:ext xmlns:c16="http://schemas.microsoft.com/office/drawing/2014/chart" uri="{C3380CC4-5D6E-409C-BE32-E72D297353CC}">
              <c16:uniqueId val="{00000003-1CD9-4AB8-AFAE-C07531AAC535}"/>
            </c:ext>
          </c:extLst>
        </c:ser>
        <c:dLbls>
          <c:showLegendKey val="0"/>
          <c:showVal val="0"/>
          <c:showCatName val="0"/>
          <c:showSerName val="0"/>
          <c:showPercent val="0"/>
          <c:showBubbleSize val="0"/>
        </c:dLbls>
        <c:gapWidth val="219"/>
        <c:axId val="104024064"/>
        <c:axId val="149539072"/>
      </c:barChart>
      <c:catAx>
        <c:axId val="10402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39072"/>
        <c:crosses val="autoZero"/>
        <c:auto val="1"/>
        <c:lblAlgn val="ctr"/>
        <c:lblOffset val="100"/>
        <c:noMultiLvlLbl val="0"/>
      </c:catAx>
      <c:valAx>
        <c:axId val="14953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2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'qfe adapt'!$B$2</c:f>
              <c:strCache>
                <c:ptCount val="1"/>
                <c:pt idx="0">
                  <c:v>Danube</c:v>
                </c:pt>
              </c:strCache>
            </c:strRef>
          </c:tx>
          <c:spPr>
            <a:solidFill>
              <a:schemeClr val="accent1"/>
            </a:solidFill>
            <a:ln>
              <a:noFill/>
            </a:ln>
            <a:effectLst/>
          </c:spPr>
          <c:invertIfNegative val="0"/>
          <c:cat>
            <c:strRef>
              <c:f>'qfe adapt'!$A$3:$A$9</c:f>
              <c:strCache>
                <c:ptCount val="7"/>
                <c:pt idx="0">
                  <c:v>Wheat</c:v>
                </c:pt>
                <c:pt idx="1">
                  <c:v>Grains</c:v>
                </c:pt>
                <c:pt idx="2">
                  <c:v>Vegetables</c:v>
                </c:pt>
                <c:pt idx="3">
                  <c:v>Oil seeds</c:v>
                </c:pt>
                <c:pt idx="4">
                  <c:v>Sugar cane</c:v>
                </c:pt>
                <c:pt idx="5">
                  <c:v>Plant fibers</c:v>
                </c:pt>
                <c:pt idx="6">
                  <c:v>Crops</c:v>
                </c:pt>
              </c:strCache>
            </c:strRef>
          </c:cat>
          <c:val>
            <c:numRef>
              <c:f>'qfe adapt'!$B$3:$B$9</c:f>
              <c:numCache>
                <c:formatCode>General</c:formatCode>
                <c:ptCount val="7"/>
                <c:pt idx="0">
                  <c:v>-2.1208000000000001E-2</c:v>
                </c:pt>
                <c:pt idx="1">
                  <c:v>-2.254121</c:v>
                </c:pt>
                <c:pt idx="2">
                  <c:v>7.7741150000000001</c:v>
                </c:pt>
                <c:pt idx="3">
                  <c:v>7.2591359999999998</c:v>
                </c:pt>
                <c:pt idx="4">
                  <c:v>-1.893705</c:v>
                </c:pt>
                <c:pt idx="5">
                  <c:v>6.6389480000000001</c:v>
                </c:pt>
                <c:pt idx="6">
                  <c:v>2.6458879999999998</c:v>
                </c:pt>
              </c:numCache>
            </c:numRef>
          </c:val>
          <c:extLst xmlns:c16r2="http://schemas.microsoft.com/office/drawing/2015/06/chart">
            <c:ext xmlns:c16="http://schemas.microsoft.com/office/drawing/2014/chart" uri="{C3380CC4-5D6E-409C-BE32-E72D297353CC}">
              <c16:uniqueId val="{00000000-2CB7-40A0-BEA8-AC832826F5B9}"/>
            </c:ext>
          </c:extLst>
        </c:ser>
        <c:ser>
          <c:idx val="1"/>
          <c:order val="1"/>
          <c:tx>
            <c:strRef>
              <c:f>'qfe adapt'!$C$2</c:f>
              <c:strCache>
                <c:ptCount val="1"/>
                <c:pt idx="0">
                  <c:v>BlackSea</c:v>
                </c:pt>
              </c:strCache>
            </c:strRef>
          </c:tx>
          <c:spPr>
            <a:solidFill>
              <a:schemeClr val="accent2"/>
            </a:solidFill>
            <a:ln>
              <a:noFill/>
            </a:ln>
            <a:effectLst/>
          </c:spPr>
          <c:invertIfNegative val="0"/>
          <c:cat>
            <c:strRef>
              <c:f>'qfe adapt'!$A$3:$A$9</c:f>
              <c:strCache>
                <c:ptCount val="7"/>
                <c:pt idx="0">
                  <c:v>Wheat</c:v>
                </c:pt>
                <c:pt idx="1">
                  <c:v>Grains</c:v>
                </c:pt>
                <c:pt idx="2">
                  <c:v>Vegetables</c:v>
                </c:pt>
                <c:pt idx="3">
                  <c:v>Oil seeds</c:v>
                </c:pt>
                <c:pt idx="4">
                  <c:v>Sugar cane</c:v>
                </c:pt>
                <c:pt idx="5">
                  <c:v>Plant fibers</c:v>
                </c:pt>
                <c:pt idx="6">
                  <c:v>Crops</c:v>
                </c:pt>
              </c:strCache>
            </c:strRef>
          </c:cat>
          <c:val>
            <c:numRef>
              <c:f>'qfe adapt'!$C$3:$C$9</c:f>
              <c:numCache>
                <c:formatCode>General</c:formatCode>
                <c:ptCount val="7"/>
                <c:pt idx="0">
                  <c:v>-4.0670000000000003E-3</c:v>
                </c:pt>
                <c:pt idx="1">
                  <c:v>-0.432257</c:v>
                </c:pt>
                <c:pt idx="2">
                  <c:v>1.4907870000000001</c:v>
                </c:pt>
                <c:pt idx="3">
                  <c:v>1.3920330000000001</c:v>
                </c:pt>
                <c:pt idx="4">
                  <c:v>-0.36314200000000002</c:v>
                </c:pt>
                <c:pt idx="5">
                  <c:v>1.273104</c:v>
                </c:pt>
                <c:pt idx="6">
                  <c:v>0.50738300000000003</c:v>
                </c:pt>
              </c:numCache>
            </c:numRef>
          </c:val>
          <c:extLst xmlns:c16r2="http://schemas.microsoft.com/office/drawing/2015/06/chart">
            <c:ext xmlns:c16="http://schemas.microsoft.com/office/drawing/2014/chart" uri="{C3380CC4-5D6E-409C-BE32-E72D297353CC}">
              <c16:uniqueId val="{00000001-2CB7-40A0-BEA8-AC832826F5B9}"/>
            </c:ext>
          </c:extLst>
        </c:ser>
        <c:ser>
          <c:idx val="2"/>
          <c:order val="2"/>
          <c:tx>
            <c:strRef>
              <c:f>'qfe adapt'!$D$2</c:f>
              <c:strCache>
                <c:ptCount val="1"/>
                <c:pt idx="0">
                  <c:v>WestAegean</c:v>
                </c:pt>
              </c:strCache>
            </c:strRef>
          </c:tx>
          <c:spPr>
            <a:solidFill>
              <a:schemeClr val="accent3"/>
            </a:solidFill>
            <a:ln>
              <a:noFill/>
            </a:ln>
            <a:effectLst/>
          </c:spPr>
          <c:invertIfNegative val="0"/>
          <c:cat>
            <c:strRef>
              <c:f>'qfe adapt'!$A$3:$A$9</c:f>
              <c:strCache>
                <c:ptCount val="7"/>
                <c:pt idx="0">
                  <c:v>Wheat</c:v>
                </c:pt>
                <c:pt idx="1">
                  <c:v>Grains</c:v>
                </c:pt>
                <c:pt idx="2">
                  <c:v>Vegetables</c:v>
                </c:pt>
                <c:pt idx="3">
                  <c:v>Oil seeds</c:v>
                </c:pt>
                <c:pt idx="4">
                  <c:v>Sugar cane</c:v>
                </c:pt>
                <c:pt idx="5">
                  <c:v>Plant fibers</c:v>
                </c:pt>
                <c:pt idx="6">
                  <c:v>Crops</c:v>
                </c:pt>
              </c:strCache>
            </c:strRef>
          </c:cat>
          <c:val>
            <c:numRef>
              <c:f>'qfe adapt'!$D$3:$D$9</c:f>
              <c:numCache>
                <c:formatCode>General</c:formatCode>
                <c:ptCount val="7"/>
                <c:pt idx="0">
                  <c:v>-2.5000000000000001E-4</c:v>
                </c:pt>
                <c:pt idx="1">
                  <c:v>-2.6540000000000001E-2</c:v>
                </c:pt>
                <c:pt idx="2">
                  <c:v>9.1533000000000003E-2</c:v>
                </c:pt>
                <c:pt idx="3">
                  <c:v>8.5470000000000004E-2</c:v>
                </c:pt>
                <c:pt idx="4">
                  <c:v>-2.2297000000000001E-2</c:v>
                </c:pt>
                <c:pt idx="5">
                  <c:v>7.8168000000000001E-2</c:v>
                </c:pt>
                <c:pt idx="6">
                  <c:v>3.1153E-2</c:v>
                </c:pt>
              </c:numCache>
            </c:numRef>
          </c:val>
          <c:extLst xmlns:c16r2="http://schemas.microsoft.com/office/drawing/2015/06/chart">
            <c:ext xmlns:c16="http://schemas.microsoft.com/office/drawing/2014/chart" uri="{C3380CC4-5D6E-409C-BE32-E72D297353CC}">
              <c16:uniqueId val="{00000002-2CB7-40A0-BEA8-AC832826F5B9}"/>
            </c:ext>
          </c:extLst>
        </c:ser>
        <c:ser>
          <c:idx val="3"/>
          <c:order val="3"/>
          <c:tx>
            <c:strRef>
              <c:f>'qfe adapt'!$E$2</c:f>
              <c:strCache>
                <c:ptCount val="1"/>
                <c:pt idx="0">
                  <c:v>EastAegean</c:v>
                </c:pt>
              </c:strCache>
            </c:strRef>
          </c:tx>
          <c:spPr>
            <a:solidFill>
              <a:schemeClr val="accent4"/>
            </a:solidFill>
            <a:ln>
              <a:noFill/>
            </a:ln>
            <a:effectLst/>
          </c:spPr>
          <c:invertIfNegative val="0"/>
          <c:cat>
            <c:strRef>
              <c:f>'qfe adapt'!$A$3:$A$9</c:f>
              <c:strCache>
                <c:ptCount val="7"/>
                <c:pt idx="0">
                  <c:v>Wheat</c:v>
                </c:pt>
                <c:pt idx="1">
                  <c:v>Grains</c:v>
                </c:pt>
                <c:pt idx="2">
                  <c:v>Vegetables</c:v>
                </c:pt>
                <c:pt idx="3">
                  <c:v>Oil seeds</c:v>
                </c:pt>
                <c:pt idx="4">
                  <c:v>Sugar cane</c:v>
                </c:pt>
                <c:pt idx="5">
                  <c:v>Plant fibers</c:v>
                </c:pt>
                <c:pt idx="6">
                  <c:v>Crops</c:v>
                </c:pt>
              </c:strCache>
            </c:strRef>
          </c:cat>
          <c:val>
            <c:numRef>
              <c:f>'qfe adapt'!$E$3:$E$9</c:f>
              <c:numCache>
                <c:formatCode>General</c:formatCode>
                <c:ptCount val="7"/>
                <c:pt idx="0">
                  <c:v>-7.0200000000000002E-3</c:v>
                </c:pt>
                <c:pt idx="1">
                  <c:v>-0.74609700000000001</c:v>
                </c:pt>
                <c:pt idx="2">
                  <c:v>2.5731739999999999</c:v>
                </c:pt>
                <c:pt idx="3">
                  <c:v>2.40272</c:v>
                </c:pt>
                <c:pt idx="4">
                  <c:v>-0.62680199999999997</c:v>
                </c:pt>
                <c:pt idx="5">
                  <c:v>2.1974429999999998</c:v>
                </c:pt>
                <c:pt idx="6">
                  <c:v>0.87576900000000002</c:v>
                </c:pt>
              </c:numCache>
            </c:numRef>
          </c:val>
          <c:extLst xmlns:c16r2="http://schemas.microsoft.com/office/drawing/2015/06/chart">
            <c:ext xmlns:c16="http://schemas.microsoft.com/office/drawing/2014/chart" uri="{C3380CC4-5D6E-409C-BE32-E72D297353CC}">
              <c16:uniqueId val="{00000003-2CB7-40A0-BEA8-AC832826F5B9}"/>
            </c:ext>
          </c:extLst>
        </c:ser>
        <c:dLbls>
          <c:showLegendKey val="0"/>
          <c:showVal val="0"/>
          <c:showCatName val="0"/>
          <c:showSerName val="0"/>
          <c:showPercent val="0"/>
          <c:showBubbleSize val="0"/>
        </c:dLbls>
        <c:gapWidth val="182"/>
        <c:axId val="173510656"/>
        <c:axId val="217603392"/>
      </c:barChart>
      <c:catAx>
        <c:axId val="17351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603392"/>
        <c:crosses val="autoZero"/>
        <c:auto val="1"/>
        <c:lblAlgn val="ctr"/>
        <c:lblOffset val="100"/>
        <c:noMultiLvlLbl val="0"/>
      </c:catAx>
      <c:valAx>
        <c:axId val="217603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1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'qfe adapt'!$J$2</c:f>
              <c:strCache>
                <c:ptCount val="1"/>
                <c:pt idx="0">
                  <c:v>Danube</c:v>
                </c:pt>
              </c:strCache>
            </c:strRef>
          </c:tx>
          <c:spPr>
            <a:solidFill>
              <a:schemeClr val="accent1"/>
            </a:solidFill>
            <a:ln>
              <a:noFill/>
            </a:ln>
            <a:effectLst/>
          </c:spPr>
          <c:invertIfNegative val="0"/>
          <c:cat>
            <c:strRef>
              <c:f>'qfe adapt'!$I$3:$I$9</c:f>
              <c:strCache>
                <c:ptCount val="7"/>
                <c:pt idx="0">
                  <c:v>Wheat</c:v>
                </c:pt>
                <c:pt idx="1">
                  <c:v>Grains</c:v>
                </c:pt>
                <c:pt idx="2">
                  <c:v>Vegetables</c:v>
                </c:pt>
                <c:pt idx="3">
                  <c:v>Oil seeds</c:v>
                </c:pt>
                <c:pt idx="4">
                  <c:v>Sugar cane</c:v>
                </c:pt>
                <c:pt idx="5">
                  <c:v>Plant fibers</c:v>
                </c:pt>
                <c:pt idx="6">
                  <c:v>Crops</c:v>
                </c:pt>
              </c:strCache>
            </c:strRef>
          </c:cat>
          <c:val>
            <c:numRef>
              <c:f>'qfe adapt'!$J$3:$J$9</c:f>
              <c:numCache>
                <c:formatCode>General</c:formatCode>
                <c:ptCount val="7"/>
                <c:pt idx="0">
                  <c:v>-7.1200650000000003</c:v>
                </c:pt>
                <c:pt idx="1">
                  <c:v>-7.5007760000000001</c:v>
                </c:pt>
                <c:pt idx="2">
                  <c:v>9.6170790000000004</c:v>
                </c:pt>
                <c:pt idx="3">
                  <c:v>8.5431290000000004</c:v>
                </c:pt>
                <c:pt idx="4">
                  <c:v>-1.700067</c:v>
                </c:pt>
                <c:pt idx="5">
                  <c:v>7.1325370000000001</c:v>
                </c:pt>
                <c:pt idx="6">
                  <c:v>0.94188499999999997</c:v>
                </c:pt>
              </c:numCache>
            </c:numRef>
          </c:val>
          <c:extLst xmlns:c16r2="http://schemas.microsoft.com/office/drawing/2015/06/chart">
            <c:ext xmlns:c16="http://schemas.microsoft.com/office/drawing/2014/chart" uri="{C3380CC4-5D6E-409C-BE32-E72D297353CC}">
              <c16:uniqueId val="{00000000-E084-441C-BFB4-6C02B2F9DEE7}"/>
            </c:ext>
          </c:extLst>
        </c:ser>
        <c:ser>
          <c:idx val="1"/>
          <c:order val="1"/>
          <c:tx>
            <c:strRef>
              <c:f>'qfe adapt'!$K$2</c:f>
              <c:strCache>
                <c:ptCount val="1"/>
                <c:pt idx="0">
                  <c:v>BlackSea</c:v>
                </c:pt>
              </c:strCache>
            </c:strRef>
          </c:tx>
          <c:spPr>
            <a:solidFill>
              <a:schemeClr val="accent2"/>
            </a:solidFill>
            <a:ln>
              <a:noFill/>
            </a:ln>
            <a:effectLst/>
          </c:spPr>
          <c:invertIfNegative val="0"/>
          <c:cat>
            <c:strRef>
              <c:f>'qfe adapt'!$I$3:$I$9</c:f>
              <c:strCache>
                <c:ptCount val="7"/>
                <c:pt idx="0">
                  <c:v>Wheat</c:v>
                </c:pt>
                <c:pt idx="1">
                  <c:v>Grains</c:v>
                </c:pt>
                <c:pt idx="2">
                  <c:v>Vegetables</c:v>
                </c:pt>
                <c:pt idx="3">
                  <c:v>Oil seeds</c:v>
                </c:pt>
                <c:pt idx="4">
                  <c:v>Sugar cane</c:v>
                </c:pt>
                <c:pt idx="5">
                  <c:v>Plant fibers</c:v>
                </c:pt>
                <c:pt idx="6">
                  <c:v>Crops</c:v>
                </c:pt>
              </c:strCache>
            </c:strRef>
          </c:cat>
          <c:val>
            <c:numRef>
              <c:f>'qfe adapt'!$K$3:$K$9</c:f>
              <c:numCache>
                <c:formatCode>General</c:formatCode>
                <c:ptCount val="7"/>
                <c:pt idx="0">
                  <c:v>-1.3653649999999999</c:v>
                </c:pt>
                <c:pt idx="1">
                  <c:v>-1.4383710000000001</c:v>
                </c:pt>
                <c:pt idx="2">
                  <c:v>1.8441989999999999</c:v>
                </c:pt>
                <c:pt idx="3">
                  <c:v>1.638255</c:v>
                </c:pt>
                <c:pt idx="4">
                  <c:v>-0.32601000000000002</c:v>
                </c:pt>
                <c:pt idx="5">
                  <c:v>1.367756</c:v>
                </c:pt>
                <c:pt idx="6">
                  <c:v>0.180619</c:v>
                </c:pt>
              </c:numCache>
            </c:numRef>
          </c:val>
          <c:extLst xmlns:c16r2="http://schemas.microsoft.com/office/drawing/2015/06/chart">
            <c:ext xmlns:c16="http://schemas.microsoft.com/office/drawing/2014/chart" uri="{C3380CC4-5D6E-409C-BE32-E72D297353CC}">
              <c16:uniqueId val="{00000001-E084-441C-BFB4-6C02B2F9DEE7}"/>
            </c:ext>
          </c:extLst>
        </c:ser>
        <c:ser>
          <c:idx val="2"/>
          <c:order val="2"/>
          <c:tx>
            <c:strRef>
              <c:f>'qfe adapt'!$L$2</c:f>
              <c:strCache>
                <c:ptCount val="1"/>
                <c:pt idx="0">
                  <c:v>WestAegean</c:v>
                </c:pt>
              </c:strCache>
            </c:strRef>
          </c:tx>
          <c:spPr>
            <a:solidFill>
              <a:schemeClr val="accent3"/>
            </a:solidFill>
            <a:ln>
              <a:noFill/>
            </a:ln>
            <a:effectLst/>
          </c:spPr>
          <c:invertIfNegative val="0"/>
          <c:cat>
            <c:strRef>
              <c:f>'qfe adapt'!$I$3:$I$9</c:f>
              <c:strCache>
                <c:ptCount val="7"/>
                <c:pt idx="0">
                  <c:v>Wheat</c:v>
                </c:pt>
                <c:pt idx="1">
                  <c:v>Grains</c:v>
                </c:pt>
                <c:pt idx="2">
                  <c:v>Vegetables</c:v>
                </c:pt>
                <c:pt idx="3">
                  <c:v>Oil seeds</c:v>
                </c:pt>
                <c:pt idx="4">
                  <c:v>Sugar cane</c:v>
                </c:pt>
                <c:pt idx="5">
                  <c:v>Plant fibers</c:v>
                </c:pt>
                <c:pt idx="6">
                  <c:v>Crops</c:v>
                </c:pt>
              </c:strCache>
            </c:strRef>
          </c:cat>
          <c:val>
            <c:numRef>
              <c:f>'qfe adapt'!$L$3:$L$9</c:f>
              <c:numCache>
                <c:formatCode>General</c:formatCode>
                <c:ptCount val="7"/>
                <c:pt idx="0">
                  <c:v>-8.3832000000000004E-2</c:v>
                </c:pt>
                <c:pt idx="1">
                  <c:v>-8.8315000000000005E-2</c:v>
                </c:pt>
                <c:pt idx="2">
                  <c:v>0.113233</c:v>
                </c:pt>
                <c:pt idx="3">
                  <c:v>0.100588</c:v>
                </c:pt>
                <c:pt idx="4">
                  <c:v>-2.0017E-2</c:v>
                </c:pt>
                <c:pt idx="5">
                  <c:v>8.3978999999999998E-2</c:v>
                </c:pt>
                <c:pt idx="6">
                  <c:v>1.1089999999999999E-2</c:v>
                </c:pt>
              </c:numCache>
            </c:numRef>
          </c:val>
          <c:extLst xmlns:c16r2="http://schemas.microsoft.com/office/drawing/2015/06/chart">
            <c:ext xmlns:c16="http://schemas.microsoft.com/office/drawing/2014/chart" uri="{C3380CC4-5D6E-409C-BE32-E72D297353CC}">
              <c16:uniqueId val="{00000002-E084-441C-BFB4-6C02B2F9DEE7}"/>
            </c:ext>
          </c:extLst>
        </c:ser>
        <c:ser>
          <c:idx val="3"/>
          <c:order val="3"/>
          <c:tx>
            <c:strRef>
              <c:f>'qfe adapt'!$M$2</c:f>
              <c:strCache>
                <c:ptCount val="1"/>
                <c:pt idx="0">
                  <c:v>EastAegean</c:v>
                </c:pt>
              </c:strCache>
            </c:strRef>
          </c:tx>
          <c:spPr>
            <a:solidFill>
              <a:schemeClr val="accent4"/>
            </a:solidFill>
            <a:ln>
              <a:noFill/>
            </a:ln>
            <a:effectLst/>
          </c:spPr>
          <c:invertIfNegative val="0"/>
          <c:cat>
            <c:strRef>
              <c:f>'qfe adapt'!$I$3:$I$9</c:f>
              <c:strCache>
                <c:ptCount val="7"/>
                <c:pt idx="0">
                  <c:v>Wheat</c:v>
                </c:pt>
                <c:pt idx="1">
                  <c:v>Grains</c:v>
                </c:pt>
                <c:pt idx="2">
                  <c:v>Vegetables</c:v>
                </c:pt>
                <c:pt idx="3">
                  <c:v>Oil seeds</c:v>
                </c:pt>
                <c:pt idx="4">
                  <c:v>Sugar cane</c:v>
                </c:pt>
                <c:pt idx="5">
                  <c:v>Plant fibers</c:v>
                </c:pt>
                <c:pt idx="6">
                  <c:v>Crops</c:v>
                </c:pt>
              </c:strCache>
            </c:strRef>
          </c:cat>
          <c:val>
            <c:numRef>
              <c:f>'qfe adapt'!$M$3:$M$9</c:f>
              <c:numCache>
                <c:formatCode>General</c:formatCode>
                <c:ptCount val="7"/>
                <c:pt idx="0">
                  <c:v>-2.3566889999999998</c:v>
                </c:pt>
                <c:pt idx="1">
                  <c:v>-2.482701</c:v>
                </c:pt>
                <c:pt idx="2">
                  <c:v>3.183182</c:v>
                </c:pt>
                <c:pt idx="3">
                  <c:v>2.827712</c:v>
                </c:pt>
                <c:pt idx="4">
                  <c:v>-0.56271000000000004</c:v>
                </c:pt>
                <c:pt idx="5">
                  <c:v>2.3608169999999999</c:v>
                </c:pt>
                <c:pt idx="6">
                  <c:v>0.31175700000000001</c:v>
                </c:pt>
              </c:numCache>
            </c:numRef>
          </c:val>
          <c:extLst xmlns:c16r2="http://schemas.microsoft.com/office/drawing/2015/06/chart">
            <c:ext xmlns:c16="http://schemas.microsoft.com/office/drawing/2014/chart" uri="{C3380CC4-5D6E-409C-BE32-E72D297353CC}">
              <c16:uniqueId val="{00000003-E084-441C-BFB4-6C02B2F9DEE7}"/>
            </c:ext>
          </c:extLst>
        </c:ser>
        <c:dLbls>
          <c:showLegendKey val="0"/>
          <c:showVal val="0"/>
          <c:showCatName val="0"/>
          <c:showSerName val="0"/>
          <c:showPercent val="0"/>
          <c:showBubbleSize val="0"/>
        </c:dLbls>
        <c:gapWidth val="182"/>
        <c:axId val="218069504"/>
        <c:axId val="149505152"/>
      </c:barChart>
      <c:catAx>
        <c:axId val="21806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05152"/>
        <c:crosses val="autoZero"/>
        <c:auto val="1"/>
        <c:lblAlgn val="ctr"/>
        <c:lblOffset val="100"/>
        <c:noMultiLvlLbl val="0"/>
      </c:catAx>
      <c:valAx>
        <c:axId val="149505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6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696951342620635E-2"/>
          <c:y val="4.7393364928909949E-2"/>
          <c:w val="0.90479877515310592"/>
          <c:h val="0.66592495089341752"/>
        </c:manualLayout>
      </c:layout>
      <c:barChart>
        <c:barDir val="col"/>
        <c:grouping val="clustered"/>
        <c:varyColors val="0"/>
        <c:ser>
          <c:idx val="0"/>
          <c:order val="0"/>
          <c:tx>
            <c:strRef>
              <c:f>ssc!$B$1</c:f>
              <c:strCache>
                <c:ptCount val="1"/>
                <c:pt idx="0">
                  <c:v>2_adaptation</c:v>
                </c:pt>
              </c:strCache>
            </c:strRef>
          </c:tx>
          <c:spPr>
            <a:solidFill>
              <a:schemeClr val="accent1"/>
            </a:solidFill>
            <a:ln>
              <a:noFill/>
            </a:ln>
            <a:effectLst/>
          </c:spPr>
          <c:invertIfNegative val="0"/>
          <c:cat>
            <c:strRef>
              <c:f>ssc!$A$2:$A$13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ssc!$B$2:$B$13</c:f>
              <c:numCache>
                <c:formatCode>General</c:formatCode>
                <c:ptCount val="12"/>
                <c:pt idx="0">
                  <c:v>-7.6100000000000001E-2</c:v>
                </c:pt>
                <c:pt idx="1">
                  <c:v>2E-3</c:v>
                </c:pt>
                <c:pt idx="2">
                  <c:v>5.9999999999999995E-4</c:v>
                </c:pt>
                <c:pt idx="3">
                  <c:v>6.7999999999999996E-3</c:v>
                </c:pt>
                <c:pt idx="4">
                  <c:v>1.7600000000000001E-2</c:v>
                </c:pt>
                <c:pt idx="5">
                  <c:v>1.6400000000000001E-2</c:v>
                </c:pt>
                <c:pt idx="6">
                  <c:v>8.2000000000000007E-3</c:v>
                </c:pt>
                <c:pt idx="7">
                  <c:v>1.7500000000000002E-2</c:v>
                </c:pt>
                <c:pt idx="8">
                  <c:v>4.4000000000000003E-3</c:v>
                </c:pt>
                <c:pt idx="9">
                  <c:v>-5.0000000000000001E-4</c:v>
                </c:pt>
                <c:pt idx="10">
                  <c:v>9.2999999999999992E-3</c:v>
                </c:pt>
                <c:pt idx="11">
                  <c:v>2.7799999999999998E-2</c:v>
                </c:pt>
              </c:numCache>
            </c:numRef>
          </c:val>
          <c:extLst xmlns:c16r2="http://schemas.microsoft.com/office/drawing/2015/06/chart">
            <c:ext xmlns:c16="http://schemas.microsoft.com/office/drawing/2014/chart" uri="{C3380CC4-5D6E-409C-BE32-E72D297353CC}">
              <c16:uniqueId val="{00000000-FDF0-4157-9D82-0448F0C44879}"/>
            </c:ext>
          </c:extLst>
        </c:ser>
        <c:ser>
          <c:idx val="1"/>
          <c:order val="1"/>
          <c:tx>
            <c:strRef>
              <c:f>ssc!$C$1</c:f>
              <c:strCache>
                <c:ptCount val="1"/>
                <c:pt idx="0">
                  <c:v>4_adaptation</c:v>
                </c:pt>
              </c:strCache>
            </c:strRef>
          </c:tx>
          <c:spPr>
            <a:solidFill>
              <a:schemeClr val="accent2"/>
            </a:solidFill>
            <a:ln>
              <a:noFill/>
            </a:ln>
            <a:effectLst/>
          </c:spPr>
          <c:invertIfNegative val="0"/>
          <c:cat>
            <c:strRef>
              <c:f>ssc!$A$2:$A$13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ssc!$C$2:$C$13</c:f>
              <c:numCache>
                <c:formatCode>General</c:formatCode>
                <c:ptCount val="12"/>
                <c:pt idx="0">
                  <c:v>-0.1003</c:v>
                </c:pt>
                <c:pt idx="1">
                  <c:v>2E-3</c:v>
                </c:pt>
                <c:pt idx="2">
                  <c:v>-6.9999999999999999E-4</c:v>
                </c:pt>
                <c:pt idx="3">
                  <c:v>3.2000000000000002E-3</c:v>
                </c:pt>
                <c:pt idx="4">
                  <c:v>2.24E-2</c:v>
                </c:pt>
                <c:pt idx="5">
                  <c:v>0.02</c:v>
                </c:pt>
                <c:pt idx="6">
                  <c:v>0.01</c:v>
                </c:pt>
                <c:pt idx="7">
                  <c:v>2.1399999999999999E-2</c:v>
                </c:pt>
                <c:pt idx="8">
                  <c:v>5.1000000000000004E-3</c:v>
                </c:pt>
                <c:pt idx="9">
                  <c:v>-1.8E-3</c:v>
                </c:pt>
                <c:pt idx="10">
                  <c:v>9.7000000000000003E-3</c:v>
                </c:pt>
                <c:pt idx="11">
                  <c:v>3.5400000000000001E-2</c:v>
                </c:pt>
              </c:numCache>
            </c:numRef>
          </c:val>
          <c:extLst xmlns:c16r2="http://schemas.microsoft.com/office/drawing/2015/06/chart">
            <c:ext xmlns:c16="http://schemas.microsoft.com/office/drawing/2014/chart" uri="{C3380CC4-5D6E-409C-BE32-E72D297353CC}">
              <c16:uniqueId val="{00000001-FDF0-4157-9D82-0448F0C44879}"/>
            </c:ext>
          </c:extLst>
        </c:ser>
        <c:dLbls>
          <c:showLegendKey val="0"/>
          <c:showVal val="0"/>
          <c:showCatName val="0"/>
          <c:showSerName val="0"/>
          <c:showPercent val="0"/>
          <c:showBubbleSize val="0"/>
        </c:dLbls>
        <c:gapWidth val="219"/>
        <c:overlap val="-27"/>
        <c:axId val="173512704"/>
        <c:axId val="149506880"/>
      </c:barChart>
      <c:catAx>
        <c:axId val="173512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06880"/>
        <c:crosses val="autoZero"/>
        <c:auto val="1"/>
        <c:lblAlgn val="ctr"/>
        <c:lblOffset val="100"/>
        <c:noMultiLvlLbl val="0"/>
      </c:catAx>
      <c:valAx>
        <c:axId val="14950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12704"/>
        <c:crosses val="autoZero"/>
        <c:crossBetween val="between"/>
      </c:valAx>
      <c:spPr>
        <a:noFill/>
        <a:ln w="25400">
          <a:noFill/>
        </a:ln>
        <a:effectLst/>
      </c:spPr>
    </c:plotArea>
    <c:legend>
      <c:legendPos val="b"/>
      <c:layout>
        <c:manualLayout>
          <c:xMode val="edge"/>
          <c:yMode val="edge"/>
          <c:x val="0.34900851335890704"/>
          <c:y val="0.92729376083482884"/>
          <c:w val="0.30198297328218587"/>
          <c:h val="7.27062391651711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'F39, 42, 43, 44, 45'!$B$29</c:f>
              <c:strCache>
                <c:ptCount val="1"/>
                <c:pt idx="0">
                  <c:v>Without adaptation</c:v>
                </c:pt>
              </c:strCache>
            </c:strRef>
          </c:tx>
          <c:spPr>
            <a:solidFill>
              <a:schemeClr val="accent1"/>
            </a:solidFill>
            <a:ln>
              <a:noFill/>
            </a:ln>
            <a:effectLst/>
          </c:spPr>
          <c:invertIfNegative val="0"/>
          <c:cat>
            <c:strRef>
              <c:f>'F39, 42, 43, 44, 45'!$A$30:$A$31</c:f>
              <c:strCache>
                <c:ptCount val="2"/>
                <c:pt idx="0">
                  <c:v>2°C Optimistic</c:v>
                </c:pt>
                <c:pt idx="1">
                  <c:v>4°C Pessimistic</c:v>
                </c:pt>
              </c:strCache>
            </c:strRef>
          </c:cat>
          <c:val>
            <c:numRef>
              <c:f>'F39, 42, 43, 44, 45'!$B$30:$B$31</c:f>
              <c:numCache>
                <c:formatCode>General</c:formatCode>
                <c:ptCount val="2"/>
                <c:pt idx="0">
                  <c:v>-1.2713000000000001</c:v>
                </c:pt>
                <c:pt idx="1">
                  <c:v>-4.1456</c:v>
                </c:pt>
              </c:numCache>
            </c:numRef>
          </c:val>
          <c:extLst xmlns:c16r2="http://schemas.microsoft.com/office/drawing/2015/06/chart">
            <c:ext xmlns:c16="http://schemas.microsoft.com/office/drawing/2014/chart" uri="{C3380CC4-5D6E-409C-BE32-E72D297353CC}">
              <c16:uniqueId val="{00000000-2F05-4C08-A79E-0C985E1F6539}"/>
            </c:ext>
          </c:extLst>
        </c:ser>
        <c:ser>
          <c:idx val="1"/>
          <c:order val="1"/>
          <c:tx>
            <c:strRef>
              <c:f>'F39, 42, 43, 44, 45'!$C$29</c:f>
              <c:strCache>
                <c:ptCount val="1"/>
                <c:pt idx="0">
                  <c:v>With adaptation</c:v>
                </c:pt>
              </c:strCache>
            </c:strRef>
          </c:tx>
          <c:spPr>
            <a:solidFill>
              <a:schemeClr val="accent2"/>
            </a:solidFill>
            <a:ln>
              <a:noFill/>
            </a:ln>
            <a:effectLst/>
          </c:spPr>
          <c:invertIfNegative val="0"/>
          <c:cat>
            <c:strRef>
              <c:f>'F39, 42, 43, 44, 45'!$A$30:$A$31</c:f>
              <c:strCache>
                <c:ptCount val="2"/>
                <c:pt idx="0">
                  <c:v>2°C Optimistic</c:v>
                </c:pt>
                <c:pt idx="1">
                  <c:v>4°C Pessimistic</c:v>
                </c:pt>
              </c:strCache>
            </c:strRef>
          </c:cat>
          <c:val>
            <c:numRef>
              <c:f>'F39, 42, 43, 44, 45'!$C$30:$C$31</c:f>
              <c:numCache>
                <c:formatCode>General</c:formatCode>
                <c:ptCount val="2"/>
                <c:pt idx="0">
                  <c:v>-4.65E-2</c:v>
                </c:pt>
                <c:pt idx="1">
                  <c:v>-4.65E-2</c:v>
                </c:pt>
              </c:numCache>
            </c:numRef>
          </c:val>
          <c:extLst xmlns:c16r2="http://schemas.microsoft.com/office/drawing/2015/06/chart">
            <c:ext xmlns:c16="http://schemas.microsoft.com/office/drawing/2014/chart" uri="{C3380CC4-5D6E-409C-BE32-E72D297353CC}">
              <c16:uniqueId val="{00000001-2F05-4C08-A79E-0C985E1F6539}"/>
            </c:ext>
          </c:extLst>
        </c:ser>
        <c:dLbls>
          <c:showLegendKey val="0"/>
          <c:showVal val="0"/>
          <c:showCatName val="0"/>
          <c:showSerName val="0"/>
          <c:showPercent val="0"/>
          <c:showBubbleSize val="0"/>
        </c:dLbls>
        <c:gapWidth val="182"/>
        <c:axId val="218067968"/>
        <c:axId val="149508608"/>
      </c:barChart>
      <c:catAx>
        <c:axId val="218067968"/>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08608"/>
        <c:crosses val="autoZero"/>
        <c:auto val="1"/>
        <c:lblAlgn val="ctr"/>
        <c:lblOffset val="100"/>
        <c:noMultiLvlLbl val="0"/>
      </c:catAx>
      <c:valAx>
        <c:axId val="149508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6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424270392967997E-2"/>
          <c:y val="9.3165733801347114E-2"/>
          <c:w val="0.89620169902870273"/>
          <c:h val="0.80693419346678052"/>
        </c:manualLayout>
      </c:layout>
      <c:barChart>
        <c:barDir val="col"/>
        <c:grouping val="clustered"/>
        <c:varyColors val="0"/>
        <c:ser>
          <c:idx val="0"/>
          <c:order val="0"/>
          <c:tx>
            <c:strRef>
              <c:f>'[Chart in Microsoft Word]F39-45'!$A$52</c:f>
              <c:strCache>
                <c:ptCount val="1"/>
                <c:pt idx="0">
                  <c:v>2°C Optimistic</c:v>
                </c:pt>
              </c:strCache>
            </c:strRef>
          </c:tx>
          <c:spPr>
            <a:solidFill>
              <a:schemeClr val="accent1"/>
            </a:solidFill>
            <a:ln>
              <a:noFill/>
            </a:ln>
            <a:effectLst/>
          </c:spPr>
          <c:invertIfNegative val="0"/>
          <c:cat>
            <c:strRef>
              <c:f>'[Chart in Microsoft Word]F39-45'!$B$51:$C$51</c:f>
              <c:strCache>
                <c:ptCount val="2"/>
                <c:pt idx="0">
                  <c:v>Without adaptation</c:v>
                </c:pt>
                <c:pt idx="1">
                  <c:v>With adaptation</c:v>
                </c:pt>
              </c:strCache>
            </c:strRef>
          </c:cat>
          <c:val>
            <c:numRef>
              <c:f>'[Chart in Microsoft Word]F39-45'!$B$52:$C$52</c:f>
              <c:numCache>
                <c:formatCode>General</c:formatCode>
                <c:ptCount val="2"/>
                <c:pt idx="0">
                  <c:v>-670.24260000000004</c:v>
                </c:pt>
                <c:pt idx="1">
                  <c:v>-37.769799999999996</c:v>
                </c:pt>
              </c:numCache>
            </c:numRef>
          </c:val>
          <c:extLst xmlns:c16r2="http://schemas.microsoft.com/office/drawing/2015/06/chart">
            <c:ext xmlns:c16="http://schemas.microsoft.com/office/drawing/2014/chart" uri="{C3380CC4-5D6E-409C-BE32-E72D297353CC}">
              <c16:uniqueId val="{00000000-DADE-4166-AE43-323D850CB5DC}"/>
            </c:ext>
          </c:extLst>
        </c:ser>
        <c:ser>
          <c:idx val="1"/>
          <c:order val="1"/>
          <c:tx>
            <c:strRef>
              <c:f>'[Chart in Microsoft Word]F39-45'!$A$53</c:f>
              <c:strCache>
                <c:ptCount val="1"/>
                <c:pt idx="0">
                  <c:v>4°C Pessimistic</c:v>
                </c:pt>
              </c:strCache>
            </c:strRef>
          </c:tx>
          <c:spPr>
            <a:solidFill>
              <a:schemeClr val="accent2"/>
            </a:solidFill>
            <a:ln>
              <a:noFill/>
            </a:ln>
            <a:effectLst/>
          </c:spPr>
          <c:invertIfNegative val="0"/>
          <c:cat>
            <c:strRef>
              <c:f>'[Chart in Microsoft Word]F39-45'!$B$51:$C$51</c:f>
              <c:strCache>
                <c:ptCount val="2"/>
                <c:pt idx="0">
                  <c:v>Without adaptation</c:v>
                </c:pt>
                <c:pt idx="1">
                  <c:v>With adaptation</c:v>
                </c:pt>
              </c:strCache>
            </c:strRef>
          </c:cat>
          <c:val>
            <c:numRef>
              <c:f>'[Chart in Microsoft Word]F39-45'!$B$53:$C$53</c:f>
              <c:numCache>
                <c:formatCode>General</c:formatCode>
                <c:ptCount val="2"/>
                <c:pt idx="0">
                  <c:v>-2319.6995000000002</c:v>
                </c:pt>
                <c:pt idx="1">
                  <c:v>-49.979700000000001</c:v>
                </c:pt>
              </c:numCache>
            </c:numRef>
          </c:val>
          <c:extLst xmlns:c16r2="http://schemas.microsoft.com/office/drawing/2015/06/chart">
            <c:ext xmlns:c16="http://schemas.microsoft.com/office/drawing/2014/chart" uri="{C3380CC4-5D6E-409C-BE32-E72D297353CC}">
              <c16:uniqueId val="{00000001-DADE-4166-AE43-323D850CB5DC}"/>
            </c:ext>
          </c:extLst>
        </c:ser>
        <c:dLbls>
          <c:showLegendKey val="0"/>
          <c:showVal val="0"/>
          <c:showCatName val="0"/>
          <c:showSerName val="0"/>
          <c:showPercent val="0"/>
          <c:showBubbleSize val="0"/>
        </c:dLbls>
        <c:gapWidth val="219"/>
        <c:overlap val="-27"/>
        <c:axId val="218075648"/>
        <c:axId val="149510336"/>
      </c:barChart>
      <c:catAx>
        <c:axId val="218075648"/>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10336"/>
        <c:crosses val="autoZero"/>
        <c:auto val="1"/>
        <c:lblAlgn val="ctr"/>
        <c:lblOffset val="100"/>
        <c:noMultiLvlLbl val="0"/>
      </c:catAx>
      <c:valAx>
        <c:axId val="14951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75648"/>
        <c:crosses val="autoZero"/>
        <c:crossBetween val="between"/>
      </c:valAx>
      <c:spPr>
        <a:noFill/>
        <a:ln>
          <a:noFill/>
        </a:ln>
        <a:effectLst/>
      </c:spPr>
    </c:plotArea>
    <c:legend>
      <c:legendPos val="b"/>
      <c:layout>
        <c:manualLayout>
          <c:xMode val="edge"/>
          <c:yMode val="edge"/>
          <c:x val="0.33249911454398579"/>
          <c:y val="0.93222844132435256"/>
          <c:w val="0.33500177091202843"/>
          <c:h val="6.77715586756474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307082704060186E-2"/>
          <c:y val="4.5905052447426063E-2"/>
          <c:w val="0.92493983227269494"/>
          <c:h val="0.79742857837929881"/>
        </c:manualLayout>
      </c:layout>
      <c:barChart>
        <c:barDir val="col"/>
        <c:grouping val="clustered"/>
        <c:varyColors val="0"/>
        <c:ser>
          <c:idx val="0"/>
          <c:order val="0"/>
          <c:tx>
            <c:strRef>
              <c:f>'[Chart 2 in Microsoft Word]ssc'!$B$68</c:f>
              <c:strCache>
                <c:ptCount val="1"/>
                <c:pt idx="0">
                  <c:v>2_adaptation</c:v>
                </c:pt>
              </c:strCache>
            </c:strRef>
          </c:tx>
          <c:spPr>
            <a:solidFill>
              <a:schemeClr val="accent1"/>
            </a:solidFill>
            <a:ln>
              <a:noFill/>
            </a:ln>
            <a:effectLst/>
          </c:spPr>
          <c:invertIfNegative val="0"/>
          <c:cat>
            <c:strRef>
              <c:f>'[Chart 2 in Microsoft Word]ssc'!$A$69:$A$72</c:f>
              <c:strCache>
                <c:ptCount val="4"/>
                <c:pt idx="0">
                  <c:v>Coal</c:v>
                </c:pt>
                <c:pt idx="1">
                  <c:v>Oil</c:v>
                </c:pt>
                <c:pt idx="2">
                  <c:v>Gas</c:v>
                </c:pt>
                <c:pt idx="3">
                  <c:v>Petroleum</c:v>
                </c:pt>
              </c:strCache>
            </c:strRef>
          </c:cat>
          <c:val>
            <c:numRef>
              <c:f>'[Chart 2 in Microsoft Word]ssc'!$B$69:$B$72</c:f>
              <c:numCache>
                <c:formatCode>General</c:formatCode>
                <c:ptCount val="4"/>
                <c:pt idx="0">
                  <c:v>4.4499999999999998E-2</c:v>
                </c:pt>
                <c:pt idx="1">
                  <c:v>1.7999999999999999E-2</c:v>
                </c:pt>
                <c:pt idx="2">
                  <c:v>1.9800000000000002E-2</c:v>
                </c:pt>
                <c:pt idx="3">
                  <c:v>2.75E-2</c:v>
                </c:pt>
              </c:numCache>
            </c:numRef>
          </c:val>
          <c:extLst xmlns:c16r2="http://schemas.microsoft.com/office/drawing/2015/06/chart">
            <c:ext xmlns:c16="http://schemas.microsoft.com/office/drawing/2014/chart" uri="{C3380CC4-5D6E-409C-BE32-E72D297353CC}">
              <c16:uniqueId val="{00000000-7F19-44DF-93B6-2B8AE18A7370}"/>
            </c:ext>
          </c:extLst>
        </c:ser>
        <c:ser>
          <c:idx val="1"/>
          <c:order val="1"/>
          <c:tx>
            <c:strRef>
              <c:f>'[Chart 2 in Microsoft Word]ssc'!$C$68</c:f>
              <c:strCache>
                <c:ptCount val="1"/>
                <c:pt idx="0">
                  <c:v>4_adaptation</c:v>
                </c:pt>
              </c:strCache>
            </c:strRef>
          </c:tx>
          <c:spPr>
            <a:solidFill>
              <a:schemeClr val="accent2"/>
            </a:solidFill>
            <a:ln>
              <a:noFill/>
            </a:ln>
            <a:effectLst/>
          </c:spPr>
          <c:invertIfNegative val="0"/>
          <c:cat>
            <c:strRef>
              <c:f>'[Chart 2 in Microsoft Word]ssc'!$A$69:$A$72</c:f>
              <c:strCache>
                <c:ptCount val="4"/>
                <c:pt idx="0">
                  <c:v>Coal</c:v>
                </c:pt>
                <c:pt idx="1">
                  <c:v>Oil</c:v>
                </c:pt>
                <c:pt idx="2">
                  <c:v>Gas</c:v>
                </c:pt>
                <c:pt idx="3">
                  <c:v>Petroleum</c:v>
                </c:pt>
              </c:strCache>
            </c:strRef>
          </c:cat>
          <c:val>
            <c:numRef>
              <c:f>'[Chart 2 in Microsoft Word]ssc'!$C$69:$C$72</c:f>
              <c:numCache>
                <c:formatCode>General</c:formatCode>
                <c:ptCount val="4"/>
                <c:pt idx="0">
                  <c:v>5.5599999999999997E-2</c:v>
                </c:pt>
                <c:pt idx="1">
                  <c:v>2.2599999999999999E-2</c:v>
                </c:pt>
                <c:pt idx="2">
                  <c:v>2.24E-2</c:v>
                </c:pt>
                <c:pt idx="3">
                  <c:v>2.92E-2</c:v>
                </c:pt>
              </c:numCache>
            </c:numRef>
          </c:val>
          <c:extLst xmlns:c16r2="http://schemas.microsoft.com/office/drawing/2015/06/chart">
            <c:ext xmlns:c16="http://schemas.microsoft.com/office/drawing/2014/chart" uri="{C3380CC4-5D6E-409C-BE32-E72D297353CC}">
              <c16:uniqueId val="{00000001-7F19-44DF-93B6-2B8AE18A7370}"/>
            </c:ext>
          </c:extLst>
        </c:ser>
        <c:dLbls>
          <c:showLegendKey val="0"/>
          <c:showVal val="0"/>
          <c:showCatName val="0"/>
          <c:showSerName val="0"/>
          <c:showPercent val="0"/>
          <c:showBubbleSize val="0"/>
        </c:dLbls>
        <c:gapWidth val="219"/>
        <c:overlap val="-27"/>
        <c:axId val="186026496"/>
        <c:axId val="218480640"/>
      </c:barChart>
      <c:catAx>
        <c:axId val="18602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480640"/>
        <c:crosses val="autoZero"/>
        <c:auto val="1"/>
        <c:lblAlgn val="ctr"/>
        <c:lblOffset val="100"/>
        <c:noMultiLvlLbl val="0"/>
      </c:catAx>
      <c:valAx>
        <c:axId val="21848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26496"/>
        <c:crosses val="autoZero"/>
        <c:crossBetween val="between"/>
      </c:valAx>
      <c:spPr>
        <a:noFill/>
        <a:ln>
          <a:noFill/>
        </a:ln>
        <a:effectLst/>
      </c:spPr>
    </c:plotArea>
    <c:legend>
      <c:legendPos val="b"/>
      <c:layout>
        <c:manualLayout>
          <c:xMode val="edge"/>
          <c:yMode val="edge"/>
          <c:x val="0.36109289846193177"/>
          <c:y val="0.92957698346300877"/>
          <c:w val="0.27781406167967959"/>
          <c:h val="7.04230165369911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102934248603542E-2"/>
          <c:y val="4.7393364928909949E-2"/>
          <c:w val="0.919392792247123"/>
          <c:h val="0.82819854325619902"/>
        </c:manualLayout>
      </c:layout>
      <c:barChart>
        <c:barDir val="col"/>
        <c:grouping val="clustered"/>
        <c:varyColors val="0"/>
        <c:ser>
          <c:idx val="0"/>
          <c:order val="0"/>
          <c:tx>
            <c:strRef>
              <c:f>ssc!$B$84</c:f>
              <c:strCache>
                <c:ptCount val="1"/>
                <c:pt idx="0">
                  <c:v>2_adaptation</c:v>
                </c:pt>
              </c:strCache>
            </c:strRef>
          </c:tx>
          <c:spPr>
            <a:solidFill>
              <a:schemeClr val="accent1"/>
            </a:solidFill>
            <a:ln>
              <a:noFill/>
            </a:ln>
            <a:effectLst/>
          </c:spPr>
          <c:invertIfNegative val="0"/>
          <c:cat>
            <c:strRef>
              <c:f>ssc!$A$85:$A$98</c:f>
              <c:strCache>
                <c:ptCount val="14"/>
                <c:pt idx="0">
                  <c:v>pdr</c:v>
                </c:pt>
                <c:pt idx="1">
                  <c:v>wht</c:v>
                </c:pt>
                <c:pt idx="2">
                  <c:v>gro</c:v>
                </c:pt>
                <c:pt idx="3">
                  <c:v>v_f</c:v>
                </c:pt>
                <c:pt idx="4">
                  <c:v>osd</c:v>
                </c:pt>
                <c:pt idx="5">
                  <c:v>c_b</c:v>
                </c:pt>
                <c:pt idx="6">
                  <c:v>pfb</c:v>
                </c:pt>
                <c:pt idx="7">
                  <c:v>ocr</c:v>
                </c:pt>
                <c:pt idx="8">
                  <c:v>vol</c:v>
                </c:pt>
                <c:pt idx="9">
                  <c:v>mil</c:v>
                </c:pt>
                <c:pt idx="10">
                  <c:v>pcr</c:v>
                </c:pt>
                <c:pt idx="11">
                  <c:v>sgr</c:v>
                </c:pt>
                <c:pt idx="12">
                  <c:v>ofd</c:v>
                </c:pt>
                <c:pt idx="13">
                  <c:v>b_t</c:v>
                </c:pt>
              </c:strCache>
            </c:strRef>
          </c:cat>
          <c:val>
            <c:numRef>
              <c:f>ssc!$B$85:$B$98</c:f>
              <c:numCache>
                <c:formatCode>General</c:formatCode>
                <c:ptCount val="14"/>
                <c:pt idx="0">
                  <c:v>-4.8067000000000002</c:v>
                </c:pt>
                <c:pt idx="1">
                  <c:v>-8.8312000000000008</c:v>
                </c:pt>
                <c:pt idx="2">
                  <c:v>-2.7515000000000001</c:v>
                </c:pt>
                <c:pt idx="3">
                  <c:v>0.15340000000000001</c:v>
                </c:pt>
                <c:pt idx="4">
                  <c:v>0.2029</c:v>
                </c:pt>
                <c:pt idx="5">
                  <c:v>0.20469999999999999</c:v>
                </c:pt>
                <c:pt idx="6">
                  <c:v>0.13900000000000001</c:v>
                </c:pt>
                <c:pt idx="7">
                  <c:v>2.41E-2</c:v>
                </c:pt>
                <c:pt idx="8">
                  <c:v>1.7632000000000001</c:v>
                </c:pt>
                <c:pt idx="9">
                  <c:v>5.0000000000000001E-3</c:v>
                </c:pt>
                <c:pt idx="10">
                  <c:v>-1.0170999999999999</c:v>
                </c:pt>
                <c:pt idx="11">
                  <c:v>5.4199999999999998E-2</c:v>
                </c:pt>
                <c:pt idx="12">
                  <c:v>2.1600000000000001E-2</c:v>
                </c:pt>
                <c:pt idx="13">
                  <c:v>1.4999999999999999E-2</c:v>
                </c:pt>
              </c:numCache>
            </c:numRef>
          </c:val>
          <c:extLst xmlns:c16r2="http://schemas.microsoft.com/office/drawing/2015/06/chart">
            <c:ext xmlns:c16="http://schemas.microsoft.com/office/drawing/2014/chart" uri="{C3380CC4-5D6E-409C-BE32-E72D297353CC}">
              <c16:uniqueId val="{00000000-CE91-4797-AD53-18601B0160CA}"/>
            </c:ext>
          </c:extLst>
        </c:ser>
        <c:ser>
          <c:idx val="1"/>
          <c:order val="1"/>
          <c:tx>
            <c:strRef>
              <c:f>ssc!$C$84</c:f>
              <c:strCache>
                <c:ptCount val="1"/>
                <c:pt idx="0">
                  <c:v>4_adaptation</c:v>
                </c:pt>
              </c:strCache>
            </c:strRef>
          </c:tx>
          <c:spPr>
            <a:solidFill>
              <a:schemeClr val="accent2"/>
            </a:solidFill>
            <a:ln>
              <a:noFill/>
            </a:ln>
            <a:effectLst/>
          </c:spPr>
          <c:invertIfNegative val="0"/>
          <c:cat>
            <c:strRef>
              <c:f>ssc!$A$85:$A$98</c:f>
              <c:strCache>
                <c:ptCount val="14"/>
                <c:pt idx="0">
                  <c:v>pdr</c:v>
                </c:pt>
                <c:pt idx="1">
                  <c:v>wht</c:v>
                </c:pt>
                <c:pt idx="2">
                  <c:v>gro</c:v>
                </c:pt>
                <c:pt idx="3">
                  <c:v>v_f</c:v>
                </c:pt>
                <c:pt idx="4">
                  <c:v>osd</c:v>
                </c:pt>
                <c:pt idx="5">
                  <c:v>c_b</c:v>
                </c:pt>
                <c:pt idx="6">
                  <c:v>pfb</c:v>
                </c:pt>
                <c:pt idx="7">
                  <c:v>ocr</c:v>
                </c:pt>
                <c:pt idx="8">
                  <c:v>vol</c:v>
                </c:pt>
                <c:pt idx="9">
                  <c:v>mil</c:v>
                </c:pt>
                <c:pt idx="10">
                  <c:v>pcr</c:v>
                </c:pt>
                <c:pt idx="11">
                  <c:v>sgr</c:v>
                </c:pt>
                <c:pt idx="12">
                  <c:v>ofd</c:v>
                </c:pt>
                <c:pt idx="13">
                  <c:v>b_t</c:v>
                </c:pt>
              </c:strCache>
            </c:strRef>
          </c:cat>
          <c:val>
            <c:numRef>
              <c:f>ssc!$C$85:$C$98</c:f>
              <c:numCache>
                <c:formatCode>General</c:formatCode>
                <c:ptCount val="14"/>
                <c:pt idx="0">
                  <c:v>-11.2972</c:v>
                </c:pt>
                <c:pt idx="1">
                  <c:v>-9.1934000000000005</c:v>
                </c:pt>
                <c:pt idx="2">
                  <c:v>-6.8825000000000003</c:v>
                </c:pt>
                <c:pt idx="3">
                  <c:v>0.15920000000000001</c:v>
                </c:pt>
                <c:pt idx="4">
                  <c:v>0.21729999999999999</c:v>
                </c:pt>
                <c:pt idx="5">
                  <c:v>0.1779</c:v>
                </c:pt>
                <c:pt idx="6">
                  <c:v>0.10639999999999999</c:v>
                </c:pt>
                <c:pt idx="7">
                  <c:v>-2.8E-3</c:v>
                </c:pt>
                <c:pt idx="8">
                  <c:v>1.7821</c:v>
                </c:pt>
                <c:pt idx="9">
                  <c:v>-0.12609999999999999</c:v>
                </c:pt>
                <c:pt idx="10">
                  <c:v>-2.7938000000000001</c:v>
                </c:pt>
                <c:pt idx="11">
                  <c:v>1.6400000000000001E-2</c:v>
                </c:pt>
                <c:pt idx="12">
                  <c:v>-9.5500000000000002E-2</c:v>
                </c:pt>
                <c:pt idx="13">
                  <c:v>5.5999999999999999E-3</c:v>
                </c:pt>
              </c:numCache>
            </c:numRef>
          </c:val>
          <c:extLst xmlns:c16r2="http://schemas.microsoft.com/office/drawing/2015/06/chart">
            <c:ext xmlns:c16="http://schemas.microsoft.com/office/drawing/2014/chart" uri="{C3380CC4-5D6E-409C-BE32-E72D297353CC}">
              <c16:uniqueId val="{00000001-CE91-4797-AD53-18601B0160CA}"/>
            </c:ext>
          </c:extLst>
        </c:ser>
        <c:dLbls>
          <c:showLegendKey val="0"/>
          <c:showVal val="0"/>
          <c:showCatName val="0"/>
          <c:showSerName val="0"/>
          <c:showPercent val="0"/>
          <c:showBubbleSize val="0"/>
        </c:dLbls>
        <c:gapWidth val="219"/>
        <c:overlap val="-27"/>
        <c:axId val="217298944"/>
        <c:axId val="218482368"/>
      </c:barChart>
      <c:catAx>
        <c:axId val="217298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482368"/>
        <c:crosses val="autoZero"/>
        <c:auto val="1"/>
        <c:lblAlgn val="ctr"/>
        <c:lblOffset val="100"/>
        <c:noMultiLvlLbl val="0"/>
      </c:catAx>
      <c:valAx>
        <c:axId val="21848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98944"/>
        <c:crosses val="autoZero"/>
        <c:crossBetween val="between"/>
      </c:valAx>
      <c:spPr>
        <a:noFill/>
        <a:ln>
          <a:noFill/>
        </a:ln>
        <a:effectLst/>
      </c:spPr>
    </c:plotArea>
    <c:legend>
      <c:legendPos val="b"/>
      <c:layout>
        <c:manualLayout>
          <c:xMode val="edge"/>
          <c:yMode val="edge"/>
          <c:x val="0.34900851335890704"/>
          <c:y val="0.92729376083482884"/>
          <c:w val="0.30198297328218587"/>
          <c:h val="7.27062391651711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90557574078606E-2"/>
          <c:y val="4.9217002237136466E-2"/>
          <c:w val="0.90980114292208736"/>
          <c:h val="0.67991579911571465"/>
        </c:manualLayout>
      </c:layout>
      <c:barChart>
        <c:barDir val="col"/>
        <c:grouping val="clustered"/>
        <c:varyColors val="0"/>
        <c:ser>
          <c:idx val="0"/>
          <c:order val="0"/>
          <c:tx>
            <c:strRef>
              <c:f>ssc!$B$104</c:f>
              <c:strCache>
                <c:ptCount val="1"/>
                <c:pt idx="0">
                  <c:v>2_adaptation</c:v>
                </c:pt>
              </c:strCache>
            </c:strRef>
          </c:tx>
          <c:spPr>
            <a:solidFill>
              <a:schemeClr val="accent1"/>
            </a:solidFill>
            <a:ln>
              <a:noFill/>
            </a:ln>
            <a:effectLst/>
          </c:spPr>
          <c:invertIfNegative val="0"/>
          <c:cat>
            <c:strRef>
              <c:f>ssc!$A$105:$A$116</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ssc!$B$105:$B$116</c:f>
              <c:numCache>
                <c:formatCode>General</c:formatCode>
                <c:ptCount val="12"/>
                <c:pt idx="0">
                  <c:v>-0.52429999999999999</c:v>
                </c:pt>
                <c:pt idx="1">
                  <c:v>-8.6999999999999994E-3</c:v>
                </c:pt>
                <c:pt idx="2">
                  <c:v>1.5800000000000002E-2</c:v>
                </c:pt>
                <c:pt idx="3">
                  <c:v>6.0199999999999997E-2</c:v>
                </c:pt>
                <c:pt idx="4">
                  <c:v>0.33090000000000003</c:v>
                </c:pt>
                <c:pt idx="5">
                  <c:v>0.16880000000000001</c:v>
                </c:pt>
                <c:pt idx="6">
                  <c:v>0.1525</c:v>
                </c:pt>
                <c:pt idx="7">
                  <c:v>1.0992999999999999</c:v>
                </c:pt>
                <c:pt idx="8">
                  <c:v>0.12770000000000001</c:v>
                </c:pt>
                <c:pt idx="9">
                  <c:v>0.105</c:v>
                </c:pt>
                <c:pt idx="10">
                  <c:v>0.36509999999999998</c:v>
                </c:pt>
                <c:pt idx="11">
                  <c:v>0.7661</c:v>
                </c:pt>
              </c:numCache>
            </c:numRef>
          </c:val>
          <c:extLst xmlns:c16r2="http://schemas.microsoft.com/office/drawing/2015/06/chart">
            <c:ext xmlns:c16="http://schemas.microsoft.com/office/drawing/2014/chart" uri="{C3380CC4-5D6E-409C-BE32-E72D297353CC}">
              <c16:uniqueId val="{00000000-4783-4378-8DFD-A25C05BEDB26}"/>
            </c:ext>
          </c:extLst>
        </c:ser>
        <c:ser>
          <c:idx val="1"/>
          <c:order val="1"/>
          <c:tx>
            <c:strRef>
              <c:f>ssc!$C$104</c:f>
              <c:strCache>
                <c:ptCount val="1"/>
                <c:pt idx="0">
                  <c:v>4_adaptation</c:v>
                </c:pt>
              </c:strCache>
            </c:strRef>
          </c:tx>
          <c:spPr>
            <a:solidFill>
              <a:schemeClr val="accent2"/>
            </a:solidFill>
            <a:ln>
              <a:noFill/>
            </a:ln>
            <a:effectLst/>
          </c:spPr>
          <c:invertIfNegative val="0"/>
          <c:cat>
            <c:strRef>
              <c:f>ssc!$A$105:$A$116</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ssc!$C$105:$C$116</c:f>
              <c:numCache>
                <c:formatCode>General</c:formatCode>
                <c:ptCount val="12"/>
                <c:pt idx="0">
                  <c:v>-0.63390000000000002</c:v>
                </c:pt>
                <c:pt idx="1">
                  <c:v>-6.4000000000000003E-3</c:v>
                </c:pt>
                <c:pt idx="2">
                  <c:v>1.23E-2</c:v>
                </c:pt>
                <c:pt idx="3">
                  <c:v>3.3500000000000002E-2</c:v>
                </c:pt>
                <c:pt idx="4">
                  <c:v>0.4496</c:v>
                </c:pt>
                <c:pt idx="5">
                  <c:v>0.21490000000000001</c:v>
                </c:pt>
                <c:pt idx="6">
                  <c:v>0.25390000000000001</c:v>
                </c:pt>
                <c:pt idx="7">
                  <c:v>1.4038999999999999</c:v>
                </c:pt>
                <c:pt idx="8">
                  <c:v>0.1898</c:v>
                </c:pt>
                <c:pt idx="9">
                  <c:v>0.14119999999999999</c:v>
                </c:pt>
                <c:pt idx="10">
                  <c:v>0.46100000000000002</c:v>
                </c:pt>
                <c:pt idx="11">
                  <c:v>1.0399</c:v>
                </c:pt>
              </c:numCache>
            </c:numRef>
          </c:val>
          <c:extLst xmlns:c16r2="http://schemas.microsoft.com/office/drawing/2015/06/chart">
            <c:ext xmlns:c16="http://schemas.microsoft.com/office/drawing/2014/chart" uri="{C3380CC4-5D6E-409C-BE32-E72D297353CC}">
              <c16:uniqueId val="{00000001-4783-4378-8DFD-A25C05BEDB26}"/>
            </c:ext>
          </c:extLst>
        </c:ser>
        <c:dLbls>
          <c:showLegendKey val="0"/>
          <c:showVal val="0"/>
          <c:showCatName val="0"/>
          <c:showSerName val="0"/>
          <c:showPercent val="0"/>
          <c:showBubbleSize val="0"/>
        </c:dLbls>
        <c:gapWidth val="219"/>
        <c:overlap val="-27"/>
        <c:axId val="218076160"/>
        <c:axId val="218484096"/>
      </c:barChart>
      <c:catAx>
        <c:axId val="218076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484096"/>
        <c:crosses val="autoZero"/>
        <c:auto val="1"/>
        <c:lblAlgn val="ctr"/>
        <c:lblOffset val="100"/>
        <c:noMultiLvlLbl val="0"/>
      </c:catAx>
      <c:valAx>
        <c:axId val="21848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76160"/>
        <c:crosses val="autoZero"/>
        <c:crossBetween val="between"/>
      </c:valAx>
      <c:spPr>
        <a:noFill/>
        <a:ln>
          <a:noFill/>
        </a:ln>
        <a:effectLst/>
      </c:spPr>
    </c:plotArea>
    <c:legend>
      <c:legendPos val="b"/>
      <c:layout>
        <c:manualLayout>
          <c:xMode val="edge"/>
          <c:yMode val="edge"/>
          <c:x val="0.3406314484708356"/>
          <c:y val="0.92449611583786928"/>
          <c:w val="0.31873710305832881"/>
          <c:h val="7.55038841621307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85491184703784"/>
          <c:y val="3.1112996747277612E-2"/>
          <c:w val="0.80731288526564116"/>
          <c:h val="0.85554126480901815"/>
        </c:manualLayout>
      </c:layout>
      <c:barChart>
        <c:barDir val="bar"/>
        <c:grouping val="clustered"/>
        <c:varyColors val="0"/>
        <c:ser>
          <c:idx val="0"/>
          <c:order val="0"/>
          <c:tx>
            <c:strRef>
              <c:f>ssc!$B$131</c:f>
              <c:strCache>
                <c:ptCount val="1"/>
                <c:pt idx="0">
                  <c:v>2_adaptation</c:v>
                </c:pt>
              </c:strCache>
            </c:strRef>
          </c:tx>
          <c:spPr>
            <a:solidFill>
              <a:schemeClr val="accent1"/>
            </a:solidFill>
            <a:ln>
              <a:noFill/>
            </a:ln>
            <a:effectLst/>
          </c:spPr>
          <c:invertIfNegative val="0"/>
          <c:cat>
            <c:strRef>
              <c:f>ssc!$A$132:$A$143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ssc!$B$132:$B$143</c:f>
              <c:numCache>
                <c:formatCode>General</c:formatCode>
                <c:ptCount val="12"/>
                <c:pt idx="0">
                  <c:v>4.4999999999999997E-3</c:v>
                </c:pt>
                <c:pt idx="1">
                  <c:v>2.0999999999999999E-3</c:v>
                </c:pt>
                <c:pt idx="2">
                  <c:v>-2E-3</c:v>
                </c:pt>
                <c:pt idx="3">
                  <c:v>-6.1000000000000004E-3</c:v>
                </c:pt>
                <c:pt idx="4">
                  <c:v>3.6200000000000003E-2</c:v>
                </c:pt>
                <c:pt idx="5">
                  <c:v>5.1999999999999998E-3</c:v>
                </c:pt>
                <c:pt idx="6">
                  <c:v>1.1999999999999999E-3</c:v>
                </c:pt>
                <c:pt idx="7">
                  <c:v>-6.1999999999999998E-3</c:v>
                </c:pt>
                <c:pt idx="8">
                  <c:v>-2.9999999999999997E-4</c:v>
                </c:pt>
                <c:pt idx="9">
                  <c:v>-1.2999999999999999E-3</c:v>
                </c:pt>
                <c:pt idx="10">
                  <c:v>-3.2000000000000002E-3</c:v>
                </c:pt>
                <c:pt idx="11">
                  <c:v>-8.9999999999999993E-3</c:v>
                </c:pt>
              </c:numCache>
            </c:numRef>
          </c:val>
          <c:extLst xmlns:c16r2="http://schemas.microsoft.com/office/drawing/2015/06/chart">
            <c:ext xmlns:c16="http://schemas.microsoft.com/office/drawing/2014/chart" uri="{C3380CC4-5D6E-409C-BE32-E72D297353CC}">
              <c16:uniqueId val="{00000000-DDFE-4877-8C85-2083BB3E973F}"/>
            </c:ext>
          </c:extLst>
        </c:ser>
        <c:ser>
          <c:idx val="1"/>
          <c:order val="1"/>
          <c:tx>
            <c:strRef>
              <c:f>ssc!$C$131</c:f>
              <c:strCache>
                <c:ptCount val="1"/>
                <c:pt idx="0">
                  <c:v>4_adaptation</c:v>
                </c:pt>
              </c:strCache>
            </c:strRef>
          </c:tx>
          <c:spPr>
            <a:solidFill>
              <a:schemeClr val="accent2"/>
            </a:solidFill>
            <a:ln>
              <a:noFill/>
            </a:ln>
            <a:effectLst/>
          </c:spPr>
          <c:invertIfNegative val="0"/>
          <c:cat>
            <c:strRef>
              <c:f>ssc!$A$132:$A$143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ssc!$C$132:$C$143</c:f>
              <c:numCache>
                <c:formatCode>General</c:formatCode>
                <c:ptCount val="12"/>
                <c:pt idx="0">
                  <c:v>0.01</c:v>
                </c:pt>
                <c:pt idx="1">
                  <c:v>1.1999999999999999E-3</c:v>
                </c:pt>
                <c:pt idx="2">
                  <c:v>-2E-3</c:v>
                </c:pt>
                <c:pt idx="3">
                  <c:v>-5.7999999999999996E-3</c:v>
                </c:pt>
                <c:pt idx="4">
                  <c:v>4.3200000000000002E-2</c:v>
                </c:pt>
                <c:pt idx="5">
                  <c:v>4.8999999999999998E-3</c:v>
                </c:pt>
                <c:pt idx="6">
                  <c:v>-1.4E-3</c:v>
                </c:pt>
                <c:pt idx="7">
                  <c:v>-9.9000000000000008E-3</c:v>
                </c:pt>
                <c:pt idx="8">
                  <c:v>-5.0000000000000001E-4</c:v>
                </c:pt>
                <c:pt idx="9">
                  <c:v>-1.8E-3</c:v>
                </c:pt>
                <c:pt idx="10">
                  <c:v>-4.4000000000000003E-3</c:v>
                </c:pt>
                <c:pt idx="11">
                  <c:v>-1.2999999999999999E-2</c:v>
                </c:pt>
              </c:numCache>
            </c:numRef>
          </c:val>
          <c:extLst xmlns:c16r2="http://schemas.microsoft.com/office/drawing/2015/06/chart">
            <c:ext xmlns:c16="http://schemas.microsoft.com/office/drawing/2014/chart" uri="{C3380CC4-5D6E-409C-BE32-E72D297353CC}">
              <c16:uniqueId val="{00000001-DDFE-4877-8C85-2083BB3E973F}"/>
            </c:ext>
          </c:extLst>
        </c:ser>
        <c:dLbls>
          <c:showLegendKey val="0"/>
          <c:showVal val="0"/>
          <c:showCatName val="0"/>
          <c:showSerName val="0"/>
          <c:showPercent val="0"/>
          <c:showBubbleSize val="0"/>
        </c:dLbls>
        <c:gapWidth val="182"/>
        <c:axId val="218078720"/>
        <c:axId val="218485824"/>
      </c:barChart>
      <c:catAx>
        <c:axId val="21807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485824"/>
        <c:crosses val="autoZero"/>
        <c:auto val="1"/>
        <c:lblAlgn val="ctr"/>
        <c:lblOffset val="100"/>
        <c:noMultiLvlLbl val="0"/>
      </c:catAx>
      <c:valAx>
        <c:axId val="218485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078720"/>
        <c:crosses val="autoZero"/>
        <c:crossBetween val="between"/>
      </c:valAx>
      <c:spPr>
        <a:noFill/>
        <a:ln>
          <a:noFill/>
        </a:ln>
        <a:effectLst/>
      </c:spPr>
    </c:plotArea>
    <c:legend>
      <c:legendPos val="b"/>
      <c:layout>
        <c:manualLayout>
          <c:xMode val="edge"/>
          <c:yMode val="edge"/>
          <c:x val="0.33445595807800538"/>
          <c:y val="0.95226950046602676"/>
          <c:w val="0.32646807922398474"/>
          <c:h val="4.77304995339731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ssc!$B$146</c:f>
              <c:strCache>
                <c:ptCount val="1"/>
                <c:pt idx="0">
                  <c:v>2_adaptation</c:v>
                </c:pt>
              </c:strCache>
            </c:strRef>
          </c:tx>
          <c:spPr>
            <a:solidFill>
              <a:schemeClr val="accent1"/>
            </a:solidFill>
            <a:ln>
              <a:noFill/>
            </a:ln>
            <a:effectLst/>
          </c:spPr>
          <c:invertIfNegative val="0"/>
          <c:cat>
            <c:strRef>
              <c:f>ssc!$A$147:$A$158</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ssc!$B$147:$B$158</c:f>
              <c:numCache>
                <c:formatCode>General</c:formatCode>
                <c:ptCount val="12"/>
                <c:pt idx="0">
                  <c:v>-0.2429</c:v>
                </c:pt>
                <c:pt idx="1">
                  <c:v>-5.9999999999999995E-4</c:v>
                </c:pt>
                <c:pt idx="2">
                  <c:v>2.3999999999999998E-3</c:v>
                </c:pt>
                <c:pt idx="3">
                  <c:v>2.58E-2</c:v>
                </c:pt>
                <c:pt idx="4">
                  <c:v>4.3999999999999997E-2</c:v>
                </c:pt>
                <c:pt idx="5">
                  <c:v>5.0599999999999999E-2</c:v>
                </c:pt>
                <c:pt idx="6">
                  <c:v>1.6799999999999999E-2</c:v>
                </c:pt>
                <c:pt idx="7">
                  <c:v>6.25E-2</c:v>
                </c:pt>
                <c:pt idx="8">
                  <c:v>5.3E-3</c:v>
                </c:pt>
                <c:pt idx="9">
                  <c:v>2.0999999999999999E-3</c:v>
                </c:pt>
                <c:pt idx="10">
                  <c:v>1.7899999999999999E-2</c:v>
                </c:pt>
                <c:pt idx="11">
                  <c:v>7.5800000000000006E-2</c:v>
                </c:pt>
              </c:numCache>
            </c:numRef>
          </c:val>
          <c:extLst xmlns:c16r2="http://schemas.microsoft.com/office/drawing/2015/06/chart">
            <c:ext xmlns:c16="http://schemas.microsoft.com/office/drawing/2014/chart" uri="{C3380CC4-5D6E-409C-BE32-E72D297353CC}">
              <c16:uniqueId val="{00000000-C051-40FD-92A0-F8FC80EA6FA0}"/>
            </c:ext>
          </c:extLst>
        </c:ser>
        <c:ser>
          <c:idx val="1"/>
          <c:order val="1"/>
          <c:tx>
            <c:strRef>
              <c:f>ssc!$C$146</c:f>
              <c:strCache>
                <c:ptCount val="1"/>
                <c:pt idx="0">
                  <c:v>4_adaptation</c:v>
                </c:pt>
              </c:strCache>
            </c:strRef>
          </c:tx>
          <c:spPr>
            <a:solidFill>
              <a:schemeClr val="accent2"/>
            </a:solidFill>
            <a:ln>
              <a:noFill/>
            </a:ln>
            <a:effectLst/>
          </c:spPr>
          <c:invertIfNegative val="0"/>
          <c:cat>
            <c:strRef>
              <c:f>ssc!$A$147:$A$158</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ssc!$C$147:$C$158</c:f>
              <c:numCache>
                <c:formatCode>General</c:formatCode>
                <c:ptCount val="12"/>
                <c:pt idx="0">
                  <c:v>-0.32140000000000002</c:v>
                </c:pt>
                <c:pt idx="1">
                  <c:v>-1E-4</c:v>
                </c:pt>
                <c:pt idx="2">
                  <c:v>8.0000000000000004E-4</c:v>
                </c:pt>
                <c:pt idx="3">
                  <c:v>1.95E-2</c:v>
                </c:pt>
                <c:pt idx="4">
                  <c:v>5.74E-2</c:v>
                </c:pt>
                <c:pt idx="5">
                  <c:v>6.2600000000000003E-2</c:v>
                </c:pt>
                <c:pt idx="6">
                  <c:v>2.23E-2</c:v>
                </c:pt>
                <c:pt idx="7">
                  <c:v>7.8200000000000006E-2</c:v>
                </c:pt>
                <c:pt idx="8">
                  <c:v>7.7999999999999996E-3</c:v>
                </c:pt>
                <c:pt idx="9">
                  <c:v>2.8E-3</c:v>
                </c:pt>
                <c:pt idx="10">
                  <c:v>2.2599999999999999E-2</c:v>
                </c:pt>
                <c:pt idx="11">
                  <c:v>0.1037</c:v>
                </c:pt>
              </c:numCache>
            </c:numRef>
          </c:val>
          <c:extLst xmlns:c16r2="http://schemas.microsoft.com/office/drawing/2015/06/chart">
            <c:ext xmlns:c16="http://schemas.microsoft.com/office/drawing/2014/chart" uri="{C3380CC4-5D6E-409C-BE32-E72D297353CC}">
              <c16:uniqueId val="{00000001-C051-40FD-92A0-F8FC80EA6FA0}"/>
            </c:ext>
          </c:extLst>
        </c:ser>
        <c:dLbls>
          <c:showLegendKey val="0"/>
          <c:showVal val="0"/>
          <c:showCatName val="0"/>
          <c:showSerName val="0"/>
          <c:showPercent val="0"/>
          <c:showBubbleSize val="0"/>
        </c:dLbls>
        <c:gapWidth val="182"/>
        <c:axId val="217657856"/>
        <c:axId val="218487552"/>
      </c:barChart>
      <c:catAx>
        <c:axId val="21765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487552"/>
        <c:crosses val="autoZero"/>
        <c:auto val="1"/>
        <c:lblAlgn val="ctr"/>
        <c:lblOffset val="100"/>
        <c:noMultiLvlLbl val="0"/>
      </c:catAx>
      <c:valAx>
        <c:axId val="218487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65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cap="all" spc="50" baseline="0">
                <a:solidFill>
                  <a:schemeClr val="tx1">
                    <a:lumMod val="65000"/>
                    <a:lumOff val="35000"/>
                  </a:schemeClr>
                </a:solidFill>
                <a:latin typeface="+mn-lt"/>
                <a:ea typeface="+mn-ea"/>
                <a:cs typeface="+mn-cs"/>
              </a:defRPr>
            </a:pPr>
            <a:r>
              <a:rPr lang="en-US" sz="900" baseline="0"/>
              <a:t>TOTAL IN THOUSAND $ (2011)</a:t>
            </a:r>
            <a:endParaRPr lang="en-US" sz="900"/>
          </a:p>
        </c:rich>
      </c:tx>
      <c:layout>
        <c:manualLayout>
          <c:xMode val="edge"/>
          <c:yMode val="edge"/>
          <c:x val="0.36460801547758975"/>
          <c:y val="5.0563306417118266E-2"/>
        </c:manualLayout>
      </c:layout>
      <c:overlay val="0"/>
      <c:spPr>
        <a:noFill/>
        <a:ln>
          <a:noFill/>
        </a:ln>
        <a:effectLst/>
      </c:spPr>
    </c:title>
    <c:autoTitleDeleted val="0"/>
    <c:plotArea>
      <c:layout/>
      <c:barChart>
        <c:barDir val="col"/>
        <c:grouping val="stacked"/>
        <c:varyColors val="0"/>
        <c:ser>
          <c:idx val="0"/>
          <c:order val="0"/>
          <c:tx>
            <c:strRef>
              <c:f>'AEZ (2)'!$C$1</c:f>
              <c:strCache>
                <c:ptCount val="1"/>
                <c:pt idx="0">
                  <c:v>1 pdr</c:v>
                </c:pt>
              </c:strCache>
            </c:strRef>
          </c:tx>
          <c:spPr>
            <a:solidFill>
              <a:schemeClr val="accent1">
                <a:alpha val="70000"/>
              </a:schemeClr>
            </a:solidFill>
            <a:ln>
              <a:noFill/>
            </a:ln>
            <a:effectLst/>
          </c:spPr>
          <c:invertIfNegative val="0"/>
          <c:cat>
            <c:multiLvlStrRef>
              <c:f>'AEZ (2)'!$A$2:$B$9</c:f>
              <c:multiLvlStrCache>
                <c:ptCount val="8"/>
                <c:lvl>
                  <c:pt idx="0">
                    <c:v>9 AEZ9</c:v>
                  </c:pt>
                  <c:pt idx="1">
                    <c:v>10 AEZ10</c:v>
                  </c:pt>
                  <c:pt idx="2">
                    <c:v>9 AEZ9</c:v>
                  </c:pt>
                  <c:pt idx="3">
                    <c:v>10 AEZ10</c:v>
                  </c:pt>
                  <c:pt idx="4">
                    <c:v>9 AEZ9</c:v>
                  </c:pt>
                  <c:pt idx="5">
                    <c:v>10 AEZ10</c:v>
                  </c:pt>
                  <c:pt idx="6">
                    <c:v>9 AEZ9</c:v>
                  </c:pt>
                  <c:pt idx="7">
                    <c:v>10 AEZ10</c:v>
                  </c:pt>
                </c:lvl>
                <c:lvl>
                  <c:pt idx="0">
                    <c:v>2020</c:v>
                  </c:pt>
                  <c:pt idx="1">
                    <c:v>2020</c:v>
                  </c:pt>
                  <c:pt idx="2">
                    <c:v>2030</c:v>
                  </c:pt>
                  <c:pt idx="3">
                    <c:v>2030</c:v>
                  </c:pt>
                  <c:pt idx="4">
                    <c:v>2040</c:v>
                  </c:pt>
                  <c:pt idx="5">
                    <c:v>2040</c:v>
                  </c:pt>
                  <c:pt idx="6">
                    <c:v>2050</c:v>
                  </c:pt>
                  <c:pt idx="7">
                    <c:v>2050</c:v>
                  </c:pt>
                </c:lvl>
              </c:multiLvlStrCache>
            </c:multiLvlStrRef>
          </c:cat>
          <c:val>
            <c:numRef>
              <c:f>'AEZ (2)'!$C$2:$C$9</c:f>
              <c:numCache>
                <c:formatCode>General</c:formatCode>
                <c:ptCount val="8"/>
                <c:pt idx="0">
                  <c:v>1.2470000000000001</c:v>
                </c:pt>
                <c:pt idx="1">
                  <c:v>0.35199999999999998</c:v>
                </c:pt>
                <c:pt idx="2">
                  <c:v>1.5309999999999999</c:v>
                </c:pt>
                <c:pt idx="3">
                  <c:v>0.51</c:v>
                </c:pt>
                <c:pt idx="4">
                  <c:v>1.9359999999999999</c:v>
                </c:pt>
                <c:pt idx="5">
                  <c:v>0.84199999999999997</c:v>
                </c:pt>
                <c:pt idx="6">
                  <c:v>2.2970000000000002</c:v>
                </c:pt>
                <c:pt idx="7">
                  <c:v>1.2849999999999999</c:v>
                </c:pt>
              </c:numCache>
            </c:numRef>
          </c:val>
          <c:extLst xmlns:c16r2="http://schemas.microsoft.com/office/drawing/2015/06/chart">
            <c:ext xmlns:c16="http://schemas.microsoft.com/office/drawing/2014/chart" uri="{C3380CC4-5D6E-409C-BE32-E72D297353CC}">
              <c16:uniqueId val="{00000000-DA0E-4B1B-BD29-574F9D54DFBA}"/>
            </c:ext>
          </c:extLst>
        </c:ser>
        <c:ser>
          <c:idx val="1"/>
          <c:order val="1"/>
          <c:tx>
            <c:strRef>
              <c:f>'AEZ (2)'!$D$1</c:f>
              <c:strCache>
                <c:ptCount val="1"/>
                <c:pt idx="0">
                  <c:v>2 wht</c:v>
                </c:pt>
              </c:strCache>
            </c:strRef>
          </c:tx>
          <c:spPr>
            <a:solidFill>
              <a:schemeClr val="accent2">
                <a:alpha val="70000"/>
              </a:schemeClr>
            </a:solidFill>
            <a:ln>
              <a:noFill/>
            </a:ln>
            <a:effectLst/>
          </c:spPr>
          <c:invertIfNegative val="0"/>
          <c:cat>
            <c:multiLvlStrRef>
              <c:f>'AEZ (2)'!$A$2:$B$9</c:f>
              <c:multiLvlStrCache>
                <c:ptCount val="8"/>
                <c:lvl>
                  <c:pt idx="0">
                    <c:v>9 AEZ9</c:v>
                  </c:pt>
                  <c:pt idx="1">
                    <c:v>10 AEZ10</c:v>
                  </c:pt>
                  <c:pt idx="2">
                    <c:v>9 AEZ9</c:v>
                  </c:pt>
                  <c:pt idx="3">
                    <c:v>10 AEZ10</c:v>
                  </c:pt>
                  <c:pt idx="4">
                    <c:v>9 AEZ9</c:v>
                  </c:pt>
                  <c:pt idx="5">
                    <c:v>10 AEZ10</c:v>
                  </c:pt>
                  <c:pt idx="6">
                    <c:v>9 AEZ9</c:v>
                  </c:pt>
                  <c:pt idx="7">
                    <c:v>10 AEZ10</c:v>
                  </c:pt>
                </c:lvl>
                <c:lvl>
                  <c:pt idx="0">
                    <c:v>2020</c:v>
                  </c:pt>
                  <c:pt idx="1">
                    <c:v>2020</c:v>
                  </c:pt>
                  <c:pt idx="2">
                    <c:v>2030</c:v>
                  </c:pt>
                  <c:pt idx="3">
                    <c:v>2030</c:v>
                  </c:pt>
                  <c:pt idx="4">
                    <c:v>2040</c:v>
                  </c:pt>
                  <c:pt idx="5">
                    <c:v>2040</c:v>
                  </c:pt>
                  <c:pt idx="6">
                    <c:v>2050</c:v>
                  </c:pt>
                  <c:pt idx="7">
                    <c:v>2050</c:v>
                  </c:pt>
                </c:lvl>
              </c:multiLvlStrCache>
            </c:multiLvlStrRef>
          </c:cat>
          <c:val>
            <c:numRef>
              <c:f>'AEZ (2)'!$D$2:$D$9</c:f>
              <c:numCache>
                <c:formatCode>General</c:formatCode>
                <c:ptCount val="8"/>
                <c:pt idx="0">
                  <c:v>154.97900000000001</c:v>
                </c:pt>
                <c:pt idx="1">
                  <c:v>12.347</c:v>
                </c:pt>
                <c:pt idx="2">
                  <c:v>142.202</c:v>
                </c:pt>
                <c:pt idx="3">
                  <c:v>13.353</c:v>
                </c:pt>
                <c:pt idx="4">
                  <c:v>126.134</c:v>
                </c:pt>
                <c:pt idx="5">
                  <c:v>15.46</c:v>
                </c:pt>
                <c:pt idx="6">
                  <c:v>108.373</c:v>
                </c:pt>
                <c:pt idx="7">
                  <c:v>17.09</c:v>
                </c:pt>
              </c:numCache>
            </c:numRef>
          </c:val>
          <c:extLst xmlns:c16r2="http://schemas.microsoft.com/office/drawing/2015/06/chart">
            <c:ext xmlns:c16="http://schemas.microsoft.com/office/drawing/2014/chart" uri="{C3380CC4-5D6E-409C-BE32-E72D297353CC}">
              <c16:uniqueId val="{00000001-DA0E-4B1B-BD29-574F9D54DFBA}"/>
            </c:ext>
          </c:extLst>
        </c:ser>
        <c:ser>
          <c:idx val="2"/>
          <c:order val="2"/>
          <c:tx>
            <c:strRef>
              <c:f>'AEZ (2)'!$E$1</c:f>
              <c:strCache>
                <c:ptCount val="1"/>
                <c:pt idx="0">
                  <c:v>3 gro</c:v>
                </c:pt>
              </c:strCache>
            </c:strRef>
          </c:tx>
          <c:spPr>
            <a:solidFill>
              <a:schemeClr val="accent3">
                <a:alpha val="70000"/>
              </a:schemeClr>
            </a:solidFill>
            <a:ln>
              <a:noFill/>
            </a:ln>
            <a:effectLst/>
          </c:spPr>
          <c:invertIfNegative val="0"/>
          <c:cat>
            <c:multiLvlStrRef>
              <c:f>'AEZ (2)'!$A$2:$B$9</c:f>
              <c:multiLvlStrCache>
                <c:ptCount val="8"/>
                <c:lvl>
                  <c:pt idx="0">
                    <c:v>9 AEZ9</c:v>
                  </c:pt>
                  <c:pt idx="1">
                    <c:v>10 AEZ10</c:v>
                  </c:pt>
                  <c:pt idx="2">
                    <c:v>9 AEZ9</c:v>
                  </c:pt>
                  <c:pt idx="3">
                    <c:v>10 AEZ10</c:v>
                  </c:pt>
                  <c:pt idx="4">
                    <c:v>9 AEZ9</c:v>
                  </c:pt>
                  <c:pt idx="5">
                    <c:v>10 AEZ10</c:v>
                  </c:pt>
                  <c:pt idx="6">
                    <c:v>9 AEZ9</c:v>
                  </c:pt>
                  <c:pt idx="7">
                    <c:v>10 AEZ10</c:v>
                  </c:pt>
                </c:lvl>
                <c:lvl>
                  <c:pt idx="0">
                    <c:v>2020</c:v>
                  </c:pt>
                  <c:pt idx="1">
                    <c:v>2020</c:v>
                  </c:pt>
                  <c:pt idx="2">
                    <c:v>2030</c:v>
                  </c:pt>
                  <c:pt idx="3">
                    <c:v>2030</c:v>
                  </c:pt>
                  <c:pt idx="4">
                    <c:v>2040</c:v>
                  </c:pt>
                  <c:pt idx="5">
                    <c:v>2040</c:v>
                  </c:pt>
                  <c:pt idx="6">
                    <c:v>2050</c:v>
                  </c:pt>
                  <c:pt idx="7">
                    <c:v>2050</c:v>
                  </c:pt>
                </c:lvl>
              </c:multiLvlStrCache>
            </c:multiLvlStrRef>
          </c:cat>
          <c:val>
            <c:numRef>
              <c:f>'AEZ (2)'!$E$2:$E$9</c:f>
              <c:numCache>
                <c:formatCode>General</c:formatCode>
                <c:ptCount val="8"/>
                <c:pt idx="0">
                  <c:v>37.679000000000002</c:v>
                </c:pt>
                <c:pt idx="1">
                  <c:v>2.5859999999999999</c:v>
                </c:pt>
                <c:pt idx="2">
                  <c:v>44.936999999999998</c:v>
                </c:pt>
                <c:pt idx="3">
                  <c:v>3.6339999999999999</c:v>
                </c:pt>
                <c:pt idx="4">
                  <c:v>59.804000000000002</c:v>
                </c:pt>
                <c:pt idx="5">
                  <c:v>6.3129999999999997</c:v>
                </c:pt>
                <c:pt idx="6">
                  <c:v>78.617999999999995</c:v>
                </c:pt>
                <c:pt idx="7">
                  <c:v>10.679</c:v>
                </c:pt>
              </c:numCache>
            </c:numRef>
          </c:val>
          <c:extLst xmlns:c16r2="http://schemas.microsoft.com/office/drawing/2015/06/chart">
            <c:ext xmlns:c16="http://schemas.microsoft.com/office/drawing/2014/chart" uri="{C3380CC4-5D6E-409C-BE32-E72D297353CC}">
              <c16:uniqueId val="{00000002-DA0E-4B1B-BD29-574F9D54DFBA}"/>
            </c:ext>
          </c:extLst>
        </c:ser>
        <c:ser>
          <c:idx val="3"/>
          <c:order val="3"/>
          <c:tx>
            <c:strRef>
              <c:f>'AEZ (2)'!$F$1</c:f>
              <c:strCache>
                <c:ptCount val="1"/>
                <c:pt idx="0">
                  <c:v>4 v_f</c:v>
                </c:pt>
              </c:strCache>
            </c:strRef>
          </c:tx>
          <c:spPr>
            <a:solidFill>
              <a:schemeClr val="accent4">
                <a:alpha val="70000"/>
              </a:schemeClr>
            </a:solidFill>
            <a:ln>
              <a:noFill/>
            </a:ln>
            <a:effectLst/>
          </c:spPr>
          <c:invertIfNegative val="0"/>
          <c:cat>
            <c:multiLvlStrRef>
              <c:f>'AEZ (2)'!$A$2:$B$9</c:f>
              <c:multiLvlStrCache>
                <c:ptCount val="8"/>
                <c:lvl>
                  <c:pt idx="0">
                    <c:v>9 AEZ9</c:v>
                  </c:pt>
                  <c:pt idx="1">
                    <c:v>10 AEZ10</c:v>
                  </c:pt>
                  <c:pt idx="2">
                    <c:v>9 AEZ9</c:v>
                  </c:pt>
                  <c:pt idx="3">
                    <c:v>10 AEZ10</c:v>
                  </c:pt>
                  <c:pt idx="4">
                    <c:v>9 AEZ9</c:v>
                  </c:pt>
                  <c:pt idx="5">
                    <c:v>10 AEZ10</c:v>
                  </c:pt>
                  <c:pt idx="6">
                    <c:v>9 AEZ9</c:v>
                  </c:pt>
                  <c:pt idx="7">
                    <c:v>10 AEZ10</c:v>
                  </c:pt>
                </c:lvl>
                <c:lvl>
                  <c:pt idx="0">
                    <c:v>2020</c:v>
                  </c:pt>
                  <c:pt idx="1">
                    <c:v>2020</c:v>
                  </c:pt>
                  <c:pt idx="2">
                    <c:v>2030</c:v>
                  </c:pt>
                  <c:pt idx="3">
                    <c:v>2030</c:v>
                  </c:pt>
                  <c:pt idx="4">
                    <c:v>2040</c:v>
                  </c:pt>
                  <c:pt idx="5">
                    <c:v>2040</c:v>
                  </c:pt>
                  <c:pt idx="6">
                    <c:v>2050</c:v>
                  </c:pt>
                  <c:pt idx="7">
                    <c:v>2050</c:v>
                  </c:pt>
                </c:lvl>
              </c:multiLvlStrCache>
            </c:multiLvlStrRef>
          </c:cat>
          <c:val>
            <c:numRef>
              <c:f>'AEZ (2)'!$F$2:$F$9</c:f>
              <c:numCache>
                <c:formatCode>General</c:formatCode>
                <c:ptCount val="8"/>
                <c:pt idx="0">
                  <c:v>79.66</c:v>
                </c:pt>
                <c:pt idx="1">
                  <c:v>8.0069999999999997</c:v>
                </c:pt>
                <c:pt idx="2">
                  <c:v>72.534999999999997</c:v>
                </c:pt>
                <c:pt idx="3">
                  <c:v>8.593</c:v>
                </c:pt>
                <c:pt idx="4">
                  <c:v>68.340999999999994</c:v>
                </c:pt>
                <c:pt idx="5">
                  <c:v>10.568</c:v>
                </c:pt>
                <c:pt idx="6">
                  <c:v>64.917000000000002</c:v>
                </c:pt>
                <c:pt idx="7">
                  <c:v>12.916</c:v>
                </c:pt>
              </c:numCache>
            </c:numRef>
          </c:val>
          <c:extLst xmlns:c16r2="http://schemas.microsoft.com/office/drawing/2015/06/chart">
            <c:ext xmlns:c16="http://schemas.microsoft.com/office/drawing/2014/chart" uri="{C3380CC4-5D6E-409C-BE32-E72D297353CC}">
              <c16:uniqueId val="{00000003-DA0E-4B1B-BD29-574F9D54DFBA}"/>
            </c:ext>
          </c:extLst>
        </c:ser>
        <c:ser>
          <c:idx val="4"/>
          <c:order val="4"/>
          <c:tx>
            <c:strRef>
              <c:f>'AEZ (2)'!$G$1</c:f>
              <c:strCache>
                <c:ptCount val="1"/>
                <c:pt idx="0">
                  <c:v>5 osd</c:v>
                </c:pt>
              </c:strCache>
            </c:strRef>
          </c:tx>
          <c:spPr>
            <a:solidFill>
              <a:schemeClr val="accent5">
                <a:alpha val="70000"/>
              </a:schemeClr>
            </a:solidFill>
            <a:ln>
              <a:noFill/>
            </a:ln>
            <a:effectLst/>
          </c:spPr>
          <c:invertIfNegative val="0"/>
          <c:cat>
            <c:multiLvlStrRef>
              <c:f>'AEZ (2)'!$A$2:$B$9</c:f>
              <c:multiLvlStrCache>
                <c:ptCount val="8"/>
                <c:lvl>
                  <c:pt idx="0">
                    <c:v>9 AEZ9</c:v>
                  </c:pt>
                  <c:pt idx="1">
                    <c:v>10 AEZ10</c:v>
                  </c:pt>
                  <c:pt idx="2">
                    <c:v>9 AEZ9</c:v>
                  </c:pt>
                  <c:pt idx="3">
                    <c:v>10 AEZ10</c:v>
                  </c:pt>
                  <c:pt idx="4">
                    <c:v>9 AEZ9</c:v>
                  </c:pt>
                  <c:pt idx="5">
                    <c:v>10 AEZ10</c:v>
                  </c:pt>
                  <c:pt idx="6">
                    <c:v>9 AEZ9</c:v>
                  </c:pt>
                  <c:pt idx="7">
                    <c:v>10 AEZ10</c:v>
                  </c:pt>
                </c:lvl>
                <c:lvl>
                  <c:pt idx="0">
                    <c:v>2020</c:v>
                  </c:pt>
                  <c:pt idx="1">
                    <c:v>2020</c:v>
                  </c:pt>
                  <c:pt idx="2">
                    <c:v>2030</c:v>
                  </c:pt>
                  <c:pt idx="3">
                    <c:v>2030</c:v>
                  </c:pt>
                  <c:pt idx="4">
                    <c:v>2040</c:v>
                  </c:pt>
                  <c:pt idx="5">
                    <c:v>2040</c:v>
                  </c:pt>
                  <c:pt idx="6">
                    <c:v>2050</c:v>
                  </c:pt>
                  <c:pt idx="7">
                    <c:v>2050</c:v>
                  </c:pt>
                </c:lvl>
              </c:multiLvlStrCache>
            </c:multiLvlStrRef>
          </c:cat>
          <c:val>
            <c:numRef>
              <c:f>'AEZ (2)'!$G$2:$G$9</c:f>
              <c:numCache>
                <c:formatCode>General</c:formatCode>
                <c:ptCount val="8"/>
                <c:pt idx="0">
                  <c:v>201.54300000000001</c:v>
                </c:pt>
                <c:pt idx="1">
                  <c:v>13.677</c:v>
                </c:pt>
                <c:pt idx="2">
                  <c:v>193.834</c:v>
                </c:pt>
                <c:pt idx="3">
                  <c:v>15.504</c:v>
                </c:pt>
                <c:pt idx="4">
                  <c:v>191.97</c:v>
                </c:pt>
                <c:pt idx="5">
                  <c:v>20.042999999999999</c:v>
                </c:pt>
                <c:pt idx="6">
                  <c:v>190.41900000000001</c:v>
                </c:pt>
                <c:pt idx="7">
                  <c:v>25.58</c:v>
                </c:pt>
              </c:numCache>
            </c:numRef>
          </c:val>
          <c:extLst xmlns:c16r2="http://schemas.microsoft.com/office/drawing/2015/06/chart">
            <c:ext xmlns:c16="http://schemas.microsoft.com/office/drawing/2014/chart" uri="{C3380CC4-5D6E-409C-BE32-E72D297353CC}">
              <c16:uniqueId val="{00000004-DA0E-4B1B-BD29-574F9D54DFBA}"/>
            </c:ext>
          </c:extLst>
        </c:ser>
        <c:ser>
          <c:idx val="5"/>
          <c:order val="5"/>
          <c:tx>
            <c:strRef>
              <c:f>'AEZ (2)'!$H$1</c:f>
              <c:strCache>
                <c:ptCount val="1"/>
                <c:pt idx="0">
                  <c:v>6 c_b</c:v>
                </c:pt>
              </c:strCache>
            </c:strRef>
          </c:tx>
          <c:spPr>
            <a:solidFill>
              <a:schemeClr val="accent6">
                <a:alpha val="70000"/>
              </a:schemeClr>
            </a:solidFill>
            <a:ln>
              <a:noFill/>
            </a:ln>
            <a:effectLst/>
          </c:spPr>
          <c:invertIfNegative val="0"/>
          <c:cat>
            <c:multiLvlStrRef>
              <c:f>'AEZ (2)'!$A$2:$B$9</c:f>
              <c:multiLvlStrCache>
                <c:ptCount val="8"/>
                <c:lvl>
                  <c:pt idx="0">
                    <c:v>9 AEZ9</c:v>
                  </c:pt>
                  <c:pt idx="1">
                    <c:v>10 AEZ10</c:v>
                  </c:pt>
                  <c:pt idx="2">
                    <c:v>9 AEZ9</c:v>
                  </c:pt>
                  <c:pt idx="3">
                    <c:v>10 AEZ10</c:v>
                  </c:pt>
                  <c:pt idx="4">
                    <c:v>9 AEZ9</c:v>
                  </c:pt>
                  <c:pt idx="5">
                    <c:v>10 AEZ10</c:v>
                  </c:pt>
                  <c:pt idx="6">
                    <c:v>9 AEZ9</c:v>
                  </c:pt>
                  <c:pt idx="7">
                    <c:v>10 AEZ10</c:v>
                  </c:pt>
                </c:lvl>
                <c:lvl>
                  <c:pt idx="0">
                    <c:v>2020</c:v>
                  </c:pt>
                  <c:pt idx="1">
                    <c:v>2020</c:v>
                  </c:pt>
                  <c:pt idx="2">
                    <c:v>2030</c:v>
                  </c:pt>
                  <c:pt idx="3">
                    <c:v>2030</c:v>
                  </c:pt>
                  <c:pt idx="4">
                    <c:v>2040</c:v>
                  </c:pt>
                  <c:pt idx="5">
                    <c:v>2040</c:v>
                  </c:pt>
                  <c:pt idx="6">
                    <c:v>2050</c:v>
                  </c:pt>
                  <c:pt idx="7">
                    <c:v>2050</c:v>
                  </c:pt>
                </c:lvl>
              </c:multiLvlStrCache>
            </c:multiLvlStrRef>
          </c:cat>
          <c:val>
            <c:numRef>
              <c:f>'AEZ (2)'!$H$2:$H$9</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5-DA0E-4B1B-BD29-574F9D54DFBA}"/>
            </c:ext>
          </c:extLst>
        </c:ser>
        <c:ser>
          <c:idx val="6"/>
          <c:order val="6"/>
          <c:tx>
            <c:strRef>
              <c:f>'AEZ (2)'!$I$1</c:f>
              <c:strCache>
                <c:ptCount val="1"/>
                <c:pt idx="0">
                  <c:v>7 pfb</c:v>
                </c:pt>
              </c:strCache>
            </c:strRef>
          </c:tx>
          <c:spPr>
            <a:solidFill>
              <a:schemeClr val="accent1">
                <a:lumMod val="60000"/>
                <a:alpha val="70000"/>
              </a:schemeClr>
            </a:solidFill>
            <a:ln>
              <a:noFill/>
            </a:ln>
            <a:effectLst/>
          </c:spPr>
          <c:invertIfNegative val="0"/>
          <c:cat>
            <c:multiLvlStrRef>
              <c:f>'AEZ (2)'!$A$2:$B$9</c:f>
              <c:multiLvlStrCache>
                <c:ptCount val="8"/>
                <c:lvl>
                  <c:pt idx="0">
                    <c:v>9 AEZ9</c:v>
                  </c:pt>
                  <c:pt idx="1">
                    <c:v>10 AEZ10</c:v>
                  </c:pt>
                  <c:pt idx="2">
                    <c:v>9 AEZ9</c:v>
                  </c:pt>
                  <c:pt idx="3">
                    <c:v>10 AEZ10</c:v>
                  </c:pt>
                  <c:pt idx="4">
                    <c:v>9 AEZ9</c:v>
                  </c:pt>
                  <c:pt idx="5">
                    <c:v>10 AEZ10</c:v>
                  </c:pt>
                  <c:pt idx="6">
                    <c:v>9 AEZ9</c:v>
                  </c:pt>
                  <c:pt idx="7">
                    <c:v>10 AEZ10</c:v>
                  </c:pt>
                </c:lvl>
                <c:lvl>
                  <c:pt idx="0">
                    <c:v>2020</c:v>
                  </c:pt>
                  <c:pt idx="1">
                    <c:v>2020</c:v>
                  </c:pt>
                  <c:pt idx="2">
                    <c:v>2030</c:v>
                  </c:pt>
                  <c:pt idx="3">
                    <c:v>2030</c:v>
                  </c:pt>
                  <c:pt idx="4">
                    <c:v>2040</c:v>
                  </c:pt>
                  <c:pt idx="5">
                    <c:v>2040</c:v>
                  </c:pt>
                  <c:pt idx="6">
                    <c:v>2050</c:v>
                  </c:pt>
                  <c:pt idx="7">
                    <c:v>2050</c:v>
                  </c:pt>
                </c:lvl>
              </c:multiLvlStrCache>
            </c:multiLvlStrRef>
          </c:cat>
          <c:val>
            <c:numRef>
              <c:f>'AEZ (2)'!$I$2:$I$9</c:f>
              <c:numCache>
                <c:formatCode>General</c:formatCode>
                <c:ptCount val="8"/>
                <c:pt idx="0">
                  <c:v>0.193</c:v>
                </c:pt>
                <c:pt idx="1">
                  <c:v>6.0000000000000001E-3</c:v>
                </c:pt>
                <c:pt idx="2">
                  <c:v>0.192</c:v>
                </c:pt>
                <c:pt idx="3">
                  <c:v>7.0000000000000001E-3</c:v>
                </c:pt>
                <c:pt idx="4">
                  <c:v>0.20300000000000001</c:v>
                </c:pt>
                <c:pt idx="5">
                  <c:v>0.01</c:v>
                </c:pt>
                <c:pt idx="6">
                  <c:v>0.222</c:v>
                </c:pt>
                <c:pt idx="7">
                  <c:v>1.4E-2</c:v>
                </c:pt>
              </c:numCache>
            </c:numRef>
          </c:val>
          <c:extLst xmlns:c16r2="http://schemas.microsoft.com/office/drawing/2015/06/chart">
            <c:ext xmlns:c16="http://schemas.microsoft.com/office/drawing/2014/chart" uri="{C3380CC4-5D6E-409C-BE32-E72D297353CC}">
              <c16:uniqueId val="{00000006-DA0E-4B1B-BD29-574F9D54DFBA}"/>
            </c:ext>
          </c:extLst>
        </c:ser>
        <c:ser>
          <c:idx val="7"/>
          <c:order val="7"/>
          <c:tx>
            <c:strRef>
              <c:f>'AEZ (2)'!$J$1</c:f>
              <c:strCache>
                <c:ptCount val="1"/>
                <c:pt idx="0">
                  <c:v>8 ocr</c:v>
                </c:pt>
              </c:strCache>
            </c:strRef>
          </c:tx>
          <c:spPr>
            <a:solidFill>
              <a:schemeClr val="accent2">
                <a:lumMod val="60000"/>
                <a:alpha val="70000"/>
              </a:schemeClr>
            </a:solidFill>
            <a:ln>
              <a:noFill/>
            </a:ln>
            <a:effectLst/>
          </c:spPr>
          <c:invertIfNegative val="0"/>
          <c:cat>
            <c:multiLvlStrRef>
              <c:f>'AEZ (2)'!$A$2:$B$9</c:f>
              <c:multiLvlStrCache>
                <c:ptCount val="8"/>
                <c:lvl>
                  <c:pt idx="0">
                    <c:v>9 AEZ9</c:v>
                  </c:pt>
                  <c:pt idx="1">
                    <c:v>10 AEZ10</c:v>
                  </c:pt>
                  <c:pt idx="2">
                    <c:v>9 AEZ9</c:v>
                  </c:pt>
                  <c:pt idx="3">
                    <c:v>10 AEZ10</c:v>
                  </c:pt>
                  <c:pt idx="4">
                    <c:v>9 AEZ9</c:v>
                  </c:pt>
                  <c:pt idx="5">
                    <c:v>10 AEZ10</c:v>
                  </c:pt>
                  <c:pt idx="6">
                    <c:v>9 AEZ9</c:v>
                  </c:pt>
                  <c:pt idx="7">
                    <c:v>10 AEZ10</c:v>
                  </c:pt>
                </c:lvl>
                <c:lvl>
                  <c:pt idx="0">
                    <c:v>2020</c:v>
                  </c:pt>
                  <c:pt idx="1">
                    <c:v>2020</c:v>
                  </c:pt>
                  <c:pt idx="2">
                    <c:v>2030</c:v>
                  </c:pt>
                  <c:pt idx="3">
                    <c:v>2030</c:v>
                  </c:pt>
                  <c:pt idx="4">
                    <c:v>2040</c:v>
                  </c:pt>
                  <c:pt idx="5">
                    <c:v>2040</c:v>
                  </c:pt>
                  <c:pt idx="6">
                    <c:v>2050</c:v>
                  </c:pt>
                  <c:pt idx="7">
                    <c:v>2050</c:v>
                  </c:pt>
                </c:lvl>
              </c:multiLvlStrCache>
            </c:multiLvlStrRef>
          </c:cat>
          <c:val>
            <c:numRef>
              <c:f>'AEZ (2)'!$J$2:$J$9</c:f>
              <c:numCache>
                <c:formatCode>General</c:formatCode>
                <c:ptCount val="8"/>
                <c:pt idx="0">
                  <c:v>66.331000000000003</c:v>
                </c:pt>
                <c:pt idx="1">
                  <c:v>5.4859999999999998</c:v>
                </c:pt>
                <c:pt idx="2">
                  <c:v>74.965999999999994</c:v>
                </c:pt>
                <c:pt idx="3">
                  <c:v>7.3079999999999998</c:v>
                </c:pt>
                <c:pt idx="4">
                  <c:v>89.168999999999997</c:v>
                </c:pt>
                <c:pt idx="5">
                  <c:v>11.348000000000001</c:v>
                </c:pt>
                <c:pt idx="6">
                  <c:v>102.211</c:v>
                </c:pt>
                <c:pt idx="7">
                  <c:v>16.736999999999998</c:v>
                </c:pt>
              </c:numCache>
            </c:numRef>
          </c:val>
          <c:extLst xmlns:c16r2="http://schemas.microsoft.com/office/drawing/2015/06/chart">
            <c:ext xmlns:c16="http://schemas.microsoft.com/office/drawing/2014/chart" uri="{C3380CC4-5D6E-409C-BE32-E72D297353CC}">
              <c16:uniqueId val="{00000007-DA0E-4B1B-BD29-574F9D54DFBA}"/>
            </c:ext>
          </c:extLst>
        </c:ser>
        <c:ser>
          <c:idx val="8"/>
          <c:order val="8"/>
          <c:tx>
            <c:strRef>
              <c:f>'AEZ (2)'!$K$1</c:f>
              <c:strCache>
                <c:ptCount val="1"/>
                <c:pt idx="0">
                  <c:v>9 ctl</c:v>
                </c:pt>
              </c:strCache>
            </c:strRef>
          </c:tx>
          <c:spPr>
            <a:solidFill>
              <a:schemeClr val="accent3">
                <a:lumMod val="60000"/>
                <a:alpha val="70000"/>
              </a:schemeClr>
            </a:solidFill>
            <a:ln>
              <a:noFill/>
            </a:ln>
            <a:effectLst/>
          </c:spPr>
          <c:invertIfNegative val="0"/>
          <c:cat>
            <c:multiLvlStrRef>
              <c:f>'AEZ (2)'!$A$2:$B$9</c:f>
              <c:multiLvlStrCache>
                <c:ptCount val="8"/>
                <c:lvl>
                  <c:pt idx="0">
                    <c:v>9 AEZ9</c:v>
                  </c:pt>
                  <c:pt idx="1">
                    <c:v>10 AEZ10</c:v>
                  </c:pt>
                  <c:pt idx="2">
                    <c:v>9 AEZ9</c:v>
                  </c:pt>
                  <c:pt idx="3">
                    <c:v>10 AEZ10</c:v>
                  </c:pt>
                  <c:pt idx="4">
                    <c:v>9 AEZ9</c:v>
                  </c:pt>
                  <c:pt idx="5">
                    <c:v>10 AEZ10</c:v>
                  </c:pt>
                  <c:pt idx="6">
                    <c:v>9 AEZ9</c:v>
                  </c:pt>
                  <c:pt idx="7">
                    <c:v>10 AEZ10</c:v>
                  </c:pt>
                </c:lvl>
                <c:lvl>
                  <c:pt idx="0">
                    <c:v>2020</c:v>
                  </c:pt>
                  <c:pt idx="1">
                    <c:v>2020</c:v>
                  </c:pt>
                  <c:pt idx="2">
                    <c:v>2030</c:v>
                  </c:pt>
                  <c:pt idx="3">
                    <c:v>2030</c:v>
                  </c:pt>
                  <c:pt idx="4">
                    <c:v>2040</c:v>
                  </c:pt>
                  <c:pt idx="5">
                    <c:v>2040</c:v>
                  </c:pt>
                  <c:pt idx="6">
                    <c:v>2050</c:v>
                  </c:pt>
                  <c:pt idx="7">
                    <c:v>2050</c:v>
                  </c:pt>
                </c:lvl>
              </c:multiLvlStrCache>
            </c:multiLvlStrRef>
          </c:cat>
          <c:val>
            <c:numRef>
              <c:f>'AEZ (2)'!$K$2:$K$9</c:f>
              <c:numCache>
                <c:formatCode>General</c:formatCode>
                <c:ptCount val="8"/>
                <c:pt idx="0">
                  <c:v>55.017000000000003</c:v>
                </c:pt>
                <c:pt idx="1">
                  <c:v>7.8339999999999996</c:v>
                </c:pt>
                <c:pt idx="2">
                  <c:v>61.707999999999998</c:v>
                </c:pt>
                <c:pt idx="3">
                  <c:v>10.356</c:v>
                </c:pt>
                <c:pt idx="4">
                  <c:v>75.165999999999997</c:v>
                </c:pt>
                <c:pt idx="5">
                  <c:v>16.466999999999999</c:v>
                </c:pt>
                <c:pt idx="6">
                  <c:v>90.346000000000004</c:v>
                </c:pt>
                <c:pt idx="7">
                  <c:v>25.466999999999999</c:v>
                </c:pt>
              </c:numCache>
            </c:numRef>
          </c:val>
          <c:extLst xmlns:c16r2="http://schemas.microsoft.com/office/drawing/2015/06/chart">
            <c:ext xmlns:c16="http://schemas.microsoft.com/office/drawing/2014/chart" uri="{C3380CC4-5D6E-409C-BE32-E72D297353CC}">
              <c16:uniqueId val="{00000008-DA0E-4B1B-BD29-574F9D54DFBA}"/>
            </c:ext>
          </c:extLst>
        </c:ser>
        <c:ser>
          <c:idx val="9"/>
          <c:order val="9"/>
          <c:tx>
            <c:strRef>
              <c:f>'AEZ (2)'!$L$1</c:f>
              <c:strCache>
                <c:ptCount val="1"/>
                <c:pt idx="0">
                  <c:v>10 oap</c:v>
                </c:pt>
              </c:strCache>
            </c:strRef>
          </c:tx>
          <c:spPr>
            <a:solidFill>
              <a:schemeClr val="accent4">
                <a:lumMod val="60000"/>
                <a:alpha val="70000"/>
              </a:schemeClr>
            </a:solidFill>
            <a:ln>
              <a:noFill/>
            </a:ln>
            <a:effectLst/>
          </c:spPr>
          <c:invertIfNegative val="0"/>
          <c:cat>
            <c:multiLvlStrRef>
              <c:f>'AEZ (2)'!$A$2:$B$9</c:f>
              <c:multiLvlStrCache>
                <c:ptCount val="8"/>
                <c:lvl>
                  <c:pt idx="0">
                    <c:v>9 AEZ9</c:v>
                  </c:pt>
                  <c:pt idx="1">
                    <c:v>10 AEZ10</c:v>
                  </c:pt>
                  <c:pt idx="2">
                    <c:v>9 AEZ9</c:v>
                  </c:pt>
                  <c:pt idx="3">
                    <c:v>10 AEZ10</c:v>
                  </c:pt>
                  <c:pt idx="4">
                    <c:v>9 AEZ9</c:v>
                  </c:pt>
                  <c:pt idx="5">
                    <c:v>10 AEZ10</c:v>
                  </c:pt>
                  <c:pt idx="6">
                    <c:v>9 AEZ9</c:v>
                  </c:pt>
                  <c:pt idx="7">
                    <c:v>10 AEZ10</c:v>
                  </c:pt>
                </c:lvl>
                <c:lvl>
                  <c:pt idx="0">
                    <c:v>2020</c:v>
                  </c:pt>
                  <c:pt idx="1">
                    <c:v>2020</c:v>
                  </c:pt>
                  <c:pt idx="2">
                    <c:v>2030</c:v>
                  </c:pt>
                  <c:pt idx="3">
                    <c:v>2030</c:v>
                  </c:pt>
                  <c:pt idx="4">
                    <c:v>2040</c:v>
                  </c:pt>
                  <c:pt idx="5">
                    <c:v>2040</c:v>
                  </c:pt>
                  <c:pt idx="6">
                    <c:v>2050</c:v>
                  </c:pt>
                  <c:pt idx="7">
                    <c:v>2050</c:v>
                  </c:pt>
                </c:lvl>
              </c:multiLvlStrCache>
            </c:multiLvlStrRef>
          </c:cat>
          <c:val>
            <c:numRef>
              <c:f>'AEZ (2)'!$L$2:$L$9</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9-DA0E-4B1B-BD29-574F9D54DFBA}"/>
            </c:ext>
          </c:extLst>
        </c:ser>
        <c:ser>
          <c:idx val="10"/>
          <c:order val="10"/>
          <c:tx>
            <c:strRef>
              <c:f>'AEZ (2)'!$M$1</c:f>
              <c:strCache>
                <c:ptCount val="1"/>
                <c:pt idx="0">
                  <c:v>11 rmk</c:v>
                </c:pt>
              </c:strCache>
            </c:strRef>
          </c:tx>
          <c:spPr>
            <a:solidFill>
              <a:schemeClr val="accent5">
                <a:lumMod val="60000"/>
                <a:alpha val="70000"/>
              </a:schemeClr>
            </a:solidFill>
            <a:ln>
              <a:noFill/>
            </a:ln>
            <a:effectLst/>
          </c:spPr>
          <c:invertIfNegative val="0"/>
          <c:cat>
            <c:multiLvlStrRef>
              <c:f>'AEZ (2)'!$A$2:$B$9</c:f>
              <c:multiLvlStrCache>
                <c:ptCount val="8"/>
                <c:lvl>
                  <c:pt idx="0">
                    <c:v>9 AEZ9</c:v>
                  </c:pt>
                  <c:pt idx="1">
                    <c:v>10 AEZ10</c:v>
                  </c:pt>
                  <c:pt idx="2">
                    <c:v>9 AEZ9</c:v>
                  </c:pt>
                  <c:pt idx="3">
                    <c:v>10 AEZ10</c:v>
                  </c:pt>
                  <c:pt idx="4">
                    <c:v>9 AEZ9</c:v>
                  </c:pt>
                  <c:pt idx="5">
                    <c:v>10 AEZ10</c:v>
                  </c:pt>
                  <c:pt idx="6">
                    <c:v>9 AEZ9</c:v>
                  </c:pt>
                  <c:pt idx="7">
                    <c:v>10 AEZ10</c:v>
                  </c:pt>
                </c:lvl>
                <c:lvl>
                  <c:pt idx="0">
                    <c:v>2020</c:v>
                  </c:pt>
                  <c:pt idx="1">
                    <c:v>2020</c:v>
                  </c:pt>
                  <c:pt idx="2">
                    <c:v>2030</c:v>
                  </c:pt>
                  <c:pt idx="3">
                    <c:v>2030</c:v>
                  </c:pt>
                  <c:pt idx="4">
                    <c:v>2040</c:v>
                  </c:pt>
                  <c:pt idx="5">
                    <c:v>2040</c:v>
                  </c:pt>
                  <c:pt idx="6">
                    <c:v>2050</c:v>
                  </c:pt>
                  <c:pt idx="7">
                    <c:v>2050</c:v>
                  </c:pt>
                </c:lvl>
              </c:multiLvlStrCache>
            </c:multiLvlStrRef>
          </c:cat>
          <c:val>
            <c:numRef>
              <c:f>'AEZ (2)'!$M$2:$M$9</c:f>
              <c:numCache>
                <c:formatCode>General</c:formatCode>
                <c:ptCount val="8"/>
                <c:pt idx="0">
                  <c:v>125.521</c:v>
                </c:pt>
                <c:pt idx="1">
                  <c:v>17.873000000000001</c:v>
                </c:pt>
                <c:pt idx="2">
                  <c:v>162.99600000000001</c:v>
                </c:pt>
                <c:pt idx="3">
                  <c:v>27.353999999999999</c:v>
                </c:pt>
                <c:pt idx="4">
                  <c:v>237.06200000000001</c:v>
                </c:pt>
                <c:pt idx="5">
                  <c:v>51.923000000000002</c:v>
                </c:pt>
                <c:pt idx="6">
                  <c:v>335.12299999999999</c:v>
                </c:pt>
                <c:pt idx="7">
                  <c:v>94.438000000000002</c:v>
                </c:pt>
              </c:numCache>
            </c:numRef>
          </c:val>
          <c:extLst xmlns:c16r2="http://schemas.microsoft.com/office/drawing/2015/06/chart">
            <c:ext xmlns:c16="http://schemas.microsoft.com/office/drawing/2014/chart" uri="{C3380CC4-5D6E-409C-BE32-E72D297353CC}">
              <c16:uniqueId val="{0000000A-DA0E-4B1B-BD29-574F9D54DFBA}"/>
            </c:ext>
          </c:extLst>
        </c:ser>
        <c:ser>
          <c:idx val="11"/>
          <c:order val="11"/>
          <c:tx>
            <c:strRef>
              <c:f>'AEZ (2)'!$N$1</c:f>
              <c:strCache>
                <c:ptCount val="1"/>
                <c:pt idx="0">
                  <c:v>12 wol</c:v>
                </c:pt>
              </c:strCache>
            </c:strRef>
          </c:tx>
          <c:spPr>
            <a:solidFill>
              <a:schemeClr val="accent6">
                <a:lumMod val="60000"/>
                <a:alpha val="70000"/>
              </a:schemeClr>
            </a:solidFill>
            <a:ln>
              <a:noFill/>
            </a:ln>
            <a:effectLst/>
          </c:spPr>
          <c:invertIfNegative val="0"/>
          <c:cat>
            <c:multiLvlStrRef>
              <c:f>'AEZ (2)'!$A$2:$B$9</c:f>
              <c:multiLvlStrCache>
                <c:ptCount val="8"/>
                <c:lvl>
                  <c:pt idx="0">
                    <c:v>9 AEZ9</c:v>
                  </c:pt>
                  <c:pt idx="1">
                    <c:v>10 AEZ10</c:v>
                  </c:pt>
                  <c:pt idx="2">
                    <c:v>9 AEZ9</c:v>
                  </c:pt>
                  <c:pt idx="3">
                    <c:v>10 AEZ10</c:v>
                  </c:pt>
                  <c:pt idx="4">
                    <c:v>9 AEZ9</c:v>
                  </c:pt>
                  <c:pt idx="5">
                    <c:v>10 AEZ10</c:v>
                  </c:pt>
                  <c:pt idx="6">
                    <c:v>9 AEZ9</c:v>
                  </c:pt>
                  <c:pt idx="7">
                    <c:v>10 AEZ10</c:v>
                  </c:pt>
                </c:lvl>
                <c:lvl>
                  <c:pt idx="0">
                    <c:v>2020</c:v>
                  </c:pt>
                  <c:pt idx="1">
                    <c:v>2020</c:v>
                  </c:pt>
                  <c:pt idx="2">
                    <c:v>2030</c:v>
                  </c:pt>
                  <c:pt idx="3">
                    <c:v>2030</c:v>
                  </c:pt>
                  <c:pt idx="4">
                    <c:v>2040</c:v>
                  </c:pt>
                  <c:pt idx="5">
                    <c:v>2040</c:v>
                  </c:pt>
                  <c:pt idx="6">
                    <c:v>2050</c:v>
                  </c:pt>
                  <c:pt idx="7">
                    <c:v>2050</c:v>
                  </c:pt>
                </c:lvl>
              </c:multiLvlStrCache>
            </c:multiLvlStrRef>
          </c:cat>
          <c:val>
            <c:numRef>
              <c:f>'AEZ (2)'!$N$2:$N$9</c:f>
              <c:numCache>
                <c:formatCode>General</c:formatCode>
                <c:ptCount val="8"/>
                <c:pt idx="0">
                  <c:v>0.20399999999999999</c:v>
                </c:pt>
                <c:pt idx="1">
                  <c:v>3.4000000000000002E-2</c:v>
                </c:pt>
                <c:pt idx="2">
                  <c:v>0.20699999999999999</c:v>
                </c:pt>
                <c:pt idx="3">
                  <c:v>4.1000000000000002E-2</c:v>
                </c:pt>
                <c:pt idx="4">
                  <c:v>0.21199999999999999</c:v>
                </c:pt>
                <c:pt idx="5">
                  <c:v>5.5E-2</c:v>
                </c:pt>
                <c:pt idx="6">
                  <c:v>0.20499999999999999</c:v>
                </c:pt>
                <c:pt idx="7">
                  <c:v>6.8000000000000005E-2</c:v>
                </c:pt>
              </c:numCache>
            </c:numRef>
          </c:val>
          <c:extLst xmlns:c16r2="http://schemas.microsoft.com/office/drawing/2015/06/chart">
            <c:ext xmlns:c16="http://schemas.microsoft.com/office/drawing/2014/chart" uri="{C3380CC4-5D6E-409C-BE32-E72D297353CC}">
              <c16:uniqueId val="{0000000B-DA0E-4B1B-BD29-574F9D54DFBA}"/>
            </c:ext>
          </c:extLst>
        </c:ser>
        <c:ser>
          <c:idx val="12"/>
          <c:order val="12"/>
          <c:tx>
            <c:strRef>
              <c:f>'AEZ (2)'!$O$1</c:f>
              <c:strCache>
                <c:ptCount val="1"/>
                <c:pt idx="0">
                  <c:v>13 frs</c:v>
                </c:pt>
              </c:strCache>
            </c:strRef>
          </c:tx>
          <c:spPr>
            <a:solidFill>
              <a:schemeClr val="accent1">
                <a:lumMod val="80000"/>
                <a:lumOff val="20000"/>
                <a:alpha val="70000"/>
              </a:schemeClr>
            </a:solidFill>
            <a:ln>
              <a:noFill/>
            </a:ln>
            <a:effectLst/>
          </c:spPr>
          <c:invertIfNegative val="0"/>
          <c:cat>
            <c:multiLvlStrRef>
              <c:f>'AEZ (2)'!$A$2:$B$9</c:f>
              <c:multiLvlStrCache>
                <c:ptCount val="8"/>
                <c:lvl>
                  <c:pt idx="0">
                    <c:v>9 AEZ9</c:v>
                  </c:pt>
                  <c:pt idx="1">
                    <c:v>10 AEZ10</c:v>
                  </c:pt>
                  <c:pt idx="2">
                    <c:v>9 AEZ9</c:v>
                  </c:pt>
                  <c:pt idx="3">
                    <c:v>10 AEZ10</c:v>
                  </c:pt>
                  <c:pt idx="4">
                    <c:v>9 AEZ9</c:v>
                  </c:pt>
                  <c:pt idx="5">
                    <c:v>10 AEZ10</c:v>
                  </c:pt>
                  <c:pt idx="6">
                    <c:v>9 AEZ9</c:v>
                  </c:pt>
                  <c:pt idx="7">
                    <c:v>10 AEZ10</c:v>
                  </c:pt>
                </c:lvl>
                <c:lvl>
                  <c:pt idx="0">
                    <c:v>2020</c:v>
                  </c:pt>
                  <c:pt idx="1">
                    <c:v>2020</c:v>
                  </c:pt>
                  <c:pt idx="2">
                    <c:v>2030</c:v>
                  </c:pt>
                  <c:pt idx="3">
                    <c:v>2030</c:v>
                  </c:pt>
                  <c:pt idx="4">
                    <c:v>2040</c:v>
                  </c:pt>
                  <c:pt idx="5">
                    <c:v>2040</c:v>
                  </c:pt>
                  <c:pt idx="6">
                    <c:v>2050</c:v>
                  </c:pt>
                  <c:pt idx="7">
                    <c:v>2050</c:v>
                  </c:pt>
                </c:lvl>
              </c:multiLvlStrCache>
            </c:multiLvlStrRef>
          </c:cat>
          <c:val>
            <c:numRef>
              <c:f>'AEZ (2)'!$O$2:$O$9</c:f>
              <c:numCache>
                <c:formatCode>General</c:formatCode>
                <c:ptCount val="8"/>
                <c:pt idx="0">
                  <c:v>45.55</c:v>
                </c:pt>
                <c:pt idx="1">
                  <c:v>65.465000000000003</c:v>
                </c:pt>
                <c:pt idx="2">
                  <c:v>61.582000000000001</c:v>
                </c:pt>
                <c:pt idx="3">
                  <c:v>106.613</c:v>
                </c:pt>
                <c:pt idx="4">
                  <c:v>100.34399999999999</c:v>
                </c:pt>
                <c:pt idx="5">
                  <c:v>234.845</c:v>
                </c:pt>
                <c:pt idx="6">
                  <c:v>156.465</c:v>
                </c:pt>
                <c:pt idx="7">
                  <c:v>487.16199999999998</c:v>
                </c:pt>
              </c:numCache>
            </c:numRef>
          </c:val>
          <c:extLst xmlns:c16r2="http://schemas.microsoft.com/office/drawing/2015/06/chart">
            <c:ext xmlns:c16="http://schemas.microsoft.com/office/drawing/2014/chart" uri="{C3380CC4-5D6E-409C-BE32-E72D297353CC}">
              <c16:uniqueId val="{0000000C-DA0E-4B1B-BD29-574F9D54DFBA}"/>
            </c:ext>
          </c:extLst>
        </c:ser>
        <c:dLbls>
          <c:showLegendKey val="0"/>
          <c:showVal val="0"/>
          <c:showCatName val="0"/>
          <c:showSerName val="0"/>
          <c:showPercent val="0"/>
          <c:showBubbleSize val="0"/>
        </c:dLbls>
        <c:gapWidth val="50"/>
        <c:overlap val="100"/>
        <c:axId val="173513216"/>
        <c:axId val="149540800"/>
      </c:barChart>
      <c:catAx>
        <c:axId val="17351321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40800"/>
        <c:crosses val="autoZero"/>
        <c:auto val="1"/>
        <c:lblAlgn val="ctr"/>
        <c:lblOffset val="100"/>
        <c:noMultiLvlLbl val="0"/>
      </c:catAx>
      <c:valAx>
        <c:axId val="14954080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1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Sheet3!$F$2</c:f>
              <c:strCache>
                <c:ptCount val="1"/>
                <c:pt idx="0">
                  <c:v>2° by 2050</c:v>
                </c:pt>
              </c:strCache>
            </c:strRef>
          </c:tx>
          <c:spPr>
            <a:solidFill>
              <a:schemeClr val="accent1"/>
            </a:solidFill>
            <a:ln>
              <a:noFill/>
            </a:ln>
            <a:effectLst/>
          </c:spPr>
          <c:invertIfNegative val="0"/>
          <c:cat>
            <c:strRef>
              <c:f>Sheet3!$G$1:$I$1</c:f>
              <c:strCache>
                <c:ptCount val="3"/>
                <c:pt idx="0">
                  <c:v>Optimistic</c:v>
                </c:pt>
                <c:pt idx="1">
                  <c:v>Anticipated</c:v>
                </c:pt>
                <c:pt idx="2">
                  <c:v>Pessimistic</c:v>
                </c:pt>
              </c:strCache>
            </c:strRef>
          </c:cat>
          <c:val>
            <c:numRef>
              <c:f>Sheet3!$G$2:$I$2</c:f>
              <c:numCache>
                <c:formatCode>General</c:formatCode>
                <c:ptCount val="3"/>
                <c:pt idx="0">
                  <c:v>-1.2709999999999999</c:v>
                </c:pt>
                <c:pt idx="1">
                  <c:v>-1.7</c:v>
                </c:pt>
                <c:pt idx="2">
                  <c:v>-2.1309999999999998</c:v>
                </c:pt>
              </c:numCache>
            </c:numRef>
          </c:val>
          <c:extLst xmlns:c16r2="http://schemas.microsoft.com/office/drawing/2015/06/chart">
            <c:ext xmlns:c16="http://schemas.microsoft.com/office/drawing/2014/chart" uri="{C3380CC4-5D6E-409C-BE32-E72D297353CC}">
              <c16:uniqueId val="{00000000-EF2B-414E-A46F-5F0ECD7AB7FF}"/>
            </c:ext>
          </c:extLst>
        </c:ser>
        <c:ser>
          <c:idx val="1"/>
          <c:order val="1"/>
          <c:tx>
            <c:strRef>
              <c:f>Sheet3!$F$3</c:f>
              <c:strCache>
                <c:ptCount val="1"/>
                <c:pt idx="0">
                  <c:v>4° by 2050</c:v>
                </c:pt>
              </c:strCache>
            </c:strRef>
          </c:tx>
          <c:spPr>
            <a:solidFill>
              <a:schemeClr val="accent2"/>
            </a:solidFill>
            <a:ln>
              <a:noFill/>
            </a:ln>
            <a:effectLst/>
          </c:spPr>
          <c:invertIfNegative val="0"/>
          <c:cat>
            <c:strRef>
              <c:f>Sheet3!$G$1:$I$1</c:f>
              <c:strCache>
                <c:ptCount val="3"/>
                <c:pt idx="0">
                  <c:v>Optimistic</c:v>
                </c:pt>
                <c:pt idx="1">
                  <c:v>Anticipated</c:v>
                </c:pt>
                <c:pt idx="2">
                  <c:v>Pessimistic</c:v>
                </c:pt>
              </c:strCache>
            </c:strRef>
          </c:cat>
          <c:val>
            <c:numRef>
              <c:f>Sheet3!$G$3:$I$3</c:f>
              <c:numCache>
                <c:formatCode>General</c:formatCode>
                <c:ptCount val="3"/>
                <c:pt idx="0">
                  <c:v>-1.714</c:v>
                </c:pt>
                <c:pt idx="1">
                  <c:v>-3.2719999999999998</c:v>
                </c:pt>
                <c:pt idx="2">
                  <c:v>-4.1459999999999999</c:v>
                </c:pt>
              </c:numCache>
            </c:numRef>
          </c:val>
          <c:extLst xmlns:c16r2="http://schemas.microsoft.com/office/drawing/2015/06/chart">
            <c:ext xmlns:c16="http://schemas.microsoft.com/office/drawing/2014/chart" uri="{C3380CC4-5D6E-409C-BE32-E72D297353CC}">
              <c16:uniqueId val="{00000001-EF2B-414E-A46F-5F0ECD7AB7FF}"/>
            </c:ext>
          </c:extLst>
        </c:ser>
        <c:dLbls>
          <c:showLegendKey val="0"/>
          <c:showVal val="0"/>
          <c:showCatName val="0"/>
          <c:showSerName val="0"/>
          <c:showPercent val="0"/>
          <c:showBubbleSize val="0"/>
        </c:dLbls>
        <c:gapWidth val="219"/>
        <c:overlap val="-27"/>
        <c:axId val="104025600"/>
        <c:axId val="149542528"/>
      </c:barChart>
      <c:catAx>
        <c:axId val="10402560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42528"/>
        <c:crosses val="autoZero"/>
        <c:auto val="1"/>
        <c:lblAlgn val="ctr"/>
        <c:lblOffset val="0"/>
        <c:noMultiLvlLbl val="0"/>
      </c:catAx>
      <c:valAx>
        <c:axId val="14954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2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99144696750256E-2"/>
          <c:y val="4.0228322608792021E-2"/>
          <c:w val="0.91268600976236991"/>
          <c:h val="0.70959247613090792"/>
        </c:manualLayout>
      </c:layout>
      <c:barChart>
        <c:barDir val="col"/>
        <c:grouping val="clustered"/>
        <c:varyColors val="0"/>
        <c:ser>
          <c:idx val="0"/>
          <c:order val="0"/>
          <c:tx>
            <c:strRef>
              <c:f>qoa!$B$1</c:f>
              <c:strCache>
                <c:ptCount val="1"/>
                <c:pt idx="0">
                  <c:v>2_Optimist</c:v>
                </c:pt>
              </c:strCache>
            </c:strRef>
          </c:tx>
          <c:spPr>
            <a:solidFill>
              <a:schemeClr val="accent1"/>
            </a:solidFill>
            <a:ln>
              <a:noFill/>
            </a:ln>
            <a:effectLst/>
          </c:spPr>
          <c:invertIfNegative val="0"/>
          <c:cat>
            <c:strRef>
              <c:f>qoa!$A$2:$A$13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qoa!$B$2:$B$13</c:f>
              <c:numCache>
                <c:formatCode>General</c:formatCode>
                <c:ptCount val="12"/>
                <c:pt idx="0">
                  <c:v>-6.25E-2</c:v>
                </c:pt>
                <c:pt idx="1">
                  <c:v>1.8E-3</c:v>
                </c:pt>
                <c:pt idx="2">
                  <c:v>4.4999999999999997E-3</c:v>
                </c:pt>
                <c:pt idx="3">
                  <c:v>1.38E-2</c:v>
                </c:pt>
                <c:pt idx="4">
                  <c:v>0.14319999999999999</c:v>
                </c:pt>
                <c:pt idx="5">
                  <c:v>0.18440000000000001</c:v>
                </c:pt>
                <c:pt idx="6">
                  <c:v>-0.88280000000000003</c:v>
                </c:pt>
                <c:pt idx="7">
                  <c:v>0.1603</c:v>
                </c:pt>
                <c:pt idx="8">
                  <c:v>-2.8999999999999998E-3</c:v>
                </c:pt>
                <c:pt idx="9">
                  <c:v>-0.10489999999999999</c:v>
                </c:pt>
                <c:pt idx="10">
                  <c:v>-0.3196</c:v>
                </c:pt>
                <c:pt idx="11">
                  <c:v>-1.47E-2</c:v>
                </c:pt>
              </c:numCache>
            </c:numRef>
          </c:val>
          <c:extLst xmlns:c16r2="http://schemas.microsoft.com/office/drawing/2015/06/chart">
            <c:ext xmlns:c16="http://schemas.microsoft.com/office/drawing/2014/chart" uri="{C3380CC4-5D6E-409C-BE32-E72D297353CC}">
              <c16:uniqueId val="{00000000-4B4E-4E3C-B777-20D6F2FFEEB4}"/>
            </c:ext>
          </c:extLst>
        </c:ser>
        <c:ser>
          <c:idx val="1"/>
          <c:order val="1"/>
          <c:tx>
            <c:strRef>
              <c:f>qoa!$C$1</c:f>
              <c:strCache>
                <c:ptCount val="1"/>
                <c:pt idx="0">
                  <c:v>2_Anticipated</c:v>
                </c:pt>
              </c:strCache>
            </c:strRef>
          </c:tx>
          <c:spPr>
            <a:solidFill>
              <a:schemeClr val="accent2"/>
            </a:solidFill>
            <a:ln>
              <a:noFill/>
            </a:ln>
            <a:effectLst/>
          </c:spPr>
          <c:invertIfNegative val="0"/>
          <c:cat>
            <c:strRef>
              <c:f>qoa!$A$2:$A$13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qoa!$C$2:$C$13</c:f>
              <c:numCache>
                <c:formatCode>General</c:formatCode>
                <c:ptCount val="12"/>
                <c:pt idx="0">
                  <c:v>-8.3799999999999999E-2</c:v>
                </c:pt>
                <c:pt idx="1">
                  <c:v>2.2000000000000001E-3</c:v>
                </c:pt>
                <c:pt idx="2">
                  <c:v>5.7999999999999996E-3</c:v>
                </c:pt>
                <c:pt idx="3">
                  <c:v>1.7999999999999999E-2</c:v>
                </c:pt>
                <c:pt idx="4">
                  <c:v>0.19109999999999999</c:v>
                </c:pt>
                <c:pt idx="5">
                  <c:v>0.24959999999999999</c:v>
                </c:pt>
                <c:pt idx="6">
                  <c:v>-1.1433</c:v>
                </c:pt>
                <c:pt idx="7">
                  <c:v>0.2157</c:v>
                </c:pt>
                <c:pt idx="8">
                  <c:v>-3.0000000000000001E-3</c:v>
                </c:pt>
                <c:pt idx="9">
                  <c:v>-0.1426</c:v>
                </c:pt>
                <c:pt idx="10">
                  <c:v>-0.42970000000000003</c:v>
                </c:pt>
                <c:pt idx="11">
                  <c:v>-1.95E-2</c:v>
                </c:pt>
              </c:numCache>
            </c:numRef>
          </c:val>
          <c:extLst xmlns:c16r2="http://schemas.microsoft.com/office/drawing/2015/06/chart">
            <c:ext xmlns:c16="http://schemas.microsoft.com/office/drawing/2014/chart" uri="{C3380CC4-5D6E-409C-BE32-E72D297353CC}">
              <c16:uniqueId val="{00000001-4B4E-4E3C-B777-20D6F2FFEEB4}"/>
            </c:ext>
          </c:extLst>
        </c:ser>
        <c:ser>
          <c:idx val="2"/>
          <c:order val="2"/>
          <c:tx>
            <c:strRef>
              <c:f>qoa!$D$1</c:f>
              <c:strCache>
                <c:ptCount val="1"/>
                <c:pt idx="0">
                  <c:v>2_Pessmistic</c:v>
                </c:pt>
              </c:strCache>
            </c:strRef>
          </c:tx>
          <c:spPr>
            <a:solidFill>
              <a:schemeClr val="accent3"/>
            </a:solidFill>
            <a:ln>
              <a:noFill/>
            </a:ln>
            <a:effectLst/>
          </c:spPr>
          <c:invertIfNegative val="0"/>
          <c:cat>
            <c:strRef>
              <c:f>qoa!$A$2:$A$13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qoa!$D$2:$D$13</c:f>
              <c:numCache>
                <c:formatCode>General</c:formatCode>
                <c:ptCount val="12"/>
                <c:pt idx="0">
                  <c:v>-0.10539999999999999</c:v>
                </c:pt>
                <c:pt idx="1">
                  <c:v>2.5999999999999999E-3</c:v>
                </c:pt>
                <c:pt idx="2">
                  <c:v>6.8999999999999999E-3</c:v>
                </c:pt>
                <c:pt idx="3">
                  <c:v>2.18E-2</c:v>
                </c:pt>
                <c:pt idx="4">
                  <c:v>0.23849999999999999</c:v>
                </c:pt>
                <c:pt idx="5">
                  <c:v>0.3165</c:v>
                </c:pt>
                <c:pt idx="6">
                  <c:v>-1.3879999999999999</c:v>
                </c:pt>
                <c:pt idx="7">
                  <c:v>0.27179999999999999</c:v>
                </c:pt>
                <c:pt idx="8">
                  <c:v>-3.3999999999999998E-3</c:v>
                </c:pt>
                <c:pt idx="9">
                  <c:v>-0.18160000000000001</c:v>
                </c:pt>
                <c:pt idx="10">
                  <c:v>-0.54110000000000003</c:v>
                </c:pt>
                <c:pt idx="11">
                  <c:v>-2.2499999999999999E-2</c:v>
                </c:pt>
              </c:numCache>
            </c:numRef>
          </c:val>
          <c:extLst xmlns:c16r2="http://schemas.microsoft.com/office/drawing/2015/06/chart">
            <c:ext xmlns:c16="http://schemas.microsoft.com/office/drawing/2014/chart" uri="{C3380CC4-5D6E-409C-BE32-E72D297353CC}">
              <c16:uniqueId val="{00000002-4B4E-4E3C-B777-20D6F2FFEEB4}"/>
            </c:ext>
          </c:extLst>
        </c:ser>
        <c:ser>
          <c:idx val="3"/>
          <c:order val="3"/>
          <c:tx>
            <c:strRef>
              <c:f>qoa!$E$1</c:f>
              <c:strCache>
                <c:ptCount val="1"/>
                <c:pt idx="0">
                  <c:v>4_Optimist</c:v>
                </c:pt>
              </c:strCache>
            </c:strRef>
          </c:tx>
          <c:spPr>
            <a:solidFill>
              <a:schemeClr val="accent4"/>
            </a:solidFill>
            <a:ln>
              <a:noFill/>
            </a:ln>
            <a:effectLst/>
          </c:spPr>
          <c:invertIfNegative val="0"/>
          <c:cat>
            <c:strRef>
              <c:f>qoa!$A$2:$A$13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qoa!$E$2:$E$13</c:f>
              <c:numCache>
                <c:formatCode>General</c:formatCode>
                <c:ptCount val="12"/>
                <c:pt idx="0">
                  <c:v>-8.2199999999999995E-2</c:v>
                </c:pt>
                <c:pt idx="1">
                  <c:v>2.2000000000000001E-3</c:v>
                </c:pt>
                <c:pt idx="2">
                  <c:v>4.5999999999999999E-3</c:v>
                </c:pt>
                <c:pt idx="3">
                  <c:v>1.4999999999999999E-2</c:v>
                </c:pt>
                <c:pt idx="4">
                  <c:v>0.19040000000000001</c:v>
                </c:pt>
                <c:pt idx="5">
                  <c:v>0.24909999999999999</c:v>
                </c:pt>
                <c:pt idx="6">
                  <c:v>-1.1443000000000001</c:v>
                </c:pt>
                <c:pt idx="7">
                  <c:v>0.21510000000000001</c:v>
                </c:pt>
                <c:pt idx="8">
                  <c:v>-5.7000000000000002E-3</c:v>
                </c:pt>
                <c:pt idx="9">
                  <c:v>-0.14399999999999999</c:v>
                </c:pt>
                <c:pt idx="10">
                  <c:v>-0.43030000000000002</c:v>
                </c:pt>
                <c:pt idx="11">
                  <c:v>-1.8100000000000002E-2</c:v>
                </c:pt>
              </c:numCache>
            </c:numRef>
          </c:val>
          <c:extLst xmlns:c16r2="http://schemas.microsoft.com/office/drawing/2015/06/chart">
            <c:ext xmlns:c16="http://schemas.microsoft.com/office/drawing/2014/chart" uri="{C3380CC4-5D6E-409C-BE32-E72D297353CC}">
              <c16:uniqueId val="{00000003-4B4E-4E3C-B777-20D6F2FFEEB4}"/>
            </c:ext>
          </c:extLst>
        </c:ser>
        <c:ser>
          <c:idx val="4"/>
          <c:order val="4"/>
          <c:tx>
            <c:strRef>
              <c:f>qoa!$F$1</c:f>
              <c:strCache>
                <c:ptCount val="1"/>
                <c:pt idx="0">
                  <c:v>4_Anticipated</c:v>
                </c:pt>
              </c:strCache>
            </c:strRef>
          </c:tx>
          <c:spPr>
            <a:solidFill>
              <a:schemeClr val="accent5"/>
            </a:solidFill>
            <a:ln>
              <a:noFill/>
            </a:ln>
            <a:effectLst/>
          </c:spPr>
          <c:invertIfNegative val="0"/>
          <c:cat>
            <c:strRef>
              <c:f>qoa!$A$2:$A$13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qoa!$F$2:$F$13</c:f>
              <c:numCache>
                <c:formatCode>General</c:formatCode>
                <c:ptCount val="12"/>
                <c:pt idx="0">
                  <c:v>-0.10920000000000001</c:v>
                </c:pt>
                <c:pt idx="1">
                  <c:v>3.0999999999999999E-3</c:v>
                </c:pt>
                <c:pt idx="2">
                  <c:v>7.7000000000000002E-3</c:v>
                </c:pt>
                <c:pt idx="3">
                  <c:v>2.75E-2</c:v>
                </c:pt>
                <c:pt idx="4">
                  <c:v>0.3538</c:v>
                </c:pt>
                <c:pt idx="5">
                  <c:v>0.49590000000000001</c:v>
                </c:pt>
                <c:pt idx="6">
                  <c:v>-1.9950000000000001</c:v>
                </c:pt>
                <c:pt idx="7">
                  <c:v>0.4158</c:v>
                </c:pt>
                <c:pt idx="8">
                  <c:v>-5.1999999999999998E-3</c:v>
                </c:pt>
                <c:pt idx="9">
                  <c:v>-0.29580000000000001</c:v>
                </c:pt>
                <c:pt idx="10">
                  <c:v>-0.85409999999999997</c:v>
                </c:pt>
                <c:pt idx="11">
                  <c:v>-3.3099999999999997E-2</c:v>
                </c:pt>
              </c:numCache>
            </c:numRef>
          </c:val>
          <c:extLst xmlns:c16r2="http://schemas.microsoft.com/office/drawing/2015/06/chart">
            <c:ext xmlns:c16="http://schemas.microsoft.com/office/drawing/2014/chart" uri="{C3380CC4-5D6E-409C-BE32-E72D297353CC}">
              <c16:uniqueId val="{00000004-4B4E-4E3C-B777-20D6F2FFEEB4}"/>
            </c:ext>
          </c:extLst>
        </c:ser>
        <c:ser>
          <c:idx val="5"/>
          <c:order val="5"/>
          <c:tx>
            <c:strRef>
              <c:f>qoa!$G$1</c:f>
              <c:strCache>
                <c:ptCount val="1"/>
                <c:pt idx="0">
                  <c:v>4_Pessmistic</c:v>
                </c:pt>
              </c:strCache>
            </c:strRef>
          </c:tx>
          <c:spPr>
            <a:solidFill>
              <a:schemeClr val="accent6"/>
            </a:solidFill>
            <a:ln>
              <a:noFill/>
            </a:ln>
            <a:effectLst/>
          </c:spPr>
          <c:invertIfNegative val="0"/>
          <c:cat>
            <c:strRef>
              <c:f>qoa!$A$2:$A$13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qoa!$G$2:$G$13</c:f>
              <c:numCache>
                <c:formatCode>General</c:formatCode>
                <c:ptCount val="12"/>
                <c:pt idx="0">
                  <c:v>-0.1371</c:v>
                </c:pt>
                <c:pt idx="1">
                  <c:v>3.3E-3</c:v>
                </c:pt>
                <c:pt idx="2">
                  <c:v>8.5000000000000006E-3</c:v>
                </c:pt>
                <c:pt idx="3">
                  <c:v>3.1899999999999998E-2</c:v>
                </c:pt>
                <c:pt idx="4">
                  <c:v>0.4425</c:v>
                </c:pt>
                <c:pt idx="5">
                  <c:v>0.64170000000000005</c:v>
                </c:pt>
                <c:pt idx="6">
                  <c:v>-2.3774000000000002</c:v>
                </c:pt>
                <c:pt idx="7">
                  <c:v>0.53090000000000004</c:v>
                </c:pt>
                <c:pt idx="8">
                  <c:v>-5.3E-3</c:v>
                </c:pt>
                <c:pt idx="9">
                  <c:v>-0.38619999999999999</c:v>
                </c:pt>
                <c:pt idx="10">
                  <c:v>-1.0826</c:v>
                </c:pt>
                <c:pt idx="11">
                  <c:v>-4.0899999999999999E-2</c:v>
                </c:pt>
              </c:numCache>
            </c:numRef>
          </c:val>
          <c:extLst xmlns:c16r2="http://schemas.microsoft.com/office/drawing/2015/06/chart">
            <c:ext xmlns:c16="http://schemas.microsoft.com/office/drawing/2014/chart" uri="{C3380CC4-5D6E-409C-BE32-E72D297353CC}">
              <c16:uniqueId val="{00000005-4B4E-4E3C-B777-20D6F2FFEEB4}"/>
            </c:ext>
          </c:extLst>
        </c:ser>
        <c:dLbls>
          <c:showLegendKey val="0"/>
          <c:showVal val="0"/>
          <c:showCatName val="0"/>
          <c:showSerName val="0"/>
          <c:showPercent val="0"/>
          <c:showBubbleSize val="0"/>
        </c:dLbls>
        <c:gapWidth val="219"/>
        <c:overlap val="-27"/>
        <c:axId val="173514240"/>
        <c:axId val="149544256"/>
      </c:barChart>
      <c:catAx>
        <c:axId val="173514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44256"/>
        <c:crosses val="autoZero"/>
        <c:auto val="1"/>
        <c:lblAlgn val="ctr"/>
        <c:lblOffset val="100"/>
        <c:noMultiLvlLbl val="0"/>
      </c:catAx>
      <c:valAx>
        <c:axId val="14954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14240"/>
        <c:crosses val="autoZero"/>
        <c:crossBetween val="between"/>
      </c:valAx>
      <c:spPr>
        <a:noFill/>
        <a:ln>
          <a:noFill/>
        </a:ln>
        <a:effectLst/>
      </c:spPr>
    </c:plotArea>
    <c:legend>
      <c:legendPos val="b"/>
      <c:layout>
        <c:manualLayout>
          <c:xMode val="edge"/>
          <c:yMode val="edge"/>
          <c:x val="5.9021682981691484E-2"/>
          <c:y val="0.92725089178868958"/>
          <c:w val="0.88195663403661706"/>
          <c:h val="7.27491082113103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900455227041969E-2"/>
          <c:y val="5.2518500835521606E-2"/>
          <c:w val="0.91461534323581029"/>
          <c:h val="0.68940538682664665"/>
        </c:manualLayout>
      </c:layout>
      <c:barChart>
        <c:barDir val="col"/>
        <c:grouping val="clustered"/>
        <c:varyColors val="0"/>
        <c:ser>
          <c:idx val="0"/>
          <c:order val="0"/>
          <c:tx>
            <c:strRef>
              <c:f>Jobs!$B$1</c:f>
              <c:strCache>
                <c:ptCount val="1"/>
                <c:pt idx="0">
                  <c:v>2_Optimist</c:v>
                </c:pt>
              </c:strCache>
            </c:strRef>
          </c:tx>
          <c:spPr>
            <a:solidFill>
              <a:schemeClr val="accent1"/>
            </a:solidFill>
            <a:ln>
              <a:noFill/>
            </a:ln>
            <a:effectLst/>
          </c:spPr>
          <c:invertIfNegative val="0"/>
          <c:cat>
            <c:strRef>
              <c:f>Jobs!$A$2:$A$13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Jobs!$B$2:$B$13</c:f>
              <c:numCache>
                <c:formatCode>0.0</c:formatCode>
                <c:ptCount val="12"/>
                <c:pt idx="0">
                  <c:v>-7.1800000000000003E-2</c:v>
                </c:pt>
                <c:pt idx="1">
                  <c:v>6.1000000000000004E-3</c:v>
                </c:pt>
                <c:pt idx="2">
                  <c:v>8.8000000000000005E-3</c:v>
                </c:pt>
                <c:pt idx="3">
                  <c:v>1.9800000000000002E-2</c:v>
                </c:pt>
                <c:pt idx="4">
                  <c:v>0.2737</c:v>
                </c:pt>
                <c:pt idx="5">
                  <c:v>0.3604</c:v>
                </c:pt>
                <c:pt idx="6">
                  <c:v>-1.0421</c:v>
                </c:pt>
                <c:pt idx="7">
                  <c:v>0.31180000000000002</c:v>
                </c:pt>
                <c:pt idx="8">
                  <c:v>1.5699999999999999E-2</c:v>
                </c:pt>
                <c:pt idx="9">
                  <c:v>-0.2253</c:v>
                </c:pt>
                <c:pt idx="10">
                  <c:v>-0.67869999999999997</c:v>
                </c:pt>
                <c:pt idx="11">
                  <c:v>-7.22E-2</c:v>
                </c:pt>
              </c:numCache>
            </c:numRef>
          </c:val>
          <c:extLst xmlns:c16r2="http://schemas.microsoft.com/office/drawing/2015/06/chart">
            <c:ext xmlns:c16="http://schemas.microsoft.com/office/drawing/2014/chart" uri="{C3380CC4-5D6E-409C-BE32-E72D297353CC}">
              <c16:uniqueId val="{00000000-64D2-46E2-8D44-527A21415BE0}"/>
            </c:ext>
          </c:extLst>
        </c:ser>
        <c:ser>
          <c:idx val="1"/>
          <c:order val="1"/>
          <c:tx>
            <c:strRef>
              <c:f>Jobs!$C$1</c:f>
              <c:strCache>
                <c:ptCount val="1"/>
                <c:pt idx="0">
                  <c:v>2_Anticipated</c:v>
                </c:pt>
              </c:strCache>
            </c:strRef>
          </c:tx>
          <c:spPr>
            <a:solidFill>
              <a:schemeClr val="accent2"/>
            </a:solidFill>
            <a:ln>
              <a:noFill/>
            </a:ln>
            <a:effectLst/>
          </c:spPr>
          <c:invertIfNegative val="0"/>
          <c:cat>
            <c:strRef>
              <c:f>Jobs!$A$2:$A$13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Jobs!$C$2:$C$13</c:f>
              <c:numCache>
                <c:formatCode>0.0</c:formatCode>
                <c:ptCount val="12"/>
                <c:pt idx="0">
                  <c:v>-9.7600000000000006E-2</c:v>
                </c:pt>
                <c:pt idx="1">
                  <c:v>7.7999999999999996E-3</c:v>
                </c:pt>
                <c:pt idx="2">
                  <c:v>1.14E-2</c:v>
                </c:pt>
                <c:pt idx="3">
                  <c:v>2.5499999999999998E-2</c:v>
                </c:pt>
                <c:pt idx="4">
                  <c:v>0.36520000000000002</c:v>
                </c:pt>
                <c:pt idx="5">
                  <c:v>0.48770000000000002</c:v>
                </c:pt>
                <c:pt idx="6">
                  <c:v>-1.3532999999999999</c:v>
                </c:pt>
                <c:pt idx="7">
                  <c:v>0.41930000000000001</c:v>
                </c:pt>
                <c:pt idx="8">
                  <c:v>2.3300000000000001E-2</c:v>
                </c:pt>
                <c:pt idx="9">
                  <c:v>-0.30620000000000003</c:v>
                </c:pt>
                <c:pt idx="10">
                  <c:v>-0.91259999999999997</c:v>
                </c:pt>
                <c:pt idx="11">
                  <c:v>-9.6699999999999994E-2</c:v>
                </c:pt>
              </c:numCache>
            </c:numRef>
          </c:val>
          <c:extLst xmlns:c16r2="http://schemas.microsoft.com/office/drawing/2015/06/chart">
            <c:ext xmlns:c16="http://schemas.microsoft.com/office/drawing/2014/chart" uri="{C3380CC4-5D6E-409C-BE32-E72D297353CC}">
              <c16:uniqueId val="{00000001-64D2-46E2-8D44-527A21415BE0}"/>
            </c:ext>
          </c:extLst>
        </c:ser>
        <c:ser>
          <c:idx val="2"/>
          <c:order val="2"/>
          <c:tx>
            <c:strRef>
              <c:f>Jobs!$D$1</c:f>
              <c:strCache>
                <c:ptCount val="1"/>
                <c:pt idx="0">
                  <c:v>2_Pessmistic</c:v>
                </c:pt>
              </c:strCache>
            </c:strRef>
          </c:tx>
          <c:spPr>
            <a:solidFill>
              <a:schemeClr val="accent3"/>
            </a:solidFill>
            <a:ln>
              <a:noFill/>
            </a:ln>
            <a:effectLst/>
          </c:spPr>
          <c:invertIfNegative val="0"/>
          <c:cat>
            <c:strRef>
              <c:f>Jobs!$A$2:$A$13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Jobs!$D$2:$D$13</c:f>
              <c:numCache>
                <c:formatCode>0.0</c:formatCode>
                <c:ptCount val="12"/>
                <c:pt idx="0">
                  <c:v>-0.12470000000000001</c:v>
                </c:pt>
                <c:pt idx="1">
                  <c:v>9.1999999999999998E-3</c:v>
                </c:pt>
                <c:pt idx="2">
                  <c:v>1.3599999999999999E-2</c:v>
                </c:pt>
                <c:pt idx="3">
                  <c:v>3.0499999999999999E-2</c:v>
                </c:pt>
                <c:pt idx="4">
                  <c:v>0.45610000000000001</c:v>
                </c:pt>
                <c:pt idx="5">
                  <c:v>0.61829999999999996</c:v>
                </c:pt>
                <c:pt idx="6">
                  <c:v>-1.6473</c:v>
                </c:pt>
                <c:pt idx="7">
                  <c:v>0.52839999999999998</c:v>
                </c:pt>
                <c:pt idx="8">
                  <c:v>3.1800000000000002E-2</c:v>
                </c:pt>
                <c:pt idx="9">
                  <c:v>-0.38929999999999998</c:v>
                </c:pt>
                <c:pt idx="10">
                  <c:v>-1.1483000000000001</c:v>
                </c:pt>
                <c:pt idx="11">
                  <c:v>-0.1172</c:v>
                </c:pt>
              </c:numCache>
            </c:numRef>
          </c:val>
          <c:extLst xmlns:c16r2="http://schemas.microsoft.com/office/drawing/2015/06/chart">
            <c:ext xmlns:c16="http://schemas.microsoft.com/office/drawing/2014/chart" uri="{C3380CC4-5D6E-409C-BE32-E72D297353CC}">
              <c16:uniqueId val="{00000002-64D2-46E2-8D44-527A21415BE0}"/>
            </c:ext>
          </c:extLst>
        </c:ser>
        <c:ser>
          <c:idx val="3"/>
          <c:order val="3"/>
          <c:tx>
            <c:strRef>
              <c:f>Jobs!$E$1</c:f>
              <c:strCache>
                <c:ptCount val="1"/>
                <c:pt idx="0">
                  <c:v>4_Optimist</c:v>
                </c:pt>
              </c:strCache>
            </c:strRef>
          </c:tx>
          <c:spPr>
            <a:solidFill>
              <a:schemeClr val="accent4"/>
            </a:solidFill>
            <a:ln>
              <a:noFill/>
            </a:ln>
            <a:effectLst/>
          </c:spPr>
          <c:invertIfNegative val="0"/>
          <c:cat>
            <c:strRef>
              <c:f>Jobs!$A$2:$A$13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Jobs!$E$2:$E$13</c:f>
              <c:numCache>
                <c:formatCode>0.0</c:formatCode>
                <c:ptCount val="12"/>
                <c:pt idx="0">
                  <c:v>-8.3599999999999994E-2</c:v>
                </c:pt>
                <c:pt idx="1">
                  <c:v>7.7000000000000002E-3</c:v>
                </c:pt>
                <c:pt idx="2">
                  <c:v>8.6E-3</c:v>
                </c:pt>
                <c:pt idx="3">
                  <c:v>1.8100000000000002E-2</c:v>
                </c:pt>
                <c:pt idx="4">
                  <c:v>0.36209999999999998</c:v>
                </c:pt>
                <c:pt idx="5">
                  <c:v>0.48559999999999998</c:v>
                </c:pt>
                <c:pt idx="6">
                  <c:v>-1.3579000000000001</c:v>
                </c:pt>
                <c:pt idx="7">
                  <c:v>0.41699999999999998</c:v>
                </c:pt>
                <c:pt idx="8">
                  <c:v>2.1499999999999998E-2</c:v>
                </c:pt>
                <c:pt idx="9">
                  <c:v>-0.311</c:v>
                </c:pt>
                <c:pt idx="10">
                  <c:v>-0.91859999999999997</c:v>
                </c:pt>
                <c:pt idx="11">
                  <c:v>-9.9000000000000005E-2</c:v>
                </c:pt>
              </c:numCache>
            </c:numRef>
          </c:val>
          <c:extLst xmlns:c16r2="http://schemas.microsoft.com/office/drawing/2015/06/chart">
            <c:ext xmlns:c16="http://schemas.microsoft.com/office/drawing/2014/chart" uri="{C3380CC4-5D6E-409C-BE32-E72D297353CC}">
              <c16:uniqueId val="{00000003-64D2-46E2-8D44-527A21415BE0}"/>
            </c:ext>
          </c:extLst>
        </c:ser>
        <c:ser>
          <c:idx val="4"/>
          <c:order val="4"/>
          <c:tx>
            <c:strRef>
              <c:f>Jobs!$F$1</c:f>
              <c:strCache>
                <c:ptCount val="1"/>
                <c:pt idx="0">
                  <c:v>4_Anticipated</c:v>
                </c:pt>
              </c:strCache>
            </c:strRef>
          </c:tx>
          <c:spPr>
            <a:solidFill>
              <a:schemeClr val="accent5"/>
            </a:solidFill>
            <a:ln>
              <a:noFill/>
            </a:ln>
            <a:effectLst/>
          </c:spPr>
          <c:invertIfNegative val="0"/>
          <c:cat>
            <c:strRef>
              <c:f>Jobs!$A$2:$A$13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Jobs!$F$2:$F$13</c:f>
              <c:numCache>
                <c:formatCode>0.0</c:formatCode>
                <c:ptCount val="12"/>
                <c:pt idx="0">
                  <c:v>-0.11119999999999999</c:v>
                </c:pt>
                <c:pt idx="1">
                  <c:v>1.12E-2</c:v>
                </c:pt>
                <c:pt idx="2">
                  <c:v>1.3599999999999999E-2</c:v>
                </c:pt>
                <c:pt idx="3">
                  <c:v>2.8199999999999999E-2</c:v>
                </c:pt>
                <c:pt idx="4">
                  <c:v>0.66200000000000003</c:v>
                </c:pt>
                <c:pt idx="5">
                  <c:v>0.96020000000000005</c:v>
                </c:pt>
                <c:pt idx="6">
                  <c:v>-2.3994</c:v>
                </c:pt>
                <c:pt idx="7">
                  <c:v>0.79910000000000003</c:v>
                </c:pt>
                <c:pt idx="8">
                  <c:v>3.9800000000000002E-2</c:v>
                </c:pt>
                <c:pt idx="9">
                  <c:v>-0.64610000000000001</c:v>
                </c:pt>
                <c:pt idx="10">
                  <c:v>-1.8425</c:v>
                </c:pt>
                <c:pt idx="11">
                  <c:v>-0.21249999999999999</c:v>
                </c:pt>
              </c:numCache>
            </c:numRef>
          </c:val>
          <c:extLst xmlns:c16r2="http://schemas.microsoft.com/office/drawing/2015/06/chart">
            <c:ext xmlns:c16="http://schemas.microsoft.com/office/drawing/2014/chart" uri="{C3380CC4-5D6E-409C-BE32-E72D297353CC}">
              <c16:uniqueId val="{00000004-64D2-46E2-8D44-527A21415BE0}"/>
            </c:ext>
          </c:extLst>
        </c:ser>
        <c:ser>
          <c:idx val="5"/>
          <c:order val="5"/>
          <c:tx>
            <c:strRef>
              <c:f>Jobs!$G$1</c:f>
              <c:strCache>
                <c:ptCount val="1"/>
                <c:pt idx="0">
                  <c:v>4_Pessmistic</c:v>
                </c:pt>
              </c:strCache>
            </c:strRef>
          </c:tx>
          <c:spPr>
            <a:solidFill>
              <a:schemeClr val="accent6"/>
            </a:solidFill>
            <a:ln>
              <a:noFill/>
            </a:ln>
            <a:effectLst/>
          </c:spPr>
          <c:invertIfNegative val="0"/>
          <c:cat>
            <c:strRef>
              <c:f>Jobs!$A$2:$A$13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Jobs!$G$2:$G$13</c:f>
              <c:numCache>
                <c:formatCode>0.0</c:formatCode>
                <c:ptCount val="12"/>
                <c:pt idx="0">
                  <c:v>-0.14219999999999999</c:v>
                </c:pt>
                <c:pt idx="1">
                  <c:v>1.18E-2</c:v>
                </c:pt>
                <c:pt idx="2">
                  <c:v>1.4500000000000001E-2</c:v>
                </c:pt>
                <c:pt idx="3">
                  <c:v>2.8899999999999999E-2</c:v>
                </c:pt>
                <c:pt idx="4">
                  <c:v>0.82650000000000001</c:v>
                </c:pt>
                <c:pt idx="5">
                  <c:v>1.2415</c:v>
                </c:pt>
                <c:pt idx="6">
                  <c:v>-2.8755000000000002</c:v>
                </c:pt>
                <c:pt idx="7">
                  <c:v>1.0186999999999999</c:v>
                </c:pt>
                <c:pt idx="8">
                  <c:v>5.7000000000000002E-2</c:v>
                </c:pt>
                <c:pt idx="9">
                  <c:v>-0.84260000000000002</c:v>
                </c:pt>
                <c:pt idx="10">
                  <c:v>-2.3371</c:v>
                </c:pt>
                <c:pt idx="11">
                  <c:v>-0.27079999999999999</c:v>
                </c:pt>
              </c:numCache>
            </c:numRef>
          </c:val>
          <c:extLst xmlns:c16r2="http://schemas.microsoft.com/office/drawing/2015/06/chart">
            <c:ext xmlns:c16="http://schemas.microsoft.com/office/drawing/2014/chart" uri="{C3380CC4-5D6E-409C-BE32-E72D297353CC}">
              <c16:uniqueId val="{00000005-64D2-46E2-8D44-527A21415BE0}"/>
            </c:ext>
          </c:extLst>
        </c:ser>
        <c:dLbls>
          <c:showLegendKey val="0"/>
          <c:showVal val="0"/>
          <c:showCatName val="0"/>
          <c:showSerName val="0"/>
          <c:showPercent val="0"/>
          <c:showBubbleSize val="0"/>
        </c:dLbls>
        <c:gapWidth val="219"/>
        <c:overlap val="-27"/>
        <c:axId val="141264384"/>
        <c:axId val="185926784"/>
      </c:barChart>
      <c:catAx>
        <c:axId val="141264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26784"/>
        <c:crosses val="autoZero"/>
        <c:auto val="1"/>
        <c:lblAlgn val="ctr"/>
        <c:lblOffset val="100"/>
        <c:noMultiLvlLbl val="0"/>
      </c:catAx>
      <c:valAx>
        <c:axId val="185926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64384"/>
        <c:crosses val="autoZero"/>
        <c:crossBetween val="between"/>
      </c:valAx>
      <c:spPr>
        <a:noFill/>
        <a:ln>
          <a:noFill/>
        </a:ln>
        <a:effectLst/>
      </c:spPr>
    </c:plotArea>
    <c:legend>
      <c:legendPos val="b"/>
      <c:layout>
        <c:manualLayout>
          <c:xMode val="edge"/>
          <c:yMode val="edge"/>
          <c:x val="6.876567574655218E-2"/>
          <c:y val="0.93052993375828019"/>
          <c:w val="0.862468480402375"/>
          <c:h val="6.46956630421197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639503068576967E-2"/>
          <c:y val="5.0447145150194911E-2"/>
          <c:w val="0.87107761737443179"/>
          <c:h val="0.78411655204415664"/>
        </c:manualLayout>
      </c:layout>
      <c:barChart>
        <c:barDir val="bar"/>
        <c:grouping val="clustered"/>
        <c:varyColors val="0"/>
        <c:ser>
          <c:idx val="0"/>
          <c:order val="0"/>
          <c:tx>
            <c:strRef>
              <c:f>'agg import export'!$K$1</c:f>
              <c:strCache>
                <c:ptCount val="1"/>
                <c:pt idx="0">
                  <c:v>2_Anticipated</c:v>
                </c:pt>
              </c:strCache>
            </c:strRef>
          </c:tx>
          <c:spPr>
            <a:solidFill>
              <a:schemeClr val="accent1"/>
            </a:solidFill>
            <a:ln>
              <a:noFill/>
            </a:ln>
            <a:effectLst/>
          </c:spPr>
          <c:invertIfNegative val="0"/>
          <c:cat>
            <c:strRef>
              <c:f>'agg import export'!$J$2:$J$13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'agg import export'!$K$2:$K$13</c:f>
              <c:numCache>
                <c:formatCode>General</c:formatCode>
                <c:ptCount val="12"/>
                <c:pt idx="0">
                  <c:v>-0.2681</c:v>
                </c:pt>
                <c:pt idx="1">
                  <c:v>1E-4</c:v>
                </c:pt>
                <c:pt idx="2">
                  <c:v>4.0399999999999998E-2</c:v>
                </c:pt>
                <c:pt idx="3">
                  <c:v>9.9599999999999994E-2</c:v>
                </c:pt>
                <c:pt idx="4">
                  <c:v>0.60760000000000003</c:v>
                </c:pt>
                <c:pt idx="5">
                  <c:v>0.84489999999999998</c:v>
                </c:pt>
                <c:pt idx="6">
                  <c:v>-2.6337000000000002</c:v>
                </c:pt>
                <c:pt idx="7">
                  <c:v>0.92710000000000004</c:v>
                </c:pt>
                <c:pt idx="8">
                  <c:v>0.1545</c:v>
                </c:pt>
                <c:pt idx="9">
                  <c:v>2.7900000000000001E-2</c:v>
                </c:pt>
                <c:pt idx="10">
                  <c:v>-0.62029999999999996</c:v>
                </c:pt>
                <c:pt idx="11">
                  <c:v>0.3211</c:v>
                </c:pt>
              </c:numCache>
            </c:numRef>
          </c:val>
          <c:extLst xmlns:c16r2="http://schemas.microsoft.com/office/drawing/2015/06/chart">
            <c:ext xmlns:c16="http://schemas.microsoft.com/office/drawing/2014/chart" uri="{C3380CC4-5D6E-409C-BE32-E72D297353CC}">
              <c16:uniqueId val="{00000000-1159-4223-9E3C-6275A6F08D40}"/>
            </c:ext>
          </c:extLst>
        </c:ser>
        <c:ser>
          <c:idx val="1"/>
          <c:order val="1"/>
          <c:tx>
            <c:strRef>
              <c:f>'agg import export'!$L$1</c:f>
              <c:strCache>
                <c:ptCount val="1"/>
                <c:pt idx="0">
                  <c:v>4_Anticipated</c:v>
                </c:pt>
              </c:strCache>
            </c:strRef>
          </c:tx>
          <c:spPr>
            <a:solidFill>
              <a:schemeClr val="accent2"/>
            </a:solidFill>
            <a:ln>
              <a:noFill/>
            </a:ln>
            <a:effectLst/>
          </c:spPr>
          <c:invertIfNegative val="0"/>
          <c:cat>
            <c:strRef>
              <c:f>'agg import export'!$J$2:$J$13</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'agg import export'!$L$2:$L$13</c:f>
              <c:numCache>
                <c:formatCode>General</c:formatCode>
                <c:ptCount val="12"/>
                <c:pt idx="0">
                  <c:v>-0.35089999999999999</c:v>
                </c:pt>
                <c:pt idx="1">
                  <c:v>-1.5E-3</c:v>
                </c:pt>
                <c:pt idx="2">
                  <c:v>7.4200000000000002E-2</c:v>
                </c:pt>
                <c:pt idx="3">
                  <c:v>0.17860000000000001</c:v>
                </c:pt>
                <c:pt idx="4">
                  <c:v>1.117</c:v>
                </c:pt>
                <c:pt idx="5">
                  <c:v>1.6855</c:v>
                </c:pt>
                <c:pt idx="6">
                  <c:v>-4.2773000000000003</c:v>
                </c:pt>
                <c:pt idx="7">
                  <c:v>1.8170999999999999</c:v>
                </c:pt>
                <c:pt idx="8">
                  <c:v>0.30549999999999999</c:v>
                </c:pt>
                <c:pt idx="9">
                  <c:v>5.33E-2</c:v>
                </c:pt>
                <c:pt idx="10">
                  <c:v>-1.2089000000000001</c:v>
                </c:pt>
                <c:pt idx="11">
                  <c:v>0.6492</c:v>
                </c:pt>
              </c:numCache>
            </c:numRef>
          </c:val>
          <c:extLst xmlns:c16r2="http://schemas.microsoft.com/office/drawing/2015/06/chart">
            <c:ext xmlns:c16="http://schemas.microsoft.com/office/drawing/2014/chart" uri="{C3380CC4-5D6E-409C-BE32-E72D297353CC}">
              <c16:uniqueId val="{00000001-1159-4223-9E3C-6275A6F08D40}"/>
            </c:ext>
          </c:extLst>
        </c:ser>
        <c:dLbls>
          <c:showLegendKey val="0"/>
          <c:showVal val="0"/>
          <c:showCatName val="0"/>
          <c:showSerName val="0"/>
          <c:showPercent val="0"/>
          <c:showBubbleSize val="0"/>
        </c:dLbls>
        <c:gapWidth val="182"/>
        <c:axId val="186025472"/>
        <c:axId val="185928512"/>
      </c:barChart>
      <c:catAx>
        <c:axId val="18602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28512"/>
        <c:crosses val="autoZero"/>
        <c:auto val="1"/>
        <c:lblAlgn val="ctr"/>
        <c:lblOffset val="100"/>
        <c:noMultiLvlLbl val="0"/>
      </c:catAx>
      <c:valAx>
        <c:axId val="185928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25472"/>
        <c:crosses val="autoZero"/>
        <c:crossBetween val="between"/>
      </c:valAx>
      <c:spPr>
        <a:noFill/>
        <a:ln>
          <a:noFill/>
        </a:ln>
        <a:effectLst/>
      </c:spPr>
    </c:plotArea>
    <c:legend>
      <c:legendPos val="b"/>
      <c:layout>
        <c:manualLayout>
          <c:xMode val="edge"/>
          <c:yMode val="edge"/>
          <c:x val="0.16175306766857189"/>
          <c:y val="0.92260895156965728"/>
          <c:w val="0.67649350130264641"/>
          <c:h val="7.73910484303426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698655109073619E-2"/>
          <c:y val="5.0447145150194911E-2"/>
          <c:w val="0.87668293835815214"/>
          <c:h val="0.78411655204415664"/>
        </c:manualLayout>
      </c:layout>
      <c:barChart>
        <c:barDir val="bar"/>
        <c:grouping val="clustered"/>
        <c:varyColors val="0"/>
        <c:ser>
          <c:idx val="0"/>
          <c:order val="0"/>
          <c:tx>
            <c:strRef>
              <c:f>'agg import export'!$K$16</c:f>
              <c:strCache>
                <c:ptCount val="1"/>
                <c:pt idx="0">
                  <c:v>2_Anticipated</c:v>
                </c:pt>
              </c:strCache>
            </c:strRef>
          </c:tx>
          <c:spPr>
            <a:solidFill>
              <a:schemeClr val="accent1"/>
            </a:solidFill>
            <a:ln>
              <a:noFill/>
            </a:ln>
            <a:effectLst/>
          </c:spPr>
          <c:invertIfNegative val="0"/>
          <c:cat>
            <c:strRef>
              <c:f>'agg import export'!$J$17:$J$28</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'agg import export'!$K$17:$K$28</c:f>
              <c:numCache>
                <c:formatCode>General</c:formatCode>
                <c:ptCount val="12"/>
                <c:pt idx="0">
                  <c:v>5.4999999999999997E-3</c:v>
                </c:pt>
                <c:pt idx="1">
                  <c:v>2.9999999999999997E-4</c:v>
                </c:pt>
                <c:pt idx="2">
                  <c:v>-3.2899999999999999E-2</c:v>
                </c:pt>
                <c:pt idx="3">
                  <c:v>-5.16E-2</c:v>
                </c:pt>
                <c:pt idx="4">
                  <c:v>-1.1647000000000001</c:v>
                </c:pt>
                <c:pt idx="5">
                  <c:v>-1.55E-2</c:v>
                </c:pt>
                <c:pt idx="6">
                  <c:v>0.51380000000000003</c:v>
                </c:pt>
                <c:pt idx="7">
                  <c:v>-0.31719999999999998</c:v>
                </c:pt>
                <c:pt idx="8">
                  <c:v>-1.44E-2</c:v>
                </c:pt>
                <c:pt idx="9">
                  <c:v>-3.1399999999999997E-2</c:v>
                </c:pt>
                <c:pt idx="10">
                  <c:v>2.81E-2</c:v>
                </c:pt>
                <c:pt idx="11">
                  <c:v>-0.12820000000000001</c:v>
                </c:pt>
              </c:numCache>
            </c:numRef>
          </c:val>
          <c:extLst xmlns:c16r2="http://schemas.microsoft.com/office/drawing/2015/06/chart">
            <c:ext xmlns:c16="http://schemas.microsoft.com/office/drawing/2014/chart" uri="{C3380CC4-5D6E-409C-BE32-E72D297353CC}">
              <c16:uniqueId val="{00000000-F82E-4361-8136-F80F08A7C67E}"/>
            </c:ext>
          </c:extLst>
        </c:ser>
        <c:ser>
          <c:idx val="1"/>
          <c:order val="1"/>
          <c:tx>
            <c:strRef>
              <c:f>'agg import export'!$L$16</c:f>
              <c:strCache>
                <c:ptCount val="1"/>
                <c:pt idx="0">
                  <c:v>4_Anticipated</c:v>
                </c:pt>
              </c:strCache>
            </c:strRef>
          </c:tx>
          <c:spPr>
            <a:solidFill>
              <a:schemeClr val="accent2"/>
            </a:solidFill>
            <a:ln>
              <a:noFill/>
            </a:ln>
            <a:effectLst/>
          </c:spPr>
          <c:invertIfNegative val="0"/>
          <c:cat>
            <c:strRef>
              <c:f>'agg import export'!$J$17:$J$28</c:f>
              <c:strCache>
                <c:ptCount val="12"/>
                <c:pt idx="0">
                  <c:v>Grains</c:v>
                </c:pt>
                <c:pt idx="1">
                  <c:v>Crops</c:v>
                </c:pt>
                <c:pt idx="2">
                  <c:v>MeatLvstk</c:v>
                </c:pt>
                <c:pt idx="3">
                  <c:v>OthFood</c:v>
                </c:pt>
                <c:pt idx="4">
                  <c:v>Extraction</c:v>
                </c:pt>
                <c:pt idx="5">
                  <c:v>Omnfcs</c:v>
                </c:pt>
                <c:pt idx="6">
                  <c:v>PetroChem</c:v>
                </c:pt>
                <c:pt idx="7">
                  <c:v>Machequip</c:v>
                </c:pt>
                <c:pt idx="8">
                  <c:v>Utilities</c:v>
                </c:pt>
                <c:pt idx="9">
                  <c:v>Construction</c:v>
                </c:pt>
                <c:pt idx="10">
                  <c:v>Trdtrnscomm</c:v>
                </c:pt>
                <c:pt idx="11">
                  <c:v>OthServ</c:v>
                </c:pt>
              </c:strCache>
            </c:strRef>
          </c:cat>
          <c:val>
            <c:numRef>
              <c:f>'agg import export'!$L$17:$L$28</c:f>
              <c:numCache>
                <c:formatCode>General</c:formatCode>
                <c:ptCount val="12"/>
                <c:pt idx="0">
                  <c:v>1.2500000000000001E-2</c:v>
                </c:pt>
                <c:pt idx="1">
                  <c:v>-6.9999999999999999E-4</c:v>
                </c:pt>
                <c:pt idx="2">
                  <c:v>-6.2E-2</c:v>
                </c:pt>
                <c:pt idx="3">
                  <c:v>-9.8500000000000004E-2</c:v>
                </c:pt>
                <c:pt idx="4">
                  <c:v>-2.0196999999999998</c:v>
                </c:pt>
                <c:pt idx="5">
                  <c:v>-2.9600000000000001E-2</c:v>
                </c:pt>
                <c:pt idx="6">
                  <c:v>1.1601999999999999</c:v>
                </c:pt>
                <c:pt idx="7">
                  <c:v>-0.62870000000000004</c:v>
                </c:pt>
                <c:pt idx="8">
                  <c:v>-2.76E-2</c:v>
                </c:pt>
                <c:pt idx="9">
                  <c:v>-6.1699999999999998E-2</c:v>
                </c:pt>
                <c:pt idx="10">
                  <c:v>7.6300000000000007E-2</c:v>
                </c:pt>
                <c:pt idx="11">
                  <c:v>-0.24890000000000001</c:v>
                </c:pt>
              </c:numCache>
            </c:numRef>
          </c:val>
          <c:extLst xmlns:c16r2="http://schemas.microsoft.com/office/drawing/2015/06/chart">
            <c:ext xmlns:c16="http://schemas.microsoft.com/office/drawing/2014/chart" uri="{C3380CC4-5D6E-409C-BE32-E72D297353CC}">
              <c16:uniqueId val="{00000001-F82E-4361-8136-F80F08A7C67E}"/>
            </c:ext>
          </c:extLst>
        </c:ser>
        <c:dLbls>
          <c:showLegendKey val="0"/>
          <c:showVal val="0"/>
          <c:showCatName val="0"/>
          <c:showSerName val="0"/>
          <c:showPercent val="0"/>
          <c:showBubbleSize val="0"/>
        </c:dLbls>
        <c:gapWidth val="182"/>
        <c:axId val="141264896"/>
        <c:axId val="185929664"/>
      </c:barChart>
      <c:catAx>
        <c:axId val="14126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29664"/>
        <c:crosses val="autoZero"/>
        <c:auto val="1"/>
        <c:lblAlgn val="ctr"/>
        <c:lblOffset val="100"/>
        <c:noMultiLvlLbl val="0"/>
      </c:catAx>
      <c:valAx>
        <c:axId val="185929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64896"/>
        <c:crosses val="autoZero"/>
        <c:crossBetween val="between"/>
      </c:valAx>
      <c:spPr>
        <a:noFill/>
        <a:ln>
          <a:noFill/>
        </a:ln>
        <a:effectLst/>
      </c:spPr>
    </c:plotArea>
    <c:legend>
      <c:legendPos val="b"/>
      <c:layout>
        <c:manualLayout>
          <c:xMode val="edge"/>
          <c:yMode val="edge"/>
          <c:x val="0.17645962981177785"/>
          <c:y val="0.92260895156965728"/>
          <c:w val="0.64708074037644436"/>
          <c:h val="7.73910484303426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72567779763006E-2"/>
          <c:y val="5.8981233243967826E-2"/>
          <c:w val="0.91020223328124494"/>
          <c:h val="0.74759578645162661"/>
        </c:manualLayout>
      </c:layout>
      <c:barChart>
        <c:barDir val="col"/>
        <c:grouping val="clustered"/>
        <c:varyColors val="0"/>
        <c:ser>
          <c:idx val="0"/>
          <c:order val="0"/>
          <c:tx>
            <c:strRef>
              <c:f>ppriv!$E$3</c:f>
              <c:strCache>
                <c:ptCount val="1"/>
                <c:pt idx="0">
                  <c:v>2° by 2050</c:v>
                </c:pt>
              </c:strCache>
            </c:strRef>
          </c:tx>
          <c:spPr>
            <a:solidFill>
              <a:schemeClr val="accent1"/>
            </a:solidFill>
            <a:ln>
              <a:noFill/>
            </a:ln>
            <a:effectLst/>
          </c:spPr>
          <c:invertIfNegative val="0"/>
          <c:cat>
            <c:strRef>
              <c:f>ppriv!$F$2:$H$2</c:f>
              <c:strCache>
                <c:ptCount val="3"/>
                <c:pt idx="0">
                  <c:v>Optimistic</c:v>
                </c:pt>
                <c:pt idx="1">
                  <c:v>Anticipated</c:v>
                </c:pt>
                <c:pt idx="2">
                  <c:v>Pessimistic</c:v>
                </c:pt>
              </c:strCache>
            </c:strRef>
          </c:cat>
          <c:val>
            <c:numRef>
              <c:f>ppriv!$F$3:$H$3</c:f>
              <c:numCache>
                <c:formatCode>0.0</c:formatCode>
                <c:ptCount val="3"/>
                <c:pt idx="0">
                  <c:v>0.39760000000000001</c:v>
                </c:pt>
                <c:pt idx="1">
                  <c:v>0.55420000000000003</c:v>
                </c:pt>
                <c:pt idx="2">
                  <c:v>0.73870000000000002</c:v>
                </c:pt>
              </c:numCache>
            </c:numRef>
          </c:val>
          <c:extLst xmlns:c16r2="http://schemas.microsoft.com/office/drawing/2015/06/chart">
            <c:ext xmlns:c16="http://schemas.microsoft.com/office/drawing/2014/chart" uri="{C3380CC4-5D6E-409C-BE32-E72D297353CC}">
              <c16:uniqueId val="{00000000-C70D-49A6-AE2D-E15EBAB254EB}"/>
            </c:ext>
          </c:extLst>
        </c:ser>
        <c:ser>
          <c:idx val="1"/>
          <c:order val="1"/>
          <c:tx>
            <c:strRef>
              <c:f>ppriv!$E$4</c:f>
              <c:strCache>
                <c:ptCount val="1"/>
                <c:pt idx="0">
                  <c:v>4° by 2050</c:v>
                </c:pt>
              </c:strCache>
            </c:strRef>
          </c:tx>
          <c:spPr>
            <a:solidFill>
              <a:schemeClr val="accent2"/>
            </a:solidFill>
            <a:ln>
              <a:noFill/>
            </a:ln>
            <a:effectLst/>
          </c:spPr>
          <c:invertIfNegative val="0"/>
          <c:cat>
            <c:strRef>
              <c:f>ppriv!$F$2:$H$2</c:f>
              <c:strCache>
                <c:ptCount val="3"/>
                <c:pt idx="0">
                  <c:v>Optimistic</c:v>
                </c:pt>
                <c:pt idx="1">
                  <c:v>Anticipated</c:v>
                </c:pt>
                <c:pt idx="2">
                  <c:v>Pessimistic</c:v>
                </c:pt>
              </c:strCache>
            </c:strRef>
          </c:cat>
          <c:val>
            <c:numRef>
              <c:f>ppriv!$F$4:$H$4</c:f>
              <c:numCache>
                <c:formatCode>0.0</c:formatCode>
                <c:ptCount val="3"/>
                <c:pt idx="0">
                  <c:v>0.56789999999999996</c:v>
                </c:pt>
                <c:pt idx="1">
                  <c:v>1.2605</c:v>
                </c:pt>
                <c:pt idx="2">
                  <c:v>1.7347999999999999</c:v>
                </c:pt>
              </c:numCache>
            </c:numRef>
          </c:val>
          <c:extLst xmlns:c16r2="http://schemas.microsoft.com/office/drawing/2015/06/chart">
            <c:ext xmlns:c16="http://schemas.microsoft.com/office/drawing/2014/chart" uri="{C3380CC4-5D6E-409C-BE32-E72D297353CC}">
              <c16:uniqueId val="{00000001-C70D-49A6-AE2D-E15EBAB254EB}"/>
            </c:ext>
          </c:extLst>
        </c:ser>
        <c:dLbls>
          <c:showLegendKey val="0"/>
          <c:showVal val="0"/>
          <c:showCatName val="0"/>
          <c:showSerName val="0"/>
          <c:showPercent val="0"/>
          <c:showBubbleSize val="0"/>
        </c:dLbls>
        <c:gapWidth val="219"/>
        <c:overlap val="-27"/>
        <c:axId val="141265408"/>
        <c:axId val="185931392"/>
      </c:barChart>
      <c:catAx>
        <c:axId val="14126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31392"/>
        <c:crosses val="autoZero"/>
        <c:auto val="1"/>
        <c:lblAlgn val="ctr"/>
        <c:lblOffset val="100"/>
        <c:noMultiLvlLbl val="0"/>
      </c:catAx>
      <c:valAx>
        <c:axId val="185931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65408"/>
        <c:crosses val="autoZero"/>
        <c:crossBetween val="between"/>
      </c:valAx>
      <c:spPr>
        <a:noFill/>
        <a:ln w="25400">
          <a:noFill/>
        </a:ln>
        <a:effectLst/>
      </c:spPr>
    </c:plotArea>
    <c:legend>
      <c:legendPos val="b"/>
      <c:layout>
        <c:manualLayout>
          <c:xMode val="edge"/>
          <c:yMode val="edge"/>
          <c:x val="0.35933442067028815"/>
          <c:y val="0.90951679297460475"/>
          <c:w val="0.28133096878684716"/>
          <c:h val="9.04832070253952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0.26191</cdr:x>
      <cdr:y>0</cdr:y>
    </cdr:from>
    <cdr:to>
      <cdr:x>0.32572</cdr:x>
      <cdr:y>0.05422</cdr:y>
    </cdr:to>
    <cdr:sp macro="" textlink="">
      <cdr:nvSpPr>
        <cdr:cNvPr id="2" name="Text Box 1"/>
        <cdr:cNvSpPr txBox="1"/>
      </cdr:nvSpPr>
      <cdr:spPr>
        <a:xfrm xmlns:a="http://schemas.openxmlformats.org/drawingml/2006/main">
          <a:off x="1501149" y="-5503653"/>
          <a:ext cx="365727" cy="21468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solidFill>
                <a:schemeClr val="tx1">
                  <a:lumMod val="65000"/>
                  <a:lumOff val="35000"/>
                </a:schemeClr>
              </a:solidFill>
              <a:latin typeface="+mn-lt"/>
            </a:rPr>
            <a:t>2</a:t>
          </a:r>
          <a:r>
            <a:rPr lang="en-US" sz="1050" b="1">
              <a:solidFill>
                <a:schemeClr val="tx1">
                  <a:lumMod val="65000"/>
                  <a:lumOff val="35000"/>
                </a:schemeClr>
              </a:solidFill>
              <a:latin typeface="+mn-lt"/>
              <a:cs typeface="Calibri" panose="020F0502020204030204" pitchFamily="34" charset="0"/>
            </a:rPr>
            <a:t>°C</a:t>
          </a:r>
          <a:endParaRPr lang="en-US" sz="1050" b="1">
            <a:solidFill>
              <a:schemeClr val="tx1">
                <a:lumMod val="65000"/>
                <a:lumOff val="35000"/>
              </a:schemeClr>
            </a:solidFill>
            <a:latin typeface="+mn-lt"/>
          </a:endParaRPr>
        </a:p>
      </cdr:txBody>
    </cdr:sp>
  </cdr:relSizeAnchor>
  <cdr:relSizeAnchor xmlns:cdr="http://schemas.openxmlformats.org/drawingml/2006/chartDrawing">
    <cdr:from>
      <cdr:x>0.71645</cdr:x>
      <cdr:y>0</cdr:y>
    </cdr:from>
    <cdr:to>
      <cdr:x>0.78026</cdr:x>
      <cdr:y>0.05422</cdr:y>
    </cdr:to>
    <cdr:sp macro="" textlink="">
      <cdr:nvSpPr>
        <cdr:cNvPr id="3" name="Text Box 1"/>
        <cdr:cNvSpPr txBox="1"/>
      </cdr:nvSpPr>
      <cdr:spPr>
        <a:xfrm xmlns:a="http://schemas.openxmlformats.org/drawingml/2006/main">
          <a:off x="4106326" y="-5503653"/>
          <a:ext cx="365727" cy="21468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solidFill>
                <a:schemeClr val="tx1">
                  <a:lumMod val="65000"/>
                  <a:lumOff val="35000"/>
                </a:schemeClr>
              </a:solidFill>
              <a:latin typeface="+mn-lt"/>
              <a:cs typeface="Calibri" panose="020F0502020204030204" pitchFamily="34" charset="0"/>
            </a:rPr>
            <a:t>4°C</a:t>
          </a:r>
          <a:endParaRPr lang="en-US" sz="1050" b="1">
            <a:solidFill>
              <a:schemeClr val="tx1">
                <a:lumMod val="65000"/>
                <a:lumOff val="35000"/>
              </a:schemeClr>
            </a:solidFill>
            <a:latin typeface="+mn-lt"/>
          </a:endParaRPr>
        </a:p>
      </cdr:txBody>
    </cdr:sp>
  </cdr:relSizeAnchor>
  <cdr:relSizeAnchor xmlns:cdr="http://schemas.openxmlformats.org/drawingml/2006/chartDrawing">
    <cdr:from>
      <cdr:x>0.51917</cdr:x>
      <cdr:y>0</cdr:y>
    </cdr:from>
    <cdr:to>
      <cdr:x>0.51917</cdr:x>
      <cdr:y>0.93248</cdr:y>
    </cdr:to>
    <cdr:cxnSp macro="">
      <cdr:nvCxnSpPr>
        <cdr:cNvPr id="10" name="Straight Connector 9"/>
        <cdr:cNvCxnSpPr/>
      </cdr:nvCxnSpPr>
      <cdr:spPr>
        <a:xfrm xmlns:a="http://schemas.openxmlformats.org/drawingml/2006/main" flipV="1">
          <a:off x="2975610" y="0"/>
          <a:ext cx="0" cy="3691890"/>
        </a:xfrm>
        <a:prstGeom xmlns:a="http://schemas.openxmlformats.org/drawingml/2006/main" prst="line">
          <a:avLst/>
        </a:prstGeom>
        <a:ln xmlns:a="http://schemas.openxmlformats.org/drawingml/2006/main" w="19050">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0.80598</cdr:x>
      <cdr:y>0.14467</cdr:y>
    </cdr:from>
    <cdr:to>
      <cdr:x>1</cdr:x>
      <cdr:y>0.34557</cdr:y>
    </cdr:to>
    <cdr:sp macro="" textlink="">
      <cdr:nvSpPr>
        <cdr:cNvPr id="2" name="Text Box 1"/>
        <cdr:cNvSpPr txBox="1"/>
      </cdr:nvSpPr>
      <cdr:spPr>
        <a:xfrm xmlns:a="http://schemas.openxmlformats.org/drawingml/2006/main">
          <a:off x="4619482" y="440414"/>
          <a:ext cx="1112028" cy="6115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300" b="1">
              <a:solidFill>
                <a:schemeClr val="tx1">
                  <a:lumMod val="65000"/>
                  <a:lumOff val="35000"/>
                </a:schemeClr>
              </a:solidFill>
            </a:rPr>
            <a:t>4</a:t>
          </a:r>
          <a:r>
            <a:rPr lang="en-US" sz="1300" b="1">
              <a:solidFill>
                <a:schemeClr val="tx1">
                  <a:lumMod val="65000"/>
                  <a:lumOff val="35000"/>
                </a:schemeClr>
              </a:solidFill>
              <a:latin typeface="Calibri" panose="020F0502020204030204" pitchFamily="34" charset="0"/>
              <a:cs typeface="Calibri" panose="020F0502020204030204" pitchFamily="34" charset="0"/>
            </a:rPr>
            <a:t>°C</a:t>
          </a:r>
          <a:br>
            <a:rPr lang="en-US" sz="1300" b="1">
              <a:solidFill>
                <a:schemeClr val="tx1">
                  <a:lumMod val="65000"/>
                  <a:lumOff val="35000"/>
                </a:schemeClr>
              </a:solidFill>
              <a:latin typeface="Calibri" panose="020F0502020204030204" pitchFamily="34" charset="0"/>
              <a:cs typeface="Calibri" panose="020F0502020204030204" pitchFamily="34" charset="0"/>
            </a:rPr>
          </a:br>
          <a:r>
            <a:rPr lang="en-US" sz="1300" b="1">
              <a:solidFill>
                <a:schemeClr val="tx1">
                  <a:lumMod val="65000"/>
                  <a:lumOff val="35000"/>
                </a:schemeClr>
              </a:solidFill>
              <a:latin typeface="Calibri" panose="020F0502020204030204" pitchFamily="34" charset="0"/>
              <a:cs typeface="Calibri" panose="020F0502020204030204" pitchFamily="34" charset="0"/>
            </a:rPr>
            <a:t>Pessimistic</a:t>
          </a:r>
          <a:endParaRPr lang="en-US" sz="1300" b="1">
            <a:solidFill>
              <a:schemeClr val="tx1">
                <a:lumMod val="65000"/>
                <a:lumOff val="35000"/>
              </a:schemeClr>
            </a:solidFill>
          </a:endParaRPr>
        </a:p>
      </cdr:txBody>
    </cdr:sp>
  </cdr:relSizeAnchor>
  <cdr:relSizeAnchor xmlns:cdr="http://schemas.openxmlformats.org/drawingml/2006/chartDrawing">
    <cdr:from>
      <cdr:x>0.80598</cdr:x>
      <cdr:y>0.5402</cdr:y>
    </cdr:from>
    <cdr:to>
      <cdr:x>1</cdr:x>
      <cdr:y>0.70315</cdr:y>
    </cdr:to>
    <cdr:sp macro="" textlink="">
      <cdr:nvSpPr>
        <cdr:cNvPr id="4" name="Text Box 1"/>
        <cdr:cNvSpPr txBox="1"/>
      </cdr:nvSpPr>
      <cdr:spPr>
        <a:xfrm xmlns:a="http://schemas.openxmlformats.org/drawingml/2006/main">
          <a:off x="4619482" y="1644473"/>
          <a:ext cx="1112028" cy="4960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300" b="1">
              <a:solidFill>
                <a:schemeClr val="tx1">
                  <a:lumMod val="65000"/>
                  <a:lumOff val="35000"/>
                </a:schemeClr>
              </a:solidFill>
              <a:latin typeface="Calibri" panose="020F0502020204030204" pitchFamily="34" charset="0"/>
              <a:cs typeface="Calibri" panose="020F0502020204030204" pitchFamily="34" charset="0"/>
            </a:rPr>
            <a:t>2°C</a:t>
          </a:r>
          <a:br>
            <a:rPr lang="en-US" sz="1300" b="1">
              <a:solidFill>
                <a:schemeClr val="tx1">
                  <a:lumMod val="65000"/>
                  <a:lumOff val="35000"/>
                </a:schemeClr>
              </a:solidFill>
              <a:latin typeface="Calibri" panose="020F0502020204030204" pitchFamily="34" charset="0"/>
              <a:cs typeface="Calibri" panose="020F0502020204030204" pitchFamily="34" charset="0"/>
            </a:rPr>
          </a:br>
          <a:r>
            <a:rPr lang="en-US" sz="1300" b="1">
              <a:solidFill>
                <a:schemeClr val="tx1">
                  <a:lumMod val="65000"/>
                  <a:lumOff val="35000"/>
                </a:schemeClr>
              </a:solidFill>
              <a:latin typeface="Calibri" panose="020F0502020204030204" pitchFamily="34" charset="0"/>
              <a:cs typeface="Calibri" panose="020F0502020204030204" pitchFamily="34" charset="0"/>
            </a:rPr>
            <a:t>Pessimistic</a:t>
          </a:r>
          <a:endParaRPr lang="en-US" sz="1300" b="1">
            <a:solidFill>
              <a:schemeClr val="tx1">
                <a:lumMod val="65000"/>
                <a:lumOff val="35000"/>
              </a:schemeClr>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0.64215</cdr:x>
      <cdr:y>0</cdr:y>
    </cdr:from>
    <cdr:to>
      <cdr:x>0.86443</cdr:x>
      <cdr:y>0.1969</cdr:y>
    </cdr:to>
    <cdr:sp macro="" textlink="">
      <cdr:nvSpPr>
        <cdr:cNvPr id="2" name="Text Box 1"/>
        <cdr:cNvSpPr txBox="1"/>
      </cdr:nvSpPr>
      <cdr:spPr>
        <a:xfrm xmlns:a="http://schemas.openxmlformats.org/drawingml/2006/main">
          <a:off x="3087585" y="0"/>
          <a:ext cx="1068779" cy="4231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solidFill>
                <a:schemeClr val="tx1">
                  <a:lumMod val="65000"/>
                  <a:lumOff val="35000"/>
                </a:schemeClr>
              </a:solidFill>
            </a:rPr>
            <a:t>4</a:t>
          </a:r>
          <a:r>
            <a:rPr lang="en-US" sz="1100" b="1">
              <a:solidFill>
                <a:schemeClr val="tx1">
                  <a:lumMod val="65000"/>
                  <a:lumOff val="35000"/>
                </a:schemeClr>
              </a:solidFill>
              <a:latin typeface="Calibri" panose="020F0502020204030204" pitchFamily="34" charset="0"/>
              <a:cs typeface="Calibri" panose="020F0502020204030204" pitchFamily="34" charset="0"/>
            </a:rPr>
            <a:t>°C Pessimistic</a:t>
          </a:r>
          <a:endParaRPr lang="en-US" sz="1100" b="1">
            <a:solidFill>
              <a:schemeClr val="tx1">
                <a:lumMod val="65000"/>
                <a:lumOff val="35000"/>
              </a:schemeClr>
            </a:solidFill>
          </a:endParaRPr>
        </a:p>
      </cdr:txBody>
    </cdr:sp>
  </cdr:relSizeAnchor>
  <cdr:relSizeAnchor xmlns:cdr="http://schemas.openxmlformats.org/drawingml/2006/chartDrawing">
    <cdr:from>
      <cdr:x>0.20291</cdr:x>
      <cdr:y>0</cdr:y>
    </cdr:from>
    <cdr:to>
      <cdr:x>0.42519</cdr:x>
      <cdr:y>0.1969</cdr:y>
    </cdr:to>
    <cdr:sp macro="" textlink="">
      <cdr:nvSpPr>
        <cdr:cNvPr id="4" name="Text Box 1"/>
        <cdr:cNvSpPr txBox="1"/>
      </cdr:nvSpPr>
      <cdr:spPr>
        <a:xfrm xmlns:a="http://schemas.openxmlformats.org/drawingml/2006/main">
          <a:off x="975630" y="0"/>
          <a:ext cx="1068779" cy="4231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solidFill>
                <a:schemeClr val="tx1">
                  <a:lumMod val="65000"/>
                  <a:lumOff val="35000"/>
                </a:schemeClr>
              </a:solidFill>
              <a:latin typeface="+mn-lt"/>
              <a:cs typeface="+mn-cs"/>
            </a:rPr>
            <a:t>2</a:t>
          </a:r>
          <a:r>
            <a:rPr lang="en-US" sz="1100" b="1">
              <a:solidFill>
                <a:schemeClr val="tx1">
                  <a:lumMod val="65000"/>
                  <a:lumOff val="35000"/>
                </a:schemeClr>
              </a:solidFill>
              <a:latin typeface="Calibri" panose="020F0502020204030204" pitchFamily="34" charset="0"/>
              <a:cs typeface="Calibri" panose="020F0502020204030204" pitchFamily="34" charset="0"/>
            </a:rPr>
            <a:t>°C Pessimistic</a:t>
          </a:r>
          <a:endParaRPr lang="en-US" sz="1100" b="1">
            <a:solidFill>
              <a:schemeClr val="tx1">
                <a:lumMod val="65000"/>
                <a:lumOff val="35000"/>
              </a:schemeClr>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78CC12881F3D4FB16C7014AA843BF9" ma:contentTypeVersion="2" ma:contentTypeDescription="Create a new document." ma:contentTypeScope="" ma:versionID="d2fbdc9779ab3d94639e45bc765f0937">
  <xsd:schema xmlns:xsd="http://www.w3.org/2001/XMLSchema" xmlns:xs="http://www.w3.org/2001/XMLSchema" xmlns:p="http://schemas.microsoft.com/office/2006/metadata/properties" xmlns:ns2="bf45fa88-98c7-47bb-888f-84717ead0ae6" targetNamespace="http://schemas.microsoft.com/office/2006/metadata/properties" ma:root="true" ma:fieldsID="2e0ca4e7f36a92509c00cdfd76d58cbe" ns2:_="">
    <xsd:import namespace="bf45fa88-98c7-47bb-888f-84717ead0ae6"/>
    <xsd:element name="properties">
      <xsd:complexType>
        <xsd:sequence>
          <xsd:element name="documentManagement">
            <xsd:complexType>
              <xsd:all>
                <xsd:element ref="ns2:DSRServiceReque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5fa88-98c7-47bb-888f-84717ead0ae6" elementFormDefault="qualified">
    <xsd:import namespace="http://schemas.microsoft.com/office/2006/documentManagement/types"/>
    <xsd:import namespace="http://schemas.microsoft.com/office/infopath/2007/PartnerControls"/>
    <xsd:element name="DSRServiceRequestID" ma:index="8" nillable="true" ma:displayName="DSRServiceRequestID" ma:list="{f3ae5b33-8917-4057-9a6c-4074f6c415ad}" ma:internalName="DSRServiceRequestID" ma:showField="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SRServiceRequestID xmlns="bf45fa88-98c7-47bb-888f-84717ead0ae6">1581</DSRServiceRequestID>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06843E-8273-488E-8F98-6FF8A5FA45CE}">
  <ds:schemaRefs>
    <ds:schemaRef ds:uri="http://schemas.microsoft.com/sharepoint/v3/contenttype/forms"/>
  </ds:schemaRefs>
</ds:datastoreItem>
</file>

<file path=customXml/itemProps2.xml><?xml version="1.0" encoding="utf-8"?>
<ds:datastoreItem xmlns:ds="http://schemas.openxmlformats.org/officeDocument/2006/customXml" ds:itemID="{92EFFA60-4A06-401F-AB8D-7C9A700B15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5fa88-98c7-47bb-888f-84717ead0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9641D3-BC91-435E-B799-9633AA567839}">
  <ds:schemaRefs>
    <ds:schemaRef ds:uri="http://schemas.microsoft.com/office/2006/metadata/properties"/>
    <ds:schemaRef ds:uri="http://schemas.microsoft.com/office/infopath/2007/PartnerControls"/>
    <ds:schemaRef ds:uri="bf45fa88-98c7-47bb-888f-84717ead0ae6"/>
  </ds:schemaRefs>
</ds:datastoreItem>
</file>

<file path=customXml/itemProps4.xml><?xml version="1.0" encoding="utf-8"?>
<ds:datastoreItem xmlns:ds="http://schemas.openxmlformats.org/officeDocument/2006/customXml" ds:itemID="{455A74F0-3310-4DFC-9E5A-5603768AC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73</Pages>
  <Words>21086</Words>
  <Characters>120195</Characters>
  <Application>Microsoft Office Word</Application>
  <DocSecurity>0</DocSecurity>
  <Lines>1001</Lines>
  <Paragraphs>281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Grizli777</Company>
  <LinksUpToDate>false</LinksUpToDate>
  <CharactersWithSpaces>141000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Mariya</dc:creator>
  <cp:keywords/>
  <dc:description/>
  <cp:lastModifiedBy>Stanimira Misheva</cp:lastModifiedBy>
  <cp:revision>9</cp:revision>
  <cp:lastPrinted>2018-05-16T15:11:00Z</cp:lastPrinted>
  <dcterms:created xsi:type="dcterms:W3CDTF">2018-08-16T03:53:00Z</dcterms:created>
  <dcterms:modified xsi:type="dcterms:W3CDTF">2019-10-18T08:50:00Z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0x0101001478CC12881F3D4FB16C7014AA843BF9</vt:lpwstr>
  </property>
</Properties>
</file>