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4D0" w:rsidRDefault="00AB74D0" w:rsidP="00AB74D0">
      <w:bookmarkStart w:id="0" w:name="_GoBack"/>
      <w:bookmarkEnd w:id="0"/>
    </w:p>
    <w:tbl>
      <w:tblPr>
        <w:tblStyle w:val="TableGrid"/>
        <w:tblW w:w="0" w:type="auto"/>
        <w:tblLook w:val="04A0" w:firstRow="1" w:lastRow="0" w:firstColumn="1" w:lastColumn="0" w:noHBand="0" w:noVBand="1"/>
      </w:tblPr>
      <w:tblGrid>
        <w:gridCol w:w="9212"/>
      </w:tblGrid>
      <w:tr w:rsidR="00AB74D0" w:rsidRPr="00165BE0" w:rsidTr="0047413C">
        <w:tc>
          <w:tcPr>
            <w:tcW w:w="9212" w:type="dxa"/>
            <w:tcBorders>
              <w:top w:val="single" w:sz="4" w:space="0" w:color="auto"/>
              <w:left w:val="nil"/>
              <w:bottom w:val="single" w:sz="4" w:space="0" w:color="auto"/>
              <w:right w:val="nil"/>
            </w:tcBorders>
            <w:shd w:val="clear" w:color="auto" w:fill="F2F2F2" w:themeFill="background1" w:themeFillShade="F2"/>
          </w:tcPr>
          <w:p w:rsidR="00AB74D0" w:rsidRPr="00DD7E3E" w:rsidRDefault="00AB74D0" w:rsidP="00AB74D0">
            <w:pPr>
              <w:pStyle w:val="B-Headline01"/>
              <w:jc w:val="center"/>
            </w:pPr>
            <w:r>
              <w:t>-- Брошура за участниците --</w:t>
            </w:r>
          </w:p>
          <w:p w:rsidR="00AB74D0" w:rsidRPr="00F5779B" w:rsidRDefault="00AB74D0" w:rsidP="00AB74D0">
            <w:pPr>
              <w:spacing w:line="276" w:lineRule="auto"/>
              <w:ind w:left="142" w:right="210"/>
              <w:jc w:val="center"/>
            </w:pPr>
            <w:r>
              <w:t xml:space="preserve">Настоящият документ е разработен като придружаващ документ за модул 3 на „Инструментариума за обучение относно екологосъобразните обществени поръчки (ЕОП)“ на Европейската комисия — </w:t>
            </w:r>
            <w:r>
              <w:rPr>
                <w:b/>
                <w:i/>
                <w:color w:val="008A88" w:themeColor="text2"/>
              </w:rPr>
              <w:t>„Правни аспекти на ЕОП“</w:t>
            </w:r>
            <w:r>
              <w:t>. Той съдържа допълнителни бележки, препратки и примери към информацията, представена в модула. Пълният инструментариум можете да намерите на уебсайта на Европейската комисия, посветен на ЕОП:</w:t>
            </w:r>
          </w:p>
          <w:p w:rsidR="00AB74D0" w:rsidRPr="00165BE0" w:rsidRDefault="00920A36" w:rsidP="00AB74D0">
            <w:pPr>
              <w:spacing w:before="240" w:after="240"/>
              <w:ind w:left="142" w:right="210"/>
              <w:jc w:val="center"/>
            </w:pPr>
            <w:hyperlink r:id="rId9">
              <w:r w:rsidR="003A53FA">
                <w:rPr>
                  <w:rStyle w:val="Hyperlink"/>
                </w:rPr>
                <w:t>http://ec.europa.eu/environment/gpp/index_en.htm</w:t>
              </w:r>
            </w:hyperlink>
          </w:p>
          <w:p w:rsidR="00F161B6" w:rsidRPr="00F161B6" w:rsidRDefault="00F161B6" w:rsidP="00AB74D0">
            <w:pPr>
              <w:spacing w:before="240" w:after="240"/>
              <w:ind w:left="142" w:right="210"/>
              <w:jc w:val="center"/>
              <w:rPr>
                <w:i/>
              </w:rPr>
            </w:pPr>
            <w:r>
              <w:rPr>
                <w:b/>
                <w:i/>
              </w:rPr>
              <w:t>Забележка:</w:t>
            </w:r>
            <w:r>
              <w:rPr>
                <w:i/>
              </w:rPr>
              <w:t xml:space="preserve"> Настоящият документ не е изчерпателно ръководство за правните аспекти на ЕОП — за по-обстоен преглед читателите се приканват да направят справка с </w:t>
            </w:r>
            <w:hyperlink r:id="rId10">
              <w:r>
                <w:rPr>
                  <w:rStyle w:val="Hyperlink"/>
                  <w:i/>
                </w:rPr>
                <w:t>Купувайте екологосъобразно! Ръководство за зелени обществени поръчки</w:t>
              </w:r>
            </w:hyperlink>
            <w:r>
              <w:rPr>
                <w:i/>
              </w:rPr>
              <w:t>, (3</w:t>
            </w:r>
            <w:r>
              <w:rPr>
                <w:i/>
                <w:vertAlign w:val="superscript"/>
              </w:rPr>
              <w:t>то</w:t>
            </w:r>
            <w:r>
              <w:rPr>
                <w:i/>
              </w:rPr>
              <w:t xml:space="preserve"> издание, 2016 г.), публикувано от Европейската комисия.</w:t>
            </w:r>
          </w:p>
        </w:tc>
      </w:tr>
    </w:tbl>
    <w:p w:rsidR="00780E72" w:rsidRPr="000A7B20" w:rsidRDefault="009C1AD7" w:rsidP="00AB74D0">
      <w:pPr>
        <w:pStyle w:val="B-Headline01"/>
      </w:pPr>
      <w:r>
        <mc:AlternateContent>
          <mc:Choice Requires="wps">
            <w:drawing>
              <wp:anchor distT="0" distB="0" distL="114300" distR="114300" simplePos="0" relativeHeight="251671552" behindDoc="0" locked="1" layoutInCell="1" allowOverlap="1">
                <wp:simplePos x="0" y="0"/>
                <wp:positionH relativeFrom="column">
                  <wp:posOffset>-899795</wp:posOffset>
                </wp:positionH>
                <wp:positionV relativeFrom="page">
                  <wp:posOffset>1146175</wp:posOffset>
                </wp:positionV>
                <wp:extent cx="7533640" cy="1527810"/>
                <wp:effectExtent l="0" t="0" r="0" b="0"/>
                <wp:wrapSquare wrapText="bothSides"/>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1527810"/>
                        </a:xfrm>
                        <a:prstGeom prst="rect">
                          <a:avLst/>
                        </a:prstGeom>
                        <a:solidFill>
                          <a:schemeClr val="tx1">
                            <a:lumMod val="50000"/>
                            <a:lumOff val="50000"/>
                            <a:alpha val="10001"/>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626C" w:rsidRPr="00C755D8" w:rsidRDefault="007A626C" w:rsidP="00581731">
                            <w:pPr>
                              <w:spacing w:before="240" w:after="0" w:line="240" w:lineRule="auto"/>
                              <w:jc w:val="center"/>
                              <w:rPr>
                                <w:rFonts w:ascii="Meiryo UI" w:eastAsia="Meiryo UI" w:hAnsi="Meiryo UI" w:cs="Meiryo UI"/>
                                <w:color w:val="FFFFFF" w:themeColor="background1"/>
                                <w:sz w:val="56"/>
                              </w:rPr>
                            </w:pPr>
                            <w:r>
                              <w:rPr>
                                <w:rFonts w:ascii="Meiryo UI" w:hAnsi="Meiryo UI"/>
                                <w:color w:val="FFFFFF" w:themeColor="background1"/>
                                <w:sz w:val="56"/>
                              </w:rPr>
                              <w:t>Инструментариум за обучение по ЕОП</w:t>
                            </w:r>
                          </w:p>
                          <w:p w:rsidR="007A626C" w:rsidRPr="00C755D8" w:rsidRDefault="00C755D8" w:rsidP="00581731">
                            <w:pPr>
                              <w:spacing w:after="0" w:line="240" w:lineRule="auto"/>
                              <w:jc w:val="center"/>
                              <w:rPr>
                                <w:rFonts w:ascii="Meiryo UI" w:eastAsia="Meiryo UI" w:hAnsi="Meiryo UI" w:cs="Meiryo UI"/>
                                <w:color w:val="FFFFFF" w:themeColor="background1"/>
                                <w:sz w:val="56"/>
                              </w:rPr>
                            </w:pPr>
                            <w:r>
                              <w:rPr>
                                <w:rFonts w:ascii="Meiryo UI" w:hAnsi="Meiryo UI"/>
                                <w:color w:val="FFFFFF" w:themeColor="background1"/>
                                <w:sz w:val="56"/>
                              </w:rPr>
                              <w:t>Модул 3: Правни аспекти на ЕОП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70.85pt;margin-top:90.25pt;width:593.2pt;height:12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" fillcolor="#a4a4a2 [1629]" stroked="f">
                <v:fill opacity="6682f"/>
                <v:textbox>
                  <w:txbxContent>
                    <w:p w:rsidR="007A626C" w:rsidRPr="00C755D8" w:rsidRDefault="007A626C" w:rsidP="00581731">
                      <w:pPr>
                        <w:spacing w:before="240" w:after="0" w:line="240" w:lineRule="auto"/>
                        <w:jc w:val="center"/>
                        <w:rPr>
                          <w:rFonts w:ascii="Meiryo UI" w:eastAsia="Meiryo UI" w:hAnsi="Meiryo UI" w:cs="Meiryo UI"/>
                          <w:color w:val="FFFFFF" w:themeColor="background1"/>
                          <w:sz w:val="56"/>
                        </w:rPr>
                      </w:pPr>
                      <w:r>
                        <w:rPr>
                          <w:rFonts w:ascii="Meiryo UI" w:hAnsi="Meiryo UI"/>
                          <w:color w:val="FFFFFF" w:themeColor="background1"/>
                          <w:sz w:val="56"/>
                        </w:rPr>
                        <w:t>Инструментариум за обучение по ЕОП</w:t>
                      </w:r>
                    </w:p>
                    <w:p w:rsidR="007A626C" w:rsidRPr="00C755D8" w:rsidRDefault="00C755D8" w:rsidP="00581731">
                      <w:pPr>
                        <w:spacing w:after="0" w:line="240" w:lineRule="auto"/>
                        <w:jc w:val="center"/>
                        <w:rPr>
                          <w:rFonts w:ascii="Meiryo UI" w:eastAsia="Meiryo UI" w:hAnsi="Meiryo UI" w:cs="Meiryo UI"/>
                          <w:color w:val="FFFFFF" w:themeColor="background1"/>
                          <w:sz w:val="56"/>
                        </w:rPr>
                      </w:pPr>
                      <w:r>
                        <w:rPr>
                          <w:rFonts w:ascii="Meiryo UI" w:hAnsi="Meiryo UI"/>
                          <w:color w:val="FFFFFF" w:themeColor="background1"/>
                          <w:sz w:val="56"/>
                        </w:rPr>
                        <w:t>Модул 3: Правни аспекти на ЕОП</w:t>
                      </w:r>
                    </w:p>
                  </w:txbxContent>
                </v:textbox>
                <w10:wrap type="square" anchory="page"/>
                <w10:anchorlock/>
              </v:shape>
            </w:pict>
          </mc:Fallback>
        </mc:AlternateContent>
      </w:r>
      <w:r>
        <mc:AlternateContent>
          <mc:Choice Requires="wps">
            <w:drawing>
              <wp:anchor distT="0" distB="0" distL="114300" distR="114300" simplePos="0" relativeHeight="251657215" behindDoc="0" locked="1" layoutInCell="1" allowOverlap="1">
                <wp:simplePos x="0" y="0"/>
                <wp:positionH relativeFrom="margin">
                  <wp:posOffset>-911225</wp:posOffset>
                </wp:positionH>
                <wp:positionV relativeFrom="margin">
                  <wp:posOffset>-979170</wp:posOffset>
                </wp:positionV>
                <wp:extent cx="7533640" cy="1242060"/>
                <wp:effectExtent l="0" t="0" r="0" b="0"/>
                <wp:wrapTopAndBottom/>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3640" cy="1242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1.75pt;margin-top:-77.1pt;width:593.2pt;height:97.8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" stroked="f">
                <w10:wrap type="topAndBottom" anchorx="margin" anchory="margin"/>
                <w10:anchorlock/>
              </v:rect>
            </w:pict>
          </mc:Fallback>
        </mc:AlternateContent>
      </w:r>
      <w:r w:rsidR="00AB74D0">
        <w:drawing>
          <wp:anchor distT="0" distB="0" distL="114300" distR="114300" simplePos="0" relativeHeight="251660288" behindDoc="0" locked="0" layoutInCell="1" allowOverlap="1">
            <wp:simplePos x="0" y="0"/>
            <wp:positionH relativeFrom="margin">
              <wp:align>center</wp:align>
            </wp:positionH>
            <wp:positionV relativeFrom="margin">
              <wp:posOffset>-700405</wp:posOffset>
            </wp:positionV>
            <wp:extent cx="1659255" cy="1159510"/>
            <wp:effectExtent l="19050" t="0" r="0" b="0"/>
            <wp:wrapNone/>
            <wp:docPr id="2" name="Picture 2" descr="I:\A-Sustainable Economy and Procurement\Projects\GPP training and training materials - 24220\1 - GPP Toolkit\Design templates\path138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Sustainable Economy and Procurement\Projects\GPP training and training materials - 24220\1 - GPP Toolkit\Design templates\path13856.png"/>
                    <pic:cNvPicPr>
                      <a:picLocks noChangeAspect="1" noChangeArrowheads="1"/>
                    </pic:cNvPicPr>
                  </pic:nvPicPr>
                  <pic:blipFill>
                    <a:blip r:embed="rId11" cstate="print"/>
                    <a:srcRect/>
                    <a:stretch>
                      <a:fillRect/>
                    </a:stretch>
                  </pic:blipFill>
                  <pic:spPr bwMode="auto">
                    <a:xfrm>
                      <a:off x="0" y="0"/>
                      <a:ext cx="1659255" cy="1159510"/>
                    </a:xfrm>
                    <a:prstGeom prst="rect">
                      <a:avLst/>
                    </a:prstGeom>
                    <a:noFill/>
                    <a:ln w="9525">
                      <a:noFill/>
                      <a:miter lim="800000"/>
                      <a:headEnd/>
                      <a:tailEnd/>
                    </a:ln>
                  </pic:spPr>
                </pic:pic>
              </a:graphicData>
            </a:graphic>
          </wp:anchor>
        </w:drawing>
      </w:r>
      <w:r w:rsidR="00AB74D0">
        <w:drawing>
          <wp:anchor distT="0" distB="0" distL="114300" distR="114300" simplePos="0" relativeHeight="251657216" behindDoc="0" locked="1" layoutInCell="1" allowOverlap="1">
            <wp:simplePos x="0" y="0"/>
            <wp:positionH relativeFrom="margin">
              <wp:posOffset>-907415</wp:posOffset>
            </wp:positionH>
            <wp:positionV relativeFrom="margin">
              <wp:posOffset>154940</wp:posOffset>
            </wp:positionV>
            <wp:extent cx="7642225" cy="1590675"/>
            <wp:effectExtent l="19050" t="19050" r="15875" b="28575"/>
            <wp:wrapSquare wrapText="bothSides"/>
            <wp:docPr id="6" name="Picture 1" descr="test.png"/>
            <wp:cNvGraphicFramePr/>
            <a:graphic xmlns:a="http://schemas.openxmlformats.org/drawingml/2006/main">
              <a:graphicData uri="http://schemas.openxmlformats.org/drawingml/2006/picture">
                <pic:pic xmlns:pic="http://schemas.openxmlformats.org/drawingml/2006/picture">
                  <pic:nvPicPr>
                    <pic:cNvPr id="8" name="Picture 7" descr="test.png"/>
                    <pic:cNvPicPr>
                      <a:picLocks noChangeAspect="1"/>
                    </pic:cNvPicPr>
                  </pic:nvPicPr>
                  <pic:blipFill>
                    <a:blip r:embed="rId12" cstate="print">
                      <a:lum contrast="10000"/>
                    </a:blip>
                    <a:srcRect t="47755"/>
                    <a:stretch>
                      <a:fillRect/>
                    </a:stretch>
                  </pic:blipFill>
                  <pic:spPr>
                    <a:xfrm>
                      <a:off x="0" y="0"/>
                      <a:ext cx="7642225" cy="1590675"/>
                    </a:xfrm>
                    <a:prstGeom prst="rect">
                      <a:avLst/>
                    </a:prstGeom>
                    <a:ln w="19050">
                      <a:solidFill>
                        <a:sysClr val="window" lastClr="FFFFFF"/>
                      </a:solidFill>
                    </a:ln>
                  </pic:spPr>
                </pic:pic>
              </a:graphicData>
            </a:graphic>
          </wp:anchor>
        </w:drawing>
      </w:r>
      <w:r w:rsidR="00AB74D0">
        <w:t>Съответни източници на правото</w:t>
      </w:r>
    </w:p>
    <w:p w:rsidR="002C1EBD" w:rsidRPr="002C1EBD" w:rsidRDefault="000A7B20" w:rsidP="002C1EBD">
      <w:r>
        <w:t xml:space="preserve">Възлагането на обществени поръчки в Европейския съюз (ЕС) е подчинено на редица източници на правото, както е представено в схемата по-долу. </w:t>
      </w:r>
    </w:p>
    <w:p w:rsidR="00653574" w:rsidRDefault="00653574"/>
    <w:p w:rsidR="007A626C" w:rsidRDefault="002C1EBD" w:rsidP="000F4897">
      <w:r>
        <w:rPr>
          <w:noProof/>
        </w:rPr>
        <w:lastRenderedPageBreak/>
        <w:drawing>
          <wp:inline distT="0" distB="0" distL="0" distR="0" wp14:anchorId="3BF7F4D5" wp14:editId="32785C8E">
            <wp:extent cx="5295900" cy="2686050"/>
            <wp:effectExtent l="57150" t="38100" r="76200" b="1143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0F4897" w:rsidRPr="00165BE0" w:rsidRDefault="000F4897" w:rsidP="000F4897">
      <w:r>
        <w:rPr>
          <w:b/>
        </w:rPr>
        <w:t>Договорът</w:t>
      </w:r>
      <w:r>
        <w:t xml:space="preserve"> е първично законодателство и той е пряко обвързващ за всички държави членки. Принципите на Договора (разгледани по-долу) се прилагат за всички договори за обществени поръчки, които са с определен трансграничен интерес — не само тези, които са над праговете на ЕС.</w:t>
      </w:r>
    </w:p>
    <w:p w:rsidR="000F4897" w:rsidRPr="00165BE0" w:rsidRDefault="004008A2" w:rsidP="000F4897">
      <w:r>
        <w:t xml:space="preserve">С </w:t>
      </w:r>
      <w:r>
        <w:rPr>
          <w:b/>
        </w:rPr>
        <w:t>директивите за обществените поръчки</w:t>
      </w:r>
      <w:r>
        <w:t xml:space="preserve"> (директиви 2014/23/ЕС, 2014/24/ЕС и 2014/25/ЕС) се уреждат договорите за обществени поръчките на стойност над определени парични прагове. Директивите трябва да бъдат приложени в националното законодателство, но те са обвързващи по отношение на определените в тях цели, и те могат да имат пряко действие, ако не бъдат приложени изцяло в националното законодателство. </w:t>
      </w:r>
    </w:p>
    <w:p w:rsidR="000F4897" w:rsidRPr="00165BE0" w:rsidRDefault="000F4897" w:rsidP="000F4897">
      <w:r>
        <w:t xml:space="preserve">С </w:t>
      </w:r>
      <w:r>
        <w:rPr>
          <w:b/>
        </w:rPr>
        <w:t>директивите относно правните средствата за защита</w:t>
      </w:r>
      <w:r>
        <w:t xml:space="preserve"> (директиви 89/665/ЕИО и 92/13/ЕИО, изменени) се предоставя право на оферентите да оспорват процедура в националните съдилища/юрисдикции и се определят изисквания по отношение на периода на изчакване, изпращането на уведомления на неодобрените оференти и правните средства за защита, които те могат да поискат.</w:t>
      </w:r>
    </w:p>
    <w:p w:rsidR="000F4897" w:rsidRPr="00165BE0" w:rsidRDefault="000F4897" w:rsidP="000F4897">
      <w:r>
        <w:rPr>
          <w:b/>
        </w:rPr>
        <w:t>Съдебната практика</w:t>
      </w:r>
      <w:r>
        <w:t xml:space="preserve"> </w:t>
      </w:r>
      <w:r>
        <w:rPr>
          <w:b/>
        </w:rPr>
        <w:t>на Съда на Европейския съюз</w:t>
      </w:r>
      <w:r>
        <w:t xml:space="preserve"> в Люксембург е задължителна за всички държави членки и трябва да се прилага от националните съдилища. Съдът е постановил решения по над 500 дела, свързани с обществени поръчки, включително и такива, които имат пряко отношение към ЕОП. Те включват решение от 17 септември 2002 г., </w:t>
      </w:r>
      <w:r>
        <w:rPr>
          <w:i/>
        </w:rPr>
        <w:t>Concordia Bus Finland Oy Ab, преди Stagecoach Finland Oy Ab срещу Helsingin kaupunki и HKL-Bussiliikenne</w:t>
      </w:r>
      <w:r>
        <w:t xml:space="preserve">, C-513/99, EU:C:2001:686; решение от 4 декември 2003 г., </w:t>
      </w:r>
      <w:r>
        <w:rPr>
          <w:i/>
        </w:rPr>
        <w:t>EVN AG et Wienstrom GmbH срещу Republik Österreich</w:t>
      </w:r>
      <w:r>
        <w:t xml:space="preserve">, C-448/01, EU:C:2003:651; и решение от 10 май 2012 г., </w:t>
      </w:r>
      <w:r>
        <w:rPr>
          <w:i/>
        </w:rPr>
        <w:t>Европейска комисия срещу Кралство Нидерландия</w:t>
      </w:r>
      <w:r>
        <w:t xml:space="preserve"> (</w:t>
      </w:r>
      <w:r>
        <w:rPr>
          <w:i/>
        </w:rPr>
        <w:t>Max Havelaar)</w:t>
      </w:r>
      <w:r>
        <w:t xml:space="preserve">, C-368/10, EU:C:2012:284. </w:t>
      </w:r>
    </w:p>
    <w:p w:rsidR="000F4897" w:rsidRPr="00165BE0" w:rsidRDefault="000F4897" w:rsidP="000F4897">
      <w:r>
        <w:rPr>
          <w:b/>
        </w:rPr>
        <w:t xml:space="preserve">Многостранното споразумение на СТО за държавните поръчки (GPA) </w:t>
      </w:r>
      <w:r>
        <w:t xml:space="preserve">се прилага във всички държави — членки на ЕС, плюс държавите от ЕИП (Норвегия, Исландия, Лихтенщайн) и Армения, Канада, Тайван, Хонконг, Израел, Япония, Република Корея, Нидерландия по отношение на Аруба, Република Молдова, Черна гора, Нова Зеландия, Сингапур, Швейцария, </w:t>
      </w:r>
      <w:r>
        <w:lastRenderedPageBreak/>
        <w:t xml:space="preserve">САЩ, Украйна. Съгласно директивите офертите от тези държави трябва да се разглеждат при същите условия като тези, които са прилагат за офертите от ЕС. </w:t>
      </w:r>
    </w:p>
    <w:p w:rsidR="00E5780F" w:rsidRDefault="00CD5B0B" w:rsidP="004478F0">
      <w:r>
        <w:t xml:space="preserve">Освен това </w:t>
      </w:r>
      <w:r>
        <w:rPr>
          <w:b/>
        </w:rPr>
        <w:t>законодателството на ЕС в областта на околната среда</w:t>
      </w:r>
      <w:r>
        <w:t xml:space="preserve"> се прилага за много сектори на продукти/услуги, а в някои случаи оказва пряко въздейства върху процедурите за възлагане на обществени поръчки. В раздел 4 са дадени примери, свързани с различни категории продукти/услуги. </w:t>
      </w:r>
    </w:p>
    <w:p w:rsidR="002C1EBD" w:rsidRPr="00165BE0" w:rsidRDefault="002C1EBD" w:rsidP="004478F0"/>
    <w:p w:rsidR="00653574" w:rsidRPr="007A626C" w:rsidRDefault="00994DAB" w:rsidP="00AB74D0">
      <w:pPr>
        <w:pStyle w:val="B-Headline01"/>
      </w:pPr>
      <w:r>
        <w:t>Принципи на Договора за ЕС</w:t>
      </w:r>
    </w:p>
    <w:p w:rsidR="009976F7" w:rsidRPr="00165BE0" w:rsidRDefault="009976F7" w:rsidP="009976F7">
      <w:r>
        <w:t xml:space="preserve">Договорът за функционирането на Европейския съюз (ДФЕС) съдържа редица основни принципи, които са от значение за обществените поръчки. Съдът на Европейския съюз е дал тълкувание на тези принципи в редица дела и те се прилагат не само за договори за обществени поръчки, попадащи в обхвата на директивите за обществените поръчки, но и за всеки договор за обществена поръчка, който е от </w:t>
      </w:r>
      <w:r>
        <w:rPr>
          <w:b/>
        </w:rPr>
        <w:t>определен трансграничен интерес</w:t>
      </w:r>
      <w:r>
        <w:t>. Най-важните принципи са:</w:t>
      </w:r>
    </w:p>
    <w:p w:rsidR="00182BA2" w:rsidRPr="00165BE0" w:rsidRDefault="00720A49" w:rsidP="004D2140">
      <w:pPr>
        <w:spacing w:line="240" w:lineRule="auto"/>
        <w:rPr>
          <w:b/>
        </w:rPr>
      </w:pPr>
      <w:r>
        <w:rPr>
          <w:b/>
        </w:rPr>
        <w:t>Равно третиране –</w:t>
      </w:r>
      <w:r>
        <w:t xml:space="preserve"> означава </w:t>
      </w:r>
      <w:r>
        <w:rPr>
          <w:b/>
        </w:rPr>
        <w:t>„</w:t>
      </w:r>
      <w:r>
        <w:rPr>
          <w:b/>
          <w:i/>
        </w:rPr>
        <w:t>сравнимите помежду си ситуации не трябва да бъдат третирани различно, а различните ситуации не трябва да бъдат третирани по един и същи начин, освен ако това не е обективно обосновано“.</w:t>
      </w:r>
      <w:r>
        <w:rPr>
          <w:b/>
          <w:i/>
          <w:vertAlign w:val="superscript"/>
        </w:rPr>
        <w:t xml:space="preserve"> </w:t>
      </w:r>
      <w:r>
        <w:t>(Решение на Съда от 3 март 2005 г.</w:t>
      </w:r>
      <w:r>
        <w:rPr>
          <w:i/>
        </w:rPr>
        <w:t>Fabricom SA срещу Белгийската държава</w:t>
      </w:r>
      <w:r>
        <w:t>, съединени дела C-21/03 и C-34/03, EU:C:2005:127).</w:t>
      </w:r>
    </w:p>
    <w:p w:rsidR="00C23C0A" w:rsidRPr="00165BE0" w:rsidRDefault="00182BA2" w:rsidP="009976F7">
      <w:r>
        <w:t>Примери за равно третиране на практика:</w:t>
      </w:r>
    </w:p>
    <w:p w:rsidR="008430E0" w:rsidRPr="00165BE0" w:rsidRDefault="00A444EC" w:rsidP="0029480D">
      <w:pPr>
        <w:numPr>
          <w:ilvl w:val="0"/>
          <w:numId w:val="19"/>
        </w:numPr>
        <w:spacing w:after="0" w:line="240" w:lineRule="auto"/>
      </w:pPr>
      <w:r>
        <w:t>за всички оференти трябва да се прилагат едни и същи критерии за възлагане на поръчките;</w:t>
      </w:r>
    </w:p>
    <w:p w:rsidR="00182BA2" w:rsidRPr="00165BE0" w:rsidRDefault="00A444EC" w:rsidP="0029480D">
      <w:pPr>
        <w:numPr>
          <w:ilvl w:val="0"/>
          <w:numId w:val="20"/>
        </w:numPr>
        <w:spacing w:after="0" w:line="240" w:lineRule="auto"/>
      </w:pPr>
      <w:r>
        <w:t>разяснения — ако две оферти съдържат сходни грешки или пропуски, следва да се приложи един и същ подход към разясняването</w:t>
      </w:r>
      <w:r>
        <w:rPr>
          <w:i/>
        </w:rPr>
        <w:t>, освен ако</w:t>
      </w:r>
      <w:r>
        <w:t xml:space="preserve"> офертите не са обективно в различно положение (напр. едната оферта е невалидна поради някакъв друг фактор);</w:t>
      </w:r>
    </w:p>
    <w:p w:rsidR="004E7AFA" w:rsidRPr="00165BE0" w:rsidRDefault="004E7AFA" w:rsidP="0029480D">
      <w:pPr>
        <w:numPr>
          <w:ilvl w:val="0"/>
          <w:numId w:val="20"/>
        </w:numPr>
        <w:spacing w:after="0" w:line="240" w:lineRule="auto"/>
      </w:pPr>
      <w:r>
        <w:t xml:space="preserve">оценяването трябва действително да отразява разликите между офертите (напр. не може да се даде една и съща оценка на две оферти с различни нива на изпълнение по даден критерий). </w:t>
      </w:r>
    </w:p>
    <w:p w:rsidR="0029480D" w:rsidRPr="00165BE0" w:rsidRDefault="0029480D" w:rsidP="0029480D">
      <w:pPr>
        <w:spacing w:after="0" w:line="240" w:lineRule="auto"/>
        <w:ind w:left="720"/>
      </w:pPr>
    </w:p>
    <w:p w:rsidR="00653574" w:rsidRPr="004E6BBD" w:rsidRDefault="00014D00" w:rsidP="004D2140">
      <w:pPr>
        <w:spacing w:line="240" w:lineRule="auto"/>
      </w:pPr>
      <w:r>
        <w:rPr>
          <w:b/>
        </w:rPr>
        <w:t xml:space="preserve">Прозрачност </w:t>
      </w:r>
      <w:r>
        <w:t xml:space="preserve">— означава </w:t>
      </w:r>
      <w:r>
        <w:rPr>
          <w:rFonts w:cstheme="minorHAnsi"/>
          <w:b/>
          <w:i/>
        </w:rPr>
        <w:t xml:space="preserve">„гарантиране в полза на всеки потенциален оферент подходящо равнище на публичност, което да осигури конкурентно начало на пазара на услуги, както и контрола за безпристрастност на процедурите за възлагане на обществена поръчка“. </w:t>
      </w:r>
      <w:r>
        <w:t xml:space="preserve">(Решение на Съда от 7 декември 2000 г., </w:t>
      </w:r>
      <w:r>
        <w:rPr>
          <w:rFonts w:cstheme="minorHAnsi"/>
          <w:i/>
        </w:rPr>
        <w:t>Telaustria Verlags GmbH и Telefonadress GmbH срещу Telekom Austria AG, в присъствието на Herold Business Data AG</w:t>
      </w:r>
      <w:r>
        <w:t>, C-324/98, EU:C:2000:669).</w:t>
      </w:r>
    </w:p>
    <w:p w:rsidR="00653574" w:rsidRDefault="00365E45">
      <w:r>
        <w:t>Примери за прозрачност на практика:</w:t>
      </w:r>
    </w:p>
    <w:p w:rsidR="008430E0" w:rsidRPr="00165BE0" w:rsidRDefault="00A444EC" w:rsidP="0029480D">
      <w:pPr>
        <w:numPr>
          <w:ilvl w:val="0"/>
          <w:numId w:val="23"/>
        </w:numPr>
        <w:spacing w:after="0" w:line="240" w:lineRule="auto"/>
        <w:ind w:left="851" w:hanging="425"/>
      </w:pPr>
      <w:r>
        <w:t xml:space="preserve">поръчките трябва да получат достатъчна степен на обявяване/публичност; </w:t>
      </w:r>
    </w:p>
    <w:p w:rsidR="008430E0" w:rsidRPr="00165BE0" w:rsidRDefault="00A444EC" w:rsidP="0029480D">
      <w:pPr>
        <w:numPr>
          <w:ilvl w:val="0"/>
          <w:numId w:val="23"/>
        </w:numPr>
        <w:spacing w:after="0" w:line="240" w:lineRule="auto"/>
        <w:ind w:left="851" w:hanging="425"/>
      </w:pPr>
      <w:r>
        <w:t xml:space="preserve">документите за обществената поръчка и всички промени в тях трябва да бъдат публикувани своевременно, за да се даде възможност на оферентите да отговорят; </w:t>
      </w:r>
    </w:p>
    <w:p w:rsidR="008430E0" w:rsidRPr="00165BE0" w:rsidRDefault="00A444EC" w:rsidP="0029480D">
      <w:pPr>
        <w:numPr>
          <w:ilvl w:val="0"/>
          <w:numId w:val="23"/>
        </w:numPr>
        <w:spacing w:after="0" w:line="240" w:lineRule="auto"/>
        <w:ind w:left="851" w:hanging="425"/>
      </w:pPr>
      <w:r>
        <w:t xml:space="preserve">критериите за подбор и възлагане трябва да бъдат публикувани предварително, заедно с коефициентите за тежест; </w:t>
      </w:r>
    </w:p>
    <w:p w:rsidR="008430E0" w:rsidRPr="00165BE0" w:rsidRDefault="00A444EC" w:rsidP="0029480D">
      <w:pPr>
        <w:numPr>
          <w:ilvl w:val="0"/>
          <w:numId w:val="23"/>
        </w:numPr>
        <w:spacing w:after="0" w:line="240" w:lineRule="auto"/>
        <w:ind w:left="851" w:hanging="425"/>
      </w:pPr>
      <w:r>
        <w:t>критериите и спецификациите трябва да бъдат ясно формулирани;</w:t>
      </w:r>
    </w:p>
    <w:p w:rsidR="008430E0" w:rsidRPr="00165BE0" w:rsidRDefault="00A444EC" w:rsidP="0029480D">
      <w:pPr>
        <w:numPr>
          <w:ilvl w:val="0"/>
          <w:numId w:val="23"/>
        </w:numPr>
        <w:spacing w:after="0" w:line="240" w:lineRule="auto"/>
        <w:ind w:left="851" w:hanging="425"/>
      </w:pPr>
      <w:r>
        <w:lastRenderedPageBreak/>
        <w:t xml:space="preserve">кандидатите и оферентите трябва да бъдат уведомени за резултата от подаденото от тях заявление за интерес и оферти или за отмяната на процедура, като се даде обосновка; </w:t>
      </w:r>
    </w:p>
    <w:p w:rsidR="008430E0" w:rsidRPr="00165BE0" w:rsidRDefault="00A444EC" w:rsidP="00915750">
      <w:pPr>
        <w:numPr>
          <w:ilvl w:val="0"/>
          <w:numId w:val="23"/>
        </w:numPr>
        <w:spacing w:line="240" w:lineRule="auto"/>
        <w:ind w:left="851" w:hanging="425"/>
      </w:pPr>
      <w:r>
        <w:t xml:space="preserve">измененията в дадена поръчка след възлагането ѝ не трябва да бъдат съществени или те трябва да бъдат разрешени съгласно директивите. </w:t>
      </w:r>
    </w:p>
    <w:p w:rsidR="00F802CF" w:rsidRPr="00165BE0" w:rsidRDefault="00915750" w:rsidP="00F802CF">
      <w:r>
        <w:rPr>
          <w:b/>
        </w:rPr>
        <w:t xml:space="preserve">Пропорционалност </w:t>
      </w:r>
      <w:r>
        <w:t>— означава, че критериите и решенията при възлагането на обществени поръчки трябва:</w:t>
      </w:r>
    </w:p>
    <w:p w:rsidR="008430E0" w:rsidRPr="00165BE0" w:rsidRDefault="00A444EC" w:rsidP="006C3C60">
      <w:pPr>
        <w:pStyle w:val="ListParagraph"/>
        <w:numPr>
          <w:ilvl w:val="0"/>
          <w:numId w:val="25"/>
        </w:numPr>
        <w:spacing w:after="0"/>
      </w:pPr>
      <w:r>
        <w:t xml:space="preserve">да са подходящи за постигане на поставените цели; и </w:t>
      </w:r>
    </w:p>
    <w:p w:rsidR="008430E0" w:rsidRPr="00165BE0" w:rsidRDefault="00A444EC" w:rsidP="006C3C60">
      <w:pPr>
        <w:numPr>
          <w:ilvl w:val="0"/>
          <w:numId w:val="25"/>
        </w:numPr>
        <w:spacing w:line="240" w:lineRule="auto"/>
      </w:pPr>
      <w:r>
        <w:t xml:space="preserve"> да не надхвърлят необходимото за постигането на тези цели. </w:t>
      </w:r>
    </w:p>
    <w:p w:rsidR="00D42627" w:rsidRPr="00165BE0" w:rsidRDefault="006C3C60" w:rsidP="00D42627">
      <w:r>
        <w:t xml:space="preserve">Напр. в случая с дело </w:t>
      </w:r>
      <w:r>
        <w:rPr>
          <w:i/>
        </w:rPr>
        <w:t>Medipac-Kazantzidis AE срещу Venizeleio-Pananeio (PE.S.Y. KRITIS)</w:t>
      </w:r>
      <w:r>
        <w:t xml:space="preserve"> (C-6/05), гръцки орган е отхвърлил оферта за медицински конци, тъй като единият от лекарите в комисията по оценяване е поставил под въпрос тяхната безопасност. Продуктите са били обозначени с маркировката „СЕ“, която посочва, че те отговарят на европейския стандарт.</w:t>
      </w:r>
    </w:p>
    <w:p w:rsidR="00D42627" w:rsidRPr="00165BE0" w:rsidRDefault="00D42627" w:rsidP="00D42627">
      <w:pPr>
        <w:spacing w:line="240" w:lineRule="auto"/>
      </w:pPr>
      <w:r>
        <w:t xml:space="preserve">Съдът на Европейския съюз постановява, че това е непропорционално — органът е следвало да изпита конците или да обсъди опасенията си с оферента, ако е имал основания да смята, че те не съответстват на стандарта. </w:t>
      </w:r>
    </w:p>
    <w:p w:rsidR="00843DD8" w:rsidRPr="00165BE0" w:rsidRDefault="00D42627" w:rsidP="00151656">
      <w:pPr>
        <w:spacing w:line="240" w:lineRule="auto"/>
      </w:pPr>
      <w:r>
        <w:rPr>
          <w:b/>
        </w:rPr>
        <w:t xml:space="preserve">Взаимно признаване — </w:t>
      </w:r>
      <w:r>
        <w:t xml:space="preserve">означава </w:t>
      </w:r>
      <w:r>
        <w:rPr>
          <w:b/>
        </w:rPr>
        <w:t>„</w:t>
      </w:r>
      <w:r>
        <w:rPr>
          <w:b/>
          <w:i/>
        </w:rPr>
        <w:t xml:space="preserve"> [да бъде] възможно да се гарантира свободното движение на стоки и услуги без необходимост от хармонизиране на националното законодателство на държавите членки“ </w:t>
      </w:r>
      <w:r>
        <w:t xml:space="preserve">(решение на Съда от 20 февруари 1979 г., </w:t>
      </w:r>
      <w:r>
        <w:rPr>
          <w:i/>
        </w:rPr>
        <w:t>Rewe-Zentral AG срещу Bundesmonopolverwaltung für Branntwein</w:t>
      </w:r>
      <w:r>
        <w:t>, C-120/78, EU:C:1979:42)</w:t>
      </w:r>
    </w:p>
    <w:p w:rsidR="006C3C60" w:rsidRPr="00165BE0" w:rsidRDefault="007355B8" w:rsidP="006C3C60">
      <w:pPr>
        <w:spacing w:line="240" w:lineRule="auto"/>
      </w:pPr>
      <w:r>
        <w:t>Примери за взаимно признаване на практика:</w:t>
      </w:r>
    </w:p>
    <w:p w:rsidR="008430E0" w:rsidRPr="00165BE0" w:rsidRDefault="00A444EC" w:rsidP="007355B8">
      <w:pPr>
        <w:numPr>
          <w:ilvl w:val="0"/>
          <w:numId w:val="27"/>
        </w:numPr>
        <w:spacing w:after="0" w:line="240" w:lineRule="auto"/>
      </w:pPr>
      <w:r>
        <w:t>на етапа на подбор оферентите трябва да имат възможност да докажат чрез различни средства своите технически и професионални способности;</w:t>
      </w:r>
    </w:p>
    <w:p w:rsidR="008430E0" w:rsidRPr="00165BE0" w:rsidRDefault="00A444EC" w:rsidP="007355B8">
      <w:pPr>
        <w:numPr>
          <w:ilvl w:val="0"/>
          <w:numId w:val="27"/>
        </w:numPr>
        <w:spacing w:after="0" w:line="240" w:lineRule="auto"/>
      </w:pPr>
      <w:r>
        <w:t>техническите спецификации, в които се посочват определени стандарти, марки или процеси, трябва да бъдат придружени от думите „или еквивалентно(и)“;</w:t>
      </w:r>
    </w:p>
    <w:p w:rsidR="007A626C" w:rsidRDefault="00A444EC" w:rsidP="007A626C">
      <w:pPr>
        <w:numPr>
          <w:ilvl w:val="0"/>
          <w:numId w:val="27"/>
        </w:numPr>
        <w:spacing w:line="240" w:lineRule="auto"/>
      </w:pPr>
      <w:r>
        <w:t xml:space="preserve">когато в спецификациите, критериите за възлагане или клаузите за изпълнение на договора за поръчката се прави позоваване на конкретна маркировка, трябва да се приемат и маркировки, които отговарят на еквивалентни изисквания. </w:t>
      </w:r>
    </w:p>
    <w:p w:rsidR="002C1EBD" w:rsidRPr="00165BE0" w:rsidRDefault="002C1EBD" w:rsidP="002C1EBD">
      <w:pPr>
        <w:spacing w:line="240" w:lineRule="auto"/>
        <w:ind w:left="360"/>
      </w:pPr>
    </w:p>
    <w:p w:rsidR="007355B8" w:rsidRPr="00D42627" w:rsidRDefault="00953C26" w:rsidP="00AB74D0">
      <w:pPr>
        <w:pStyle w:val="B-Headline01"/>
      </w:pPr>
      <w:r>
        <w:t>Директиви за обществените поръчки от 2014 г.</w:t>
      </w:r>
    </w:p>
    <w:p w:rsidR="000C3505" w:rsidRPr="00165BE0" w:rsidRDefault="00A01AD0" w:rsidP="00151656">
      <w:r>
        <w:t xml:space="preserve">През 2014 г. бяха приети три нови директиви, обхващащи обществените поръчки в публичния сектор (2014/24/ЕС), в сектора на комуналните услуги (2014/25/ЕС) и концесиите в двата сектора (2014/23/ЕС). Те заменят предишните директиви, приети през 2004 г., и са основното законодателство в областта на обществените поръчки в ЕС. </w:t>
      </w:r>
    </w:p>
    <w:p w:rsidR="00CD4F71" w:rsidRPr="00165BE0" w:rsidRDefault="00DA1EF6" w:rsidP="00D069DA">
      <w:r>
        <w:t xml:space="preserve">По време на процеса на реформи, който доведе до приемането на директивите от 2014 г., беше поставен силен акцент върху екологичните и социалните цели. В директивите се пояснява, че екологичните съображения могат да бъдат взети предвид в рамките на целия тръжния процес, и се посочват редица специфични техники за това. Най-важните разпоредби са обобщени по-долу, като в следващите раздели са дадени повече подробности. </w:t>
      </w:r>
    </w:p>
    <w:p w:rsidR="008430E0" w:rsidRDefault="00177E3C" w:rsidP="00D069DA">
      <w:r>
        <w:rPr>
          <w:b/>
        </w:rPr>
        <w:lastRenderedPageBreak/>
        <w:t>Технически спецификации</w:t>
      </w:r>
      <w:r>
        <w:t xml:space="preserve">: В документацията за обществената поръчка могат да се посочват производствени процеси и методи или процеси за други етапи от жизнения цикъл. Това включва напр. енергия от възобновяеми източници, храни от биологично земеделие или продукти, произведени от рециклирани материали. </w:t>
      </w:r>
    </w:p>
    <w:p w:rsidR="00177E3C" w:rsidRPr="00165BE0" w:rsidRDefault="00177E3C" w:rsidP="00D069DA">
      <w:r>
        <w:rPr>
          <w:b/>
        </w:rPr>
        <w:t>Основания за изключване:</w:t>
      </w:r>
      <w:r>
        <w:t xml:space="preserve"> при процедурите за възлагане на обществени поръчки може да се изиска спазване на европейското и националното законодателство в областта на околната среда и социалното законодателство, както и международните конвенции, които са ратифицирани от всички държави членки. Оферентите и подизпълнителите, които не спазват приложимото законодателство в областта на околната среда, могат да бъдат отхвърлени.</w:t>
      </w:r>
    </w:p>
    <w:p w:rsidR="007D432E" w:rsidRPr="00165BE0" w:rsidRDefault="007D432E" w:rsidP="00D069DA">
      <w:r>
        <w:rPr>
          <w:b/>
        </w:rPr>
        <w:t>Критерии за подбор</w:t>
      </w:r>
      <w:r>
        <w:t>: за поръчките за доставка, услуги и строителство могат да бъдат изискани системи за управление на околната среда; могат също така да бъдат изискани и мерки за управление на веригата на доставките.</w:t>
      </w:r>
    </w:p>
    <w:p w:rsidR="004C4D8D" w:rsidRPr="00165BE0" w:rsidRDefault="004C4D8D" w:rsidP="00D069DA">
      <w:r>
        <w:rPr>
          <w:b/>
        </w:rPr>
        <w:t>Критерии за възлагане</w:t>
      </w:r>
      <w:r>
        <w:t>: подкрепя се вземането под внимание на разходите за целия жизнен цикъл и въздействията върху околната среда, вместо само покупна цена. Всички поръчки трябва да бъдат възлагани въз основа на принципа „икономически най-изгодна оферта“ (MEAT), което може да включва екологични характеристики. Може да се приложи оценка на разходите за целия жизнен цикъл (LCC), включително на разходите, свързани с външни екологични фактори (напр. емисии на парникови газове).</w:t>
      </w:r>
    </w:p>
    <w:p w:rsidR="00011695" w:rsidRPr="00165BE0" w:rsidRDefault="00CB1141" w:rsidP="00D069DA">
      <w:r>
        <w:rPr>
          <w:b/>
        </w:rPr>
        <w:t>Маркировки</w:t>
      </w:r>
      <w:r>
        <w:t xml:space="preserve">: в спецификациите, критериите за възлагане на поръчките или договорни клаузи могат да бъдат изискани маркировки на трети страни, за да се провери спазването на екологичните критерии. </w:t>
      </w:r>
    </w:p>
    <w:p w:rsidR="00915750" w:rsidRPr="00165BE0" w:rsidRDefault="00921BAE" w:rsidP="00D069DA">
      <w:r>
        <w:t xml:space="preserve">Следва да се отбележи, че в директивите за обществените поръчки почти всички разпоредби относно ЕОП са </w:t>
      </w:r>
      <w:r>
        <w:rPr>
          <w:b/>
        </w:rPr>
        <w:t>доброволни</w:t>
      </w:r>
      <w:r>
        <w:t xml:space="preserve">, а не </w:t>
      </w:r>
      <w:r>
        <w:rPr>
          <w:b/>
        </w:rPr>
        <w:t>задължителни</w:t>
      </w:r>
      <w:r>
        <w:t xml:space="preserve"> от гледна точка на възлагащия орган. Изключенията са общото задължение за гарантиране на спазването на приложимите закони в областта на околната среда при изпълнението на договорите за обществени поръчки (член 18, параграф 2 от Директива 2014/24/ЕС) и задължението за отхвърляне на необичайно ниски оферти, ако те не отговарят на приложимите задължения в областта на околната среда (член 69, параграф 3 от Директива 2014/24/ЕС).</w:t>
      </w:r>
    </w:p>
    <w:p w:rsidR="008E0192" w:rsidRPr="00165BE0" w:rsidRDefault="008E0192" w:rsidP="00E82369">
      <w:r>
        <w:t>Освен това законодателството на ЕС в областта на околната среда, посочено по-горе, поражда специфични задължения по отношение на обществените поръчки в някои сектори:</w:t>
      </w:r>
    </w:p>
    <w:p w:rsidR="004E74AF" w:rsidRPr="00165BE0" w:rsidRDefault="004E74AF" w:rsidP="004E74AF">
      <w:pPr>
        <w:autoSpaceDE w:val="0"/>
        <w:autoSpaceDN w:val="0"/>
        <w:adjustRightInd w:val="0"/>
        <w:spacing w:after="0" w:line="240" w:lineRule="auto"/>
      </w:pPr>
      <w:r>
        <w:rPr>
          <w:rFonts w:cstheme="minorHAnsi"/>
          <w:b/>
        </w:rPr>
        <w:t>Офис ИТ оборудване</w:t>
      </w:r>
      <w:r>
        <w:t xml:space="preserve"> — органите на централното управление трябва да набавят ИТ оборудване, което поне отговаря на стандартите на програмата EnergyStar</w:t>
      </w:r>
      <w:r>
        <w:rPr>
          <w:rStyle w:val="FootnoteReference"/>
        </w:rPr>
        <w:footnoteReference w:id="1"/>
      </w:r>
      <w:r>
        <w:t xml:space="preserve">. </w:t>
      </w:r>
    </w:p>
    <w:p w:rsidR="00E5780F" w:rsidRDefault="00E5780F" w:rsidP="004E74AF">
      <w:pPr>
        <w:autoSpaceDE w:val="0"/>
        <w:autoSpaceDN w:val="0"/>
        <w:adjustRightInd w:val="0"/>
        <w:spacing w:after="0" w:line="240" w:lineRule="auto"/>
        <w:rPr>
          <w:rFonts w:eastAsia="MyriadPro-Light" w:cstheme="minorHAnsi"/>
        </w:rPr>
      </w:pPr>
    </w:p>
    <w:p w:rsidR="002C1EBD" w:rsidRPr="00165BE0" w:rsidRDefault="002C1EBD" w:rsidP="004E74AF">
      <w:pPr>
        <w:autoSpaceDE w:val="0"/>
        <w:autoSpaceDN w:val="0"/>
        <w:adjustRightInd w:val="0"/>
        <w:spacing w:after="0" w:line="240" w:lineRule="auto"/>
        <w:rPr>
          <w:rFonts w:eastAsia="MyriadPro-Light" w:cstheme="minorHAnsi"/>
        </w:rPr>
      </w:pPr>
    </w:p>
    <w:p w:rsidR="008B7ADA" w:rsidRPr="00165BE0" w:rsidRDefault="004E74AF" w:rsidP="004E74AF">
      <w:pPr>
        <w:autoSpaceDE w:val="0"/>
        <w:autoSpaceDN w:val="0"/>
        <w:adjustRightInd w:val="0"/>
        <w:spacing w:after="0" w:line="240" w:lineRule="auto"/>
      </w:pPr>
      <w:r>
        <w:rPr>
          <w:rFonts w:cstheme="minorHAnsi"/>
          <w:b/>
        </w:rPr>
        <w:lastRenderedPageBreak/>
        <w:t xml:space="preserve">Пътни превозни средства </w:t>
      </w:r>
      <w:r>
        <w:t>— публичните органи трябва да вземат под внимание емисиите и потреблението на енергия на превозните средства съгласно Директивата за екологично чистите превозни средства</w:t>
      </w:r>
      <w:r>
        <w:rPr>
          <w:rStyle w:val="FootnoteReference"/>
        </w:rPr>
        <w:footnoteReference w:id="2"/>
      </w:r>
      <w:r>
        <w:t>.</w:t>
      </w:r>
    </w:p>
    <w:p w:rsidR="007C7EB6" w:rsidRPr="00165BE0" w:rsidRDefault="007C7EB6" w:rsidP="004E74AF">
      <w:pPr>
        <w:autoSpaceDE w:val="0"/>
        <w:autoSpaceDN w:val="0"/>
        <w:adjustRightInd w:val="0"/>
        <w:spacing w:after="0" w:line="240" w:lineRule="auto"/>
        <w:rPr>
          <w:rFonts w:eastAsia="MyriadPro-Light" w:cstheme="minorHAnsi"/>
        </w:rPr>
      </w:pPr>
    </w:p>
    <w:p w:rsidR="00E5780F" w:rsidRPr="00165BE0" w:rsidRDefault="00C543DE" w:rsidP="007C7EB6">
      <w:pPr>
        <w:autoSpaceDE w:val="0"/>
        <w:autoSpaceDN w:val="0"/>
        <w:adjustRightInd w:val="0"/>
        <w:spacing w:after="0" w:line="240" w:lineRule="auto"/>
        <w:rPr>
          <w:rFonts w:eastAsia="MyriadPro-Light" w:cstheme="minorHAnsi"/>
        </w:rPr>
      </w:pPr>
      <w:r>
        <w:rPr>
          <w:rFonts w:cstheme="minorHAnsi"/>
          <w:b/>
        </w:rPr>
        <w:t>Дървен материал</w:t>
      </w:r>
      <w:r>
        <w:t xml:space="preserve"> – трябва да е възможно изделията от дървен материал да се проследят до законен източник съгласно Регламента на ЕС за дървения материал</w:t>
      </w:r>
      <w:r>
        <w:rPr>
          <w:rStyle w:val="FootnoteReference"/>
          <w:rFonts w:cstheme="minorHAnsi"/>
        </w:rPr>
        <w:footnoteReference w:id="3"/>
      </w:r>
      <w:r>
        <w:t>.</w:t>
      </w:r>
    </w:p>
    <w:p w:rsidR="007C7EB6" w:rsidRPr="00165BE0" w:rsidRDefault="007C7EB6" w:rsidP="007C7EB6">
      <w:pPr>
        <w:autoSpaceDE w:val="0"/>
        <w:autoSpaceDN w:val="0"/>
        <w:adjustRightInd w:val="0"/>
        <w:spacing w:after="0" w:line="240" w:lineRule="auto"/>
        <w:rPr>
          <w:rFonts w:eastAsia="MyriadPro-Light" w:cstheme="minorHAnsi"/>
        </w:rPr>
      </w:pPr>
    </w:p>
    <w:p w:rsidR="00E5780F" w:rsidRPr="00165BE0" w:rsidRDefault="00E5780F" w:rsidP="00C3440C">
      <w:pPr>
        <w:rPr>
          <w:rFonts w:cstheme="minorHAnsi"/>
          <w:b/>
        </w:rPr>
      </w:pPr>
      <w:r>
        <w:rPr>
          <w:rFonts w:cstheme="minorHAnsi"/>
          <w:b/>
        </w:rPr>
        <w:t>Продукти, консумиращи енергия</w:t>
      </w:r>
      <w:r>
        <w:t xml:space="preserve"> — съгласно Директивата за енергийната ефективност</w:t>
      </w:r>
      <w:r>
        <w:rPr>
          <w:rStyle w:val="FootnoteReference"/>
        </w:rPr>
        <w:footnoteReference w:id="4"/>
      </w:r>
      <w:r>
        <w:t xml:space="preserve"> се прилагат изисквания за екопроектиране и минимални изисквания за енергийна ефективност.</w:t>
      </w:r>
    </w:p>
    <w:p w:rsidR="007A626C" w:rsidRDefault="00C543DE" w:rsidP="002C1EBD">
      <w:pPr>
        <w:spacing w:line="240" w:lineRule="auto"/>
      </w:pPr>
      <w:r>
        <w:rPr>
          <w:rFonts w:cstheme="minorHAnsi"/>
          <w:b/>
        </w:rPr>
        <w:t>Сгради</w:t>
      </w:r>
      <w:r>
        <w:t xml:space="preserve"> — новите сгради трябва да отговарят на минималните изисквания за енергийните характеристики, a преди да започне изграждането на нови сгради, съгласно Директивата за енергийните характеристики на сградите (ДЕХС)</w:t>
      </w:r>
      <w:r>
        <w:rPr>
          <w:rStyle w:val="FootnoteReference"/>
        </w:rPr>
        <w:footnoteReference w:id="5"/>
      </w:r>
      <w:r>
        <w:t xml:space="preserve"> трябва да се вземе под внимание техническата, екологичната и икономическата осъществимост на алтернативните високоефективни инсталации, ако такива са налични.</w:t>
      </w:r>
    </w:p>
    <w:p w:rsidR="002C1EBD" w:rsidRPr="002C1EBD" w:rsidRDefault="002C1EBD" w:rsidP="002C1EBD">
      <w:pPr>
        <w:spacing w:line="240" w:lineRule="auto"/>
      </w:pPr>
    </w:p>
    <w:p w:rsidR="00702733" w:rsidRDefault="00D16A92" w:rsidP="00AB74D0">
      <w:pPr>
        <w:pStyle w:val="B-Headline01"/>
      </w:pPr>
      <w:r>
        <w:t>Връзка с предмета на поръчката</w:t>
      </w:r>
    </w:p>
    <w:p w:rsidR="00E25C21" w:rsidRPr="00165BE0" w:rsidRDefault="00E25C21" w:rsidP="00E25C21">
      <w:r>
        <w:t xml:space="preserve">Наличието на връзка с предмета на поръчката е определено от Съда като изискване за критериите за възлагане на поръчките в решението му от 17 септември 2002 г. по дело </w:t>
      </w:r>
      <w:r>
        <w:rPr>
          <w:i/>
        </w:rPr>
        <w:t>Concordia Bus Finland Oy Ab, преди Stagecoach Finland Oy Ab срещу Helsingin kaupunki и HKL-Bussiliikenne</w:t>
      </w:r>
      <w:r>
        <w:t>, C-513/99, EU:C:2002:495, дело, което се отнася до екологичните критерии за възлагане на обществени поръчки. Целта е да се ограничи прилагането на критерии, които са насочени към опасения, които нямат отношение към конкретната поръчка, която се възлага.</w:t>
      </w:r>
    </w:p>
    <w:p w:rsidR="00E25C21" w:rsidRPr="00165BE0" w:rsidRDefault="00E25C21" w:rsidP="00E25C21">
      <w:r>
        <w:t xml:space="preserve">Съгласно директивите от 2014 г. изискването за връзка с предмета на поръчката се прилага за всички спецификации, критерии за подбор и възлагане, както и клаузи за изпълнение на договорите за обществените поръчки. В решението си от 4 декември 2003 г. по дело </w:t>
      </w:r>
      <w:r>
        <w:rPr>
          <w:i/>
        </w:rPr>
        <w:t>EVN AG et Wienstrom GmbH срещу Republik Österreich</w:t>
      </w:r>
      <w:r>
        <w:t xml:space="preserve">, C-448/01, EU:C:2003:651, Съдът постанови, че критерий за възлагане на поръчка въз основа на общото количество електроенергия от възобновяеми източници, което дадено дружество би могло да предостави, </w:t>
      </w:r>
      <w:r>
        <w:rPr>
          <w:b/>
        </w:rPr>
        <w:t>не</w:t>
      </w:r>
      <w:r>
        <w:t xml:space="preserve"> е свързан с предмета на поръчката. Това решение бе обосновано с факта, че се дават повече точки за по-големи количества, дори когато те значително надвишават собствените потребности на органа.</w:t>
      </w:r>
    </w:p>
    <w:p w:rsidR="00D16A92" w:rsidRPr="00165BE0" w:rsidRDefault="00AE2B5F" w:rsidP="00D16A92">
      <w:r>
        <w:t>В съображение 97 от Директива 2014/24/ЕС се посочва, че:</w:t>
      </w:r>
    </w:p>
    <w:p w:rsidR="00DC1D97" w:rsidRPr="00165BE0" w:rsidRDefault="00AE2B5F" w:rsidP="00AE2B5F">
      <w:pPr>
        <w:spacing w:line="240" w:lineRule="auto"/>
        <w:rPr>
          <w:rFonts w:cstheme="minorHAnsi"/>
          <w:b/>
          <w:i/>
          <w:color w:val="19161A"/>
        </w:rPr>
      </w:pPr>
      <w:r>
        <w:rPr>
          <w:rFonts w:cstheme="minorHAnsi"/>
          <w:b/>
          <w:i/>
          <w:color w:val="000000"/>
        </w:rPr>
        <w:t>„</w:t>
      </w:r>
      <w:r>
        <w:rPr>
          <w:rFonts w:cstheme="minorHAnsi"/>
          <w:b/>
          <w:i/>
          <w:color w:val="19161A"/>
        </w:rPr>
        <w:t xml:space="preserve">условието за наличие на връзка с предмета на поръчката изключва критерии и условия, свързани с общата корпоративна политика, които не могат да се считат за фактор, </w:t>
      </w:r>
      <w:r>
        <w:rPr>
          <w:rFonts w:cstheme="minorHAnsi"/>
          <w:b/>
          <w:i/>
          <w:color w:val="19161A"/>
        </w:rPr>
        <w:lastRenderedPageBreak/>
        <w:t>характеризиращ специфичния процес на производство или предоставяне на закупеното строителство, доставки или услуги. Във връзка с това възлагащите органи следва да нямат право да изискват от оферентите да провеждат определена корпоративна политика на социална и екологична отговорност</w:t>
      </w:r>
      <w:r>
        <w:rPr>
          <w:b/>
          <w:i/>
        </w:rPr>
        <w:t>“.</w:t>
      </w:r>
    </w:p>
    <w:p w:rsidR="0061105D" w:rsidRPr="00F161B6" w:rsidRDefault="0061105D" w:rsidP="00AE2B5F">
      <w:pPr>
        <w:spacing w:line="240" w:lineRule="auto"/>
        <w:rPr>
          <w:rFonts w:cstheme="minorHAnsi"/>
        </w:rPr>
      </w:pPr>
      <w:r>
        <w:t xml:space="preserve">Възлагащите органи обаче са свободни да определят предмета на своите поръчки по начин, който изрично включва екологични съображения на който и да е етап от жизнения цикъл. </w:t>
      </w:r>
    </w:p>
    <w:p w:rsidR="00AE2B5F" w:rsidRPr="00165BE0" w:rsidRDefault="00AE2B5F" w:rsidP="00AE2B5F">
      <w:pPr>
        <w:spacing w:line="240" w:lineRule="auto"/>
        <w:rPr>
          <w:rFonts w:cstheme="minorHAnsi"/>
        </w:rPr>
      </w:pPr>
      <w:r>
        <w:t>Примери за критерии, които са свързани с предмета на поръчката, и за критерии, които не са свързани с предмета на поръчката:</w:t>
      </w:r>
    </w:p>
    <w:p w:rsidR="008430E0" w:rsidRPr="00165BE0" w:rsidRDefault="00A444EC" w:rsidP="00924796">
      <w:pPr>
        <w:numPr>
          <w:ilvl w:val="0"/>
          <w:numId w:val="30"/>
        </w:numPr>
        <w:spacing w:line="240" w:lineRule="auto"/>
        <w:rPr>
          <w:rFonts w:cstheme="minorHAnsi"/>
        </w:rPr>
      </w:pPr>
      <w:r>
        <w:t>при поръчка за доставка на униформи има изискване, съгласно което униформите трябва да бъдат направени от памук, получен от биологично производство</w:t>
      </w:r>
    </w:p>
    <w:p w:rsidR="008430E0" w:rsidRPr="00165BE0" w:rsidRDefault="00A444EC" w:rsidP="00924796">
      <w:pPr>
        <w:numPr>
          <w:ilvl w:val="0"/>
          <w:numId w:val="30"/>
        </w:numPr>
        <w:spacing w:line="240" w:lineRule="auto"/>
        <w:rPr>
          <w:rFonts w:cstheme="minorHAnsi"/>
        </w:rPr>
      </w:pPr>
      <w:r>
        <w:t>за поръчка за услуги по почистване се дават допълнителни точки за използването на продукти с екомаркировка</w:t>
      </w:r>
    </w:p>
    <w:p w:rsidR="006234F4" w:rsidRPr="00165BE0" w:rsidRDefault="006234F4" w:rsidP="00924796">
      <w:pPr>
        <w:numPr>
          <w:ilvl w:val="0"/>
          <w:numId w:val="30"/>
        </w:numPr>
        <w:spacing w:line="240" w:lineRule="auto"/>
        <w:rPr>
          <w:rFonts w:cstheme="minorHAnsi"/>
        </w:rPr>
      </w:pPr>
      <w:r>
        <w:t>изискване, съгласно което дружеството трябва да е въвело мерки за управление на веригата на доставките, които да са насочени към конкретни екологични съображения (напр. безопасно боравене с химикали или снабдяване със суровини)</w:t>
      </w:r>
    </w:p>
    <w:p w:rsidR="008430E0" w:rsidRPr="00165BE0" w:rsidRDefault="00A444EC" w:rsidP="00924796">
      <w:pPr>
        <w:numPr>
          <w:ilvl w:val="0"/>
          <w:numId w:val="31"/>
        </w:numPr>
        <w:spacing w:line="240" w:lineRule="auto"/>
        <w:rPr>
          <w:rFonts w:cstheme="minorHAnsi"/>
        </w:rPr>
      </w:pPr>
      <w:r>
        <w:t xml:space="preserve">В поръчка за доставка на униформи има изискване, съгласно което доставчиците трябва да използват във </w:t>
      </w:r>
      <w:r>
        <w:rPr>
          <w:rFonts w:cstheme="minorHAnsi"/>
          <w:b/>
          <w:u w:val="single"/>
        </w:rPr>
        <w:t>всички</w:t>
      </w:r>
      <w:r>
        <w:t xml:space="preserve"> свои продукти памук, получен от биологично производство</w:t>
      </w:r>
    </w:p>
    <w:p w:rsidR="008430E0" w:rsidRPr="00165BE0" w:rsidRDefault="00A444EC" w:rsidP="00924796">
      <w:pPr>
        <w:numPr>
          <w:ilvl w:val="0"/>
          <w:numId w:val="31"/>
        </w:numPr>
        <w:spacing w:line="240" w:lineRule="auto"/>
        <w:rPr>
          <w:rFonts w:cstheme="minorHAnsi"/>
        </w:rPr>
      </w:pPr>
      <w:r>
        <w:t xml:space="preserve">за поръчка за услуги по почистване се дават допълнителни точки на дружества, които използват продукти с екомаркировка при </w:t>
      </w:r>
      <w:r>
        <w:rPr>
          <w:rFonts w:cstheme="minorHAnsi"/>
          <w:b/>
          <w:u w:val="single"/>
        </w:rPr>
        <w:t>всички</w:t>
      </w:r>
      <w:r>
        <w:t xml:space="preserve"> свои поръчки</w:t>
      </w:r>
    </w:p>
    <w:p w:rsidR="00D97E45" w:rsidRPr="002C1EBD" w:rsidRDefault="006234F4" w:rsidP="002C1EBD">
      <w:pPr>
        <w:numPr>
          <w:ilvl w:val="0"/>
          <w:numId w:val="31"/>
        </w:numPr>
        <w:spacing w:line="240" w:lineRule="auto"/>
        <w:rPr>
          <w:rFonts w:cstheme="minorHAnsi"/>
        </w:rPr>
      </w:pPr>
      <w:r>
        <w:t>изискване, съгласно което дружеството трябва да участва в „устойчиво закупуване“ (без по-нататъшно определение)</w:t>
      </w:r>
    </w:p>
    <w:p w:rsidR="002C1EBD" w:rsidRPr="002C1EBD" w:rsidRDefault="002C1EBD" w:rsidP="002C1EBD">
      <w:pPr>
        <w:spacing w:line="240" w:lineRule="auto"/>
        <w:ind w:left="720"/>
        <w:rPr>
          <w:rFonts w:cstheme="minorHAnsi"/>
        </w:rPr>
      </w:pPr>
    </w:p>
    <w:p w:rsidR="0061105D" w:rsidRDefault="00D715E6" w:rsidP="00AB74D0">
      <w:pPr>
        <w:pStyle w:val="B-Headline01"/>
      </w:pPr>
      <w:r>
        <w:t>Избор на процедури</w:t>
      </w:r>
    </w:p>
    <w:p w:rsidR="00AE2880" w:rsidRPr="00165BE0" w:rsidRDefault="002957FB" w:rsidP="00AC1904">
      <w:r>
        <w:t>Съгласно директивите от 2014 г. съществува възможност за избор между пет процедури за възлагане на обществени поръчки:</w:t>
      </w:r>
    </w:p>
    <w:p w:rsidR="002957FB" w:rsidRDefault="006F5FF9" w:rsidP="00AC1904">
      <w:r>
        <w:rPr>
          <w:noProof/>
        </w:rPr>
        <w:drawing>
          <wp:inline distT="0" distB="0" distL="0" distR="0">
            <wp:extent cx="5168900" cy="1524000"/>
            <wp:effectExtent l="0" t="5715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6172A0" w:rsidRPr="00165BE0" w:rsidRDefault="00AE2880" w:rsidP="006172A0">
      <w:r>
        <w:t xml:space="preserve">ЕОП могат да се приложат във всяка една от тези процедури — но има различия по отношение на това, което ще поискате на всеки етап. При открита процедура техническите и професионалните способности (включително предишният опит) се оценяват само въз основа на критерии от вида „да/не“. Това може да се извърши преди или след оценката на офертите. </w:t>
      </w:r>
      <w:r>
        <w:lastRenderedPageBreak/>
        <w:t>Процедурите на няколко етапа дават възможност за предварителен подбор на оференти въз основа на техническите и професионалните способности.</w:t>
      </w:r>
    </w:p>
    <w:p w:rsidR="006172A0" w:rsidRPr="00165BE0" w:rsidRDefault="006172A0" w:rsidP="006172A0">
      <w:r>
        <w:t xml:space="preserve">Изборът на процедура при ЕОП може да бъде обусловен и от </w:t>
      </w:r>
      <w:r>
        <w:rPr>
          <w:b/>
        </w:rPr>
        <w:t>размера на съответния пазар</w:t>
      </w:r>
      <w:r>
        <w:t xml:space="preserve">. Ако няма много дружества, които могат да предоставят продукта/услугата, тогава откритата процедура може да бъде ефикасна. Ако пазарът е много голям, процедурите на няколко етапа могат да спестят време, защото можете да контролирате броя на получените оферти. </w:t>
      </w:r>
    </w:p>
    <w:p w:rsidR="006172A0" w:rsidRPr="00165BE0" w:rsidRDefault="006172A0" w:rsidP="006172A0">
      <w:r>
        <w:t xml:space="preserve">В директивите са определени минимални срокове за всяка процедура. Те подлежат на общо изискване за осигуряване на подходящо време в зависимост от сложността на поръчката (член 47 от Директива 2014/24/ЕС). </w:t>
      </w:r>
      <w:r>
        <w:rPr>
          <w:b/>
        </w:rPr>
        <w:t>При определянето на сроковете вземете под внимание качеството на отговорите, които ще получите</w:t>
      </w:r>
      <w:r>
        <w:t xml:space="preserve"> — твърде кратките срокове за подаване на оферти могат понякога да имат отрицателно въздействие, ако това означава, че трябва да се отдели повече време за изясняване на подадената информация. </w:t>
      </w:r>
    </w:p>
    <w:p w:rsidR="00A87516" w:rsidRPr="00165BE0" w:rsidRDefault="00A87516" w:rsidP="00A87516">
      <w:r>
        <w:t xml:space="preserve">Един от страховете на някои възлагащи органи по отношение на ЕОП е ефектът, който тя ще окаже върху конкуренцията. Ще могат ли оферентите да отговорят на екологичните критерии и колко валидни оферти ще бъдат получени? </w:t>
      </w:r>
    </w:p>
    <w:p w:rsidR="00A87516" w:rsidRPr="00165BE0" w:rsidRDefault="00A87516" w:rsidP="00A87516">
      <w:r>
        <w:t xml:space="preserve">Гъвкавите процедури могат да спомогнат за преодоляването на тези опасения, тъй като дават възможност за по-голямо взаимодействие между възлагащия орган и оферентите. Напр. при конкурсна процедура с договаряне е възможно да се договарят аспекти на екологичните характеристики (надхвърлящи определените минимални изисквания) и мерките за докладване, които ще се прилагат. Ако се търсят </w:t>
      </w:r>
      <w:r>
        <w:rPr>
          <w:b/>
        </w:rPr>
        <w:t>иновативни решения</w:t>
      </w:r>
      <w:r>
        <w:t>, конкурсният диалог и партньорството за иновации могат да допринесат за решаването на сложни проблеми, свързани с околната среда.</w:t>
      </w:r>
    </w:p>
    <w:p w:rsidR="00F161B6" w:rsidRDefault="00A87516" w:rsidP="002C1EBD">
      <w:r>
        <w:t xml:space="preserve">Трябва обаче да се признае, че за управлението на тези процедури се изисква и </w:t>
      </w:r>
      <w:r>
        <w:rPr>
          <w:b/>
        </w:rPr>
        <w:t>по-голям ангажимент по отношение на ресурсите и експертните познания</w:t>
      </w:r>
      <w:r>
        <w:t xml:space="preserve">. По-опростено решение може да бъде провеждането на предварителна пазарна консултация преди стартирането на открита или ограничена процедура. Ролята на тази консултация в ЕОП е обяснена в модул 6. </w:t>
      </w:r>
    </w:p>
    <w:p w:rsidR="002C1EBD" w:rsidRPr="00165BE0" w:rsidRDefault="002C1EBD" w:rsidP="002C1EBD"/>
    <w:p w:rsidR="00D715E6" w:rsidRDefault="00D715E6" w:rsidP="00AB74D0">
      <w:pPr>
        <w:pStyle w:val="B-Headline01"/>
      </w:pPr>
      <w:r>
        <w:t>Изключване и подбор на оференти</w:t>
      </w:r>
    </w:p>
    <w:p w:rsidR="000D0290" w:rsidRDefault="000D0290" w:rsidP="000D0290">
      <w:r>
        <w:t xml:space="preserve">В член 57, параграфи 1 и 2 от Директива 2014/24/ЕС са определени задължителните основания за изключване и те трябва да се прилагат във всички държави членки. Те се отнасят до тежки престъпления, извършени от оференти (или техни представители), и не са пряко свързани с ЕОП. </w:t>
      </w:r>
    </w:p>
    <w:p w:rsidR="00DE599A" w:rsidRDefault="00DE599A" w:rsidP="000D0290"/>
    <w:p w:rsidR="00DE599A" w:rsidRDefault="00DE599A" w:rsidP="000D0290"/>
    <w:p w:rsidR="00DE599A" w:rsidRPr="00165BE0" w:rsidRDefault="00DE599A" w:rsidP="000D0290"/>
    <w:tbl>
      <w:tblPr>
        <w:tblStyle w:val="TableGrid"/>
        <w:tblpPr w:leftFromText="141" w:rightFromText="141" w:vertAnchor="text" w:horzAnchor="margin" w:tblpXSpec="right" w:tblpY="-275"/>
        <w:tblOverlap w:val="never"/>
        <w:tblW w:w="0" w:type="auto"/>
        <w:tblLook w:val="04A0" w:firstRow="1" w:lastRow="0" w:firstColumn="1" w:lastColumn="0" w:noHBand="0" w:noVBand="1"/>
      </w:tblPr>
      <w:tblGrid>
        <w:gridCol w:w="4503"/>
      </w:tblGrid>
      <w:tr w:rsidR="00254416" w:rsidTr="00254416">
        <w:tc>
          <w:tcPr>
            <w:tcW w:w="4503" w:type="dxa"/>
            <w:tcBorders>
              <w:bottom w:val="single" w:sz="4" w:space="0" w:color="auto"/>
            </w:tcBorders>
            <w:shd w:val="clear" w:color="auto" w:fill="9BB51B" w:themeFill="accent2"/>
          </w:tcPr>
          <w:p w:rsidR="00254416" w:rsidRPr="00F161B6" w:rsidRDefault="00254416" w:rsidP="00254416">
            <w:pPr>
              <w:jc w:val="center"/>
              <w:rPr>
                <w:b/>
                <w:color w:val="FFFFFF" w:themeColor="background1"/>
              </w:rPr>
            </w:pPr>
            <w:r>
              <w:rPr>
                <w:b/>
                <w:color w:val="FFFFFF" w:themeColor="background1"/>
              </w:rPr>
              <w:lastRenderedPageBreak/>
              <w:t>Системи за управление на околната среда (СУОС)</w:t>
            </w:r>
          </w:p>
        </w:tc>
      </w:tr>
      <w:tr w:rsidR="00254416" w:rsidRPr="00165BE0" w:rsidTr="00254416">
        <w:tc>
          <w:tcPr>
            <w:tcW w:w="4503" w:type="dxa"/>
            <w:shd w:val="clear" w:color="auto" w:fill="F2F2F2" w:themeFill="background1" w:themeFillShade="F2"/>
          </w:tcPr>
          <w:p w:rsidR="00254416" w:rsidRDefault="00254416" w:rsidP="00254416">
            <w:pPr>
              <w:rPr>
                <w:color w:val="484847" w:themeColor="text1"/>
              </w:rPr>
            </w:pPr>
            <w:r>
              <w:rPr>
                <w:color w:val="484847" w:themeColor="text1"/>
              </w:rPr>
              <w:t>В критериите на ЕС за ЕОП за услуги по вътрешно почистване е даден пример за това как може да се направи позоваване на СУОС в документацията за обществена поръчка.</w:t>
            </w:r>
          </w:p>
          <w:p w:rsidR="00254416" w:rsidRPr="00F161B6" w:rsidRDefault="00254416" w:rsidP="00254416">
            <w:pPr>
              <w:spacing w:before="240"/>
            </w:pPr>
            <w:r>
              <w:rPr>
                <w:b/>
                <w:color w:val="484847" w:themeColor="text1"/>
              </w:rPr>
              <w:t xml:space="preserve">Критерий за подбор: </w:t>
            </w:r>
            <w:r>
              <w:t xml:space="preserve">Оферентът трябва да демонстрира способността си да извършва услугата по екологосъобразен начин. Това трябва да включва доказателства за редовното обучение на персонала по отношение на здравословните, безопасните и екологичните аспекти на дейностите по почистване и доказателства за спазване на задълженията в областта на околната среда, здравето и безопасността. </w:t>
            </w:r>
          </w:p>
          <w:p w:rsidR="00254416" w:rsidRPr="000D5F5B" w:rsidRDefault="00254416" w:rsidP="00254416">
            <w:pPr>
              <w:spacing w:before="240"/>
              <w:rPr>
                <w:b/>
                <w:color w:val="484847" w:themeColor="text1"/>
              </w:rPr>
            </w:pPr>
            <w:r>
              <w:rPr>
                <w:b/>
              </w:rPr>
              <w:t>Проверка:</w:t>
            </w:r>
            <w:r>
              <w:t xml:space="preserve"> Ако система за управление на околната среда (като Схема на Общността за управление по околна среда и одит (EMAS) или ISO 14001) обхваща способностите за управление на околната среда, определени в критериите за подбор, тя се признава като доказателство за съответствие, като това ще важи и за други доказателства за еквивалентни мерки за управление на околната среда.</w:t>
            </w:r>
          </w:p>
          <w:p w:rsidR="00254416" w:rsidRPr="00F161B6" w:rsidRDefault="00254416" w:rsidP="00254416"/>
        </w:tc>
      </w:tr>
    </w:tbl>
    <w:p w:rsidR="000D0290" w:rsidRPr="00165BE0" w:rsidRDefault="000D0290" w:rsidP="000D0290">
      <w:r>
        <w:t xml:space="preserve">Сред дискреционните основания за изключване, определени в член 57, параграф 4, има редица такива, които са от значение за ЕОП, и по-специално възможността за </w:t>
      </w:r>
      <w:r>
        <w:rPr>
          <w:b/>
        </w:rPr>
        <w:t xml:space="preserve">изключване на оферентите поради неспазване на приложимите закони в областта на околната среда. </w:t>
      </w:r>
      <w:r>
        <w:t>Тези закони са посочени в член 18, параграф 2 от директивата и в приложение Х към нея. Държавите членки могат да изберат да направят изключването поради тези основания задължително.</w:t>
      </w:r>
    </w:p>
    <w:p w:rsidR="000D0290" w:rsidRPr="00DB5DEA" w:rsidRDefault="000D0290" w:rsidP="000B128A">
      <w:r>
        <w:t xml:space="preserve">Има подробни правила, които се прилагат по отношение на периода на изключване (максимум пет години от датата на настъпване на събитията, освен ако с окончателно решение не е определен по-дълъг период на изключване), и условията, при които оферентите могат да се опитат да докажат своята надеждност въпреки предишни провинения (член 57, параграф 6 от Директива 2014/24/ЕС). </w:t>
      </w:r>
    </w:p>
    <w:p w:rsidR="008B3A52" w:rsidRPr="00165BE0" w:rsidRDefault="008B3A52" w:rsidP="008B3A52">
      <w:r>
        <w:t xml:space="preserve">Следните съображения могат да бъдат взети предвид при </w:t>
      </w:r>
      <w:r>
        <w:rPr>
          <w:b/>
        </w:rPr>
        <w:t>подбора на оференти в тръжна процедура</w:t>
      </w:r>
      <w:r>
        <w:t xml:space="preserve"> и те са от значение за ЕОП:</w:t>
      </w:r>
    </w:p>
    <w:p w:rsidR="008430E0" w:rsidRPr="008B3A52" w:rsidRDefault="00A444EC" w:rsidP="008B3A52">
      <w:pPr>
        <w:numPr>
          <w:ilvl w:val="0"/>
          <w:numId w:val="32"/>
        </w:numPr>
        <w:spacing w:after="0" w:line="240" w:lineRule="auto"/>
      </w:pPr>
      <w:r>
        <w:t>човешки и технически ресурси</w:t>
      </w:r>
    </w:p>
    <w:p w:rsidR="008430E0" w:rsidRPr="008B3A52" w:rsidRDefault="00A444EC" w:rsidP="008B3A52">
      <w:pPr>
        <w:numPr>
          <w:ilvl w:val="0"/>
          <w:numId w:val="32"/>
        </w:numPr>
        <w:spacing w:after="0" w:line="240" w:lineRule="auto"/>
      </w:pPr>
      <w:r>
        <w:t>опит и препоръки</w:t>
      </w:r>
    </w:p>
    <w:p w:rsidR="008430E0" w:rsidRPr="00165BE0" w:rsidRDefault="00A444EC" w:rsidP="008B3A52">
      <w:pPr>
        <w:numPr>
          <w:ilvl w:val="0"/>
          <w:numId w:val="32"/>
        </w:numPr>
        <w:spacing w:after="0" w:line="240" w:lineRule="auto"/>
      </w:pPr>
      <w:r>
        <w:t xml:space="preserve">образователни и професионални квалификации на персонала </w:t>
      </w:r>
    </w:p>
    <w:p w:rsidR="008430E0" w:rsidRPr="00165BE0" w:rsidRDefault="00A444EC" w:rsidP="008B3A52">
      <w:pPr>
        <w:numPr>
          <w:ilvl w:val="0"/>
          <w:numId w:val="32"/>
        </w:numPr>
        <w:spacing w:after="0" w:line="240" w:lineRule="auto"/>
      </w:pPr>
      <w:r>
        <w:t>системи и схеми за управление на околната среда (напр. EMAS, ISO 14001)</w:t>
      </w:r>
    </w:p>
    <w:p w:rsidR="008430E0" w:rsidRPr="008B3A52" w:rsidRDefault="00A444EC" w:rsidP="008B3A52">
      <w:pPr>
        <w:numPr>
          <w:ilvl w:val="0"/>
          <w:numId w:val="32"/>
        </w:numPr>
        <w:spacing w:after="0" w:line="240" w:lineRule="auto"/>
      </w:pPr>
      <w:r>
        <w:t>системи за управление/проследяване на веригата на доставките;</w:t>
      </w:r>
    </w:p>
    <w:p w:rsidR="008430E0" w:rsidRPr="008B3A52" w:rsidRDefault="00A444EC" w:rsidP="008B3A52">
      <w:pPr>
        <w:numPr>
          <w:ilvl w:val="0"/>
          <w:numId w:val="32"/>
        </w:numPr>
        <w:spacing w:after="0" w:line="240" w:lineRule="auto"/>
      </w:pPr>
      <w:r>
        <w:t>мостри на продуктите</w:t>
      </w:r>
    </w:p>
    <w:p w:rsidR="008430E0" w:rsidRPr="008B3A52" w:rsidRDefault="00A444EC" w:rsidP="008B3A52">
      <w:pPr>
        <w:numPr>
          <w:ilvl w:val="0"/>
          <w:numId w:val="32"/>
        </w:numPr>
        <w:spacing w:line="240" w:lineRule="auto"/>
      </w:pPr>
      <w:r>
        <w:t>сертификати за оценка на съответствието</w:t>
      </w:r>
    </w:p>
    <w:p w:rsidR="000B128A" w:rsidRPr="00F161B6" w:rsidRDefault="000B128A" w:rsidP="000B128A">
      <w:r>
        <w:t xml:space="preserve">Условията, при които могат да се прилагат тези критерии за подбор, и </w:t>
      </w:r>
      <w:r>
        <w:rPr>
          <w:b/>
        </w:rPr>
        <w:t>доказателствата</w:t>
      </w:r>
      <w:r>
        <w:t xml:space="preserve">, които могат да бъдат поискани, са посочени в член 58 от Директива 2014/24/ЕС и в приложение XII към нея. </w:t>
      </w:r>
    </w:p>
    <w:p w:rsidR="000B128A" w:rsidRPr="00165BE0" w:rsidRDefault="000B128A" w:rsidP="000B128A">
      <w:r>
        <w:t>Като пример за човешки и технически ресурси, които биха могли да бъдат поискани на етапа на подбор за поръчка за строителство, може да се посочи „</w:t>
      </w:r>
      <w:r>
        <w:rPr>
          <w:i/>
        </w:rPr>
        <w:t>персонал с опит в изпълнението на проекти със сходни екологични изисквания и подходящо оборудване за предотвратяване на замърсяването на въздуха, почвата и водите“.</w:t>
      </w:r>
      <w:r>
        <w:t xml:space="preserve"> </w:t>
      </w:r>
    </w:p>
    <w:p w:rsidR="000B128A" w:rsidRPr="00165BE0" w:rsidRDefault="000B128A" w:rsidP="000B128A">
      <w:r>
        <w:t xml:space="preserve">Ако образователните и професионалните квалификации на персонала се оценяват на етапа на подбор, те не следва да се оценяват и като критерий за възлагане. </w:t>
      </w:r>
    </w:p>
    <w:p w:rsidR="00CF6293" w:rsidRPr="009B7E38" w:rsidRDefault="00CF6293" w:rsidP="00CF6293">
      <w:r>
        <w:lastRenderedPageBreak/>
        <w:t xml:space="preserve">Наличието на </w:t>
      </w:r>
      <w:r>
        <w:rPr>
          <w:b/>
        </w:rPr>
        <w:t>система за управление на околната среда (СУОС</w:t>
      </w:r>
      <w:r>
        <w:t xml:space="preserve">) може да спомогне за доказване на способността на дружеството да отговори на критериите за ЕОП. Това може да бъде поискано на етапа на подбор за поръчки за доставка, услуги и строителство, при условие че това е пропорционално на естеството на поръчката. Трябва да се вземат под внимание и еквивалентни доказателства. </w:t>
      </w:r>
    </w:p>
    <w:p w:rsidR="00CF6293" w:rsidRPr="009B7E38" w:rsidRDefault="00CF6293" w:rsidP="000B128A">
      <w:r>
        <w:t xml:space="preserve">СУОС може да бъде оценявана и на етапа на възлагане като форма на доказателство, че оферентите ще бъдат в състояние да изпълнят екологичните аспекти на дадена поръчка (напр. управление на отпадъците, енергията или водите). </w:t>
      </w:r>
    </w:p>
    <w:p w:rsidR="005D502E" w:rsidRPr="006D6487" w:rsidRDefault="000B128A" w:rsidP="002C1EBD">
      <w:r>
        <w:t xml:space="preserve">Оферентите имат право да разчитат на способностите на други субекти за целите на изпълнението на критериите за подбор — напр. </w:t>
      </w:r>
      <w:r>
        <w:rPr>
          <w:b/>
        </w:rPr>
        <w:t>подизпълнител</w:t>
      </w:r>
      <w:r>
        <w:t xml:space="preserve">, който разполага със специализирано оборудване или опит. От тях може да бъде поискано да представят гаранция, че тези ресурси ще бъдат предоставени на разположение за изпълнението на договора за поръчката. В този случай основанията за изключване трябва да се прилагат и за подизпълнителя или друг субект. </w:t>
      </w:r>
    </w:p>
    <w:p w:rsidR="00D715E6" w:rsidRDefault="00D715E6" w:rsidP="00AB74D0">
      <w:pPr>
        <w:pStyle w:val="B-Headline01"/>
      </w:pPr>
      <w:r>
        <w:t>Технически спецификации</w:t>
      </w:r>
    </w:p>
    <w:p w:rsidR="00B37DC6" w:rsidRDefault="00B37DC6" w:rsidP="00B37DC6">
      <w:r>
        <w:t xml:space="preserve">Техническите спецификации трябва да бъдат определени по начин, който е недискриминационен, който предоставя равен достъп на оферентите и не създава необосновани пречки пред конкуренцията. Например по принцип не е разрешено посочване на търговска марка или характеристика на конкретен процес/продукт, които могат да бъдат предоставени само от едно дружество. </w:t>
      </w:r>
    </w:p>
    <w:p w:rsidR="002C1EBD" w:rsidRPr="00DE599A" w:rsidRDefault="002C1EBD" w:rsidP="00B37DC6">
      <w:pPr>
        <w:rPr>
          <w:lang w:val="ru-RU"/>
        </w:rPr>
      </w:pPr>
    </w:p>
    <w:p w:rsidR="00B37DC6" w:rsidRDefault="00B37DC6" w:rsidP="00B37DC6">
      <w:r>
        <w:t xml:space="preserve">В техническите спецификации могат да бъдат разгледани въздействията върху околната среда през целия жизнен цикъл, не само по отношение на </w:t>
      </w:r>
      <w:r>
        <w:rPr>
          <w:b/>
        </w:rPr>
        <w:t>производствените процеси</w:t>
      </w:r>
      <w:r>
        <w:t xml:space="preserve">, но така също и по време на </w:t>
      </w:r>
      <w:r>
        <w:rPr>
          <w:b/>
        </w:rPr>
        <w:t>етапа на експлоатация</w:t>
      </w:r>
      <w:r>
        <w:t xml:space="preserve"> и в края </w:t>
      </w:r>
      <w:r>
        <w:rPr>
          <w:b/>
        </w:rPr>
        <w:t>на жизнения цикъл</w:t>
      </w:r>
      <w:r>
        <w:t xml:space="preserve">. Напр. в поръчка за приготвяне и доставяне на храна може да се уточни, че продуктите трябва да бъдат биологични, да се сервират в контейнери за многократна употреба, а отпадъците да се разделят на потоци за компостиране, потоци за рециклиране и остатъчни потоци. Първият елемент е пример за спецификация въз основа на стандарт, а другите два елемента са функционални спецификации. </w:t>
      </w:r>
    </w:p>
    <w:p w:rsidR="002C1EBD" w:rsidRPr="00165BE0" w:rsidRDefault="002C1EBD" w:rsidP="00B37DC6"/>
    <w:p w:rsidR="00B37DC6" w:rsidRPr="00165BE0" w:rsidRDefault="00B37DC6" w:rsidP="00B37DC6">
      <w:r>
        <w:t xml:space="preserve">Много от стандартите включват и екологични аспекти например чрез регулиране на потреблението на енергия или вода на даден продукт. Спецификациите могат да съчетават функционални елементи или елементи по отношение на експлоатационните характеристики, с позовавания на европейски, международни или национални стандарти — винаги придружени от думите </w:t>
      </w:r>
      <w:r>
        <w:rPr>
          <w:b/>
        </w:rPr>
        <w:t>„или еквивалентно(и)“</w:t>
      </w:r>
      <w:r>
        <w:t xml:space="preserve">. Когато оферентът представи алтернативен стандарт, възлагащият орган трябва да определи дали той отговаря на изискванията, посочени в тръжната документация. За тази цел той може при необходимост да поиска допълнителна информация от участника. Принципът на взаимно признаване означава, че следва да се </w:t>
      </w:r>
      <w:r>
        <w:lastRenderedPageBreak/>
        <w:t xml:space="preserve">приемат различни национални стандарти, когато те отговарят на минималните изисквания, определени от възлагащия орган. </w:t>
      </w:r>
    </w:p>
    <w:p w:rsidR="008C7BBE" w:rsidRPr="00C755D8" w:rsidRDefault="008C7BBE" w:rsidP="00B37DC6">
      <w:r>
        <w:t xml:space="preserve">В техническите спецификации могат да се посочват </w:t>
      </w:r>
      <w:r>
        <w:rPr>
          <w:b/>
        </w:rPr>
        <w:t>маркировки</w:t>
      </w:r>
      <w:r>
        <w:t xml:space="preserve"> на трети страни, при условие че са изпълнени следните условия: </w:t>
      </w:r>
    </w:p>
    <w:p w:rsidR="00B61650" w:rsidRPr="00165BE0" w:rsidRDefault="00B61650" w:rsidP="0064089B">
      <w:pPr>
        <w:spacing w:after="0"/>
      </w:pPr>
      <w:r>
        <w:t>i) те се отнасят само до критерии, които са свързани с предмета на поръчката;</w:t>
      </w:r>
    </w:p>
    <w:p w:rsidR="00006D29" w:rsidRPr="00165BE0" w:rsidRDefault="00006D29" w:rsidP="0064089B">
      <w:pPr>
        <w:spacing w:after="0"/>
      </w:pPr>
    </w:p>
    <w:p w:rsidR="00B61650" w:rsidRPr="00165BE0" w:rsidRDefault="00B61650" w:rsidP="0064089B">
      <w:pPr>
        <w:spacing w:after="0"/>
      </w:pPr>
      <w:r>
        <w:t>ii) те се основават на обективно проверими и недискриминационни критерии;</w:t>
      </w:r>
    </w:p>
    <w:p w:rsidR="00006D29" w:rsidRPr="00165BE0" w:rsidRDefault="00006D29" w:rsidP="0064089B">
      <w:pPr>
        <w:spacing w:after="0"/>
      </w:pPr>
    </w:p>
    <w:p w:rsidR="00B61650" w:rsidRPr="00165BE0" w:rsidRDefault="00B61650" w:rsidP="0064089B">
      <w:pPr>
        <w:spacing w:after="0"/>
      </w:pPr>
      <w:r>
        <w:t>iii) те са установени съгласно открита и прозрачна процедура, в която могат да участват всички заинтересовани страни, включително държавни органи, потребители, социални партньори, производители, дистрибутори и неправителствени организации;</w:t>
      </w:r>
    </w:p>
    <w:p w:rsidR="00006D29" w:rsidRPr="00165BE0" w:rsidRDefault="00006D29" w:rsidP="0064089B">
      <w:pPr>
        <w:spacing w:after="0"/>
      </w:pPr>
    </w:p>
    <w:p w:rsidR="00B61650" w:rsidRPr="00165BE0" w:rsidRDefault="00B61650" w:rsidP="0064089B">
      <w:pPr>
        <w:spacing w:after="0"/>
      </w:pPr>
      <w:r>
        <w:t>iv) те са достъпни за всички заинтересовани страни;</w:t>
      </w:r>
    </w:p>
    <w:p w:rsidR="00006D29" w:rsidRPr="00165BE0" w:rsidRDefault="00006D29" w:rsidP="0064089B">
      <w:pPr>
        <w:spacing w:after="0"/>
      </w:pPr>
    </w:p>
    <w:p w:rsidR="00006D29" w:rsidRDefault="00006D29" w:rsidP="0064089B">
      <w:pPr>
        <w:spacing w:after="0"/>
        <w:rPr>
          <w:lang w:val="ru-RU"/>
        </w:rPr>
      </w:pPr>
      <w:r>
        <w:t>v) те са създадени от трета страна, над която стопанският субект, кандидатстващ за маркировката, не може да оказва решаващо влияние.</w:t>
      </w:r>
    </w:p>
    <w:p w:rsidR="002C1EBD" w:rsidRDefault="002C1EBD" w:rsidP="0064089B">
      <w:pPr>
        <w:spacing w:after="0"/>
        <w:rPr>
          <w:lang w:val="ru-RU"/>
        </w:rPr>
      </w:pPr>
    </w:p>
    <w:p w:rsidR="002C1EBD" w:rsidRPr="00DE599A" w:rsidRDefault="002C1EBD" w:rsidP="0064089B">
      <w:pPr>
        <w:spacing w:after="0"/>
      </w:pPr>
    </w:p>
    <w:p w:rsidR="002C1EBD" w:rsidRDefault="002C1EBD" w:rsidP="0064089B">
      <w:pPr>
        <w:spacing w:after="0"/>
        <w:rPr>
          <w:lang w:val="ru-RU"/>
        </w:rPr>
      </w:pPr>
    </w:p>
    <w:p w:rsidR="002C1EBD" w:rsidRDefault="002C1EBD" w:rsidP="0064089B">
      <w:pPr>
        <w:spacing w:after="0"/>
        <w:rPr>
          <w:lang w:val="ru-RU"/>
        </w:rPr>
      </w:pPr>
    </w:p>
    <w:p w:rsidR="002C1EBD" w:rsidRDefault="002C1EBD" w:rsidP="0064089B">
      <w:pPr>
        <w:spacing w:after="0"/>
        <w:rPr>
          <w:lang w:val="ru-RU"/>
        </w:rPr>
      </w:pPr>
    </w:p>
    <w:p w:rsidR="002C1EBD" w:rsidRDefault="002C1EBD" w:rsidP="0064089B">
      <w:pPr>
        <w:spacing w:after="0"/>
        <w:rPr>
          <w:lang w:val="ru-RU"/>
        </w:rPr>
      </w:pPr>
    </w:p>
    <w:p w:rsidR="002C1EBD" w:rsidRDefault="002C1EBD" w:rsidP="0064089B">
      <w:pPr>
        <w:spacing w:after="0"/>
        <w:rPr>
          <w:lang w:val="ru-RU"/>
        </w:rPr>
      </w:pPr>
    </w:p>
    <w:p w:rsidR="002C1EBD" w:rsidRDefault="002C1EBD" w:rsidP="0064089B">
      <w:pPr>
        <w:spacing w:after="0"/>
        <w:rPr>
          <w:lang w:val="ru-RU"/>
        </w:rPr>
      </w:pPr>
    </w:p>
    <w:p w:rsidR="002C1EBD" w:rsidRDefault="002C1EBD" w:rsidP="0064089B">
      <w:pPr>
        <w:spacing w:after="0"/>
        <w:rPr>
          <w:lang w:val="ru-RU"/>
        </w:rPr>
      </w:pPr>
    </w:p>
    <w:p w:rsidR="002C1EBD" w:rsidRDefault="002C1EBD" w:rsidP="0064089B">
      <w:pPr>
        <w:spacing w:after="0"/>
        <w:rPr>
          <w:lang w:val="ru-RU"/>
        </w:rPr>
      </w:pPr>
    </w:p>
    <w:p w:rsidR="002C1EBD" w:rsidRDefault="002C1EBD" w:rsidP="0064089B">
      <w:pPr>
        <w:spacing w:after="0"/>
        <w:rPr>
          <w:lang w:val="ru-RU"/>
        </w:rPr>
      </w:pPr>
    </w:p>
    <w:p w:rsidR="002C1EBD" w:rsidRDefault="002C1EBD" w:rsidP="0064089B">
      <w:pPr>
        <w:spacing w:after="0"/>
        <w:rPr>
          <w:lang w:val="ru-RU"/>
        </w:rPr>
      </w:pPr>
    </w:p>
    <w:p w:rsidR="002C1EBD" w:rsidRDefault="002C1EBD" w:rsidP="0064089B">
      <w:pPr>
        <w:spacing w:after="0"/>
        <w:rPr>
          <w:lang w:val="ru-RU"/>
        </w:rPr>
      </w:pPr>
    </w:p>
    <w:p w:rsidR="002C1EBD" w:rsidRDefault="002C1EBD" w:rsidP="0064089B">
      <w:pPr>
        <w:spacing w:after="0"/>
        <w:rPr>
          <w:lang w:val="ru-RU"/>
        </w:rPr>
      </w:pPr>
    </w:p>
    <w:p w:rsidR="002C1EBD" w:rsidRDefault="002C1EBD" w:rsidP="0064089B">
      <w:pPr>
        <w:spacing w:after="0"/>
        <w:rPr>
          <w:lang w:val="ru-RU"/>
        </w:rPr>
      </w:pPr>
    </w:p>
    <w:p w:rsidR="002C1EBD" w:rsidRDefault="002C1EBD" w:rsidP="0064089B">
      <w:pPr>
        <w:spacing w:after="0"/>
        <w:rPr>
          <w:lang w:val="ru-RU"/>
        </w:rPr>
      </w:pPr>
    </w:p>
    <w:p w:rsidR="002C1EBD" w:rsidRDefault="002C1EBD" w:rsidP="0064089B">
      <w:pPr>
        <w:spacing w:after="0"/>
        <w:rPr>
          <w:lang w:val="ru-RU"/>
        </w:rPr>
      </w:pPr>
    </w:p>
    <w:p w:rsidR="002C1EBD" w:rsidRDefault="002C1EBD" w:rsidP="0064089B">
      <w:pPr>
        <w:spacing w:after="0"/>
        <w:rPr>
          <w:lang w:val="ru-RU"/>
        </w:rPr>
      </w:pPr>
    </w:p>
    <w:p w:rsidR="002C1EBD" w:rsidRDefault="002C1EBD" w:rsidP="0064089B">
      <w:pPr>
        <w:spacing w:after="0"/>
        <w:rPr>
          <w:lang w:val="ru-RU"/>
        </w:rPr>
      </w:pPr>
    </w:p>
    <w:p w:rsidR="002C1EBD" w:rsidRDefault="002C1EBD" w:rsidP="0064089B">
      <w:pPr>
        <w:spacing w:after="0"/>
        <w:rPr>
          <w:lang w:val="ru-RU"/>
        </w:rPr>
      </w:pPr>
    </w:p>
    <w:p w:rsidR="002C1EBD" w:rsidRDefault="002C1EBD" w:rsidP="0064089B">
      <w:pPr>
        <w:spacing w:after="0"/>
        <w:rPr>
          <w:lang w:val="ru-RU"/>
        </w:rPr>
      </w:pPr>
    </w:p>
    <w:p w:rsidR="002C1EBD" w:rsidRDefault="002C1EBD" w:rsidP="0064089B">
      <w:pPr>
        <w:spacing w:after="0"/>
        <w:rPr>
          <w:lang w:val="ru-RU"/>
        </w:rPr>
      </w:pPr>
    </w:p>
    <w:p w:rsidR="002C1EBD" w:rsidRDefault="002C1EBD" w:rsidP="0064089B">
      <w:pPr>
        <w:spacing w:after="0"/>
        <w:rPr>
          <w:lang w:val="ru-RU"/>
        </w:rPr>
      </w:pPr>
    </w:p>
    <w:p w:rsidR="002C1EBD" w:rsidRDefault="002C1EBD" w:rsidP="0064089B">
      <w:pPr>
        <w:spacing w:after="0"/>
        <w:rPr>
          <w:lang w:val="ru-RU"/>
        </w:rPr>
      </w:pPr>
    </w:p>
    <w:p w:rsidR="00DE599A" w:rsidRDefault="00DE599A" w:rsidP="0064089B">
      <w:pPr>
        <w:spacing w:after="0"/>
        <w:rPr>
          <w:lang w:val="ru-RU"/>
        </w:rPr>
      </w:pPr>
    </w:p>
    <w:p w:rsidR="00DE599A" w:rsidRDefault="00DE599A" w:rsidP="0064089B">
      <w:pPr>
        <w:spacing w:after="0"/>
        <w:rPr>
          <w:lang w:val="ru-RU"/>
        </w:rPr>
      </w:pPr>
    </w:p>
    <w:p w:rsidR="00DE599A" w:rsidRPr="002C1EBD" w:rsidRDefault="00DE599A" w:rsidP="0064089B">
      <w:pPr>
        <w:spacing w:after="0"/>
        <w:rPr>
          <w:lang w:val="ru-RU"/>
        </w:rPr>
      </w:pPr>
    </w:p>
    <w:tbl>
      <w:tblPr>
        <w:tblStyle w:val="TableGrid"/>
        <w:tblpPr w:leftFromText="141" w:rightFromText="141" w:vertAnchor="text" w:horzAnchor="margin" w:tblpXSpec="right" w:tblpY="25"/>
        <w:tblOverlap w:val="never"/>
        <w:tblW w:w="0" w:type="auto"/>
        <w:tblLook w:val="04A0" w:firstRow="1" w:lastRow="0" w:firstColumn="1" w:lastColumn="0" w:noHBand="0" w:noVBand="1"/>
      </w:tblPr>
      <w:tblGrid>
        <w:gridCol w:w="4503"/>
      </w:tblGrid>
      <w:tr w:rsidR="00006D29" w:rsidTr="00006D29">
        <w:tc>
          <w:tcPr>
            <w:tcW w:w="4503" w:type="dxa"/>
            <w:shd w:val="clear" w:color="auto" w:fill="9BB51B" w:themeFill="accent2"/>
          </w:tcPr>
          <w:p w:rsidR="00006D29" w:rsidRPr="00F161B6" w:rsidRDefault="00006D29" w:rsidP="00006D29">
            <w:pPr>
              <w:jc w:val="center"/>
              <w:rPr>
                <w:b/>
                <w:color w:val="FFFFFF" w:themeColor="background1"/>
              </w:rPr>
            </w:pPr>
            <w:r>
              <w:rPr>
                <w:b/>
                <w:color w:val="FFFFFF" w:themeColor="background1"/>
              </w:rPr>
              <w:lastRenderedPageBreak/>
              <w:t>Използване на маркировки в обществените поръчки</w:t>
            </w:r>
          </w:p>
        </w:tc>
      </w:tr>
      <w:tr w:rsidR="00006D29" w:rsidRPr="00165BE0" w:rsidTr="00006D29">
        <w:tc>
          <w:tcPr>
            <w:tcW w:w="4503" w:type="dxa"/>
            <w:shd w:val="clear" w:color="auto" w:fill="F2F2F2" w:themeFill="background1" w:themeFillShade="F2"/>
          </w:tcPr>
          <w:p w:rsidR="00006D29" w:rsidRPr="006D6487" w:rsidRDefault="00006D29" w:rsidP="00006D29">
            <w:pPr>
              <w:spacing w:after="200" w:line="276" w:lineRule="auto"/>
              <w:rPr>
                <w:color w:val="484847" w:themeColor="text1"/>
              </w:rPr>
            </w:pPr>
            <w:r>
              <w:rPr>
                <w:color w:val="484847" w:themeColor="text1"/>
              </w:rPr>
              <w:t>В спецификации, критерии за възлагане и клаузи за изпълнение на договорите за обществени поръчки могат да се посочват екомаркировки на трети страни.</w:t>
            </w:r>
          </w:p>
          <w:p w:rsidR="00006D29" w:rsidRPr="006D6487" w:rsidRDefault="00006D29" w:rsidP="00006D29">
            <w:pPr>
              <w:spacing w:after="200" w:line="276" w:lineRule="auto"/>
              <w:rPr>
                <w:color w:val="484847" w:themeColor="text1"/>
              </w:rPr>
            </w:pPr>
            <w:r>
              <w:rPr>
                <w:color w:val="484847" w:themeColor="text1"/>
              </w:rPr>
              <w:t>Маркировките могат да намалят обема на работата, свързана с определянето и проверката на екологичните аспекти на офертите.</w:t>
            </w:r>
          </w:p>
          <w:p w:rsidR="00006D29" w:rsidRDefault="00006D29" w:rsidP="00006D29">
            <w:pPr>
              <w:spacing w:after="200" w:line="276" w:lineRule="auto"/>
              <w:rPr>
                <w:color w:val="484847" w:themeColor="text1"/>
              </w:rPr>
            </w:pPr>
            <w:r>
              <w:rPr>
                <w:color w:val="484847" w:themeColor="text1"/>
              </w:rPr>
              <w:t xml:space="preserve">За да може директно да се посочи маркировка, тя трябва да отговаря на определени стандарти за прозрачност и достъпност, а маркировки с </w:t>
            </w:r>
            <w:r>
              <w:rPr>
                <w:b/>
                <w:color w:val="484847" w:themeColor="text1"/>
              </w:rPr>
              <w:t>еквивалентни изисквания</w:t>
            </w:r>
            <w:r>
              <w:rPr>
                <w:color w:val="484847" w:themeColor="text1"/>
              </w:rPr>
              <w:t xml:space="preserve"> също трябва да бъдат приети. </w:t>
            </w:r>
          </w:p>
          <w:p w:rsidR="00006D29" w:rsidRPr="006D6487" w:rsidRDefault="00006D29" w:rsidP="00006D29">
            <w:pPr>
              <w:spacing w:after="200" w:line="276" w:lineRule="auto"/>
              <w:rPr>
                <w:color w:val="484847" w:themeColor="text1"/>
              </w:rPr>
            </w:pPr>
            <w:r>
              <w:rPr>
                <w:color w:val="484847" w:themeColor="text1"/>
              </w:rPr>
              <w:t>Например критериите на ЕС за ЕОП за мебели съдържат следния текст относно проверката на техническите спецификации:</w:t>
            </w:r>
          </w:p>
          <w:p w:rsidR="00006D29" w:rsidRPr="006D6487" w:rsidRDefault="00006D29" w:rsidP="00006D29">
            <w:pPr>
              <w:spacing w:after="200" w:line="276" w:lineRule="auto"/>
              <w:rPr>
                <w:b/>
                <w:i/>
                <w:color w:val="484847" w:themeColor="text1"/>
              </w:rPr>
            </w:pPr>
            <w:r>
              <w:rPr>
                <w:b/>
                <w:i/>
                <w:color w:val="484847" w:themeColor="text1"/>
              </w:rPr>
              <w:t>„За съответстващи се считат мебелни продукти, на които е присъден знакът за екомаркировка на ЕС за мебели в съответствие с Решение (ЕС) 2016/1332 на Комисията или други относими екоетикети от вид I съгласно ISO 14024, пряко отговарящи на посочените изисквания, или въз основа на еквивалентни методи</w:t>
            </w:r>
            <w:r>
              <w:rPr>
                <w:b/>
                <w:i/>
              </w:rPr>
              <w:t>“.</w:t>
            </w:r>
          </w:p>
          <w:p w:rsidR="00006D29" w:rsidRPr="00F161B6" w:rsidRDefault="00006D29" w:rsidP="00006D29">
            <w:pPr>
              <w:spacing w:after="200" w:line="276" w:lineRule="auto"/>
            </w:pPr>
            <w:r>
              <w:rPr>
                <w:color w:val="484847" w:themeColor="text1"/>
              </w:rPr>
              <w:t xml:space="preserve">За повече примери за начина, по който маркировките могат да се използват в тръжни процедури, вж. примерите за критерии за ЕОП и добрите практики на уебсайт </w:t>
            </w:r>
            <w:r>
              <w:rPr>
                <w:b/>
                <w:color w:val="484847" w:themeColor="text1"/>
              </w:rPr>
              <w:t>http://ec.europa.eu/environment/gpp</w:t>
            </w:r>
          </w:p>
        </w:tc>
      </w:tr>
    </w:tbl>
    <w:p w:rsidR="00857D47" w:rsidRPr="00165BE0" w:rsidRDefault="00857D47" w:rsidP="0064089B">
      <w:pPr>
        <w:spacing w:after="0"/>
      </w:pPr>
      <w:r>
        <w:t>Когато дадена маркировка отговаря на всички тези изисквания, тя може да бъде посочена директно в спецификациите, критериите за възлагане или клаузите за изпълнение на договора за обществената поръчка — например като се включи изискване продуктът да има тази конкретна маркировка или еквивалентна. Като алтернатива, маркировката може да се посочи като потенциално средство за проверка, както е в примера за мебелния продукт, даден в карето.</w:t>
      </w:r>
    </w:p>
    <w:p w:rsidR="0064089B" w:rsidRPr="00165BE0" w:rsidRDefault="0064089B" w:rsidP="0064089B">
      <w:pPr>
        <w:spacing w:after="0"/>
      </w:pPr>
    </w:p>
    <w:p w:rsidR="0064089B" w:rsidRPr="00165BE0" w:rsidRDefault="0064089B" w:rsidP="0064089B">
      <w:r>
        <w:t xml:space="preserve">Ако маркировките включват критерии, </w:t>
      </w:r>
      <w:r>
        <w:rPr>
          <w:b/>
        </w:rPr>
        <w:t>които не са свързани с предмета на поръчката</w:t>
      </w:r>
      <w:r>
        <w:t xml:space="preserve"> (напр. изискване за обслужване/поддръжка, когато поръчката е само за доставка), възлагащите органи не следва да изискват самата маркировка, а да се позоват в спецификациите на съответните изисквания на маркировката.</w:t>
      </w:r>
    </w:p>
    <w:p w:rsidR="003B7849" w:rsidRPr="00D91E9B" w:rsidRDefault="0064089B" w:rsidP="00B37DC6">
      <w:r>
        <w:t xml:space="preserve">Във всички случаи трябва да се приемат маркировки, доказващи, че стоките, услугите или строителните дейности отговарят на еквивалентни изисквания. В извънредни случаи, когато оферентът може да докаже, че не е имал достъп до маркировка на трета страна по причини, които не са по негова вина, оферентът може да представи техническо досие или друго подходящо доказателство. Това може да е приложимо, когато е допуснат особено кратък срок за подаване на оферти и оферентът е кандидатствал, но все още не е получил например съответна маркировка на трета страна. В този случай от оферента може да бъде поискано доказателство за кандидатстването. </w:t>
      </w:r>
    </w:p>
    <w:p w:rsidR="00292C76" w:rsidRPr="00165BE0" w:rsidRDefault="00292C76" w:rsidP="00220A56">
      <w:pPr>
        <w:spacing w:after="0"/>
      </w:pPr>
      <w:r>
        <w:t xml:space="preserve">Могат да се използват </w:t>
      </w:r>
      <w:r>
        <w:rPr>
          <w:b/>
        </w:rPr>
        <w:t>варианти</w:t>
      </w:r>
      <w:r>
        <w:t>, за да се позволи на участниците на пазара да предлагат продукти или услуги, които не отговарят на подробната техническа спецификация, но са предпочитани от екологична гледна точка. Напр., ако се закупуват превозни средства и са посочени бензинови двигатели, разрешаването на варианти би могло да означава, че оферентите могат да предлагат хибридни превозни средства. С цел използването на варианти, възлагащият орган трябва:</w:t>
      </w:r>
    </w:p>
    <w:p w:rsidR="00292C76" w:rsidRPr="00165BE0" w:rsidRDefault="00292C76" w:rsidP="00662C46">
      <w:pPr>
        <w:spacing w:after="0"/>
      </w:pPr>
      <w:r>
        <w:t>i) да посочи в обявлението за обществена поръчка, че ще се приемат варианти;</w:t>
      </w:r>
    </w:p>
    <w:p w:rsidR="00292C76" w:rsidRPr="00165BE0" w:rsidRDefault="00292C76" w:rsidP="00662C46">
      <w:pPr>
        <w:spacing w:after="0"/>
      </w:pPr>
      <w:r>
        <w:t>ii) да посочи минималните изисквания, на които трябва да отговарят вариантите; и</w:t>
      </w:r>
    </w:p>
    <w:p w:rsidR="00292C76" w:rsidRPr="00165BE0" w:rsidRDefault="00292C76" w:rsidP="002805FD">
      <w:r>
        <w:lastRenderedPageBreak/>
        <w:t>iii) да определи всички специфични изисквания за представянето на варианти в офертите (като например, че даден вариант може да се представя само в комбинация с оферта, която не съдържа варианти).</w:t>
      </w:r>
    </w:p>
    <w:p w:rsidR="00D715E6" w:rsidRDefault="00D715E6" w:rsidP="00AB74D0">
      <w:pPr>
        <w:pStyle w:val="B-Headline01"/>
      </w:pPr>
      <w:r>
        <w:t>Критерии за възлагане</w:t>
      </w:r>
    </w:p>
    <w:p w:rsidR="008F0223" w:rsidRPr="00165BE0" w:rsidRDefault="00F53851" w:rsidP="001879E2">
      <w:r>
        <w:t>Във всички процедури могат да се прилагат екологични критерии за възлагане. Съгласно директивите от 2014 г. всички поръчки трябва да бъдат възлагани въз основа на „</w:t>
      </w:r>
      <w:r>
        <w:rPr>
          <w:b/>
        </w:rPr>
        <w:t>икономически най-изгодната оферта“</w:t>
      </w:r>
      <w:r>
        <w:t xml:space="preserve">. Разходите могат да бъдат оценявани по няколко начина, включително чрез </w:t>
      </w:r>
      <w:r>
        <w:rPr>
          <w:b/>
        </w:rPr>
        <w:t>оценка на разходите за целия жизнен цикъл</w:t>
      </w:r>
      <w:r>
        <w:t xml:space="preserve"> (вж. карето). В директивите са дадени само примери за критерии за възлагане, а не изчерпателен списък. Възлагащите органи са свободни да определят други критерии, при условие че те са свързани с предмета на поръчката, не предоставят неограничена свобода на избор на възлагащия орган, гарантират възможността за ефективна конкуренция и подлежат на проверка. </w:t>
      </w:r>
    </w:p>
    <w:p w:rsidR="009B7E38" w:rsidRDefault="008F0223" w:rsidP="00F53851">
      <w:r>
        <w:t>Критериите за възлагане трябва да бъдат посочени в обявлението или в тръжните документи, заедно с техните коефициенти за тежест и всякакви подкритерии. Съгласно принципа на прозрачност критериите за възлагане трябва да бъдат разбрани от „</w:t>
      </w:r>
      <w:r>
        <w:rPr>
          <w:b/>
        </w:rPr>
        <w:t>разумно информиран и обичайно добросъвестен оферент</w:t>
      </w:r>
      <w:r>
        <w:t xml:space="preserve">“— това означава, че те трябва да бъдат ясно обяснени на език, който лицата, осъществяващи дейност в конкретната област, могат да разберат. Следва да се ограничат позоваванията на местни/национални системи, класификации (решение на Съда от 26 септември 2000 г. </w:t>
      </w:r>
      <w:r>
        <w:rPr>
          <w:i/>
        </w:rPr>
        <w:t>Комисия на Европейските общности срещу Френска република (Nord-Pas-de-Calais)</w:t>
      </w:r>
      <w:r>
        <w:t xml:space="preserve">, C-225/98, EU:C:2000:494). </w:t>
      </w:r>
    </w:p>
    <w:p w:rsidR="002C1EBD" w:rsidRDefault="002C1EBD" w:rsidP="00F53851"/>
    <w:p w:rsidR="002C1EBD" w:rsidRPr="00165BE0" w:rsidRDefault="002C1EBD" w:rsidP="00F53851"/>
    <w:tbl>
      <w:tblPr>
        <w:tblStyle w:val="TableGrid"/>
        <w:tblpPr w:leftFromText="141" w:rightFromText="141" w:vertAnchor="text" w:horzAnchor="margin" w:tblpXSpec="right" w:tblpY="-19"/>
        <w:tblOverlap w:val="never"/>
        <w:tblW w:w="0" w:type="auto"/>
        <w:tblLook w:val="04A0" w:firstRow="1" w:lastRow="0" w:firstColumn="1" w:lastColumn="0" w:noHBand="0" w:noVBand="1"/>
      </w:tblPr>
      <w:tblGrid>
        <w:gridCol w:w="4887"/>
      </w:tblGrid>
      <w:tr w:rsidR="009B7E38" w:rsidTr="009F043F">
        <w:tc>
          <w:tcPr>
            <w:tcW w:w="4887" w:type="dxa"/>
            <w:tcBorders>
              <w:bottom w:val="single" w:sz="4" w:space="0" w:color="auto"/>
            </w:tcBorders>
            <w:shd w:val="clear" w:color="auto" w:fill="9BB51B" w:themeFill="accent2"/>
          </w:tcPr>
          <w:p w:rsidR="009B7E38" w:rsidRPr="00F161B6" w:rsidRDefault="009B7E38" w:rsidP="009B7E38">
            <w:pPr>
              <w:jc w:val="center"/>
              <w:rPr>
                <w:b/>
                <w:color w:val="FFFFFF" w:themeColor="background1"/>
              </w:rPr>
            </w:pPr>
            <w:r>
              <w:rPr>
                <w:b/>
                <w:color w:val="FFFFFF" w:themeColor="background1"/>
              </w:rPr>
              <w:lastRenderedPageBreak/>
              <w:t>Оценка на разходите за целия жизнен цикъл</w:t>
            </w:r>
          </w:p>
        </w:tc>
      </w:tr>
      <w:tr w:rsidR="009B7E38" w:rsidRPr="00165BE0" w:rsidTr="009F043F">
        <w:tc>
          <w:tcPr>
            <w:tcW w:w="4887" w:type="dxa"/>
            <w:shd w:val="clear" w:color="auto" w:fill="F2F2F2" w:themeFill="background1" w:themeFillShade="F2"/>
          </w:tcPr>
          <w:p w:rsidR="009B7E38" w:rsidRPr="00D91E9B" w:rsidRDefault="009B7E38" w:rsidP="009B7E38">
            <w:pPr>
              <w:spacing w:after="200" w:line="276" w:lineRule="auto"/>
              <w:rPr>
                <w:color w:val="484847" w:themeColor="text1"/>
              </w:rPr>
            </w:pPr>
            <w:r>
              <w:rPr>
                <w:color w:val="484847" w:themeColor="text1"/>
              </w:rPr>
              <w:t xml:space="preserve">Оценката на разходите за целия жизнен цикъл (LCC) дава възможност за сравняване на </w:t>
            </w:r>
            <w:r>
              <w:rPr>
                <w:b/>
                <w:color w:val="484847" w:themeColor="text1"/>
              </w:rPr>
              <w:t>действителните разходи</w:t>
            </w:r>
            <w:r>
              <w:rPr>
                <w:color w:val="484847" w:themeColor="text1"/>
              </w:rPr>
              <w:t xml:space="preserve"> на офертите на етапа на възлагане. </w:t>
            </w:r>
          </w:p>
          <w:p w:rsidR="009B7E38" w:rsidRPr="00D91E9B" w:rsidRDefault="009B7E38" w:rsidP="009B7E38">
            <w:pPr>
              <w:spacing w:after="200" w:line="276" w:lineRule="auto"/>
              <w:rPr>
                <w:color w:val="484847" w:themeColor="text1"/>
              </w:rPr>
            </w:pPr>
            <w:r>
              <w:rPr>
                <w:color w:val="484847" w:themeColor="text1"/>
              </w:rPr>
              <w:t xml:space="preserve">Оценката на разходите за целия жизнен цикъл (LCC) обхваща разходите, поети от възлагащия орган или други потребители, напр. придобиване, използване, поддръжка и излизане от употреба. Тя може да включва и </w:t>
            </w:r>
            <w:r>
              <w:rPr>
                <w:b/>
                <w:color w:val="484847" w:themeColor="text1"/>
              </w:rPr>
              <w:t>външни екологични фактори</w:t>
            </w:r>
            <w:r>
              <w:rPr>
                <w:color w:val="484847" w:themeColor="text1"/>
              </w:rPr>
              <w:t>, при условие че тяхната парична стойност може да се определи и провери (напр. емисии на парникови газове).</w:t>
            </w:r>
          </w:p>
          <w:p w:rsidR="009B7E38" w:rsidRDefault="009B7E38" w:rsidP="009B7E38">
            <w:pPr>
              <w:spacing w:after="200" w:line="276" w:lineRule="auto"/>
              <w:rPr>
                <w:rFonts w:eastAsia="Verdana" w:hAnsi="Calibri" w:cs="Verdana"/>
                <w:color w:val="484847" w:themeColor="text1"/>
                <w:kern w:val="24"/>
                <w:sz w:val="52"/>
                <w:szCs w:val="52"/>
              </w:rPr>
            </w:pPr>
            <w:r>
              <w:rPr>
                <w:color w:val="484847" w:themeColor="text1"/>
              </w:rPr>
              <w:t xml:space="preserve">Методите за оценка на разходите за целия жизнен цикъл трябва да бъдат </w:t>
            </w:r>
            <w:r>
              <w:rPr>
                <w:b/>
                <w:color w:val="484847" w:themeColor="text1"/>
              </w:rPr>
              <w:t>прозрачни</w:t>
            </w:r>
            <w:r>
              <w:rPr>
                <w:color w:val="484847" w:themeColor="text1"/>
              </w:rPr>
              <w:t>така, че оферентите да разберат данните, които се изискват, и начина на изчисляване на разходите. В повечето случаи органът може да избере своя собствена методология, но трябва да я разясни в тръжната документация (напр. като включи електронна таблица с подробни указания). Методът трябва да отговаря на следните условия:</w:t>
            </w:r>
            <w:r>
              <w:rPr>
                <w:rFonts w:hAnsi="Calibri"/>
                <w:color w:val="484847" w:themeColor="text1"/>
                <w:kern w:val="24"/>
                <w:sz w:val="52"/>
              </w:rPr>
              <w:t xml:space="preserve"> </w:t>
            </w:r>
          </w:p>
          <w:p w:rsidR="009B7E38" w:rsidRPr="00D91E9B" w:rsidRDefault="009B7E38" w:rsidP="009B7E38">
            <w:pPr>
              <w:pStyle w:val="ListParagraph"/>
              <w:numPr>
                <w:ilvl w:val="0"/>
                <w:numId w:val="38"/>
              </w:numPr>
              <w:tabs>
                <w:tab w:val="clear" w:pos="720"/>
                <w:tab w:val="num" w:pos="284"/>
              </w:tabs>
              <w:spacing w:line="276" w:lineRule="auto"/>
              <w:ind w:left="284" w:hanging="284"/>
              <w:rPr>
                <w:color w:val="484847" w:themeColor="text1"/>
              </w:rPr>
            </w:pPr>
            <w:r>
              <w:rPr>
                <w:color w:val="484847" w:themeColor="text1"/>
              </w:rPr>
              <w:t>да се основава на подлежащи на обективна проверка и недискриминационни критерии;</w:t>
            </w:r>
          </w:p>
          <w:p w:rsidR="009B7E38" w:rsidRPr="00D91E9B" w:rsidRDefault="009B7E38" w:rsidP="009B7E38">
            <w:pPr>
              <w:pStyle w:val="ListParagraph"/>
              <w:numPr>
                <w:ilvl w:val="0"/>
                <w:numId w:val="38"/>
              </w:numPr>
              <w:tabs>
                <w:tab w:val="clear" w:pos="720"/>
                <w:tab w:val="num" w:pos="284"/>
              </w:tabs>
              <w:spacing w:line="276" w:lineRule="auto"/>
              <w:ind w:left="284" w:hanging="284"/>
              <w:rPr>
                <w:color w:val="484847" w:themeColor="text1"/>
              </w:rPr>
            </w:pPr>
            <w:r>
              <w:rPr>
                <w:color w:val="484847" w:themeColor="text1"/>
              </w:rPr>
              <w:t>да е достъпен за всички заинтересовани страни;</w:t>
            </w:r>
          </w:p>
          <w:p w:rsidR="009B7E38" w:rsidRPr="00D91E9B" w:rsidRDefault="009B7E38" w:rsidP="009B7E38">
            <w:pPr>
              <w:pStyle w:val="ListParagraph"/>
              <w:numPr>
                <w:ilvl w:val="0"/>
                <w:numId w:val="38"/>
              </w:numPr>
              <w:tabs>
                <w:tab w:val="clear" w:pos="720"/>
                <w:tab w:val="num" w:pos="284"/>
              </w:tabs>
              <w:spacing w:after="200" w:line="276" w:lineRule="auto"/>
              <w:ind w:left="284" w:hanging="284"/>
              <w:rPr>
                <w:color w:val="484847" w:themeColor="text1"/>
              </w:rPr>
            </w:pPr>
            <w:r>
              <w:rPr>
                <w:color w:val="484847" w:themeColor="text1"/>
              </w:rPr>
              <w:t>изискваните данни да могат да бъдат предоставени при полагане на разумни усилия от обичайно добросъвестни стопански субекти, включително стопански субекти от трети държави.</w:t>
            </w:r>
          </w:p>
          <w:p w:rsidR="009B7E38" w:rsidRPr="00D91E9B" w:rsidRDefault="009B7E38" w:rsidP="009B7E38">
            <w:pPr>
              <w:spacing w:line="276" w:lineRule="auto"/>
            </w:pPr>
            <w:r>
              <w:rPr>
                <w:color w:val="484847" w:themeColor="text1"/>
              </w:rPr>
              <w:t>Понастоящем от името на на Европейската комисия се разработва нов инструмент за оценка на разходите за целия жизнен цикъл (LCC), който ще обхваща множество групи продукти/услуги, и той ще бъде достъпен през 2019 г. на уебсайта на ЕС относно ЕОП.</w:t>
            </w:r>
          </w:p>
        </w:tc>
      </w:tr>
    </w:tbl>
    <w:p w:rsidR="009B7E38" w:rsidRPr="00165BE0" w:rsidRDefault="0067151C" w:rsidP="00F53851">
      <w:r>
        <w:t xml:space="preserve">В критериите за възлагане могат да се посочват маркировки на трети страни при същите условия като определените по-горе. </w:t>
      </w:r>
    </w:p>
    <w:p w:rsidR="00662C46" w:rsidRPr="00D91E9B" w:rsidRDefault="00662C46" w:rsidP="00662C46">
      <w:r>
        <w:t>Факторите, които трябва да се вземат предвид при избора на екологични критерии за възлагане на обществени поръчки, са:</w:t>
      </w:r>
    </w:p>
    <w:p w:rsidR="008430E0" w:rsidRPr="00165BE0" w:rsidRDefault="00A444EC" w:rsidP="00662C46">
      <w:pPr>
        <w:numPr>
          <w:ilvl w:val="0"/>
          <w:numId w:val="34"/>
        </w:numPr>
        <w:spacing w:after="0"/>
      </w:pPr>
      <w:r>
        <w:t>минималните нива на екологични характеристики, които вече се изискват в техническите спецификации;</w:t>
      </w:r>
    </w:p>
    <w:p w:rsidR="008430E0" w:rsidRPr="00165BE0" w:rsidRDefault="00A444EC" w:rsidP="00662C46">
      <w:pPr>
        <w:numPr>
          <w:ilvl w:val="0"/>
          <w:numId w:val="34"/>
        </w:numPr>
        <w:spacing w:after="0"/>
      </w:pPr>
      <w:r>
        <w:t>специфичните въздействия на поръчката върху околната среда и областите, в които оферентите могат да бъдат в състояние да предложат решения;</w:t>
      </w:r>
    </w:p>
    <w:p w:rsidR="00F53851" w:rsidRPr="00165BE0" w:rsidRDefault="00A444EC" w:rsidP="00F53851">
      <w:pPr>
        <w:numPr>
          <w:ilvl w:val="0"/>
          <w:numId w:val="34"/>
        </w:numPr>
      </w:pPr>
      <w:r>
        <w:t>начинът, по който критериите ще бъдат оценявани/проверявани.</w:t>
      </w:r>
    </w:p>
    <w:p w:rsidR="003C766E" w:rsidRPr="00165BE0" w:rsidRDefault="003C766E" w:rsidP="003C766E">
      <w:r>
        <w:t>Критериите на ЕС за ЕОП съдържат набор от предложени критерии за възлагане за всяка група продукти/услуги, като например:</w:t>
      </w:r>
    </w:p>
    <w:p w:rsidR="003C766E" w:rsidRPr="00165BE0" w:rsidRDefault="003C766E" w:rsidP="00F53E27">
      <w:pPr>
        <w:spacing w:after="0"/>
      </w:pPr>
      <w:r>
        <w:rPr>
          <w:b/>
        </w:rPr>
        <w:t>Офис сгради:</w:t>
      </w:r>
    </w:p>
    <w:p w:rsidR="003C766E" w:rsidRPr="00165BE0" w:rsidRDefault="003C766E" w:rsidP="003C766E">
      <w:r>
        <w:rPr>
          <w:i/>
        </w:rPr>
        <w:t xml:space="preserve">„Ще бъдат присъждани точки пропорционално на допълнителното потреблението на първична енергия в сградата, която ще се доставя/получава от местни възобновяеми източници на енергия или алтернативни високоефективни инсталации“. </w:t>
      </w:r>
    </w:p>
    <w:p w:rsidR="003C766E" w:rsidRPr="00165BE0" w:rsidRDefault="003C766E" w:rsidP="00F53E27">
      <w:pPr>
        <w:spacing w:after="0"/>
      </w:pPr>
      <w:r>
        <w:rPr>
          <w:b/>
        </w:rPr>
        <w:t>Текстилни изделия:</w:t>
      </w:r>
    </w:p>
    <w:p w:rsidR="003C766E" w:rsidRPr="00165BE0" w:rsidRDefault="003C766E" w:rsidP="003C766E">
      <w:r>
        <w:rPr>
          <w:b/>
          <w:i/>
        </w:rPr>
        <w:t>„</w:t>
      </w:r>
      <w:r>
        <w:rPr>
          <w:i/>
        </w:rPr>
        <w:t>Точки ще се присъждат пропорционално за всяко подобряване с 10 % над минималните стойности по техническата спецификация за съдържанието на памук, произведен при интегрирано управление на вредителите, или биологичен памук“.</w:t>
      </w:r>
    </w:p>
    <w:p w:rsidR="008430E0" w:rsidRDefault="00A444EC" w:rsidP="00255E71">
      <w:pPr>
        <w:spacing w:after="0"/>
      </w:pPr>
      <w:r>
        <w:t xml:space="preserve">Няма минимален или максимален брой точки, които могат да бъдат присъдени за екологичните критерии за възлагане. В решението си от 4 декември 2003 г. по дело </w:t>
      </w:r>
      <w:r>
        <w:rPr>
          <w:i/>
        </w:rPr>
        <w:t xml:space="preserve">EVN AG et </w:t>
      </w:r>
      <w:r>
        <w:rPr>
          <w:i/>
        </w:rPr>
        <w:lastRenderedPageBreak/>
        <w:t>Wienstrom GmbH срещу Republik Österreich</w:t>
      </w:r>
      <w:r>
        <w:t>, C-448/01, EU:C:2003:651, Съдът на ЕС одобри принципно критерий за възлагане, свързан с енергията от възобновяеми източници, с коефициент за тежест от 45 %.</w:t>
      </w:r>
    </w:p>
    <w:p w:rsidR="00255E71" w:rsidRPr="00165BE0" w:rsidRDefault="00255E71" w:rsidP="00255E71">
      <w:pPr>
        <w:spacing w:after="0"/>
      </w:pPr>
    </w:p>
    <w:p w:rsidR="00613ECB" w:rsidRPr="00165BE0" w:rsidRDefault="00613ECB" w:rsidP="00613ECB">
      <w:pPr>
        <w:spacing w:after="0"/>
      </w:pPr>
      <w:r>
        <w:t>В директивите не се предписват методологии за претегляне и за оценяване чрез точкова система — те трябва обаче да бъдат прозрачни и да не нарушават конкуренцията. Много възлагащи органи избират да прилагат повече от един екологичен критерий за възлагане в рамките на дадена тръжна процедура, напр. за да обхванат както отражението върху климата, така и използването на ресурсите.</w:t>
      </w:r>
    </w:p>
    <w:p w:rsidR="00613ECB" w:rsidRPr="00165BE0" w:rsidRDefault="00613ECB" w:rsidP="00613ECB">
      <w:pPr>
        <w:spacing w:after="0"/>
      </w:pPr>
    </w:p>
    <w:p w:rsidR="00613ECB" w:rsidRPr="00165BE0" w:rsidRDefault="00613ECB" w:rsidP="00893A27">
      <w:r>
        <w:t xml:space="preserve">Освен претеглянето, също толкова важен е начинът, по който се присъждат точки за критериите за възлагане. Той следва да се основава на обективни доказателства за изпълнението на офертата, като например протоколи от изпитвания, сертификати, системи за управление на околната среда или маркировки на трети страни. В някои случаи, когато не са налице такива доказателства, може да е достатъчно декларация от оферента. </w:t>
      </w:r>
    </w:p>
    <w:p w:rsidR="005D502E" w:rsidRPr="00165BE0" w:rsidRDefault="005D502E" w:rsidP="00893A27"/>
    <w:p w:rsidR="00AC1904" w:rsidRDefault="00D715E6" w:rsidP="00AB74D0">
      <w:pPr>
        <w:pStyle w:val="B-Headline01"/>
      </w:pPr>
      <w:r>
        <w:t>Съчетаване на спецификации и критерии за възлагане</w:t>
      </w:r>
    </w:p>
    <w:p w:rsidR="00352C6C" w:rsidRPr="00165BE0" w:rsidRDefault="00D30670" w:rsidP="00352C6C">
      <w:r>
        <w:t xml:space="preserve">Много възлагащи органи избират да съчетават технически спецификации и критерии за възлагане в ЕОП. В техническите спецификации следва винаги да се определят </w:t>
      </w:r>
      <w:r>
        <w:rPr>
          <w:b/>
        </w:rPr>
        <w:t>минималните изисквания</w:t>
      </w:r>
      <w:r>
        <w:t xml:space="preserve">, а критериите за възлагане да се използват, за да се отличи изпълнение, което </w:t>
      </w:r>
      <w:r>
        <w:rPr>
          <w:b/>
        </w:rPr>
        <w:t>надхвърля минималните изисквания</w:t>
      </w:r>
      <w:r>
        <w:t xml:space="preserve">. </w:t>
      </w:r>
    </w:p>
    <w:p w:rsidR="00880CA8" w:rsidRPr="00165BE0" w:rsidRDefault="00880CA8" w:rsidP="00352C6C">
      <w:r>
        <w:t>Например в оферта за ИТ оборудване може да се използва следната комбинация от спецификации и критерии за възлагане, за да се постави акцент на енергийната ефективност:</w:t>
      </w:r>
    </w:p>
    <w:p w:rsidR="000A13EF" w:rsidRPr="00165BE0" w:rsidRDefault="00E3795A" w:rsidP="00352C6C">
      <w:r>
        <w:rPr>
          <w:b/>
        </w:rPr>
        <w:t>Спецификация —</w:t>
      </w:r>
      <w:r>
        <w:t xml:space="preserve"> Всяко оборудване трябва да отговаря на изискванията на последната версия на програма EnergyStar.</w:t>
      </w:r>
    </w:p>
    <w:p w:rsidR="002E281D" w:rsidRPr="00165BE0" w:rsidRDefault="002E281D" w:rsidP="005D502E">
      <w:r>
        <w:rPr>
          <w:b/>
        </w:rPr>
        <w:t>Критерии за възлагане</w:t>
      </w:r>
      <w:r>
        <w:t xml:space="preserve"> — ще бъдат присъдени до 15 точки за оборудване с проверени нива на енергийна ефективност, които са по-добри от изискванията на програма EnergyStar.</w:t>
      </w:r>
    </w:p>
    <w:p w:rsidR="005D502E" w:rsidRPr="00165BE0" w:rsidRDefault="005D502E" w:rsidP="005D502E"/>
    <w:p w:rsidR="00D715E6" w:rsidRPr="00AE2B5F" w:rsidRDefault="00D715E6" w:rsidP="00AB74D0">
      <w:pPr>
        <w:pStyle w:val="B-Headline01"/>
      </w:pPr>
      <w:r>
        <w:t xml:space="preserve">Изпълнение на договорите за поръчките </w:t>
      </w:r>
    </w:p>
    <w:p w:rsidR="00597D71" w:rsidRPr="00165BE0" w:rsidRDefault="00A444EC" w:rsidP="00597D71">
      <w:r>
        <w:t xml:space="preserve">С оглед на гарантиране на спазването на ангажиментите по отношение на ЕОП при изпълнението на договорите за обществени поръчки, от съществено значение e включването на строги условия за изпълнението на договорите. Те трябва да бъдат </w:t>
      </w:r>
      <w:r>
        <w:rPr>
          <w:b/>
        </w:rPr>
        <w:t>свързани с предмета на поръчката</w:t>
      </w:r>
      <w:r>
        <w:t xml:space="preserve"> и </w:t>
      </w:r>
      <w:r>
        <w:rPr>
          <w:b/>
        </w:rPr>
        <w:t>да бъдат предварително посочени</w:t>
      </w:r>
      <w:r>
        <w:t xml:space="preserve"> в обявлението или тръжните документи. </w:t>
      </w:r>
    </w:p>
    <w:p w:rsidR="008430E0" w:rsidRPr="00165BE0" w:rsidRDefault="00A444EC" w:rsidP="00597D71">
      <w:r>
        <w:t xml:space="preserve">От оферентите може да бъде поискано по време на тръжната процедура да потвърдят приемането на условията. С гарантирането, че оферентите са запознати и приемат условията на </w:t>
      </w:r>
      <w:r>
        <w:lastRenderedPageBreak/>
        <w:t>договора за обществената поръчката, когато подадат офертите си, се намалява рискът от неспазване (напр. защото те не са включили разходите за съответните мерки за мониторинг/докладване).</w:t>
      </w:r>
    </w:p>
    <w:p w:rsidR="002C1960" w:rsidRPr="00165BE0" w:rsidRDefault="00ED2706" w:rsidP="002C1960">
      <w:r>
        <w:t xml:space="preserve">Условията за изпълнение на договора за обществената поръчка могат да се прилагат освен за основния изпълнител и за всички </w:t>
      </w:r>
      <w:r>
        <w:rPr>
          <w:b/>
        </w:rPr>
        <w:t>подизпълнители</w:t>
      </w:r>
      <w:r>
        <w:t>. Изискването за наличие на връзка с предмета на поръчката означава, че тези условия не следва да бъдат насочени към общи корпоративни практики, а да се отнасят до това, което се доставя по силата на договора за конкретната поръчка.</w:t>
      </w:r>
    </w:p>
    <w:p w:rsidR="00F50B85" w:rsidRPr="00165BE0" w:rsidRDefault="00383680" w:rsidP="00F50B85">
      <w:r>
        <w:t>Условията за изпълнение на договора за обществената поръчка следва да отразяват както изискванията на органа, така и това, което оферентът е предложил в офертата си. Това означава, че макар проектът на договора да се публикува заедно с тръжната документация, ще бъде необходимо определени части от него да се попълнят в края на тръжната процедура. Екологичните изисквания могат да бъдат обособени в специална част на договора и да бъдат обобщени в началото, за да се гарантира, че те ще бъдат доведени до знанието на лицата, които са отговорни за изпълнението на договора за обществената поръчка.</w:t>
      </w:r>
    </w:p>
    <w:p w:rsidR="00037576" w:rsidRPr="00165BE0" w:rsidRDefault="00545783" w:rsidP="00F50B85">
      <w:r>
        <w:t>Съществуват редица начини за привеждане в изпълнение на условията на договор за ЕОП:</w:t>
      </w:r>
    </w:p>
    <w:p w:rsidR="00545783" w:rsidRPr="00165BE0" w:rsidRDefault="00545783" w:rsidP="00545783">
      <w:pPr>
        <w:pStyle w:val="ListParagraph"/>
        <w:numPr>
          <w:ilvl w:val="0"/>
          <w:numId w:val="40"/>
        </w:numPr>
      </w:pPr>
      <w:r>
        <w:t>редовно наблюдение и докладване от страна на изпълнителя</w:t>
      </w:r>
    </w:p>
    <w:p w:rsidR="00545783" w:rsidRPr="00165BE0" w:rsidRDefault="009300D1" w:rsidP="00545783">
      <w:pPr>
        <w:pStyle w:val="ListParagraph"/>
        <w:numPr>
          <w:ilvl w:val="0"/>
          <w:numId w:val="40"/>
        </w:numPr>
      </w:pPr>
      <w:r>
        <w:t>проверки на място от възлагащия орган</w:t>
      </w:r>
    </w:p>
    <w:p w:rsidR="009300D1" w:rsidRPr="00165BE0" w:rsidRDefault="009300D1" w:rsidP="00545783">
      <w:pPr>
        <w:pStyle w:val="ListParagraph"/>
        <w:numPr>
          <w:ilvl w:val="0"/>
          <w:numId w:val="40"/>
        </w:numPr>
      </w:pPr>
      <w:r>
        <w:t>одити или сертифициране от трети страни (включително по СУОС, когато е приложимо)</w:t>
      </w:r>
    </w:p>
    <w:p w:rsidR="00F973A5" w:rsidRDefault="00F973A5" w:rsidP="00545783">
      <w:pPr>
        <w:pStyle w:val="ListParagraph"/>
        <w:numPr>
          <w:ilvl w:val="0"/>
          <w:numId w:val="40"/>
        </w:numPr>
      </w:pPr>
      <w:r>
        <w:t>редовни срещи за преглед на договора за обществената поръчка</w:t>
      </w:r>
    </w:p>
    <w:p w:rsidR="009300D1" w:rsidRPr="00165BE0" w:rsidRDefault="009300D1" w:rsidP="00545783">
      <w:pPr>
        <w:pStyle w:val="ListParagraph"/>
        <w:numPr>
          <w:ilvl w:val="0"/>
          <w:numId w:val="40"/>
        </w:numPr>
      </w:pPr>
      <w:r>
        <w:t>използване на договорни стимули и/или санкции, свързани с някой от посочените по-горе начини</w:t>
      </w:r>
    </w:p>
    <w:p w:rsidR="00581731" w:rsidRPr="00165BE0" w:rsidRDefault="00603302" w:rsidP="009B7E38">
      <w:pPr>
        <w:spacing w:after="0"/>
      </w:pPr>
      <w:r>
        <w:t xml:space="preserve">Оптималните условия ще отразяват ресурсите, с които и двете страни разполагат, за да наблюдават ангажиментите във връзка с ЕОП. За някои поръчки може да е уместно да се изиска изпълнителят да получи сертифициране по </w:t>
      </w:r>
      <w:r>
        <w:rPr>
          <w:b/>
        </w:rPr>
        <w:t>система за управление на околната среда</w:t>
      </w:r>
      <w:r>
        <w:t xml:space="preserve"> през срока на действие договора (или да поддържа това сертифициране, ако е било условие на тръжната процедура).  В някои случаи може да е целесъобразно и да се включи изискване за получаване или поддържане на </w:t>
      </w:r>
      <w:r>
        <w:rPr>
          <w:b/>
        </w:rPr>
        <w:t>маркировка</w:t>
      </w:r>
      <w:r>
        <w:t xml:space="preserve"> на трета страна по време на договора за обществената поръчка.</w:t>
      </w:r>
    </w:p>
    <w:p w:rsidR="008A7925" w:rsidRPr="00165BE0" w:rsidRDefault="008A7925" w:rsidP="00F973A5"/>
    <w:p w:rsidR="008A7925" w:rsidRPr="00165BE0" w:rsidRDefault="008A7925" w:rsidP="008A7925">
      <w:r>
        <w:t>Дата на публикуване на документа: март 2019 г.</w:t>
      </w:r>
    </w:p>
    <w:p w:rsidR="008A7925" w:rsidRPr="00165BE0" w:rsidRDefault="008A7925" w:rsidP="008A7925">
      <w:r>
        <w:t>Автор: Аби Семпъл, Public Procurement Analysis (Консултантско дружество в областта на анализа на обществените поръчки)</w:t>
      </w:r>
    </w:p>
    <w:p w:rsidR="008A7925" w:rsidRPr="00165BE0" w:rsidRDefault="008A7925" w:rsidP="008A7925">
      <w:pPr>
        <w:sectPr w:rsidR="008A7925" w:rsidRPr="00165BE0" w:rsidSect="005D502E">
          <w:headerReference w:type="default" r:id="rId23"/>
          <w:footerReference w:type="default" r:id="rId24"/>
          <w:footerReference w:type="first" r:id="rId25"/>
          <w:pgSz w:w="11906" w:h="16838"/>
          <w:pgMar w:top="1417" w:right="1417" w:bottom="1134" w:left="1417" w:header="708" w:footer="117" w:gutter="0"/>
          <w:pgNumType w:chapStyle="1" w:chapSep="colon"/>
          <w:cols w:space="708"/>
          <w:titlePg/>
          <w:docGrid w:linePitch="360"/>
        </w:sectPr>
      </w:pPr>
    </w:p>
    <w:p w:rsidR="008A7925" w:rsidRPr="00165BE0" w:rsidRDefault="008A7925" w:rsidP="008A7925"/>
    <w:p w:rsidR="008A7925" w:rsidRDefault="009C1AD7" w:rsidP="00F973A5">
      <w:r>
        <w:rPr>
          <w:noProof/>
        </w:rPr>
        <w:lastRenderedPageBreak/>
        <mc:AlternateContent>
          <mc:Choice Requires="wps">
            <w:drawing>
              <wp:anchor distT="0" distB="0" distL="114300" distR="114300" simplePos="0" relativeHeight="251676672" behindDoc="0" locked="0" layoutInCell="1" allowOverlap="1">
                <wp:simplePos x="0" y="0"/>
                <wp:positionH relativeFrom="margin">
                  <wp:posOffset>-23495</wp:posOffset>
                </wp:positionH>
                <wp:positionV relativeFrom="margin">
                  <wp:posOffset>7833995</wp:posOffset>
                </wp:positionV>
                <wp:extent cx="5727700" cy="1023620"/>
                <wp:effectExtent l="0" t="0" r="6350" b="5080"/>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102362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id w:val="18640435"/>
                              <w:docPartObj>
                                <w:docPartGallery w:val="Page Numbers (Bottom of Page)"/>
                                <w:docPartUnique/>
                              </w:docPartObj>
                            </w:sdtPr>
                            <w:sdtEndPr/>
                            <w:sdtContent>
                              <w:p w:rsidR="005D502E" w:rsidRPr="00262366" w:rsidRDefault="005D502E" w:rsidP="005D502E">
                                <w:pPr>
                                  <w:pStyle w:val="Footer"/>
                                  <w:jc w:val="center"/>
                                  <w:rPr>
                                    <w:color w:val="242423" w:themeColor="text1" w:themeShade="80"/>
                                    <w:sz w:val="20"/>
                                  </w:rPr>
                                </w:pPr>
                                <w:r>
                                  <w:rPr>
                                    <w:color w:val="242423" w:themeColor="text1" w:themeShade="80"/>
                                    <w:sz w:val="20"/>
                                  </w:rPr>
                                  <w:t>Инструментариум, разработен за Европейската комисия от ICLEI — Международна асоциация на органите на местното самоуправление за устойчиво развитие</w:t>
                                </w:r>
                              </w:p>
                              <w:p w:rsidR="005D502E" w:rsidRPr="00262366" w:rsidRDefault="005D502E" w:rsidP="005D502E">
                                <w:pPr>
                                  <w:pStyle w:val="Footer"/>
                                  <w:jc w:val="center"/>
                                  <w:rPr>
                                    <w:color w:val="242423" w:themeColor="text1" w:themeShade="80"/>
                                    <w:sz w:val="20"/>
                                  </w:rPr>
                                </w:pPr>
                                <w:r>
                                  <w:rPr>
                                    <w:b/>
                                    <w:color w:val="242423" w:themeColor="text1" w:themeShade="80"/>
                                    <w:sz w:val="20"/>
                                  </w:rPr>
                                  <w:t xml:space="preserve">Собственик, редактор: </w:t>
                                </w:r>
                                <w:r>
                                  <w:rPr>
                                    <w:color w:val="242423" w:themeColor="text1" w:themeShade="80"/>
                                    <w:sz w:val="20"/>
                                  </w:rPr>
                                  <w:t>Европейска комисия, ГД „Околна среда“, 2019 г.</w:t>
                                </w:r>
                              </w:p>
                              <w:p w:rsidR="005D502E" w:rsidRPr="00E50624" w:rsidRDefault="005D502E" w:rsidP="005D502E">
                                <w:pPr>
                                  <w:pStyle w:val="Footer"/>
                                  <w:jc w:val="center"/>
                                  <w:rPr>
                                    <w:sz w:val="20"/>
                                  </w:rPr>
                                </w:pPr>
                                <w:r>
                                  <w:rPr>
                                    <w:b/>
                                    <w:color w:val="242423" w:themeColor="text1" w:themeShade="80"/>
                                    <w:sz w:val="20"/>
                                  </w:rPr>
                                  <w:t xml:space="preserve">Отказ от отговорност: </w:t>
                                </w:r>
                                <w:r>
                                  <w:rPr>
                                    <w:color w:val="242423" w:themeColor="text1" w:themeShade="80"/>
                                    <w:sz w:val="20"/>
                                  </w:rPr>
                                  <w:t xml:space="preserve">Настоящият инструментариум представлява индикативен документ на службите на Комисията и не може да се приема за обвързващ за тази институция по какъвто и да е начин. </w:t>
                                </w:r>
                                <w:r>
                                  <w:t>Нито Европейската комисия, нито което и да е лице, действащо от нейно име, носят отговорност за начина, по който би могла да бъде използвана информацията в този документ.</w:t>
                                </w:r>
                              </w:p>
                            </w:sdtContent>
                          </w:sdt>
                          <w:p w:rsidR="005D502E" w:rsidRDefault="005D502E" w:rsidP="005D50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1.85pt;margin-top:616.85pt;width:451pt;height:80.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" fillcolor="#d8d8d8 [2732]" stroked="f">
                <v:textbox>
                  <w:txbxContent>
                    <w:sdt>
                      <w:sdtPr>
                        <w:id w:val="18640435"/>
                        <w:docPartObj>
                          <w:docPartGallery w:val="Page Numbers (Bottom of Page)"/>
                          <w:docPartUnique/>
                        </w:docPartObj>
                      </w:sdtPr>
                      <w:sdtEndPr/>
                      <w:sdtContent>
                        <w:p w:rsidR="005D502E" w:rsidRPr="00262366" w:rsidRDefault="005D502E" w:rsidP="005D502E">
                          <w:pPr>
                            <w:pStyle w:val="Footer"/>
                            <w:jc w:val="center"/>
                            <w:rPr>
                              <w:color w:val="242423" w:themeColor="text1" w:themeShade="80"/>
                              <w:sz w:val="20"/>
                            </w:rPr>
                          </w:pPr>
                          <w:r>
                            <w:rPr>
                              <w:color w:val="242423" w:themeColor="text1" w:themeShade="80"/>
                              <w:sz w:val="20"/>
                            </w:rPr>
                            <w:t>Инструментариум, разработен за Европейската комисия от ICLEI — Международна асоциация на органите на местното самоуправление за устойчиво развитие</w:t>
                          </w:r>
                        </w:p>
                        <w:p w:rsidR="005D502E" w:rsidRPr="00262366" w:rsidRDefault="005D502E" w:rsidP="005D502E">
                          <w:pPr>
                            <w:pStyle w:val="Footer"/>
                            <w:jc w:val="center"/>
                            <w:rPr>
                              <w:color w:val="242423" w:themeColor="text1" w:themeShade="80"/>
                              <w:sz w:val="20"/>
                            </w:rPr>
                          </w:pPr>
                          <w:r>
                            <w:rPr>
                              <w:b/>
                              <w:color w:val="242423" w:themeColor="text1" w:themeShade="80"/>
                              <w:sz w:val="20"/>
                            </w:rPr>
                            <w:t xml:space="preserve">Собственик, редактор: </w:t>
                          </w:r>
                          <w:r>
                            <w:rPr>
                              <w:color w:val="242423" w:themeColor="text1" w:themeShade="80"/>
                              <w:sz w:val="20"/>
                            </w:rPr>
                            <w:t>Европейска комисия, ГД „Околна среда“, 2019 г.</w:t>
                          </w:r>
                        </w:p>
                        <w:p w:rsidR="005D502E" w:rsidRPr="00E50624" w:rsidRDefault="005D502E" w:rsidP="005D502E">
                          <w:pPr>
                            <w:pStyle w:val="Footer"/>
                            <w:jc w:val="center"/>
                            <w:rPr>
                              <w:sz w:val="20"/>
                            </w:rPr>
                          </w:pPr>
                          <w:r>
                            <w:rPr>
                              <w:b/>
                              <w:color w:val="242423" w:themeColor="text1" w:themeShade="80"/>
                              <w:sz w:val="20"/>
                            </w:rPr>
                            <w:t xml:space="preserve">Отказ от отговорност: </w:t>
                          </w:r>
                          <w:r>
                            <w:rPr>
                              <w:color w:val="242423" w:themeColor="text1" w:themeShade="80"/>
                              <w:sz w:val="20"/>
                            </w:rPr>
                            <w:t xml:space="preserve">Настоящият инструментариум представлява индикативен документ на службите на Комисията и не може да се приема за обвързващ за тази институция по какъвто и да е начин. </w:t>
                          </w:r>
                          <w:r>
                            <w:t>Нито Европейската комисия, нито което и да е лице, действащо от нейно име, носят отговорност за начина, по който би могла да бъде използвана информацията в този документ.</w:t>
                          </w:r>
                        </w:p>
                      </w:sdtContent>
                    </w:sdt>
                    <w:p w:rsidR="005D502E" w:rsidRDefault="005D502E" w:rsidP="005D502E"/>
                  </w:txbxContent>
                </v:textbox>
                <w10:wrap type="square" anchorx="margin" anchory="margin"/>
              </v:rect>
            </w:pict>
          </mc:Fallback>
        </mc:AlternateContent>
      </w:r>
    </w:p>
    <w:sectPr w:rsidR="008A7925" w:rsidSect="00893A27">
      <w:type w:val="continuous"/>
      <w:pgSz w:w="11906" w:h="16838"/>
      <w:pgMar w:top="1417" w:right="1417" w:bottom="1134" w:left="1417" w:header="708" w:footer="866" w:gutter="0"/>
      <w:pgNumType w:chapStyle="1" w:chapSep="colo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A36" w:rsidRDefault="00920A36" w:rsidP="002C1264">
      <w:pPr>
        <w:spacing w:after="0" w:line="240" w:lineRule="auto"/>
      </w:pPr>
      <w:r>
        <w:separator/>
      </w:r>
    </w:p>
  </w:endnote>
  <w:endnote w:type="continuationSeparator" w:id="0">
    <w:p w:rsidR="00920A36" w:rsidRDefault="00920A36" w:rsidP="002C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charset w:val="00"/>
    <w:family w:val="auto"/>
    <w:pitch w:val="variable"/>
    <w:sig w:usb0="00000001" w:usb1="00000000" w:usb2="00000000" w:usb3="00000000" w:csb0="0000009F" w:csb1="00000000"/>
  </w:font>
  <w:font w:name="MinionPro-Bold">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eiryo UI">
    <w:altName w:val="MS UI Gothic"/>
    <w:panose1 w:val="020B0604030504040204"/>
    <w:charset w:val="80"/>
    <w:family w:val="swiss"/>
    <w:pitch w:val="variable"/>
    <w:sig w:usb0="E10102FF" w:usb1="EAC7FFFF" w:usb2="00010012" w:usb3="00000000" w:csb0="0002009F" w:csb1="00000000"/>
  </w:font>
  <w:font w:name="MyriadPro-Light">
    <w:altName w:val="Yu Gothic"/>
    <w:panose1 w:val="00000000000000000000"/>
    <w:charset w:val="80"/>
    <w:family w:val="swiss"/>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1215"/>
      <w:docPartObj>
        <w:docPartGallery w:val="Page Numbers (Bottom of Page)"/>
        <w:docPartUnique/>
      </w:docPartObj>
    </w:sdtPr>
    <w:sdtEndPr>
      <w:rPr>
        <w:noProof/>
      </w:rPr>
    </w:sdtEndPr>
    <w:sdtContent>
      <w:p w:rsidR="007A626C" w:rsidRDefault="005B6249">
        <w:pPr>
          <w:pStyle w:val="Footer"/>
          <w:jc w:val="right"/>
        </w:pPr>
        <w:r>
          <w:fldChar w:fldCharType="begin"/>
        </w:r>
        <w:r w:rsidR="00F932D9">
          <w:instrText xml:space="preserve"> PAGE   \* MERGEFORMAT </w:instrText>
        </w:r>
        <w:r>
          <w:fldChar w:fldCharType="separate"/>
        </w:r>
        <w:r w:rsidR="009C1AD7">
          <w:rPr>
            <w:noProof/>
          </w:rPr>
          <w:t>17</w:t>
        </w:r>
        <w:r>
          <w:rPr>
            <w:noProof/>
          </w:rPr>
          <w:fldChar w:fldCharType="end"/>
        </w:r>
      </w:p>
    </w:sdtContent>
  </w:sdt>
  <w:p w:rsidR="007A626C" w:rsidRDefault="007A626C" w:rsidP="00F444D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6C" w:rsidRPr="00F444D0" w:rsidRDefault="007A626C" w:rsidP="00F444D0">
    <w:pPr>
      <w:pStyle w:val="Footer"/>
    </w:pPr>
    <w:r>
      <w:rPr>
        <w:noProof/>
      </w:rPr>
      <w:drawing>
        <wp:anchor distT="0" distB="0" distL="114300" distR="114300" simplePos="0" relativeHeight="251660288" behindDoc="0" locked="0" layoutInCell="1" allowOverlap="1">
          <wp:simplePos x="0" y="0"/>
          <wp:positionH relativeFrom="column">
            <wp:posOffset>2462956</wp:posOffset>
          </wp:positionH>
          <wp:positionV relativeFrom="paragraph">
            <wp:posOffset>-306734</wp:posOffset>
          </wp:positionV>
          <wp:extent cx="717930" cy="545911"/>
          <wp:effectExtent l="19050" t="0" r="5970" b="0"/>
          <wp:wrapNone/>
          <wp:docPr id="5" name="Picture 3" descr="I:\A-Sustainable Economy and Procurement\Projects\GPP training and training materials - 24220\1 - GPP Toolkit\Design templates\footer 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Sustainable Economy and Procurement\Projects\GPP training and training materials - 24220\1 - GPP Toolkit\Design templates\footer element.png"/>
                  <pic:cNvPicPr>
                    <a:picLocks noChangeAspect="1" noChangeArrowheads="1"/>
                  </pic:cNvPicPr>
                </pic:nvPicPr>
                <pic:blipFill>
                  <a:blip r:embed="rId1"/>
                  <a:srcRect/>
                  <a:stretch>
                    <a:fillRect/>
                  </a:stretch>
                </pic:blipFill>
                <pic:spPr bwMode="auto">
                  <a:xfrm>
                    <a:off x="0" y="0"/>
                    <a:ext cx="717930" cy="54591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A36" w:rsidRDefault="00920A36" w:rsidP="002C1264">
      <w:pPr>
        <w:spacing w:after="0" w:line="240" w:lineRule="auto"/>
      </w:pPr>
      <w:r>
        <w:separator/>
      </w:r>
    </w:p>
  </w:footnote>
  <w:footnote w:type="continuationSeparator" w:id="0">
    <w:p w:rsidR="00920A36" w:rsidRDefault="00920A36" w:rsidP="002C1264">
      <w:pPr>
        <w:spacing w:after="0" w:line="240" w:lineRule="auto"/>
      </w:pPr>
      <w:r>
        <w:continuationSeparator/>
      </w:r>
    </w:p>
  </w:footnote>
  <w:footnote w:id="1">
    <w:p w:rsidR="007A626C" w:rsidRPr="00254416" w:rsidRDefault="007A626C" w:rsidP="00E5780F">
      <w:pPr>
        <w:pStyle w:val="FootnoteText"/>
        <w:rPr>
          <w:rFonts w:asciiTheme="majorHAnsi" w:hAnsiTheme="majorHAnsi" w:cstheme="majorHAnsi"/>
          <w:sz w:val="18"/>
          <w:szCs w:val="18"/>
          <w:lang w:val="ru-RU"/>
        </w:rPr>
      </w:pPr>
      <w:r>
        <w:rPr>
          <w:rStyle w:val="FootnoteReference"/>
          <w:rFonts w:asciiTheme="majorHAnsi" w:hAnsiTheme="majorHAnsi" w:cstheme="majorHAnsi"/>
          <w:sz w:val="18"/>
        </w:rPr>
        <w:footnoteRef/>
      </w:r>
      <w:r>
        <w:rPr>
          <w:rFonts w:asciiTheme="majorHAnsi" w:hAnsiTheme="majorHAnsi" w:cstheme="majorHAnsi"/>
          <w:sz w:val="18"/>
        </w:rPr>
        <w:t xml:space="preserve"> Регламент (ЕС) № 106/2008 на Европейския парламент и на Съвета от 15 януари 2008 г </w:t>
      </w:r>
      <w:r>
        <w:rPr>
          <w:rFonts w:asciiTheme="majorHAnsi" w:hAnsiTheme="majorHAnsi" w:cstheme="majorHAnsi"/>
          <w:i/>
          <w:sz w:val="18"/>
        </w:rPr>
        <w:t>относно програма на Общността за етикетиране на енергийната ефективност на офис оборудване</w:t>
      </w:r>
      <w:r>
        <w:rPr>
          <w:rFonts w:asciiTheme="majorHAnsi" w:hAnsiTheme="majorHAnsi" w:cstheme="majorHAnsi"/>
          <w:sz w:val="18"/>
        </w:rPr>
        <w:t xml:space="preserve">. Имайте предвид, че макар споразумението между ЕС и САЩ, което е в основата на програмата за етикетиране EnergyStar, изтече през 2018 г., все още е възможно в тръжните процедури да има позоваване на стандартите на програмата EnergyStar — без обаче да се изисква продукти да имат етикетът. </w:t>
      </w:r>
    </w:p>
  </w:footnote>
  <w:footnote w:id="2">
    <w:p w:rsidR="007A626C" w:rsidRPr="00254416" w:rsidRDefault="007A626C" w:rsidP="00E5780F">
      <w:pPr>
        <w:pStyle w:val="FootnoteText"/>
        <w:rPr>
          <w:rFonts w:asciiTheme="majorHAnsi" w:hAnsiTheme="majorHAnsi" w:cstheme="majorHAnsi"/>
          <w:sz w:val="18"/>
          <w:szCs w:val="18"/>
          <w:lang w:val="ru-RU"/>
        </w:rPr>
      </w:pPr>
      <w:r>
        <w:rPr>
          <w:rStyle w:val="FootnoteReference"/>
          <w:rFonts w:asciiTheme="majorHAnsi" w:hAnsiTheme="majorHAnsi" w:cstheme="majorHAnsi"/>
          <w:sz w:val="18"/>
        </w:rPr>
        <w:footnoteRef/>
      </w:r>
      <w:r>
        <w:rPr>
          <w:rFonts w:asciiTheme="majorHAnsi" w:hAnsiTheme="majorHAnsi" w:cstheme="majorHAnsi"/>
          <w:sz w:val="18"/>
        </w:rPr>
        <w:t xml:space="preserve"> Директива 2009/33/EO на Европейския парламент и на Съвета от 23 април 2009 г. </w:t>
      </w:r>
      <w:r>
        <w:rPr>
          <w:rFonts w:asciiTheme="majorHAnsi" w:hAnsiTheme="majorHAnsi" w:cstheme="majorHAnsi"/>
          <w:i/>
          <w:sz w:val="18"/>
          <w:shd w:val="clear" w:color="auto" w:fill="FFFFFF"/>
        </w:rPr>
        <w:t>за насърчаването на чисти и енергийноефективни пътни превозни средства</w:t>
      </w:r>
      <w:r>
        <w:rPr>
          <w:rFonts w:asciiTheme="majorHAnsi" w:hAnsiTheme="majorHAnsi" w:cstheme="majorHAnsi"/>
          <w:sz w:val="18"/>
        </w:rPr>
        <w:t xml:space="preserve"> (понастоящем е в процес на преразглеждане).</w:t>
      </w:r>
    </w:p>
  </w:footnote>
  <w:footnote w:id="3">
    <w:p w:rsidR="007A626C" w:rsidRPr="00254416" w:rsidRDefault="007A626C">
      <w:pPr>
        <w:pStyle w:val="FootnoteText"/>
        <w:rPr>
          <w:rFonts w:cstheme="minorHAnsi"/>
          <w:sz w:val="18"/>
          <w:szCs w:val="18"/>
          <w:lang w:val="ru-RU"/>
        </w:rPr>
      </w:pPr>
      <w:r>
        <w:rPr>
          <w:rStyle w:val="FootnoteReference"/>
          <w:rFonts w:cstheme="minorHAnsi"/>
          <w:sz w:val="18"/>
        </w:rPr>
        <w:footnoteRef/>
      </w:r>
      <w:r>
        <w:rPr>
          <w:rFonts w:cstheme="minorHAnsi"/>
          <w:sz w:val="18"/>
        </w:rPr>
        <w:t xml:space="preserve"> Регламент (ЕС) № 995/2010 на Европейския парламент и на Съвета от 20 октомври 2010 г. </w:t>
      </w:r>
      <w:r>
        <w:rPr>
          <w:rFonts w:cstheme="minorHAnsi"/>
          <w:i/>
          <w:color w:val="444444"/>
          <w:sz w:val="18"/>
          <w:shd w:val="clear" w:color="auto" w:fill="FFFFFF"/>
        </w:rPr>
        <w:t>за определяне на задълженията на операторите, които пускат на пазара дървен материал и изделия от дървен материал</w:t>
      </w:r>
      <w:r>
        <w:rPr>
          <w:rFonts w:cstheme="minorHAnsi"/>
          <w:sz w:val="18"/>
        </w:rPr>
        <w:t>.</w:t>
      </w:r>
    </w:p>
  </w:footnote>
  <w:footnote w:id="4">
    <w:p w:rsidR="007A626C" w:rsidRPr="00254416" w:rsidRDefault="007A626C" w:rsidP="00E5780F">
      <w:pPr>
        <w:pStyle w:val="FootnoteText"/>
        <w:rPr>
          <w:rFonts w:asciiTheme="majorHAnsi" w:hAnsiTheme="majorHAnsi" w:cstheme="majorHAnsi"/>
          <w:sz w:val="18"/>
          <w:szCs w:val="18"/>
          <w:lang w:val="ru-RU"/>
        </w:rPr>
      </w:pPr>
      <w:r>
        <w:rPr>
          <w:rStyle w:val="FootnoteReference"/>
          <w:rFonts w:asciiTheme="majorHAnsi" w:hAnsiTheme="majorHAnsi" w:cstheme="majorHAnsi"/>
          <w:i/>
          <w:sz w:val="18"/>
        </w:rPr>
        <w:footnoteRef/>
      </w:r>
      <w:r>
        <w:rPr>
          <w:rFonts w:asciiTheme="majorHAnsi" w:hAnsiTheme="majorHAnsi" w:cstheme="majorHAnsi"/>
          <w:i/>
          <w:sz w:val="18"/>
        </w:rPr>
        <w:t xml:space="preserve"> </w:t>
      </w:r>
      <w:r>
        <w:rPr>
          <w:rFonts w:asciiTheme="majorHAnsi" w:hAnsiTheme="majorHAnsi" w:cstheme="majorHAnsi"/>
          <w:sz w:val="18"/>
        </w:rPr>
        <w:t xml:space="preserve">Директива 2012/27/ЕС на Европейския парламент и на Съвета от 25 октомври 2012 г. </w:t>
      </w:r>
      <w:r>
        <w:rPr>
          <w:rFonts w:asciiTheme="majorHAnsi" w:hAnsiTheme="majorHAnsi" w:cstheme="majorHAnsi"/>
          <w:i/>
          <w:sz w:val="18"/>
        </w:rPr>
        <w:t>относно енергийната ефективност</w:t>
      </w:r>
      <w:r>
        <w:rPr>
          <w:rFonts w:asciiTheme="majorHAnsi" w:hAnsiTheme="majorHAnsi" w:cstheme="majorHAnsi"/>
          <w:sz w:val="18"/>
        </w:rPr>
        <w:t>за изменение на директиви 2009/125/ЕО и 2010/30/ЕС и за отмяна на директиви 2004/8/ЕО и 2006/32/ЕО (понастоящем е в процес на преразглеждане).</w:t>
      </w:r>
    </w:p>
  </w:footnote>
  <w:footnote w:id="5">
    <w:p w:rsidR="007A626C" w:rsidRPr="00254416" w:rsidRDefault="007A626C" w:rsidP="00E5780F">
      <w:pPr>
        <w:pStyle w:val="FootnoteText"/>
        <w:rPr>
          <w:lang w:val="ru-RU"/>
        </w:rPr>
      </w:pPr>
      <w:r>
        <w:rPr>
          <w:rStyle w:val="FootnoteReference"/>
          <w:rFonts w:asciiTheme="majorHAnsi" w:hAnsiTheme="majorHAnsi" w:cstheme="majorHAnsi"/>
          <w:sz w:val="18"/>
        </w:rPr>
        <w:footnoteRef/>
      </w:r>
      <w:r>
        <w:rPr>
          <w:rFonts w:asciiTheme="majorHAnsi" w:hAnsiTheme="majorHAnsi" w:cstheme="majorHAnsi"/>
          <w:sz w:val="18"/>
        </w:rPr>
        <w:t xml:space="preserve"> Директива 2010/31/EС на Европейския парламент и на Съвета от 19 май 2010 г. </w:t>
      </w:r>
      <w:r>
        <w:rPr>
          <w:rFonts w:asciiTheme="majorHAnsi" w:hAnsiTheme="majorHAnsi" w:cstheme="majorHAnsi"/>
          <w:i/>
          <w:sz w:val="18"/>
          <w:shd w:val="clear" w:color="auto" w:fill="FFFFFF"/>
        </w:rPr>
        <w:t>относно енергийните характеристики на сградите</w:t>
      </w:r>
      <w:r>
        <w:rPr>
          <w:rFonts w:asciiTheme="majorHAnsi" w:hAnsiTheme="majorHAnsi" w:cstheme="majorHAnsi"/>
          <w:sz w:val="18"/>
        </w:rPr>
        <w:t>, изменена с Директива (EС) 2018/844. Измененията на ДЕХС влязоха в сила на 9 юли 2018 г. и държавите членки разполагат с 20 месеца, за да ги приложат (до март 2020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6C" w:rsidRPr="00075685" w:rsidRDefault="007A626C" w:rsidP="009003E4">
    <w:pPr>
      <w:pStyle w:val="Title"/>
      <w:pBdr>
        <w:bottom w:val="single" w:sz="4" w:space="1" w:color="auto"/>
      </w:pBdr>
      <w:rPr>
        <w:rFonts w:asciiTheme="minorHAnsi" w:eastAsia="Meiryo UI" w:hAnsiTheme="minorHAnsi" w:cstheme="minorHAnsi"/>
        <w:color w:val="484847" w:themeColor="text1"/>
        <w:sz w:val="36"/>
      </w:rPr>
    </w:pPr>
    <w:r>
      <w:rPr>
        <w:rFonts w:asciiTheme="minorHAnsi" w:hAnsiTheme="minorHAnsi" w:cstheme="minorHAnsi"/>
        <w:color w:val="484847" w:themeColor="text1"/>
        <w:sz w:val="36"/>
      </w:rPr>
      <w:t>Инструментариум за обучение относно ЕОП — модул 3: Правни аспекти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855"/>
    <w:multiLevelType w:val="hybridMultilevel"/>
    <w:tmpl w:val="B7A24E6C"/>
    <w:lvl w:ilvl="0" w:tplc="56C2A57A">
      <w:start w:val="1"/>
      <w:numFmt w:val="bullet"/>
      <w:lvlText w:val=""/>
      <w:lvlJc w:val="left"/>
      <w:pPr>
        <w:ind w:left="360" w:hanging="360"/>
      </w:pPr>
      <w:rPr>
        <w:rFonts w:ascii="Symbol" w:hAnsi="Symbol" w:hint="default"/>
        <w:color w:val="1C665A" w:themeColor="accent1"/>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1059" w:hanging="360"/>
      </w:pPr>
      <w:rPr>
        <w:rFonts w:ascii="Wingdings" w:hAnsi="Wingdings" w:hint="default"/>
      </w:rPr>
    </w:lvl>
    <w:lvl w:ilvl="3" w:tplc="08090001" w:tentative="1">
      <w:start w:val="1"/>
      <w:numFmt w:val="bullet"/>
      <w:lvlText w:val=""/>
      <w:lvlJc w:val="left"/>
      <w:pPr>
        <w:ind w:left="-339" w:hanging="360"/>
      </w:pPr>
      <w:rPr>
        <w:rFonts w:ascii="Symbol" w:hAnsi="Symbol" w:hint="default"/>
      </w:rPr>
    </w:lvl>
    <w:lvl w:ilvl="4" w:tplc="08090003" w:tentative="1">
      <w:start w:val="1"/>
      <w:numFmt w:val="bullet"/>
      <w:lvlText w:val="o"/>
      <w:lvlJc w:val="left"/>
      <w:pPr>
        <w:ind w:left="381" w:hanging="360"/>
      </w:pPr>
      <w:rPr>
        <w:rFonts w:ascii="Courier New" w:hAnsi="Courier New" w:cs="Courier New" w:hint="default"/>
      </w:rPr>
    </w:lvl>
    <w:lvl w:ilvl="5" w:tplc="08090005" w:tentative="1">
      <w:start w:val="1"/>
      <w:numFmt w:val="bullet"/>
      <w:lvlText w:val=""/>
      <w:lvlJc w:val="left"/>
      <w:pPr>
        <w:ind w:left="1101" w:hanging="360"/>
      </w:pPr>
      <w:rPr>
        <w:rFonts w:ascii="Wingdings" w:hAnsi="Wingdings" w:hint="default"/>
      </w:rPr>
    </w:lvl>
    <w:lvl w:ilvl="6" w:tplc="08090001" w:tentative="1">
      <w:start w:val="1"/>
      <w:numFmt w:val="bullet"/>
      <w:lvlText w:val=""/>
      <w:lvlJc w:val="left"/>
      <w:pPr>
        <w:ind w:left="1821" w:hanging="360"/>
      </w:pPr>
      <w:rPr>
        <w:rFonts w:ascii="Symbol" w:hAnsi="Symbol" w:hint="default"/>
      </w:rPr>
    </w:lvl>
    <w:lvl w:ilvl="7" w:tplc="08090003" w:tentative="1">
      <w:start w:val="1"/>
      <w:numFmt w:val="bullet"/>
      <w:lvlText w:val="o"/>
      <w:lvlJc w:val="left"/>
      <w:pPr>
        <w:ind w:left="2541" w:hanging="360"/>
      </w:pPr>
      <w:rPr>
        <w:rFonts w:ascii="Courier New" w:hAnsi="Courier New" w:cs="Courier New" w:hint="default"/>
      </w:rPr>
    </w:lvl>
    <w:lvl w:ilvl="8" w:tplc="08090005" w:tentative="1">
      <w:start w:val="1"/>
      <w:numFmt w:val="bullet"/>
      <w:lvlText w:val=""/>
      <w:lvlJc w:val="left"/>
      <w:pPr>
        <w:ind w:left="3261" w:hanging="360"/>
      </w:pPr>
      <w:rPr>
        <w:rFonts w:ascii="Wingdings" w:hAnsi="Wingdings" w:hint="default"/>
      </w:rPr>
    </w:lvl>
  </w:abstractNum>
  <w:abstractNum w:abstractNumId="1">
    <w:nsid w:val="04DB756E"/>
    <w:multiLevelType w:val="hybridMultilevel"/>
    <w:tmpl w:val="8F4019C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523A08"/>
    <w:multiLevelType w:val="hybridMultilevel"/>
    <w:tmpl w:val="FDF660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1E2939"/>
    <w:multiLevelType w:val="hybridMultilevel"/>
    <w:tmpl w:val="5C721A8C"/>
    <w:lvl w:ilvl="0" w:tplc="0809001B">
      <w:start w:val="1"/>
      <w:numFmt w:val="lowerRoman"/>
      <w:lvlText w:val="%1."/>
      <w:lvlJc w:val="right"/>
      <w:pPr>
        <w:tabs>
          <w:tab w:val="num" w:pos="720"/>
        </w:tabs>
        <w:ind w:left="720" w:hanging="360"/>
      </w:pPr>
    </w:lvl>
    <w:lvl w:ilvl="1" w:tplc="EB885F7C" w:tentative="1">
      <w:start w:val="1"/>
      <w:numFmt w:val="lowerRoman"/>
      <w:lvlText w:val="%2)"/>
      <w:lvlJc w:val="right"/>
      <w:pPr>
        <w:tabs>
          <w:tab w:val="num" w:pos="1440"/>
        </w:tabs>
        <w:ind w:left="1440" w:hanging="360"/>
      </w:pPr>
    </w:lvl>
    <w:lvl w:ilvl="2" w:tplc="71B6B852" w:tentative="1">
      <w:start w:val="1"/>
      <w:numFmt w:val="lowerRoman"/>
      <w:lvlText w:val="%3)"/>
      <w:lvlJc w:val="right"/>
      <w:pPr>
        <w:tabs>
          <w:tab w:val="num" w:pos="2160"/>
        </w:tabs>
        <w:ind w:left="2160" w:hanging="360"/>
      </w:pPr>
    </w:lvl>
    <w:lvl w:ilvl="3" w:tplc="BD587CC2" w:tentative="1">
      <w:start w:val="1"/>
      <w:numFmt w:val="lowerRoman"/>
      <w:lvlText w:val="%4)"/>
      <w:lvlJc w:val="right"/>
      <w:pPr>
        <w:tabs>
          <w:tab w:val="num" w:pos="2880"/>
        </w:tabs>
        <w:ind w:left="2880" w:hanging="360"/>
      </w:pPr>
    </w:lvl>
    <w:lvl w:ilvl="4" w:tplc="84264AA4" w:tentative="1">
      <w:start w:val="1"/>
      <w:numFmt w:val="lowerRoman"/>
      <w:lvlText w:val="%5)"/>
      <w:lvlJc w:val="right"/>
      <w:pPr>
        <w:tabs>
          <w:tab w:val="num" w:pos="3600"/>
        </w:tabs>
        <w:ind w:left="3600" w:hanging="360"/>
      </w:pPr>
    </w:lvl>
    <w:lvl w:ilvl="5" w:tplc="D4D2034E" w:tentative="1">
      <w:start w:val="1"/>
      <w:numFmt w:val="lowerRoman"/>
      <w:lvlText w:val="%6)"/>
      <w:lvlJc w:val="right"/>
      <w:pPr>
        <w:tabs>
          <w:tab w:val="num" w:pos="4320"/>
        </w:tabs>
        <w:ind w:left="4320" w:hanging="360"/>
      </w:pPr>
    </w:lvl>
    <w:lvl w:ilvl="6" w:tplc="200E41B4" w:tentative="1">
      <w:start w:val="1"/>
      <w:numFmt w:val="lowerRoman"/>
      <w:lvlText w:val="%7)"/>
      <w:lvlJc w:val="right"/>
      <w:pPr>
        <w:tabs>
          <w:tab w:val="num" w:pos="5040"/>
        </w:tabs>
        <w:ind w:left="5040" w:hanging="360"/>
      </w:pPr>
    </w:lvl>
    <w:lvl w:ilvl="7" w:tplc="E8FA4F66" w:tentative="1">
      <w:start w:val="1"/>
      <w:numFmt w:val="lowerRoman"/>
      <w:lvlText w:val="%8)"/>
      <w:lvlJc w:val="right"/>
      <w:pPr>
        <w:tabs>
          <w:tab w:val="num" w:pos="5760"/>
        </w:tabs>
        <w:ind w:left="5760" w:hanging="360"/>
      </w:pPr>
    </w:lvl>
    <w:lvl w:ilvl="8" w:tplc="8B3AA328" w:tentative="1">
      <w:start w:val="1"/>
      <w:numFmt w:val="lowerRoman"/>
      <w:lvlText w:val="%9)"/>
      <w:lvlJc w:val="right"/>
      <w:pPr>
        <w:tabs>
          <w:tab w:val="num" w:pos="6480"/>
        </w:tabs>
        <w:ind w:left="6480" w:hanging="360"/>
      </w:pPr>
    </w:lvl>
  </w:abstractNum>
  <w:abstractNum w:abstractNumId="4">
    <w:nsid w:val="183D1B0E"/>
    <w:multiLevelType w:val="hybridMultilevel"/>
    <w:tmpl w:val="34FC06BE"/>
    <w:lvl w:ilvl="0" w:tplc="FA148232">
      <w:start w:val="1"/>
      <w:numFmt w:val="bullet"/>
      <w:pStyle w:val="C-AufzManahmen03"/>
      <w:lvlText w:val=""/>
      <w:lvlJc w:val="left"/>
      <w:pPr>
        <w:tabs>
          <w:tab w:val="num" w:pos="397"/>
        </w:tabs>
        <w:ind w:left="397" w:hanging="397"/>
      </w:pPr>
      <w:rPr>
        <w:rFonts w:ascii="Symbol" w:hAnsi="Symbol" w:hint="default"/>
        <w:b/>
        <w:bCs/>
        <w:i w:val="0"/>
        <w:iCs w:val="0"/>
        <w:color w:val="5AB7B4"/>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476F5"/>
    <w:multiLevelType w:val="hybridMultilevel"/>
    <w:tmpl w:val="C0889D42"/>
    <w:lvl w:ilvl="0" w:tplc="5798D17C">
      <w:start w:val="1"/>
      <w:numFmt w:val="bullet"/>
      <w:lvlText w:val="Х"/>
      <w:lvlJc w:val="left"/>
      <w:pPr>
        <w:tabs>
          <w:tab w:val="num" w:pos="720"/>
        </w:tabs>
        <w:ind w:left="720" w:hanging="360"/>
      </w:pPr>
      <w:rPr>
        <w:rFonts w:ascii="Calibri" w:hAnsi="Calibri" w:hint="default"/>
      </w:rPr>
    </w:lvl>
    <w:lvl w:ilvl="1" w:tplc="431AC92C" w:tentative="1">
      <w:start w:val="1"/>
      <w:numFmt w:val="bullet"/>
      <w:lvlText w:val="Х"/>
      <w:lvlJc w:val="left"/>
      <w:pPr>
        <w:tabs>
          <w:tab w:val="num" w:pos="1440"/>
        </w:tabs>
        <w:ind w:left="1440" w:hanging="360"/>
      </w:pPr>
      <w:rPr>
        <w:rFonts w:ascii="Calibri" w:hAnsi="Calibri" w:hint="default"/>
      </w:rPr>
    </w:lvl>
    <w:lvl w:ilvl="2" w:tplc="451EFC94" w:tentative="1">
      <w:start w:val="1"/>
      <w:numFmt w:val="bullet"/>
      <w:lvlText w:val="Х"/>
      <w:lvlJc w:val="left"/>
      <w:pPr>
        <w:tabs>
          <w:tab w:val="num" w:pos="2160"/>
        </w:tabs>
        <w:ind w:left="2160" w:hanging="360"/>
      </w:pPr>
      <w:rPr>
        <w:rFonts w:ascii="Calibri" w:hAnsi="Calibri" w:hint="default"/>
      </w:rPr>
    </w:lvl>
    <w:lvl w:ilvl="3" w:tplc="804671C0" w:tentative="1">
      <w:start w:val="1"/>
      <w:numFmt w:val="bullet"/>
      <w:lvlText w:val="Х"/>
      <w:lvlJc w:val="left"/>
      <w:pPr>
        <w:tabs>
          <w:tab w:val="num" w:pos="2880"/>
        </w:tabs>
        <w:ind w:left="2880" w:hanging="360"/>
      </w:pPr>
      <w:rPr>
        <w:rFonts w:ascii="Calibri" w:hAnsi="Calibri" w:hint="default"/>
      </w:rPr>
    </w:lvl>
    <w:lvl w:ilvl="4" w:tplc="45842F62" w:tentative="1">
      <w:start w:val="1"/>
      <w:numFmt w:val="bullet"/>
      <w:lvlText w:val="Х"/>
      <w:lvlJc w:val="left"/>
      <w:pPr>
        <w:tabs>
          <w:tab w:val="num" w:pos="3600"/>
        </w:tabs>
        <w:ind w:left="3600" w:hanging="360"/>
      </w:pPr>
      <w:rPr>
        <w:rFonts w:ascii="Calibri" w:hAnsi="Calibri" w:hint="default"/>
      </w:rPr>
    </w:lvl>
    <w:lvl w:ilvl="5" w:tplc="51746120" w:tentative="1">
      <w:start w:val="1"/>
      <w:numFmt w:val="bullet"/>
      <w:lvlText w:val="Х"/>
      <w:lvlJc w:val="left"/>
      <w:pPr>
        <w:tabs>
          <w:tab w:val="num" w:pos="4320"/>
        </w:tabs>
        <w:ind w:left="4320" w:hanging="360"/>
      </w:pPr>
      <w:rPr>
        <w:rFonts w:ascii="Calibri" w:hAnsi="Calibri" w:hint="default"/>
      </w:rPr>
    </w:lvl>
    <w:lvl w:ilvl="6" w:tplc="6DD61092" w:tentative="1">
      <w:start w:val="1"/>
      <w:numFmt w:val="bullet"/>
      <w:lvlText w:val="Х"/>
      <w:lvlJc w:val="left"/>
      <w:pPr>
        <w:tabs>
          <w:tab w:val="num" w:pos="5040"/>
        </w:tabs>
        <w:ind w:left="5040" w:hanging="360"/>
      </w:pPr>
      <w:rPr>
        <w:rFonts w:ascii="Calibri" w:hAnsi="Calibri" w:hint="default"/>
      </w:rPr>
    </w:lvl>
    <w:lvl w:ilvl="7" w:tplc="2D240234" w:tentative="1">
      <w:start w:val="1"/>
      <w:numFmt w:val="bullet"/>
      <w:lvlText w:val="Х"/>
      <w:lvlJc w:val="left"/>
      <w:pPr>
        <w:tabs>
          <w:tab w:val="num" w:pos="5760"/>
        </w:tabs>
        <w:ind w:left="5760" w:hanging="360"/>
      </w:pPr>
      <w:rPr>
        <w:rFonts w:ascii="Calibri" w:hAnsi="Calibri" w:hint="default"/>
      </w:rPr>
    </w:lvl>
    <w:lvl w:ilvl="8" w:tplc="CE808844" w:tentative="1">
      <w:start w:val="1"/>
      <w:numFmt w:val="bullet"/>
      <w:lvlText w:val="Х"/>
      <w:lvlJc w:val="left"/>
      <w:pPr>
        <w:tabs>
          <w:tab w:val="num" w:pos="6480"/>
        </w:tabs>
        <w:ind w:left="6480" w:hanging="360"/>
      </w:pPr>
      <w:rPr>
        <w:rFonts w:ascii="Calibri" w:hAnsi="Calibri" w:hint="default"/>
      </w:rPr>
    </w:lvl>
  </w:abstractNum>
  <w:abstractNum w:abstractNumId="6">
    <w:nsid w:val="1DE17721"/>
    <w:multiLevelType w:val="hybridMultilevel"/>
    <w:tmpl w:val="E6D06FD0"/>
    <w:lvl w:ilvl="0" w:tplc="E314FE48">
      <w:start w:val="1"/>
      <w:numFmt w:val="bullet"/>
      <w:lvlText w:val="•"/>
      <w:lvlJc w:val="left"/>
      <w:pPr>
        <w:tabs>
          <w:tab w:val="num" w:pos="720"/>
        </w:tabs>
        <w:ind w:left="720" w:hanging="360"/>
      </w:pPr>
      <w:rPr>
        <w:rFonts w:ascii="Arial" w:hAnsi="Arial" w:hint="default"/>
      </w:rPr>
    </w:lvl>
    <w:lvl w:ilvl="1" w:tplc="9D180F5E" w:tentative="1">
      <w:start w:val="1"/>
      <w:numFmt w:val="bullet"/>
      <w:lvlText w:val="•"/>
      <w:lvlJc w:val="left"/>
      <w:pPr>
        <w:tabs>
          <w:tab w:val="num" w:pos="1440"/>
        </w:tabs>
        <w:ind w:left="1440" w:hanging="360"/>
      </w:pPr>
      <w:rPr>
        <w:rFonts w:ascii="Arial" w:hAnsi="Arial" w:hint="default"/>
      </w:rPr>
    </w:lvl>
    <w:lvl w:ilvl="2" w:tplc="06427CEA" w:tentative="1">
      <w:start w:val="1"/>
      <w:numFmt w:val="bullet"/>
      <w:lvlText w:val="•"/>
      <w:lvlJc w:val="left"/>
      <w:pPr>
        <w:tabs>
          <w:tab w:val="num" w:pos="2160"/>
        </w:tabs>
        <w:ind w:left="2160" w:hanging="360"/>
      </w:pPr>
      <w:rPr>
        <w:rFonts w:ascii="Arial" w:hAnsi="Arial" w:hint="default"/>
      </w:rPr>
    </w:lvl>
    <w:lvl w:ilvl="3" w:tplc="9E1E7C5C" w:tentative="1">
      <w:start w:val="1"/>
      <w:numFmt w:val="bullet"/>
      <w:lvlText w:val="•"/>
      <w:lvlJc w:val="left"/>
      <w:pPr>
        <w:tabs>
          <w:tab w:val="num" w:pos="2880"/>
        </w:tabs>
        <w:ind w:left="2880" w:hanging="360"/>
      </w:pPr>
      <w:rPr>
        <w:rFonts w:ascii="Arial" w:hAnsi="Arial" w:hint="default"/>
      </w:rPr>
    </w:lvl>
    <w:lvl w:ilvl="4" w:tplc="6068F6A6" w:tentative="1">
      <w:start w:val="1"/>
      <w:numFmt w:val="bullet"/>
      <w:lvlText w:val="•"/>
      <w:lvlJc w:val="left"/>
      <w:pPr>
        <w:tabs>
          <w:tab w:val="num" w:pos="3600"/>
        </w:tabs>
        <w:ind w:left="3600" w:hanging="360"/>
      </w:pPr>
      <w:rPr>
        <w:rFonts w:ascii="Arial" w:hAnsi="Arial" w:hint="default"/>
      </w:rPr>
    </w:lvl>
    <w:lvl w:ilvl="5" w:tplc="FA064ADE" w:tentative="1">
      <w:start w:val="1"/>
      <w:numFmt w:val="bullet"/>
      <w:lvlText w:val="•"/>
      <w:lvlJc w:val="left"/>
      <w:pPr>
        <w:tabs>
          <w:tab w:val="num" w:pos="4320"/>
        </w:tabs>
        <w:ind w:left="4320" w:hanging="360"/>
      </w:pPr>
      <w:rPr>
        <w:rFonts w:ascii="Arial" w:hAnsi="Arial" w:hint="default"/>
      </w:rPr>
    </w:lvl>
    <w:lvl w:ilvl="6" w:tplc="76400CB4" w:tentative="1">
      <w:start w:val="1"/>
      <w:numFmt w:val="bullet"/>
      <w:lvlText w:val="•"/>
      <w:lvlJc w:val="left"/>
      <w:pPr>
        <w:tabs>
          <w:tab w:val="num" w:pos="5040"/>
        </w:tabs>
        <w:ind w:left="5040" w:hanging="360"/>
      </w:pPr>
      <w:rPr>
        <w:rFonts w:ascii="Arial" w:hAnsi="Arial" w:hint="default"/>
      </w:rPr>
    </w:lvl>
    <w:lvl w:ilvl="7" w:tplc="A0869BA6" w:tentative="1">
      <w:start w:val="1"/>
      <w:numFmt w:val="bullet"/>
      <w:lvlText w:val="•"/>
      <w:lvlJc w:val="left"/>
      <w:pPr>
        <w:tabs>
          <w:tab w:val="num" w:pos="5760"/>
        </w:tabs>
        <w:ind w:left="5760" w:hanging="360"/>
      </w:pPr>
      <w:rPr>
        <w:rFonts w:ascii="Arial" w:hAnsi="Arial" w:hint="default"/>
      </w:rPr>
    </w:lvl>
    <w:lvl w:ilvl="8" w:tplc="CF963032" w:tentative="1">
      <w:start w:val="1"/>
      <w:numFmt w:val="bullet"/>
      <w:lvlText w:val="•"/>
      <w:lvlJc w:val="left"/>
      <w:pPr>
        <w:tabs>
          <w:tab w:val="num" w:pos="6480"/>
        </w:tabs>
        <w:ind w:left="6480" w:hanging="360"/>
      </w:pPr>
      <w:rPr>
        <w:rFonts w:ascii="Arial" w:hAnsi="Arial" w:hint="default"/>
      </w:rPr>
    </w:lvl>
  </w:abstractNum>
  <w:abstractNum w:abstractNumId="7">
    <w:nsid w:val="24D0084F"/>
    <w:multiLevelType w:val="hybridMultilevel"/>
    <w:tmpl w:val="EDC8C326"/>
    <w:lvl w:ilvl="0" w:tplc="34D2AC84">
      <w:start w:val="2"/>
      <w:numFmt w:val="lowerRoman"/>
      <w:lvlText w:val="%1."/>
      <w:lvlJc w:val="right"/>
      <w:pPr>
        <w:tabs>
          <w:tab w:val="num" w:pos="720"/>
        </w:tabs>
        <w:ind w:left="720" w:hanging="360"/>
      </w:pPr>
    </w:lvl>
    <w:lvl w:ilvl="1" w:tplc="B98E18CC" w:tentative="1">
      <w:start w:val="1"/>
      <w:numFmt w:val="lowerRoman"/>
      <w:lvlText w:val="%2."/>
      <w:lvlJc w:val="right"/>
      <w:pPr>
        <w:tabs>
          <w:tab w:val="num" w:pos="1440"/>
        </w:tabs>
        <w:ind w:left="1440" w:hanging="360"/>
      </w:pPr>
    </w:lvl>
    <w:lvl w:ilvl="2" w:tplc="A0E26D48" w:tentative="1">
      <w:start w:val="1"/>
      <w:numFmt w:val="lowerRoman"/>
      <w:lvlText w:val="%3."/>
      <w:lvlJc w:val="right"/>
      <w:pPr>
        <w:tabs>
          <w:tab w:val="num" w:pos="2160"/>
        </w:tabs>
        <w:ind w:left="2160" w:hanging="360"/>
      </w:pPr>
    </w:lvl>
    <w:lvl w:ilvl="3" w:tplc="E364055E" w:tentative="1">
      <w:start w:val="1"/>
      <w:numFmt w:val="lowerRoman"/>
      <w:lvlText w:val="%4."/>
      <w:lvlJc w:val="right"/>
      <w:pPr>
        <w:tabs>
          <w:tab w:val="num" w:pos="2880"/>
        </w:tabs>
        <w:ind w:left="2880" w:hanging="360"/>
      </w:pPr>
    </w:lvl>
    <w:lvl w:ilvl="4" w:tplc="23028DE8" w:tentative="1">
      <w:start w:val="1"/>
      <w:numFmt w:val="lowerRoman"/>
      <w:lvlText w:val="%5."/>
      <w:lvlJc w:val="right"/>
      <w:pPr>
        <w:tabs>
          <w:tab w:val="num" w:pos="3600"/>
        </w:tabs>
        <w:ind w:left="3600" w:hanging="360"/>
      </w:pPr>
    </w:lvl>
    <w:lvl w:ilvl="5" w:tplc="663C9050" w:tentative="1">
      <w:start w:val="1"/>
      <w:numFmt w:val="lowerRoman"/>
      <w:lvlText w:val="%6."/>
      <w:lvlJc w:val="right"/>
      <w:pPr>
        <w:tabs>
          <w:tab w:val="num" w:pos="4320"/>
        </w:tabs>
        <w:ind w:left="4320" w:hanging="360"/>
      </w:pPr>
    </w:lvl>
    <w:lvl w:ilvl="6" w:tplc="BA6C4840" w:tentative="1">
      <w:start w:val="1"/>
      <w:numFmt w:val="lowerRoman"/>
      <w:lvlText w:val="%7."/>
      <w:lvlJc w:val="right"/>
      <w:pPr>
        <w:tabs>
          <w:tab w:val="num" w:pos="5040"/>
        </w:tabs>
        <w:ind w:left="5040" w:hanging="360"/>
      </w:pPr>
    </w:lvl>
    <w:lvl w:ilvl="7" w:tplc="3E70D80A" w:tentative="1">
      <w:start w:val="1"/>
      <w:numFmt w:val="lowerRoman"/>
      <w:lvlText w:val="%8."/>
      <w:lvlJc w:val="right"/>
      <w:pPr>
        <w:tabs>
          <w:tab w:val="num" w:pos="5760"/>
        </w:tabs>
        <w:ind w:left="5760" w:hanging="360"/>
      </w:pPr>
    </w:lvl>
    <w:lvl w:ilvl="8" w:tplc="74FEA808" w:tentative="1">
      <w:start w:val="1"/>
      <w:numFmt w:val="lowerRoman"/>
      <w:lvlText w:val="%9."/>
      <w:lvlJc w:val="right"/>
      <w:pPr>
        <w:tabs>
          <w:tab w:val="num" w:pos="6480"/>
        </w:tabs>
        <w:ind w:left="6480" w:hanging="360"/>
      </w:pPr>
    </w:lvl>
  </w:abstractNum>
  <w:abstractNum w:abstractNumId="8">
    <w:nsid w:val="282B3028"/>
    <w:multiLevelType w:val="hybridMultilevel"/>
    <w:tmpl w:val="48DED6A8"/>
    <w:lvl w:ilvl="0" w:tplc="90A0B738">
      <w:start w:val="1"/>
      <w:numFmt w:val="bullet"/>
      <w:lvlText w:val="•"/>
      <w:lvlJc w:val="left"/>
      <w:pPr>
        <w:tabs>
          <w:tab w:val="num" w:pos="720"/>
        </w:tabs>
        <w:ind w:left="720" w:hanging="360"/>
      </w:pPr>
      <w:rPr>
        <w:rFonts w:ascii="Arial" w:hAnsi="Arial" w:hint="default"/>
      </w:rPr>
    </w:lvl>
    <w:lvl w:ilvl="1" w:tplc="5E16CA70" w:tentative="1">
      <w:start w:val="1"/>
      <w:numFmt w:val="bullet"/>
      <w:lvlText w:val="•"/>
      <w:lvlJc w:val="left"/>
      <w:pPr>
        <w:tabs>
          <w:tab w:val="num" w:pos="1440"/>
        </w:tabs>
        <w:ind w:left="1440" w:hanging="360"/>
      </w:pPr>
      <w:rPr>
        <w:rFonts w:ascii="Arial" w:hAnsi="Arial" w:hint="default"/>
      </w:rPr>
    </w:lvl>
    <w:lvl w:ilvl="2" w:tplc="A6A802E4" w:tentative="1">
      <w:start w:val="1"/>
      <w:numFmt w:val="bullet"/>
      <w:lvlText w:val="•"/>
      <w:lvlJc w:val="left"/>
      <w:pPr>
        <w:tabs>
          <w:tab w:val="num" w:pos="2160"/>
        </w:tabs>
        <w:ind w:left="2160" w:hanging="360"/>
      </w:pPr>
      <w:rPr>
        <w:rFonts w:ascii="Arial" w:hAnsi="Arial" w:hint="default"/>
      </w:rPr>
    </w:lvl>
    <w:lvl w:ilvl="3" w:tplc="33ACBE4A" w:tentative="1">
      <w:start w:val="1"/>
      <w:numFmt w:val="bullet"/>
      <w:lvlText w:val="•"/>
      <w:lvlJc w:val="left"/>
      <w:pPr>
        <w:tabs>
          <w:tab w:val="num" w:pos="2880"/>
        </w:tabs>
        <w:ind w:left="2880" w:hanging="360"/>
      </w:pPr>
      <w:rPr>
        <w:rFonts w:ascii="Arial" w:hAnsi="Arial" w:hint="default"/>
      </w:rPr>
    </w:lvl>
    <w:lvl w:ilvl="4" w:tplc="9B1AB018" w:tentative="1">
      <w:start w:val="1"/>
      <w:numFmt w:val="bullet"/>
      <w:lvlText w:val="•"/>
      <w:lvlJc w:val="left"/>
      <w:pPr>
        <w:tabs>
          <w:tab w:val="num" w:pos="3600"/>
        </w:tabs>
        <w:ind w:left="3600" w:hanging="360"/>
      </w:pPr>
      <w:rPr>
        <w:rFonts w:ascii="Arial" w:hAnsi="Arial" w:hint="default"/>
      </w:rPr>
    </w:lvl>
    <w:lvl w:ilvl="5" w:tplc="244E3F10" w:tentative="1">
      <w:start w:val="1"/>
      <w:numFmt w:val="bullet"/>
      <w:lvlText w:val="•"/>
      <w:lvlJc w:val="left"/>
      <w:pPr>
        <w:tabs>
          <w:tab w:val="num" w:pos="4320"/>
        </w:tabs>
        <w:ind w:left="4320" w:hanging="360"/>
      </w:pPr>
      <w:rPr>
        <w:rFonts w:ascii="Arial" w:hAnsi="Arial" w:hint="default"/>
      </w:rPr>
    </w:lvl>
    <w:lvl w:ilvl="6" w:tplc="C32E4314" w:tentative="1">
      <w:start w:val="1"/>
      <w:numFmt w:val="bullet"/>
      <w:lvlText w:val="•"/>
      <w:lvlJc w:val="left"/>
      <w:pPr>
        <w:tabs>
          <w:tab w:val="num" w:pos="5040"/>
        </w:tabs>
        <w:ind w:left="5040" w:hanging="360"/>
      </w:pPr>
      <w:rPr>
        <w:rFonts w:ascii="Arial" w:hAnsi="Arial" w:hint="default"/>
      </w:rPr>
    </w:lvl>
    <w:lvl w:ilvl="7" w:tplc="A26EE736" w:tentative="1">
      <w:start w:val="1"/>
      <w:numFmt w:val="bullet"/>
      <w:lvlText w:val="•"/>
      <w:lvlJc w:val="left"/>
      <w:pPr>
        <w:tabs>
          <w:tab w:val="num" w:pos="5760"/>
        </w:tabs>
        <w:ind w:left="5760" w:hanging="360"/>
      </w:pPr>
      <w:rPr>
        <w:rFonts w:ascii="Arial" w:hAnsi="Arial" w:hint="default"/>
      </w:rPr>
    </w:lvl>
    <w:lvl w:ilvl="8" w:tplc="A06822F6" w:tentative="1">
      <w:start w:val="1"/>
      <w:numFmt w:val="bullet"/>
      <w:lvlText w:val="•"/>
      <w:lvlJc w:val="left"/>
      <w:pPr>
        <w:tabs>
          <w:tab w:val="num" w:pos="6480"/>
        </w:tabs>
        <w:ind w:left="6480" w:hanging="360"/>
      </w:pPr>
      <w:rPr>
        <w:rFonts w:ascii="Arial" w:hAnsi="Arial" w:hint="default"/>
      </w:rPr>
    </w:lvl>
  </w:abstractNum>
  <w:abstractNum w:abstractNumId="9">
    <w:nsid w:val="29140F2C"/>
    <w:multiLevelType w:val="hybridMultilevel"/>
    <w:tmpl w:val="94F4E398"/>
    <w:lvl w:ilvl="0" w:tplc="E1ECA940">
      <w:start w:val="4"/>
      <w:numFmt w:val="lowerRoman"/>
      <w:lvlText w:val="(%1)"/>
      <w:lvlJc w:val="right"/>
      <w:pPr>
        <w:tabs>
          <w:tab w:val="num" w:pos="720"/>
        </w:tabs>
        <w:ind w:left="720" w:hanging="360"/>
      </w:pPr>
    </w:lvl>
    <w:lvl w:ilvl="1" w:tplc="7FE04CB0" w:tentative="1">
      <w:start w:val="1"/>
      <w:numFmt w:val="lowerRoman"/>
      <w:lvlText w:val="(%2)"/>
      <w:lvlJc w:val="right"/>
      <w:pPr>
        <w:tabs>
          <w:tab w:val="num" w:pos="1440"/>
        </w:tabs>
        <w:ind w:left="1440" w:hanging="360"/>
      </w:pPr>
    </w:lvl>
    <w:lvl w:ilvl="2" w:tplc="4D0A0672" w:tentative="1">
      <w:start w:val="1"/>
      <w:numFmt w:val="lowerRoman"/>
      <w:lvlText w:val="(%3)"/>
      <w:lvlJc w:val="right"/>
      <w:pPr>
        <w:tabs>
          <w:tab w:val="num" w:pos="2160"/>
        </w:tabs>
        <w:ind w:left="2160" w:hanging="360"/>
      </w:pPr>
    </w:lvl>
    <w:lvl w:ilvl="3" w:tplc="945CF432" w:tentative="1">
      <w:start w:val="1"/>
      <w:numFmt w:val="lowerRoman"/>
      <w:lvlText w:val="(%4)"/>
      <w:lvlJc w:val="right"/>
      <w:pPr>
        <w:tabs>
          <w:tab w:val="num" w:pos="2880"/>
        </w:tabs>
        <w:ind w:left="2880" w:hanging="360"/>
      </w:pPr>
    </w:lvl>
    <w:lvl w:ilvl="4" w:tplc="CB2E3CEA" w:tentative="1">
      <w:start w:val="1"/>
      <w:numFmt w:val="lowerRoman"/>
      <w:lvlText w:val="(%5)"/>
      <w:lvlJc w:val="right"/>
      <w:pPr>
        <w:tabs>
          <w:tab w:val="num" w:pos="3600"/>
        </w:tabs>
        <w:ind w:left="3600" w:hanging="360"/>
      </w:pPr>
    </w:lvl>
    <w:lvl w:ilvl="5" w:tplc="40A2D6E4" w:tentative="1">
      <w:start w:val="1"/>
      <w:numFmt w:val="lowerRoman"/>
      <w:lvlText w:val="(%6)"/>
      <w:lvlJc w:val="right"/>
      <w:pPr>
        <w:tabs>
          <w:tab w:val="num" w:pos="4320"/>
        </w:tabs>
        <w:ind w:left="4320" w:hanging="360"/>
      </w:pPr>
    </w:lvl>
    <w:lvl w:ilvl="6" w:tplc="8118ED08" w:tentative="1">
      <w:start w:val="1"/>
      <w:numFmt w:val="lowerRoman"/>
      <w:lvlText w:val="(%7)"/>
      <w:lvlJc w:val="right"/>
      <w:pPr>
        <w:tabs>
          <w:tab w:val="num" w:pos="5040"/>
        </w:tabs>
        <w:ind w:left="5040" w:hanging="360"/>
      </w:pPr>
    </w:lvl>
    <w:lvl w:ilvl="7" w:tplc="EC9CDF4C" w:tentative="1">
      <w:start w:val="1"/>
      <w:numFmt w:val="lowerRoman"/>
      <w:lvlText w:val="(%8)"/>
      <w:lvlJc w:val="right"/>
      <w:pPr>
        <w:tabs>
          <w:tab w:val="num" w:pos="5760"/>
        </w:tabs>
        <w:ind w:left="5760" w:hanging="360"/>
      </w:pPr>
    </w:lvl>
    <w:lvl w:ilvl="8" w:tplc="05E6B9A8" w:tentative="1">
      <w:start w:val="1"/>
      <w:numFmt w:val="lowerRoman"/>
      <w:lvlText w:val="(%9)"/>
      <w:lvlJc w:val="right"/>
      <w:pPr>
        <w:tabs>
          <w:tab w:val="num" w:pos="6480"/>
        </w:tabs>
        <w:ind w:left="6480" w:hanging="360"/>
      </w:pPr>
    </w:lvl>
  </w:abstractNum>
  <w:abstractNum w:abstractNumId="10">
    <w:nsid w:val="2BBC009A"/>
    <w:multiLevelType w:val="hybridMultilevel"/>
    <w:tmpl w:val="65027A0E"/>
    <w:lvl w:ilvl="0" w:tplc="647EA7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404C63"/>
    <w:multiLevelType w:val="hybridMultilevel"/>
    <w:tmpl w:val="907ECACE"/>
    <w:lvl w:ilvl="0" w:tplc="BFB8A486">
      <w:start w:val="1"/>
      <w:numFmt w:val="decimal"/>
      <w:lvlText w:val="%1."/>
      <w:lvlJc w:val="left"/>
      <w:pPr>
        <w:ind w:left="720" w:hanging="360"/>
      </w:pPr>
      <w:rPr>
        <w:rFonts w:hint="default"/>
      </w:rPr>
    </w:lvl>
    <w:lvl w:ilvl="1" w:tplc="04D2653E">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6011389"/>
    <w:multiLevelType w:val="hybridMultilevel"/>
    <w:tmpl w:val="537079F4"/>
    <w:lvl w:ilvl="0" w:tplc="1B004DC8">
      <w:start w:val="1"/>
      <w:numFmt w:val="bullet"/>
      <w:lvlText w:val=""/>
      <w:lvlJc w:val="left"/>
      <w:pPr>
        <w:tabs>
          <w:tab w:val="num" w:pos="720"/>
        </w:tabs>
        <w:ind w:left="720" w:hanging="360"/>
      </w:pPr>
      <w:rPr>
        <w:rFonts w:ascii="Wingdings" w:hAnsi="Wingdings" w:hint="default"/>
      </w:rPr>
    </w:lvl>
    <w:lvl w:ilvl="1" w:tplc="5AEC8B10" w:tentative="1">
      <w:start w:val="1"/>
      <w:numFmt w:val="bullet"/>
      <w:lvlText w:val=""/>
      <w:lvlJc w:val="left"/>
      <w:pPr>
        <w:tabs>
          <w:tab w:val="num" w:pos="1440"/>
        </w:tabs>
        <w:ind w:left="1440" w:hanging="360"/>
      </w:pPr>
      <w:rPr>
        <w:rFonts w:ascii="Wingdings" w:hAnsi="Wingdings" w:hint="default"/>
      </w:rPr>
    </w:lvl>
    <w:lvl w:ilvl="2" w:tplc="6890DB06" w:tentative="1">
      <w:start w:val="1"/>
      <w:numFmt w:val="bullet"/>
      <w:lvlText w:val=""/>
      <w:lvlJc w:val="left"/>
      <w:pPr>
        <w:tabs>
          <w:tab w:val="num" w:pos="2160"/>
        </w:tabs>
        <w:ind w:left="2160" w:hanging="360"/>
      </w:pPr>
      <w:rPr>
        <w:rFonts w:ascii="Wingdings" w:hAnsi="Wingdings" w:hint="default"/>
      </w:rPr>
    </w:lvl>
    <w:lvl w:ilvl="3" w:tplc="231C3D54" w:tentative="1">
      <w:start w:val="1"/>
      <w:numFmt w:val="bullet"/>
      <w:lvlText w:val=""/>
      <w:lvlJc w:val="left"/>
      <w:pPr>
        <w:tabs>
          <w:tab w:val="num" w:pos="2880"/>
        </w:tabs>
        <w:ind w:left="2880" w:hanging="360"/>
      </w:pPr>
      <w:rPr>
        <w:rFonts w:ascii="Wingdings" w:hAnsi="Wingdings" w:hint="default"/>
      </w:rPr>
    </w:lvl>
    <w:lvl w:ilvl="4" w:tplc="253E48E2" w:tentative="1">
      <w:start w:val="1"/>
      <w:numFmt w:val="bullet"/>
      <w:lvlText w:val=""/>
      <w:lvlJc w:val="left"/>
      <w:pPr>
        <w:tabs>
          <w:tab w:val="num" w:pos="3600"/>
        </w:tabs>
        <w:ind w:left="3600" w:hanging="360"/>
      </w:pPr>
      <w:rPr>
        <w:rFonts w:ascii="Wingdings" w:hAnsi="Wingdings" w:hint="default"/>
      </w:rPr>
    </w:lvl>
    <w:lvl w:ilvl="5" w:tplc="91284622" w:tentative="1">
      <w:start w:val="1"/>
      <w:numFmt w:val="bullet"/>
      <w:lvlText w:val=""/>
      <w:lvlJc w:val="left"/>
      <w:pPr>
        <w:tabs>
          <w:tab w:val="num" w:pos="4320"/>
        </w:tabs>
        <w:ind w:left="4320" w:hanging="360"/>
      </w:pPr>
      <w:rPr>
        <w:rFonts w:ascii="Wingdings" w:hAnsi="Wingdings" w:hint="default"/>
      </w:rPr>
    </w:lvl>
    <w:lvl w:ilvl="6" w:tplc="F64AFFFA" w:tentative="1">
      <w:start w:val="1"/>
      <w:numFmt w:val="bullet"/>
      <w:lvlText w:val=""/>
      <w:lvlJc w:val="left"/>
      <w:pPr>
        <w:tabs>
          <w:tab w:val="num" w:pos="5040"/>
        </w:tabs>
        <w:ind w:left="5040" w:hanging="360"/>
      </w:pPr>
      <w:rPr>
        <w:rFonts w:ascii="Wingdings" w:hAnsi="Wingdings" w:hint="default"/>
      </w:rPr>
    </w:lvl>
    <w:lvl w:ilvl="7" w:tplc="D8AA82B0" w:tentative="1">
      <w:start w:val="1"/>
      <w:numFmt w:val="bullet"/>
      <w:lvlText w:val=""/>
      <w:lvlJc w:val="left"/>
      <w:pPr>
        <w:tabs>
          <w:tab w:val="num" w:pos="5760"/>
        </w:tabs>
        <w:ind w:left="5760" w:hanging="360"/>
      </w:pPr>
      <w:rPr>
        <w:rFonts w:ascii="Wingdings" w:hAnsi="Wingdings" w:hint="default"/>
      </w:rPr>
    </w:lvl>
    <w:lvl w:ilvl="8" w:tplc="0792D740" w:tentative="1">
      <w:start w:val="1"/>
      <w:numFmt w:val="bullet"/>
      <w:lvlText w:val=""/>
      <w:lvlJc w:val="left"/>
      <w:pPr>
        <w:tabs>
          <w:tab w:val="num" w:pos="6480"/>
        </w:tabs>
        <w:ind w:left="6480" w:hanging="360"/>
      </w:pPr>
      <w:rPr>
        <w:rFonts w:ascii="Wingdings" w:hAnsi="Wingdings" w:hint="default"/>
      </w:rPr>
    </w:lvl>
  </w:abstractNum>
  <w:abstractNum w:abstractNumId="13">
    <w:nsid w:val="37951FCE"/>
    <w:multiLevelType w:val="hybridMultilevel"/>
    <w:tmpl w:val="9996B38E"/>
    <w:lvl w:ilvl="0" w:tplc="F89E64AA">
      <w:start w:val="1"/>
      <w:numFmt w:val="bullet"/>
      <w:lvlText w:val="•"/>
      <w:lvlJc w:val="left"/>
      <w:pPr>
        <w:tabs>
          <w:tab w:val="num" w:pos="720"/>
        </w:tabs>
        <w:ind w:left="720" w:hanging="360"/>
      </w:pPr>
      <w:rPr>
        <w:rFonts w:ascii="Arial" w:hAnsi="Arial" w:hint="default"/>
      </w:rPr>
    </w:lvl>
    <w:lvl w:ilvl="1" w:tplc="302C63EE" w:tentative="1">
      <w:start w:val="1"/>
      <w:numFmt w:val="bullet"/>
      <w:lvlText w:val="•"/>
      <w:lvlJc w:val="left"/>
      <w:pPr>
        <w:tabs>
          <w:tab w:val="num" w:pos="1440"/>
        </w:tabs>
        <w:ind w:left="1440" w:hanging="360"/>
      </w:pPr>
      <w:rPr>
        <w:rFonts w:ascii="Arial" w:hAnsi="Arial" w:hint="default"/>
      </w:rPr>
    </w:lvl>
    <w:lvl w:ilvl="2" w:tplc="1DD618A0" w:tentative="1">
      <w:start w:val="1"/>
      <w:numFmt w:val="bullet"/>
      <w:lvlText w:val="•"/>
      <w:lvlJc w:val="left"/>
      <w:pPr>
        <w:tabs>
          <w:tab w:val="num" w:pos="2160"/>
        </w:tabs>
        <w:ind w:left="2160" w:hanging="360"/>
      </w:pPr>
      <w:rPr>
        <w:rFonts w:ascii="Arial" w:hAnsi="Arial" w:hint="default"/>
      </w:rPr>
    </w:lvl>
    <w:lvl w:ilvl="3" w:tplc="08760BB4" w:tentative="1">
      <w:start w:val="1"/>
      <w:numFmt w:val="bullet"/>
      <w:lvlText w:val="•"/>
      <w:lvlJc w:val="left"/>
      <w:pPr>
        <w:tabs>
          <w:tab w:val="num" w:pos="2880"/>
        </w:tabs>
        <w:ind w:left="2880" w:hanging="360"/>
      </w:pPr>
      <w:rPr>
        <w:rFonts w:ascii="Arial" w:hAnsi="Arial" w:hint="default"/>
      </w:rPr>
    </w:lvl>
    <w:lvl w:ilvl="4" w:tplc="4148C932" w:tentative="1">
      <w:start w:val="1"/>
      <w:numFmt w:val="bullet"/>
      <w:lvlText w:val="•"/>
      <w:lvlJc w:val="left"/>
      <w:pPr>
        <w:tabs>
          <w:tab w:val="num" w:pos="3600"/>
        </w:tabs>
        <w:ind w:left="3600" w:hanging="360"/>
      </w:pPr>
      <w:rPr>
        <w:rFonts w:ascii="Arial" w:hAnsi="Arial" w:hint="default"/>
      </w:rPr>
    </w:lvl>
    <w:lvl w:ilvl="5" w:tplc="FAE81A22" w:tentative="1">
      <w:start w:val="1"/>
      <w:numFmt w:val="bullet"/>
      <w:lvlText w:val="•"/>
      <w:lvlJc w:val="left"/>
      <w:pPr>
        <w:tabs>
          <w:tab w:val="num" w:pos="4320"/>
        </w:tabs>
        <w:ind w:left="4320" w:hanging="360"/>
      </w:pPr>
      <w:rPr>
        <w:rFonts w:ascii="Arial" w:hAnsi="Arial" w:hint="default"/>
      </w:rPr>
    </w:lvl>
    <w:lvl w:ilvl="6" w:tplc="1118144A" w:tentative="1">
      <w:start w:val="1"/>
      <w:numFmt w:val="bullet"/>
      <w:lvlText w:val="•"/>
      <w:lvlJc w:val="left"/>
      <w:pPr>
        <w:tabs>
          <w:tab w:val="num" w:pos="5040"/>
        </w:tabs>
        <w:ind w:left="5040" w:hanging="360"/>
      </w:pPr>
      <w:rPr>
        <w:rFonts w:ascii="Arial" w:hAnsi="Arial" w:hint="default"/>
      </w:rPr>
    </w:lvl>
    <w:lvl w:ilvl="7" w:tplc="D152DDE6" w:tentative="1">
      <w:start w:val="1"/>
      <w:numFmt w:val="bullet"/>
      <w:lvlText w:val="•"/>
      <w:lvlJc w:val="left"/>
      <w:pPr>
        <w:tabs>
          <w:tab w:val="num" w:pos="5760"/>
        </w:tabs>
        <w:ind w:left="5760" w:hanging="360"/>
      </w:pPr>
      <w:rPr>
        <w:rFonts w:ascii="Arial" w:hAnsi="Arial" w:hint="default"/>
      </w:rPr>
    </w:lvl>
    <w:lvl w:ilvl="8" w:tplc="7CD8E936" w:tentative="1">
      <w:start w:val="1"/>
      <w:numFmt w:val="bullet"/>
      <w:lvlText w:val="•"/>
      <w:lvlJc w:val="left"/>
      <w:pPr>
        <w:tabs>
          <w:tab w:val="num" w:pos="6480"/>
        </w:tabs>
        <w:ind w:left="6480" w:hanging="360"/>
      </w:pPr>
      <w:rPr>
        <w:rFonts w:ascii="Arial" w:hAnsi="Arial" w:hint="default"/>
      </w:rPr>
    </w:lvl>
  </w:abstractNum>
  <w:abstractNum w:abstractNumId="14">
    <w:nsid w:val="44D85CE8"/>
    <w:multiLevelType w:val="hybridMultilevel"/>
    <w:tmpl w:val="DEDAD8F8"/>
    <w:lvl w:ilvl="0" w:tplc="647EA776">
      <w:start w:val="1"/>
      <w:numFmt w:val="bullet"/>
      <w:lvlText w:val="•"/>
      <w:lvlJc w:val="left"/>
      <w:pPr>
        <w:tabs>
          <w:tab w:val="num" w:pos="720"/>
        </w:tabs>
        <w:ind w:left="720" w:hanging="360"/>
      </w:pPr>
      <w:rPr>
        <w:rFonts w:ascii="Arial" w:hAnsi="Arial" w:hint="default"/>
      </w:rPr>
    </w:lvl>
    <w:lvl w:ilvl="1" w:tplc="D114940C" w:tentative="1">
      <w:start w:val="1"/>
      <w:numFmt w:val="bullet"/>
      <w:lvlText w:val="•"/>
      <w:lvlJc w:val="left"/>
      <w:pPr>
        <w:tabs>
          <w:tab w:val="num" w:pos="1440"/>
        </w:tabs>
        <w:ind w:left="1440" w:hanging="360"/>
      </w:pPr>
      <w:rPr>
        <w:rFonts w:ascii="Arial" w:hAnsi="Arial" w:hint="default"/>
      </w:rPr>
    </w:lvl>
    <w:lvl w:ilvl="2" w:tplc="FEE2D7AE" w:tentative="1">
      <w:start w:val="1"/>
      <w:numFmt w:val="bullet"/>
      <w:lvlText w:val="•"/>
      <w:lvlJc w:val="left"/>
      <w:pPr>
        <w:tabs>
          <w:tab w:val="num" w:pos="2160"/>
        </w:tabs>
        <w:ind w:left="2160" w:hanging="360"/>
      </w:pPr>
      <w:rPr>
        <w:rFonts w:ascii="Arial" w:hAnsi="Arial" w:hint="default"/>
      </w:rPr>
    </w:lvl>
    <w:lvl w:ilvl="3" w:tplc="D972A818" w:tentative="1">
      <w:start w:val="1"/>
      <w:numFmt w:val="bullet"/>
      <w:lvlText w:val="•"/>
      <w:lvlJc w:val="left"/>
      <w:pPr>
        <w:tabs>
          <w:tab w:val="num" w:pos="2880"/>
        </w:tabs>
        <w:ind w:left="2880" w:hanging="360"/>
      </w:pPr>
      <w:rPr>
        <w:rFonts w:ascii="Arial" w:hAnsi="Arial" w:hint="default"/>
      </w:rPr>
    </w:lvl>
    <w:lvl w:ilvl="4" w:tplc="3410AD64" w:tentative="1">
      <w:start w:val="1"/>
      <w:numFmt w:val="bullet"/>
      <w:lvlText w:val="•"/>
      <w:lvlJc w:val="left"/>
      <w:pPr>
        <w:tabs>
          <w:tab w:val="num" w:pos="3600"/>
        </w:tabs>
        <w:ind w:left="3600" w:hanging="360"/>
      </w:pPr>
      <w:rPr>
        <w:rFonts w:ascii="Arial" w:hAnsi="Arial" w:hint="default"/>
      </w:rPr>
    </w:lvl>
    <w:lvl w:ilvl="5" w:tplc="71E4DA6A" w:tentative="1">
      <w:start w:val="1"/>
      <w:numFmt w:val="bullet"/>
      <w:lvlText w:val="•"/>
      <w:lvlJc w:val="left"/>
      <w:pPr>
        <w:tabs>
          <w:tab w:val="num" w:pos="4320"/>
        </w:tabs>
        <w:ind w:left="4320" w:hanging="360"/>
      </w:pPr>
      <w:rPr>
        <w:rFonts w:ascii="Arial" w:hAnsi="Arial" w:hint="default"/>
      </w:rPr>
    </w:lvl>
    <w:lvl w:ilvl="6" w:tplc="96DA8D76" w:tentative="1">
      <w:start w:val="1"/>
      <w:numFmt w:val="bullet"/>
      <w:lvlText w:val="•"/>
      <w:lvlJc w:val="left"/>
      <w:pPr>
        <w:tabs>
          <w:tab w:val="num" w:pos="5040"/>
        </w:tabs>
        <w:ind w:left="5040" w:hanging="360"/>
      </w:pPr>
      <w:rPr>
        <w:rFonts w:ascii="Arial" w:hAnsi="Arial" w:hint="default"/>
      </w:rPr>
    </w:lvl>
    <w:lvl w:ilvl="7" w:tplc="4AF2B7AA" w:tentative="1">
      <w:start w:val="1"/>
      <w:numFmt w:val="bullet"/>
      <w:lvlText w:val="•"/>
      <w:lvlJc w:val="left"/>
      <w:pPr>
        <w:tabs>
          <w:tab w:val="num" w:pos="5760"/>
        </w:tabs>
        <w:ind w:left="5760" w:hanging="360"/>
      </w:pPr>
      <w:rPr>
        <w:rFonts w:ascii="Arial" w:hAnsi="Arial" w:hint="default"/>
      </w:rPr>
    </w:lvl>
    <w:lvl w:ilvl="8" w:tplc="80DC1000" w:tentative="1">
      <w:start w:val="1"/>
      <w:numFmt w:val="bullet"/>
      <w:lvlText w:val="•"/>
      <w:lvlJc w:val="left"/>
      <w:pPr>
        <w:tabs>
          <w:tab w:val="num" w:pos="6480"/>
        </w:tabs>
        <w:ind w:left="6480" w:hanging="360"/>
      </w:pPr>
      <w:rPr>
        <w:rFonts w:ascii="Arial" w:hAnsi="Arial" w:hint="default"/>
      </w:rPr>
    </w:lvl>
  </w:abstractNum>
  <w:abstractNum w:abstractNumId="15">
    <w:nsid w:val="45CD7A11"/>
    <w:multiLevelType w:val="hybridMultilevel"/>
    <w:tmpl w:val="689CA392"/>
    <w:lvl w:ilvl="0" w:tplc="C0367B92">
      <w:start w:val="1"/>
      <w:numFmt w:val="lowerRoman"/>
      <w:lvlText w:val="%1)"/>
      <w:lvlJc w:val="right"/>
      <w:pPr>
        <w:tabs>
          <w:tab w:val="num" w:pos="720"/>
        </w:tabs>
        <w:ind w:left="720" w:hanging="360"/>
      </w:pPr>
    </w:lvl>
    <w:lvl w:ilvl="1" w:tplc="138C5D1C" w:tentative="1">
      <w:start w:val="1"/>
      <w:numFmt w:val="lowerRoman"/>
      <w:lvlText w:val="%2)"/>
      <w:lvlJc w:val="right"/>
      <w:pPr>
        <w:tabs>
          <w:tab w:val="num" w:pos="1440"/>
        </w:tabs>
        <w:ind w:left="1440" w:hanging="360"/>
      </w:pPr>
    </w:lvl>
    <w:lvl w:ilvl="2" w:tplc="6C66E160" w:tentative="1">
      <w:start w:val="1"/>
      <w:numFmt w:val="lowerRoman"/>
      <w:lvlText w:val="%3)"/>
      <w:lvlJc w:val="right"/>
      <w:pPr>
        <w:tabs>
          <w:tab w:val="num" w:pos="2160"/>
        </w:tabs>
        <w:ind w:left="2160" w:hanging="360"/>
      </w:pPr>
    </w:lvl>
    <w:lvl w:ilvl="3" w:tplc="A62EB4B8" w:tentative="1">
      <w:start w:val="1"/>
      <w:numFmt w:val="lowerRoman"/>
      <w:lvlText w:val="%4)"/>
      <w:lvlJc w:val="right"/>
      <w:pPr>
        <w:tabs>
          <w:tab w:val="num" w:pos="2880"/>
        </w:tabs>
        <w:ind w:left="2880" w:hanging="360"/>
      </w:pPr>
    </w:lvl>
    <w:lvl w:ilvl="4" w:tplc="89F29EEC" w:tentative="1">
      <w:start w:val="1"/>
      <w:numFmt w:val="lowerRoman"/>
      <w:lvlText w:val="%5)"/>
      <w:lvlJc w:val="right"/>
      <w:pPr>
        <w:tabs>
          <w:tab w:val="num" w:pos="3600"/>
        </w:tabs>
        <w:ind w:left="3600" w:hanging="360"/>
      </w:pPr>
    </w:lvl>
    <w:lvl w:ilvl="5" w:tplc="60065BD4" w:tentative="1">
      <w:start w:val="1"/>
      <w:numFmt w:val="lowerRoman"/>
      <w:lvlText w:val="%6)"/>
      <w:lvlJc w:val="right"/>
      <w:pPr>
        <w:tabs>
          <w:tab w:val="num" w:pos="4320"/>
        </w:tabs>
        <w:ind w:left="4320" w:hanging="360"/>
      </w:pPr>
    </w:lvl>
    <w:lvl w:ilvl="6" w:tplc="6F5A722C" w:tentative="1">
      <w:start w:val="1"/>
      <w:numFmt w:val="lowerRoman"/>
      <w:lvlText w:val="%7)"/>
      <w:lvlJc w:val="right"/>
      <w:pPr>
        <w:tabs>
          <w:tab w:val="num" w:pos="5040"/>
        </w:tabs>
        <w:ind w:left="5040" w:hanging="360"/>
      </w:pPr>
    </w:lvl>
    <w:lvl w:ilvl="7" w:tplc="9FD8A5F2" w:tentative="1">
      <w:start w:val="1"/>
      <w:numFmt w:val="lowerRoman"/>
      <w:lvlText w:val="%8)"/>
      <w:lvlJc w:val="right"/>
      <w:pPr>
        <w:tabs>
          <w:tab w:val="num" w:pos="5760"/>
        </w:tabs>
        <w:ind w:left="5760" w:hanging="360"/>
      </w:pPr>
    </w:lvl>
    <w:lvl w:ilvl="8" w:tplc="CD46B048" w:tentative="1">
      <w:start w:val="1"/>
      <w:numFmt w:val="lowerRoman"/>
      <w:lvlText w:val="%9)"/>
      <w:lvlJc w:val="right"/>
      <w:pPr>
        <w:tabs>
          <w:tab w:val="num" w:pos="6480"/>
        </w:tabs>
        <w:ind w:left="6480" w:hanging="360"/>
      </w:pPr>
    </w:lvl>
  </w:abstractNum>
  <w:abstractNum w:abstractNumId="16">
    <w:nsid w:val="4E6D7EBB"/>
    <w:multiLevelType w:val="hybridMultilevel"/>
    <w:tmpl w:val="220ECE20"/>
    <w:lvl w:ilvl="0" w:tplc="1C5A305C">
      <w:start w:val="1"/>
      <w:numFmt w:val="lowerRoman"/>
      <w:lvlText w:val="(%1)"/>
      <w:lvlJc w:val="right"/>
      <w:pPr>
        <w:tabs>
          <w:tab w:val="num" w:pos="720"/>
        </w:tabs>
        <w:ind w:left="720" w:hanging="360"/>
      </w:pPr>
    </w:lvl>
    <w:lvl w:ilvl="1" w:tplc="A9D605D4" w:tentative="1">
      <w:start w:val="1"/>
      <w:numFmt w:val="lowerRoman"/>
      <w:lvlText w:val="(%2)"/>
      <w:lvlJc w:val="right"/>
      <w:pPr>
        <w:tabs>
          <w:tab w:val="num" w:pos="1440"/>
        </w:tabs>
        <w:ind w:left="1440" w:hanging="360"/>
      </w:pPr>
    </w:lvl>
    <w:lvl w:ilvl="2" w:tplc="FE84AEDE" w:tentative="1">
      <w:start w:val="1"/>
      <w:numFmt w:val="lowerRoman"/>
      <w:lvlText w:val="(%3)"/>
      <w:lvlJc w:val="right"/>
      <w:pPr>
        <w:tabs>
          <w:tab w:val="num" w:pos="2160"/>
        </w:tabs>
        <w:ind w:left="2160" w:hanging="360"/>
      </w:pPr>
    </w:lvl>
    <w:lvl w:ilvl="3" w:tplc="1F2AD0B4" w:tentative="1">
      <w:start w:val="1"/>
      <w:numFmt w:val="lowerRoman"/>
      <w:lvlText w:val="(%4)"/>
      <w:lvlJc w:val="right"/>
      <w:pPr>
        <w:tabs>
          <w:tab w:val="num" w:pos="2880"/>
        </w:tabs>
        <w:ind w:left="2880" w:hanging="360"/>
      </w:pPr>
    </w:lvl>
    <w:lvl w:ilvl="4" w:tplc="00309DFE" w:tentative="1">
      <w:start w:val="1"/>
      <w:numFmt w:val="lowerRoman"/>
      <w:lvlText w:val="(%5)"/>
      <w:lvlJc w:val="right"/>
      <w:pPr>
        <w:tabs>
          <w:tab w:val="num" w:pos="3600"/>
        </w:tabs>
        <w:ind w:left="3600" w:hanging="360"/>
      </w:pPr>
    </w:lvl>
    <w:lvl w:ilvl="5" w:tplc="A92EBBAA" w:tentative="1">
      <w:start w:val="1"/>
      <w:numFmt w:val="lowerRoman"/>
      <w:lvlText w:val="(%6)"/>
      <w:lvlJc w:val="right"/>
      <w:pPr>
        <w:tabs>
          <w:tab w:val="num" w:pos="4320"/>
        </w:tabs>
        <w:ind w:left="4320" w:hanging="360"/>
      </w:pPr>
    </w:lvl>
    <w:lvl w:ilvl="6" w:tplc="1234B4A4" w:tentative="1">
      <w:start w:val="1"/>
      <w:numFmt w:val="lowerRoman"/>
      <w:lvlText w:val="(%7)"/>
      <w:lvlJc w:val="right"/>
      <w:pPr>
        <w:tabs>
          <w:tab w:val="num" w:pos="5040"/>
        </w:tabs>
        <w:ind w:left="5040" w:hanging="360"/>
      </w:pPr>
    </w:lvl>
    <w:lvl w:ilvl="7" w:tplc="A6F8E610" w:tentative="1">
      <w:start w:val="1"/>
      <w:numFmt w:val="lowerRoman"/>
      <w:lvlText w:val="(%8)"/>
      <w:lvlJc w:val="right"/>
      <w:pPr>
        <w:tabs>
          <w:tab w:val="num" w:pos="5760"/>
        </w:tabs>
        <w:ind w:left="5760" w:hanging="360"/>
      </w:pPr>
    </w:lvl>
    <w:lvl w:ilvl="8" w:tplc="9F308AFA" w:tentative="1">
      <w:start w:val="1"/>
      <w:numFmt w:val="lowerRoman"/>
      <w:lvlText w:val="(%9)"/>
      <w:lvlJc w:val="right"/>
      <w:pPr>
        <w:tabs>
          <w:tab w:val="num" w:pos="6480"/>
        </w:tabs>
        <w:ind w:left="6480" w:hanging="360"/>
      </w:pPr>
    </w:lvl>
  </w:abstractNum>
  <w:abstractNum w:abstractNumId="17">
    <w:nsid w:val="51502E46"/>
    <w:multiLevelType w:val="hybridMultilevel"/>
    <w:tmpl w:val="C610069E"/>
    <w:lvl w:ilvl="0" w:tplc="48D44BDA">
      <w:start w:val="1"/>
      <w:numFmt w:val="lowerRoman"/>
      <w:lvlText w:val="%1."/>
      <w:lvlJc w:val="right"/>
      <w:pPr>
        <w:tabs>
          <w:tab w:val="num" w:pos="720"/>
        </w:tabs>
        <w:ind w:left="720" w:hanging="360"/>
      </w:pPr>
    </w:lvl>
    <w:lvl w:ilvl="1" w:tplc="390C0880" w:tentative="1">
      <w:start w:val="1"/>
      <w:numFmt w:val="lowerRoman"/>
      <w:lvlText w:val="%2."/>
      <w:lvlJc w:val="right"/>
      <w:pPr>
        <w:tabs>
          <w:tab w:val="num" w:pos="1440"/>
        </w:tabs>
        <w:ind w:left="1440" w:hanging="360"/>
      </w:pPr>
    </w:lvl>
    <w:lvl w:ilvl="2" w:tplc="666EDF50" w:tentative="1">
      <w:start w:val="1"/>
      <w:numFmt w:val="lowerRoman"/>
      <w:lvlText w:val="%3."/>
      <w:lvlJc w:val="right"/>
      <w:pPr>
        <w:tabs>
          <w:tab w:val="num" w:pos="2160"/>
        </w:tabs>
        <w:ind w:left="2160" w:hanging="360"/>
      </w:pPr>
    </w:lvl>
    <w:lvl w:ilvl="3" w:tplc="845C2CDE" w:tentative="1">
      <w:start w:val="1"/>
      <w:numFmt w:val="lowerRoman"/>
      <w:lvlText w:val="%4."/>
      <w:lvlJc w:val="right"/>
      <w:pPr>
        <w:tabs>
          <w:tab w:val="num" w:pos="2880"/>
        </w:tabs>
        <w:ind w:left="2880" w:hanging="360"/>
      </w:pPr>
    </w:lvl>
    <w:lvl w:ilvl="4" w:tplc="B6E27486" w:tentative="1">
      <w:start w:val="1"/>
      <w:numFmt w:val="lowerRoman"/>
      <w:lvlText w:val="%5."/>
      <w:lvlJc w:val="right"/>
      <w:pPr>
        <w:tabs>
          <w:tab w:val="num" w:pos="3600"/>
        </w:tabs>
        <w:ind w:left="3600" w:hanging="360"/>
      </w:pPr>
    </w:lvl>
    <w:lvl w:ilvl="5" w:tplc="99001320" w:tentative="1">
      <w:start w:val="1"/>
      <w:numFmt w:val="lowerRoman"/>
      <w:lvlText w:val="%6."/>
      <w:lvlJc w:val="right"/>
      <w:pPr>
        <w:tabs>
          <w:tab w:val="num" w:pos="4320"/>
        </w:tabs>
        <w:ind w:left="4320" w:hanging="360"/>
      </w:pPr>
    </w:lvl>
    <w:lvl w:ilvl="6" w:tplc="15E8CCE8" w:tentative="1">
      <w:start w:val="1"/>
      <w:numFmt w:val="lowerRoman"/>
      <w:lvlText w:val="%7."/>
      <w:lvlJc w:val="right"/>
      <w:pPr>
        <w:tabs>
          <w:tab w:val="num" w:pos="5040"/>
        </w:tabs>
        <w:ind w:left="5040" w:hanging="360"/>
      </w:pPr>
    </w:lvl>
    <w:lvl w:ilvl="7" w:tplc="983E20C0" w:tentative="1">
      <w:start w:val="1"/>
      <w:numFmt w:val="lowerRoman"/>
      <w:lvlText w:val="%8."/>
      <w:lvlJc w:val="right"/>
      <w:pPr>
        <w:tabs>
          <w:tab w:val="num" w:pos="5760"/>
        </w:tabs>
        <w:ind w:left="5760" w:hanging="360"/>
      </w:pPr>
    </w:lvl>
    <w:lvl w:ilvl="8" w:tplc="A776CC44" w:tentative="1">
      <w:start w:val="1"/>
      <w:numFmt w:val="lowerRoman"/>
      <w:lvlText w:val="%9."/>
      <w:lvlJc w:val="right"/>
      <w:pPr>
        <w:tabs>
          <w:tab w:val="num" w:pos="6480"/>
        </w:tabs>
        <w:ind w:left="6480" w:hanging="360"/>
      </w:pPr>
    </w:lvl>
  </w:abstractNum>
  <w:abstractNum w:abstractNumId="18">
    <w:nsid w:val="53BB6292"/>
    <w:multiLevelType w:val="hybridMultilevel"/>
    <w:tmpl w:val="7EF643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44E7DC1"/>
    <w:multiLevelType w:val="hybridMultilevel"/>
    <w:tmpl w:val="56D209C4"/>
    <w:lvl w:ilvl="0" w:tplc="F97E0CE6">
      <w:start w:val="1"/>
      <w:numFmt w:val="bullet"/>
      <w:lvlText w:val="•"/>
      <w:lvlJc w:val="left"/>
      <w:pPr>
        <w:tabs>
          <w:tab w:val="num" w:pos="720"/>
        </w:tabs>
        <w:ind w:left="720" w:hanging="360"/>
      </w:pPr>
      <w:rPr>
        <w:rFonts w:ascii="Arial" w:hAnsi="Arial" w:hint="default"/>
      </w:rPr>
    </w:lvl>
    <w:lvl w:ilvl="1" w:tplc="3E2C9130" w:tentative="1">
      <w:start w:val="1"/>
      <w:numFmt w:val="bullet"/>
      <w:lvlText w:val="•"/>
      <w:lvlJc w:val="left"/>
      <w:pPr>
        <w:tabs>
          <w:tab w:val="num" w:pos="1440"/>
        </w:tabs>
        <w:ind w:left="1440" w:hanging="360"/>
      </w:pPr>
      <w:rPr>
        <w:rFonts w:ascii="Arial" w:hAnsi="Arial" w:hint="default"/>
      </w:rPr>
    </w:lvl>
    <w:lvl w:ilvl="2" w:tplc="55946C66" w:tentative="1">
      <w:start w:val="1"/>
      <w:numFmt w:val="bullet"/>
      <w:lvlText w:val="•"/>
      <w:lvlJc w:val="left"/>
      <w:pPr>
        <w:tabs>
          <w:tab w:val="num" w:pos="2160"/>
        </w:tabs>
        <w:ind w:left="2160" w:hanging="360"/>
      </w:pPr>
      <w:rPr>
        <w:rFonts w:ascii="Arial" w:hAnsi="Arial" w:hint="default"/>
      </w:rPr>
    </w:lvl>
    <w:lvl w:ilvl="3" w:tplc="1FD81F6A" w:tentative="1">
      <w:start w:val="1"/>
      <w:numFmt w:val="bullet"/>
      <w:lvlText w:val="•"/>
      <w:lvlJc w:val="left"/>
      <w:pPr>
        <w:tabs>
          <w:tab w:val="num" w:pos="2880"/>
        </w:tabs>
        <w:ind w:left="2880" w:hanging="360"/>
      </w:pPr>
      <w:rPr>
        <w:rFonts w:ascii="Arial" w:hAnsi="Arial" w:hint="default"/>
      </w:rPr>
    </w:lvl>
    <w:lvl w:ilvl="4" w:tplc="8B18A752" w:tentative="1">
      <w:start w:val="1"/>
      <w:numFmt w:val="bullet"/>
      <w:lvlText w:val="•"/>
      <w:lvlJc w:val="left"/>
      <w:pPr>
        <w:tabs>
          <w:tab w:val="num" w:pos="3600"/>
        </w:tabs>
        <w:ind w:left="3600" w:hanging="360"/>
      </w:pPr>
      <w:rPr>
        <w:rFonts w:ascii="Arial" w:hAnsi="Arial" w:hint="default"/>
      </w:rPr>
    </w:lvl>
    <w:lvl w:ilvl="5" w:tplc="779AAC28" w:tentative="1">
      <w:start w:val="1"/>
      <w:numFmt w:val="bullet"/>
      <w:lvlText w:val="•"/>
      <w:lvlJc w:val="left"/>
      <w:pPr>
        <w:tabs>
          <w:tab w:val="num" w:pos="4320"/>
        </w:tabs>
        <w:ind w:left="4320" w:hanging="360"/>
      </w:pPr>
      <w:rPr>
        <w:rFonts w:ascii="Arial" w:hAnsi="Arial" w:hint="default"/>
      </w:rPr>
    </w:lvl>
    <w:lvl w:ilvl="6" w:tplc="F85C6770" w:tentative="1">
      <w:start w:val="1"/>
      <w:numFmt w:val="bullet"/>
      <w:lvlText w:val="•"/>
      <w:lvlJc w:val="left"/>
      <w:pPr>
        <w:tabs>
          <w:tab w:val="num" w:pos="5040"/>
        </w:tabs>
        <w:ind w:left="5040" w:hanging="360"/>
      </w:pPr>
      <w:rPr>
        <w:rFonts w:ascii="Arial" w:hAnsi="Arial" w:hint="default"/>
      </w:rPr>
    </w:lvl>
    <w:lvl w:ilvl="7" w:tplc="B2D4E954" w:tentative="1">
      <w:start w:val="1"/>
      <w:numFmt w:val="bullet"/>
      <w:lvlText w:val="•"/>
      <w:lvlJc w:val="left"/>
      <w:pPr>
        <w:tabs>
          <w:tab w:val="num" w:pos="5760"/>
        </w:tabs>
        <w:ind w:left="5760" w:hanging="360"/>
      </w:pPr>
      <w:rPr>
        <w:rFonts w:ascii="Arial" w:hAnsi="Arial" w:hint="default"/>
      </w:rPr>
    </w:lvl>
    <w:lvl w:ilvl="8" w:tplc="F7B8FB4E" w:tentative="1">
      <w:start w:val="1"/>
      <w:numFmt w:val="bullet"/>
      <w:lvlText w:val="•"/>
      <w:lvlJc w:val="left"/>
      <w:pPr>
        <w:tabs>
          <w:tab w:val="num" w:pos="6480"/>
        </w:tabs>
        <w:ind w:left="6480" w:hanging="360"/>
      </w:pPr>
      <w:rPr>
        <w:rFonts w:ascii="Arial" w:hAnsi="Arial" w:hint="default"/>
      </w:rPr>
    </w:lvl>
  </w:abstractNum>
  <w:abstractNum w:abstractNumId="20">
    <w:nsid w:val="5A470FF0"/>
    <w:multiLevelType w:val="hybridMultilevel"/>
    <w:tmpl w:val="32A44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CA15DC3"/>
    <w:multiLevelType w:val="hybridMultilevel"/>
    <w:tmpl w:val="973409A8"/>
    <w:lvl w:ilvl="0" w:tplc="EBEAF462">
      <w:start w:val="1"/>
      <w:numFmt w:val="lowerRoman"/>
      <w:lvlText w:val="%1."/>
      <w:lvlJc w:val="right"/>
      <w:pPr>
        <w:tabs>
          <w:tab w:val="num" w:pos="720"/>
        </w:tabs>
        <w:ind w:left="720" w:hanging="360"/>
      </w:pPr>
    </w:lvl>
    <w:lvl w:ilvl="1" w:tplc="05BAF61E" w:tentative="1">
      <w:start w:val="1"/>
      <w:numFmt w:val="lowerRoman"/>
      <w:lvlText w:val="%2."/>
      <w:lvlJc w:val="right"/>
      <w:pPr>
        <w:tabs>
          <w:tab w:val="num" w:pos="1440"/>
        </w:tabs>
        <w:ind w:left="1440" w:hanging="360"/>
      </w:pPr>
    </w:lvl>
    <w:lvl w:ilvl="2" w:tplc="669E398A" w:tentative="1">
      <w:start w:val="1"/>
      <w:numFmt w:val="lowerRoman"/>
      <w:lvlText w:val="%3."/>
      <w:lvlJc w:val="right"/>
      <w:pPr>
        <w:tabs>
          <w:tab w:val="num" w:pos="2160"/>
        </w:tabs>
        <w:ind w:left="2160" w:hanging="360"/>
      </w:pPr>
    </w:lvl>
    <w:lvl w:ilvl="3" w:tplc="DCB48A22" w:tentative="1">
      <w:start w:val="1"/>
      <w:numFmt w:val="lowerRoman"/>
      <w:lvlText w:val="%4."/>
      <w:lvlJc w:val="right"/>
      <w:pPr>
        <w:tabs>
          <w:tab w:val="num" w:pos="2880"/>
        </w:tabs>
        <w:ind w:left="2880" w:hanging="360"/>
      </w:pPr>
    </w:lvl>
    <w:lvl w:ilvl="4" w:tplc="AE14C5FA" w:tentative="1">
      <w:start w:val="1"/>
      <w:numFmt w:val="lowerRoman"/>
      <w:lvlText w:val="%5."/>
      <w:lvlJc w:val="right"/>
      <w:pPr>
        <w:tabs>
          <w:tab w:val="num" w:pos="3600"/>
        </w:tabs>
        <w:ind w:left="3600" w:hanging="360"/>
      </w:pPr>
    </w:lvl>
    <w:lvl w:ilvl="5" w:tplc="84C4B388" w:tentative="1">
      <w:start w:val="1"/>
      <w:numFmt w:val="lowerRoman"/>
      <w:lvlText w:val="%6."/>
      <w:lvlJc w:val="right"/>
      <w:pPr>
        <w:tabs>
          <w:tab w:val="num" w:pos="4320"/>
        </w:tabs>
        <w:ind w:left="4320" w:hanging="360"/>
      </w:pPr>
    </w:lvl>
    <w:lvl w:ilvl="6" w:tplc="F1EC75BC" w:tentative="1">
      <w:start w:val="1"/>
      <w:numFmt w:val="lowerRoman"/>
      <w:lvlText w:val="%7."/>
      <w:lvlJc w:val="right"/>
      <w:pPr>
        <w:tabs>
          <w:tab w:val="num" w:pos="5040"/>
        </w:tabs>
        <w:ind w:left="5040" w:hanging="360"/>
      </w:pPr>
    </w:lvl>
    <w:lvl w:ilvl="7" w:tplc="1D025C7A" w:tentative="1">
      <w:start w:val="1"/>
      <w:numFmt w:val="lowerRoman"/>
      <w:lvlText w:val="%8."/>
      <w:lvlJc w:val="right"/>
      <w:pPr>
        <w:tabs>
          <w:tab w:val="num" w:pos="5760"/>
        </w:tabs>
        <w:ind w:left="5760" w:hanging="360"/>
      </w:pPr>
    </w:lvl>
    <w:lvl w:ilvl="8" w:tplc="4EDA5FE0" w:tentative="1">
      <w:start w:val="1"/>
      <w:numFmt w:val="lowerRoman"/>
      <w:lvlText w:val="%9."/>
      <w:lvlJc w:val="right"/>
      <w:pPr>
        <w:tabs>
          <w:tab w:val="num" w:pos="6480"/>
        </w:tabs>
        <w:ind w:left="6480" w:hanging="360"/>
      </w:pPr>
    </w:lvl>
  </w:abstractNum>
  <w:abstractNum w:abstractNumId="22">
    <w:nsid w:val="5DAB42EF"/>
    <w:multiLevelType w:val="hybridMultilevel"/>
    <w:tmpl w:val="0B3A28C6"/>
    <w:lvl w:ilvl="0" w:tplc="7F543E26">
      <w:start w:val="1"/>
      <w:numFmt w:val="bullet"/>
      <w:lvlText w:val="•"/>
      <w:lvlJc w:val="left"/>
      <w:pPr>
        <w:tabs>
          <w:tab w:val="num" w:pos="720"/>
        </w:tabs>
        <w:ind w:left="720" w:hanging="360"/>
      </w:pPr>
      <w:rPr>
        <w:rFonts w:ascii="Arial" w:hAnsi="Arial" w:hint="default"/>
      </w:rPr>
    </w:lvl>
    <w:lvl w:ilvl="1" w:tplc="8D34832A" w:tentative="1">
      <w:start w:val="1"/>
      <w:numFmt w:val="bullet"/>
      <w:lvlText w:val="•"/>
      <w:lvlJc w:val="left"/>
      <w:pPr>
        <w:tabs>
          <w:tab w:val="num" w:pos="1440"/>
        </w:tabs>
        <w:ind w:left="1440" w:hanging="360"/>
      </w:pPr>
      <w:rPr>
        <w:rFonts w:ascii="Arial" w:hAnsi="Arial" w:hint="default"/>
      </w:rPr>
    </w:lvl>
    <w:lvl w:ilvl="2" w:tplc="656C4C96" w:tentative="1">
      <w:start w:val="1"/>
      <w:numFmt w:val="bullet"/>
      <w:lvlText w:val="•"/>
      <w:lvlJc w:val="left"/>
      <w:pPr>
        <w:tabs>
          <w:tab w:val="num" w:pos="2160"/>
        </w:tabs>
        <w:ind w:left="2160" w:hanging="360"/>
      </w:pPr>
      <w:rPr>
        <w:rFonts w:ascii="Arial" w:hAnsi="Arial" w:hint="default"/>
      </w:rPr>
    </w:lvl>
    <w:lvl w:ilvl="3" w:tplc="6394AA36" w:tentative="1">
      <w:start w:val="1"/>
      <w:numFmt w:val="bullet"/>
      <w:lvlText w:val="•"/>
      <w:lvlJc w:val="left"/>
      <w:pPr>
        <w:tabs>
          <w:tab w:val="num" w:pos="2880"/>
        </w:tabs>
        <w:ind w:left="2880" w:hanging="360"/>
      </w:pPr>
      <w:rPr>
        <w:rFonts w:ascii="Arial" w:hAnsi="Arial" w:hint="default"/>
      </w:rPr>
    </w:lvl>
    <w:lvl w:ilvl="4" w:tplc="4EFC9AEA" w:tentative="1">
      <w:start w:val="1"/>
      <w:numFmt w:val="bullet"/>
      <w:lvlText w:val="•"/>
      <w:lvlJc w:val="left"/>
      <w:pPr>
        <w:tabs>
          <w:tab w:val="num" w:pos="3600"/>
        </w:tabs>
        <w:ind w:left="3600" w:hanging="360"/>
      </w:pPr>
      <w:rPr>
        <w:rFonts w:ascii="Arial" w:hAnsi="Arial" w:hint="default"/>
      </w:rPr>
    </w:lvl>
    <w:lvl w:ilvl="5" w:tplc="A7285E16" w:tentative="1">
      <w:start w:val="1"/>
      <w:numFmt w:val="bullet"/>
      <w:lvlText w:val="•"/>
      <w:lvlJc w:val="left"/>
      <w:pPr>
        <w:tabs>
          <w:tab w:val="num" w:pos="4320"/>
        </w:tabs>
        <w:ind w:left="4320" w:hanging="360"/>
      </w:pPr>
      <w:rPr>
        <w:rFonts w:ascii="Arial" w:hAnsi="Arial" w:hint="default"/>
      </w:rPr>
    </w:lvl>
    <w:lvl w:ilvl="6" w:tplc="E36681AA" w:tentative="1">
      <w:start w:val="1"/>
      <w:numFmt w:val="bullet"/>
      <w:lvlText w:val="•"/>
      <w:lvlJc w:val="left"/>
      <w:pPr>
        <w:tabs>
          <w:tab w:val="num" w:pos="5040"/>
        </w:tabs>
        <w:ind w:left="5040" w:hanging="360"/>
      </w:pPr>
      <w:rPr>
        <w:rFonts w:ascii="Arial" w:hAnsi="Arial" w:hint="default"/>
      </w:rPr>
    </w:lvl>
    <w:lvl w:ilvl="7" w:tplc="B884121A" w:tentative="1">
      <w:start w:val="1"/>
      <w:numFmt w:val="bullet"/>
      <w:lvlText w:val="•"/>
      <w:lvlJc w:val="left"/>
      <w:pPr>
        <w:tabs>
          <w:tab w:val="num" w:pos="5760"/>
        </w:tabs>
        <w:ind w:left="5760" w:hanging="360"/>
      </w:pPr>
      <w:rPr>
        <w:rFonts w:ascii="Arial" w:hAnsi="Arial" w:hint="default"/>
      </w:rPr>
    </w:lvl>
    <w:lvl w:ilvl="8" w:tplc="B1126D88" w:tentative="1">
      <w:start w:val="1"/>
      <w:numFmt w:val="bullet"/>
      <w:lvlText w:val="•"/>
      <w:lvlJc w:val="left"/>
      <w:pPr>
        <w:tabs>
          <w:tab w:val="num" w:pos="6480"/>
        </w:tabs>
        <w:ind w:left="6480" w:hanging="360"/>
      </w:pPr>
      <w:rPr>
        <w:rFonts w:ascii="Arial" w:hAnsi="Arial" w:hint="default"/>
      </w:rPr>
    </w:lvl>
  </w:abstractNum>
  <w:abstractNum w:abstractNumId="23">
    <w:nsid w:val="5DFB3331"/>
    <w:multiLevelType w:val="hybridMultilevel"/>
    <w:tmpl w:val="BBB48E84"/>
    <w:lvl w:ilvl="0" w:tplc="56C2A57A">
      <w:start w:val="1"/>
      <w:numFmt w:val="bullet"/>
      <w:lvlText w:val=""/>
      <w:lvlJc w:val="left"/>
      <w:pPr>
        <w:ind w:left="3579" w:hanging="360"/>
      </w:pPr>
      <w:rPr>
        <w:rFonts w:ascii="Symbol" w:hAnsi="Symbol" w:hint="default"/>
        <w:color w:val="1C665A" w:themeColor="accent1"/>
      </w:rPr>
    </w:lvl>
    <w:lvl w:ilvl="1" w:tplc="08090003" w:tentative="1">
      <w:start w:val="1"/>
      <w:numFmt w:val="bullet"/>
      <w:lvlText w:val="o"/>
      <w:lvlJc w:val="left"/>
      <w:pPr>
        <w:ind w:left="4299" w:hanging="360"/>
      </w:pPr>
      <w:rPr>
        <w:rFonts w:ascii="Courier New" w:hAnsi="Courier New" w:cs="Courier New" w:hint="default"/>
      </w:rPr>
    </w:lvl>
    <w:lvl w:ilvl="2" w:tplc="08090005" w:tentative="1">
      <w:start w:val="1"/>
      <w:numFmt w:val="bullet"/>
      <w:lvlText w:val=""/>
      <w:lvlJc w:val="left"/>
      <w:pPr>
        <w:ind w:left="5019" w:hanging="360"/>
      </w:pPr>
      <w:rPr>
        <w:rFonts w:ascii="Wingdings" w:hAnsi="Wingdings" w:hint="default"/>
      </w:rPr>
    </w:lvl>
    <w:lvl w:ilvl="3" w:tplc="08090001" w:tentative="1">
      <w:start w:val="1"/>
      <w:numFmt w:val="bullet"/>
      <w:lvlText w:val=""/>
      <w:lvlJc w:val="left"/>
      <w:pPr>
        <w:ind w:left="5739" w:hanging="360"/>
      </w:pPr>
      <w:rPr>
        <w:rFonts w:ascii="Symbol" w:hAnsi="Symbol" w:hint="default"/>
      </w:rPr>
    </w:lvl>
    <w:lvl w:ilvl="4" w:tplc="08090003" w:tentative="1">
      <w:start w:val="1"/>
      <w:numFmt w:val="bullet"/>
      <w:lvlText w:val="o"/>
      <w:lvlJc w:val="left"/>
      <w:pPr>
        <w:ind w:left="6459" w:hanging="360"/>
      </w:pPr>
      <w:rPr>
        <w:rFonts w:ascii="Courier New" w:hAnsi="Courier New" w:cs="Courier New" w:hint="default"/>
      </w:rPr>
    </w:lvl>
    <w:lvl w:ilvl="5" w:tplc="08090005" w:tentative="1">
      <w:start w:val="1"/>
      <w:numFmt w:val="bullet"/>
      <w:lvlText w:val=""/>
      <w:lvlJc w:val="left"/>
      <w:pPr>
        <w:ind w:left="7179" w:hanging="360"/>
      </w:pPr>
      <w:rPr>
        <w:rFonts w:ascii="Wingdings" w:hAnsi="Wingdings" w:hint="default"/>
      </w:rPr>
    </w:lvl>
    <w:lvl w:ilvl="6" w:tplc="08090001" w:tentative="1">
      <w:start w:val="1"/>
      <w:numFmt w:val="bullet"/>
      <w:lvlText w:val=""/>
      <w:lvlJc w:val="left"/>
      <w:pPr>
        <w:ind w:left="7899" w:hanging="360"/>
      </w:pPr>
      <w:rPr>
        <w:rFonts w:ascii="Symbol" w:hAnsi="Symbol" w:hint="default"/>
      </w:rPr>
    </w:lvl>
    <w:lvl w:ilvl="7" w:tplc="08090003" w:tentative="1">
      <w:start w:val="1"/>
      <w:numFmt w:val="bullet"/>
      <w:lvlText w:val="o"/>
      <w:lvlJc w:val="left"/>
      <w:pPr>
        <w:ind w:left="8619" w:hanging="360"/>
      </w:pPr>
      <w:rPr>
        <w:rFonts w:ascii="Courier New" w:hAnsi="Courier New" w:cs="Courier New" w:hint="default"/>
      </w:rPr>
    </w:lvl>
    <w:lvl w:ilvl="8" w:tplc="08090005" w:tentative="1">
      <w:start w:val="1"/>
      <w:numFmt w:val="bullet"/>
      <w:lvlText w:val=""/>
      <w:lvlJc w:val="left"/>
      <w:pPr>
        <w:ind w:left="9339" w:hanging="360"/>
      </w:pPr>
      <w:rPr>
        <w:rFonts w:ascii="Wingdings" w:hAnsi="Wingdings" w:hint="default"/>
      </w:rPr>
    </w:lvl>
  </w:abstractNum>
  <w:abstractNum w:abstractNumId="24">
    <w:nsid w:val="5F2C5C44"/>
    <w:multiLevelType w:val="hybridMultilevel"/>
    <w:tmpl w:val="ACF23296"/>
    <w:lvl w:ilvl="0" w:tplc="29145A16">
      <w:start w:val="1"/>
      <w:numFmt w:val="bullet"/>
      <w:lvlText w:val="•"/>
      <w:lvlJc w:val="left"/>
      <w:pPr>
        <w:tabs>
          <w:tab w:val="num" w:pos="720"/>
        </w:tabs>
        <w:ind w:left="720" w:hanging="360"/>
      </w:pPr>
      <w:rPr>
        <w:rFonts w:ascii="Arial" w:hAnsi="Arial" w:hint="default"/>
      </w:rPr>
    </w:lvl>
    <w:lvl w:ilvl="1" w:tplc="60A04B2A" w:tentative="1">
      <w:start w:val="1"/>
      <w:numFmt w:val="bullet"/>
      <w:lvlText w:val="•"/>
      <w:lvlJc w:val="left"/>
      <w:pPr>
        <w:tabs>
          <w:tab w:val="num" w:pos="1440"/>
        </w:tabs>
        <w:ind w:left="1440" w:hanging="360"/>
      </w:pPr>
      <w:rPr>
        <w:rFonts w:ascii="Arial" w:hAnsi="Arial" w:hint="default"/>
      </w:rPr>
    </w:lvl>
    <w:lvl w:ilvl="2" w:tplc="EF6E0CDE" w:tentative="1">
      <w:start w:val="1"/>
      <w:numFmt w:val="bullet"/>
      <w:lvlText w:val="•"/>
      <w:lvlJc w:val="left"/>
      <w:pPr>
        <w:tabs>
          <w:tab w:val="num" w:pos="2160"/>
        </w:tabs>
        <w:ind w:left="2160" w:hanging="360"/>
      </w:pPr>
      <w:rPr>
        <w:rFonts w:ascii="Arial" w:hAnsi="Arial" w:hint="default"/>
      </w:rPr>
    </w:lvl>
    <w:lvl w:ilvl="3" w:tplc="0B62FDCE" w:tentative="1">
      <w:start w:val="1"/>
      <w:numFmt w:val="bullet"/>
      <w:lvlText w:val="•"/>
      <w:lvlJc w:val="left"/>
      <w:pPr>
        <w:tabs>
          <w:tab w:val="num" w:pos="2880"/>
        </w:tabs>
        <w:ind w:left="2880" w:hanging="360"/>
      </w:pPr>
      <w:rPr>
        <w:rFonts w:ascii="Arial" w:hAnsi="Arial" w:hint="default"/>
      </w:rPr>
    </w:lvl>
    <w:lvl w:ilvl="4" w:tplc="4C0260B2" w:tentative="1">
      <w:start w:val="1"/>
      <w:numFmt w:val="bullet"/>
      <w:lvlText w:val="•"/>
      <w:lvlJc w:val="left"/>
      <w:pPr>
        <w:tabs>
          <w:tab w:val="num" w:pos="3600"/>
        </w:tabs>
        <w:ind w:left="3600" w:hanging="360"/>
      </w:pPr>
      <w:rPr>
        <w:rFonts w:ascii="Arial" w:hAnsi="Arial" w:hint="default"/>
      </w:rPr>
    </w:lvl>
    <w:lvl w:ilvl="5" w:tplc="10444A34" w:tentative="1">
      <w:start w:val="1"/>
      <w:numFmt w:val="bullet"/>
      <w:lvlText w:val="•"/>
      <w:lvlJc w:val="left"/>
      <w:pPr>
        <w:tabs>
          <w:tab w:val="num" w:pos="4320"/>
        </w:tabs>
        <w:ind w:left="4320" w:hanging="360"/>
      </w:pPr>
      <w:rPr>
        <w:rFonts w:ascii="Arial" w:hAnsi="Arial" w:hint="default"/>
      </w:rPr>
    </w:lvl>
    <w:lvl w:ilvl="6" w:tplc="3D5A236E" w:tentative="1">
      <w:start w:val="1"/>
      <w:numFmt w:val="bullet"/>
      <w:lvlText w:val="•"/>
      <w:lvlJc w:val="left"/>
      <w:pPr>
        <w:tabs>
          <w:tab w:val="num" w:pos="5040"/>
        </w:tabs>
        <w:ind w:left="5040" w:hanging="360"/>
      </w:pPr>
      <w:rPr>
        <w:rFonts w:ascii="Arial" w:hAnsi="Arial" w:hint="default"/>
      </w:rPr>
    </w:lvl>
    <w:lvl w:ilvl="7" w:tplc="A3B61E0A" w:tentative="1">
      <w:start w:val="1"/>
      <w:numFmt w:val="bullet"/>
      <w:lvlText w:val="•"/>
      <w:lvlJc w:val="left"/>
      <w:pPr>
        <w:tabs>
          <w:tab w:val="num" w:pos="5760"/>
        </w:tabs>
        <w:ind w:left="5760" w:hanging="360"/>
      </w:pPr>
      <w:rPr>
        <w:rFonts w:ascii="Arial" w:hAnsi="Arial" w:hint="default"/>
      </w:rPr>
    </w:lvl>
    <w:lvl w:ilvl="8" w:tplc="C50045B8" w:tentative="1">
      <w:start w:val="1"/>
      <w:numFmt w:val="bullet"/>
      <w:lvlText w:val="•"/>
      <w:lvlJc w:val="left"/>
      <w:pPr>
        <w:tabs>
          <w:tab w:val="num" w:pos="6480"/>
        </w:tabs>
        <w:ind w:left="6480" w:hanging="360"/>
      </w:pPr>
      <w:rPr>
        <w:rFonts w:ascii="Arial" w:hAnsi="Arial" w:hint="default"/>
      </w:rPr>
    </w:lvl>
  </w:abstractNum>
  <w:abstractNum w:abstractNumId="25">
    <w:nsid w:val="5F6C78D7"/>
    <w:multiLevelType w:val="hybridMultilevel"/>
    <w:tmpl w:val="2E5CCB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14F51CC"/>
    <w:multiLevelType w:val="singleLevel"/>
    <w:tmpl w:val="4D507192"/>
    <w:lvl w:ilvl="0">
      <w:start w:val="1"/>
      <w:numFmt w:val="bullet"/>
      <w:pStyle w:val="C-AufzhlungPunkt02"/>
      <w:lvlText w:val=""/>
      <w:lvlJc w:val="left"/>
      <w:pPr>
        <w:tabs>
          <w:tab w:val="num" w:pos="567"/>
        </w:tabs>
        <w:ind w:left="567" w:hanging="567"/>
      </w:pPr>
      <w:rPr>
        <w:rFonts w:ascii="Symbol" w:hAnsi="Symbol" w:hint="default"/>
        <w:b/>
        <w:bCs/>
        <w:i w:val="0"/>
        <w:iCs w:val="0"/>
        <w:color w:val="5AB7B4"/>
        <w:sz w:val="22"/>
        <w:szCs w:val="22"/>
      </w:rPr>
    </w:lvl>
  </w:abstractNum>
  <w:abstractNum w:abstractNumId="27">
    <w:nsid w:val="6297145E"/>
    <w:multiLevelType w:val="hybridMultilevel"/>
    <w:tmpl w:val="C226E0C4"/>
    <w:lvl w:ilvl="0" w:tplc="021059B8">
      <w:start w:val="1"/>
      <w:numFmt w:val="bullet"/>
      <w:pStyle w:val="ListParagraph"/>
      <w:lvlText w:val=""/>
      <w:lvlJc w:val="left"/>
      <w:pPr>
        <w:ind w:left="1068" w:hanging="360"/>
      </w:pPr>
      <w:rPr>
        <w:rFonts w:ascii="Symbol" w:hAnsi="Symbol" w:hint="default"/>
        <w:color w:val="1C665A" w:themeColor="accent1"/>
        <w:sz w:val="22"/>
      </w:rPr>
    </w:lvl>
    <w:lvl w:ilvl="1" w:tplc="08090003" w:tentative="1">
      <w:start w:val="1"/>
      <w:numFmt w:val="bullet"/>
      <w:lvlText w:val="o"/>
      <w:lvlJc w:val="left"/>
      <w:pPr>
        <w:ind w:left="-1071" w:hanging="360"/>
      </w:pPr>
      <w:rPr>
        <w:rFonts w:ascii="Courier New" w:hAnsi="Courier New" w:cs="Courier New" w:hint="default"/>
      </w:rPr>
    </w:lvl>
    <w:lvl w:ilvl="2" w:tplc="08090005" w:tentative="1">
      <w:start w:val="1"/>
      <w:numFmt w:val="bullet"/>
      <w:lvlText w:val=""/>
      <w:lvlJc w:val="left"/>
      <w:pPr>
        <w:ind w:left="-351" w:hanging="360"/>
      </w:pPr>
      <w:rPr>
        <w:rFonts w:ascii="Wingdings" w:hAnsi="Wingdings" w:hint="default"/>
      </w:rPr>
    </w:lvl>
    <w:lvl w:ilvl="3" w:tplc="08090001" w:tentative="1">
      <w:start w:val="1"/>
      <w:numFmt w:val="bullet"/>
      <w:lvlText w:val=""/>
      <w:lvlJc w:val="left"/>
      <w:pPr>
        <w:ind w:left="369" w:hanging="360"/>
      </w:pPr>
      <w:rPr>
        <w:rFonts w:ascii="Symbol" w:hAnsi="Symbol" w:hint="default"/>
      </w:rPr>
    </w:lvl>
    <w:lvl w:ilvl="4" w:tplc="08090003" w:tentative="1">
      <w:start w:val="1"/>
      <w:numFmt w:val="bullet"/>
      <w:lvlText w:val="o"/>
      <w:lvlJc w:val="left"/>
      <w:pPr>
        <w:ind w:left="1089" w:hanging="360"/>
      </w:pPr>
      <w:rPr>
        <w:rFonts w:ascii="Courier New" w:hAnsi="Courier New" w:cs="Courier New" w:hint="default"/>
      </w:rPr>
    </w:lvl>
    <w:lvl w:ilvl="5" w:tplc="08090005" w:tentative="1">
      <w:start w:val="1"/>
      <w:numFmt w:val="bullet"/>
      <w:lvlText w:val=""/>
      <w:lvlJc w:val="left"/>
      <w:pPr>
        <w:ind w:left="1809" w:hanging="360"/>
      </w:pPr>
      <w:rPr>
        <w:rFonts w:ascii="Wingdings" w:hAnsi="Wingdings" w:hint="default"/>
      </w:rPr>
    </w:lvl>
    <w:lvl w:ilvl="6" w:tplc="08090001" w:tentative="1">
      <w:start w:val="1"/>
      <w:numFmt w:val="bullet"/>
      <w:lvlText w:val=""/>
      <w:lvlJc w:val="left"/>
      <w:pPr>
        <w:ind w:left="2529" w:hanging="360"/>
      </w:pPr>
      <w:rPr>
        <w:rFonts w:ascii="Symbol" w:hAnsi="Symbol" w:hint="default"/>
      </w:rPr>
    </w:lvl>
    <w:lvl w:ilvl="7" w:tplc="08090003" w:tentative="1">
      <w:start w:val="1"/>
      <w:numFmt w:val="bullet"/>
      <w:lvlText w:val="o"/>
      <w:lvlJc w:val="left"/>
      <w:pPr>
        <w:ind w:left="3249" w:hanging="360"/>
      </w:pPr>
      <w:rPr>
        <w:rFonts w:ascii="Courier New" w:hAnsi="Courier New" w:cs="Courier New" w:hint="default"/>
      </w:rPr>
    </w:lvl>
    <w:lvl w:ilvl="8" w:tplc="08090005" w:tentative="1">
      <w:start w:val="1"/>
      <w:numFmt w:val="bullet"/>
      <w:lvlText w:val=""/>
      <w:lvlJc w:val="left"/>
      <w:pPr>
        <w:ind w:left="3969" w:hanging="360"/>
      </w:pPr>
      <w:rPr>
        <w:rFonts w:ascii="Wingdings" w:hAnsi="Wingdings" w:hint="default"/>
      </w:rPr>
    </w:lvl>
  </w:abstractNum>
  <w:abstractNum w:abstractNumId="28">
    <w:nsid w:val="67D94D04"/>
    <w:multiLevelType w:val="hybridMultilevel"/>
    <w:tmpl w:val="AB6A80BE"/>
    <w:lvl w:ilvl="0" w:tplc="647EA7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F624BC"/>
    <w:multiLevelType w:val="hybridMultilevel"/>
    <w:tmpl w:val="0EAAD0B0"/>
    <w:lvl w:ilvl="0" w:tplc="A588DFFC">
      <w:start w:val="1"/>
      <w:numFmt w:val="decimal"/>
      <w:lvlText w:val="%1."/>
      <w:lvlJc w:val="left"/>
      <w:pPr>
        <w:tabs>
          <w:tab w:val="num" w:pos="720"/>
        </w:tabs>
        <w:ind w:left="720" w:hanging="360"/>
      </w:pPr>
    </w:lvl>
    <w:lvl w:ilvl="1" w:tplc="3FF61D22" w:tentative="1">
      <w:start w:val="1"/>
      <w:numFmt w:val="decimal"/>
      <w:lvlText w:val="%2."/>
      <w:lvlJc w:val="left"/>
      <w:pPr>
        <w:tabs>
          <w:tab w:val="num" w:pos="1440"/>
        </w:tabs>
        <w:ind w:left="1440" w:hanging="360"/>
      </w:pPr>
    </w:lvl>
    <w:lvl w:ilvl="2" w:tplc="295C2364" w:tentative="1">
      <w:start w:val="1"/>
      <w:numFmt w:val="decimal"/>
      <w:lvlText w:val="%3."/>
      <w:lvlJc w:val="left"/>
      <w:pPr>
        <w:tabs>
          <w:tab w:val="num" w:pos="2160"/>
        </w:tabs>
        <w:ind w:left="2160" w:hanging="360"/>
      </w:pPr>
    </w:lvl>
    <w:lvl w:ilvl="3" w:tplc="0EECCB36" w:tentative="1">
      <w:start w:val="1"/>
      <w:numFmt w:val="decimal"/>
      <w:lvlText w:val="%4."/>
      <w:lvlJc w:val="left"/>
      <w:pPr>
        <w:tabs>
          <w:tab w:val="num" w:pos="2880"/>
        </w:tabs>
        <w:ind w:left="2880" w:hanging="360"/>
      </w:pPr>
    </w:lvl>
    <w:lvl w:ilvl="4" w:tplc="67AA4A0A" w:tentative="1">
      <w:start w:val="1"/>
      <w:numFmt w:val="decimal"/>
      <w:lvlText w:val="%5."/>
      <w:lvlJc w:val="left"/>
      <w:pPr>
        <w:tabs>
          <w:tab w:val="num" w:pos="3600"/>
        </w:tabs>
        <w:ind w:left="3600" w:hanging="360"/>
      </w:pPr>
    </w:lvl>
    <w:lvl w:ilvl="5" w:tplc="B3BCB210" w:tentative="1">
      <w:start w:val="1"/>
      <w:numFmt w:val="decimal"/>
      <w:lvlText w:val="%6."/>
      <w:lvlJc w:val="left"/>
      <w:pPr>
        <w:tabs>
          <w:tab w:val="num" w:pos="4320"/>
        </w:tabs>
        <w:ind w:left="4320" w:hanging="360"/>
      </w:pPr>
    </w:lvl>
    <w:lvl w:ilvl="6" w:tplc="89E20758" w:tentative="1">
      <w:start w:val="1"/>
      <w:numFmt w:val="decimal"/>
      <w:lvlText w:val="%7."/>
      <w:lvlJc w:val="left"/>
      <w:pPr>
        <w:tabs>
          <w:tab w:val="num" w:pos="5040"/>
        </w:tabs>
        <w:ind w:left="5040" w:hanging="360"/>
      </w:pPr>
    </w:lvl>
    <w:lvl w:ilvl="7" w:tplc="F42E36D6" w:tentative="1">
      <w:start w:val="1"/>
      <w:numFmt w:val="decimal"/>
      <w:lvlText w:val="%8."/>
      <w:lvlJc w:val="left"/>
      <w:pPr>
        <w:tabs>
          <w:tab w:val="num" w:pos="5760"/>
        </w:tabs>
        <w:ind w:left="5760" w:hanging="360"/>
      </w:pPr>
    </w:lvl>
    <w:lvl w:ilvl="8" w:tplc="0010A04E" w:tentative="1">
      <w:start w:val="1"/>
      <w:numFmt w:val="decimal"/>
      <w:lvlText w:val="%9."/>
      <w:lvlJc w:val="left"/>
      <w:pPr>
        <w:tabs>
          <w:tab w:val="num" w:pos="6480"/>
        </w:tabs>
        <w:ind w:left="6480" w:hanging="360"/>
      </w:pPr>
    </w:lvl>
  </w:abstractNum>
  <w:abstractNum w:abstractNumId="30">
    <w:nsid w:val="6DF47D30"/>
    <w:multiLevelType w:val="hybridMultilevel"/>
    <w:tmpl w:val="E452B8A0"/>
    <w:lvl w:ilvl="0" w:tplc="6358AFE6">
      <w:start w:val="7"/>
      <w:numFmt w:val="decimal"/>
      <w:lvlText w:val="%1."/>
      <w:lvlJc w:val="left"/>
      <w:pPr>
        <w:tabs>
          <w:tab w:val="num" w:pos="720"/>
        </w:tabs>
        <w:ind w:left="720" w:hanging="360"/>
      </w:pPr>
    </w:lvl>
    <w:lvl w:ilvl="1" w:tplc="B122D18E" w:tentative="1">
      <w:start w:val="1"/>
      <w:numFmt w:val="decimal"/>
      <w:lvlText w:val="%2."/>
      <w:lvlJc w:val="left"/>
      <w:pPr>
        <w:tabs>
          <w:tab w:val="num" w:pos="1440"/>
        </w:tabs>
        <w:ind w:left="1440" w:hanging="360"/>
      </w:pPr>
    </w:lvl>
    <w:lvl w:ilvl="2" w:tplc="B6BA6DF4" w:tentative="1">
      <w:start w:val="1"/>
      <w:numFmt w:val="decimal"/>
      <w:lvlText w:val="%3."/>
      <w:lvlJc w:val="left"/>
      <w:pPr>
        <w:tabs>
          <w:tab w:val="num" w:pos="2160"/>
        </w:tabs>
        <w:ind w:left="2160" w:hanging="360"/>
      </w:pPr>
    </w:lvl>
    <w:lvl w:ilvl="3" w:tplc="94A02408" w:tentative="1">
      <w:start w:val="1"/>
      <w:numFmt w:val="decimal"/>
      <w:lvlText w:val="%4."/>
      <w:lvlJc w:val="left"/>
      <w:pPr>
        <w:tabs>
          <w:tab w:val="num" w:pos="2880"/>
        </w:tabs>
        <w:ind w:left="2880" w:hanging="360"/>
      </w:pPr>
    </w:lvl>
    <w:lvl w:ilvl="4" w:tplc="A54A9B4A" w:tentative="1">
      <w:start w:val="1"/>
      <w:numFmt w:val="decimal"/>
      <w:lvlText w:val="%5."/>
      <w:lvlJc w:val="left"/>
      <w:pPr>
        <w:tabs>
          <w:tab w:val="num" w:pos="3600"/>
        </w:tabs>
        <w:ind w:left="3600" w:hanging="360"/>
      </w:pPr>
    </w:lvl>
    <w:lvl w:ilvl="5" w:tplc="FE5482E2" w:tentative="1">
      <w:start w:val="1"/>
      <w:numFmt w:val="decimal"/>
      <w:lvlText w:val="%6."/>
      <w:lvlJc w:val="left"/>
      <w:pPr>
        <w:tabs>
          <w:tab w:val="num" w:pos="4320"/>
        </w:tabs>
        <w:ind w:left="4320" w:hanging="360"/>
      </w:pPr>
    </w:lvl>
    <w:lvl w:ilvl="6" w:tplc="9B8E0202" w:tentative="1">
      <w:start w:val="1"/>
      <w:numFmt w:val="decimal"/>
      <w:lvlText w:val="%7."/>
      <w:lvlJc w:val="left"/>
      <w:pPr>
        <w:tabs>
          <w:tab w:val="num" w:pos="5040"/>
        </w:tabs>
        <w:ind w:left="5040" w:hanging="360"/>
      </w:pPr>
    </w:lvl>
    <w:lvl w:ilvl="7" w:tplc="7CC8A4B4" w:tentative="1">
      <w:start w:val="1"/>
      <w:numFmt w:val="decimal"/>
      <w:lvlText w:val="%8."/>
      <w:lvlJc w:val="left"/>
      <w:pPr>
        <w:tabs>
          <w:tab w:val="num" w:pos="5760"/>
        </w:tabs>
        <w:ind w:left="5760" w:hanging="360"/>
      </w:pPr>
    </w:lvl>
    <w:lvl w:ilvl="8" w:tplc="352C48D6" w:tentative="1">
      <w:start w:val="1"/>
      <w:numFmt w:val="decimal"/>
      <w:lvlText w:val="%9."/>
      <w:lvlJc w:val="left"/>
      <w:pPr>
        <w:tabs>
          <w:tab w:val="num" w:pos="6480"/>
        </w:tabs>
        <w:ind w:left="6480" w:hanging="360"/>
      </w:pPr>
    </w:lvl>
  </w:abstractNum>
  <w:abstractNum w:abstractNumId="31">
    <w:nsid w:val="70733FA1"/>
    <w:multiLevelType w:val="multilevel"/>
    <w:tmpl w:val="361074E4"/>
    <w:lvl w:ilvl="0">
      <w:start w:val="1"/>
      <w:numFmt w:val="decimal"/>
      <w:pStyle w:val="Index01"/>
      <w:lvlText w:val="%1."/>
      <w:lvlJc w:val="left"/>
      <w:pPr>
        <w:tabs>
          <w:tab w:val="num" w:pos="567"/>
        </w:tabs>
        <w:ind w:left="567" w:hanging="567"/>
      </w:pPr>
      <w:rPr>
        <w:rFonts w:ascii="Arial" w:hAnsi="Arial" w:hint="default"/>
        <w:b/>
        <w:bCs/>
        <w:i w:val="0"/>
        <w:iCs w:val="0"/>
        <w:color w:val="5FB278"/>
        <w:sz w:val="40"/>
        <w:szCs w:val="40"/>
      </w:rPr>
    </w:lvl>
    <w:lvl w:ilvl="1">
      <w:start w:val="1"/>
      <w:numFmt w:val="decimal"/>
      <w:pStyle w:val="Index02"/>
      <w:lvlText w:val="%1.%2."/>
      <w:lvlJc w:val="left"/>
      <w:pPr>
        <w:tabs>
          <w:tab w:val="num" w:pos="567"/>
        </w:tabs>
        <w:ind w:left="567" w:hanging="567"/>
      </w:pPr>
      <w:rPr>
        <w:rFonts w:ascii="Arial" w:hAnsi="Arial" w:hint="default"/>
        <w:b/>
        <w:bCs/>
        <w:i w:val="0"/>
        <w:iCs w:val="0"/>
        <w:color w:val="5AB7B4"/>
        <w:sz w:val="28"/>
        <w:szCs w:val="28"/>
      </w:rPr>
    </w:lvl>
    <w:lvl w:ilvl="2">
      <w:start w:val="1"/>
      <w:numFmt w:val="decimal"/>
      <w:pStyle w:val="C-Standardbold01"/>
      <w:lvlText w:val="%1.%2.%3."/>
      <w:lvlJc w:val="left"/>
      <w:pPr>
        <w:tabs>
          <w:tab w:val="num" w:pos="624"/>
        </w:tabs>
        <w:ind w:left="567" w:hanging="567"/>
      </w:pPr>
      <w:rPr>
        <w:rFonts w:ascii="Arial" w:hAnsi="Arial" w:hint="default"/>
        <w:b/>
        <w:bCs/>
        <w:i w:val="0"/>
        <w:iCs w:val="0"/>
        <w:color w:val="50515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52B3E0B"/>
    <w:multiLevelType w:val="hybridMultilevel"/>
    <w:tmpl w:val="CD2EE5CA"/>
    <w:lvl w:ilvl="0" w:tplc="148CC3D2">
      <w:start w:val="1"/>
      <w:numFmt w:val="lowerRoman"/>
      <w:lvlText w:val="%1)"/>
      <w:lvlJc w:val="right"/>
      <w:pPr>
        <w:tabs>
          <w:tab w:val="num" w:pos="720"/>
        </w:tabs>
        <w:ind w:left="720" w:hanging="360"/>
      </w:pPr>
    </w:lvl>
    <w:lvl w:ilvl="1" w:tplc="EB885F7C" w:tentative="1">
      <w:start w:val="1"/>
      <w:numFmt w:val="lowerRoman"/>
      <w:lvlText w:val="%2)"/>
      <w:lvlJc w:val="right"/>
      <w:pPr>
        <w:tabs>
          <w:tab w:val="num" w:pos="1440"/>
        </w:tabs>
        <w:ind w:left="1440" w:hanging="360"/>
      </w:pPr>
    </w:lvl>
    <w:lvl w:ilvl="2" w:tplc="71B6B852" w:tentative="1">
      <w:start w:val="1"/>
      <w:numFmt w:val="lowerRoman"/>
      <w:lvlText w:val="%3)"/>
      <w:lvlJc w:val="right"/>
      <w:pPr>
        <w:tabs>
          <w:tab w:val="num" w:pos="2160"/>
        </w:tabs>
        <w:ind w:left="2160" w:hanging="360"/>
      </w:pPr>
    </w:lvl>
    <w:lvl w:ilvl="3" w:tplc="BD587CC2" w:tentative="1">
      <w:start w:val="1"/>
      <w:numFmt w:val="lowerRoman"/>
      <w:lvlText w:val="%4)"/>
      <w:lvlJc w:val="right"/>
      <w:pPr>
        <w:tabs>
          <w:tab w:val="num" w:pos="2880"/>
        </w:tabs>
        <w:ind w:left="2880" w:hanging="360"/>
      </w:pPr>
    </w:lvl>
    <w:lvl w:ilvl="4" w:tplc="84264AA4" w:tentative="1">
      <w:start w:val="1"/>
      <w:numFmt w:val="lowerRoman"/>
      <w:lvlText w:val="%5)"/>
      <w:lvlJc w:val="right"/>
      <w:pPr>
        <w:tabs>
          <w:tab w:val="num" w:pos="3600"/>
        </w:tabs>
        <w:ind w:left="3600" w:hanging="360"/>
      </w:pPr>
    </w:lvl>
    <w:lvl w:ilvl="5" w:tplc="D4D2034E" w:tentative="1">
      <w:start w:val="1"/>
      <w:numFmt w:val="lowerRoman"/>
      <w:lvlText w:val="%6)"/>
      <w:lvlJc w:val="right"/>
      <w:pPr>
        <w:tabs>
          <w:tab w:val="num" w:pos="4320"/>
        </w:tabs>
        <w:ind w:left="4320" w:hanging="360"/>
      </w:pPr>
    </w:lvl>
    <w:lvl w:ilvl="6" w:tplc="200E41B4" w:tentative="1">
      <w:start w:val="1"/>
      <w:numFmt w:val="lowerRoman"/>
      <w:lvlText w:val="%7)"/>
      <w:lvlJc w:val="right"/>
      <w:pPr>
        <w:tabs>
          <w:tab w:val="num" w:pos="5040"/>
        </w:tabs>
        <w:ind w:left="5040" w:hanging="360"/>
      </w:pPr>
    </w:lvl>
    <w:lvl w:ilvl="7" w:tplc="E8FA4F66" w:tentative="1">
      <w:start w:val="1"/>
      <w:numFmt w:val="lowerRoman"/>
      <w:lvlText w:val="%8)"/>
      <w:lvlJc w:val="right"/>
      <w:pPr>
        <w:tabs>
          <w:tab w:val="num" w:pos="5760"/>
        </w:tabs>
        <w:ind w:left="5760" w:hanging="360"/>
      </w:pPr>
    </w:lvl>
    <w:lvl w:ilvl="8" w:tplc="8B3AA328" w:tentative="1">
      <w:start w:val="1"/>
      <w:numFmt w:val="lowerRoman"/>
      <w:lvlText w:val="%9)"/>
      <w:lvlJc w:val="right"/>
      <w:pPr>
        <w:tabs>
          <w:tab w:val="num" w:pos="6480"/>
        </w:tabs>
        <w:ind w:left="6480" w:hanging="360"/>
      </w:pPr>
    </w:lvl>
  </w:abstractNum>
  <w:abstractNum w:abstractNumId="33">
    <w:nsid w:val="765F67D2"/>
    <w:multiLevelType w:val="hybridMultilevel"/>
    <w:tmpl w:val="575E2D9E"/>
    <w:lvl w:ilvl="0" w:tplc="56C2A57A">
      <w:start w:val="1"/>
      <w:numFmt w:val="bullet"/>
      <w:lvlText w:val=""/>
      <w:lvlJc w:val="left"/>
      <w:pPr>
        <w:ind w:left="1068" w:hanging="360"/>
      </w:pPr>
      <w:rPr>
        <w:rFonts w:ascii="Symbol" w:hAnsi="Symbol" w:hint="default"/>
        <w:color w:val="1C665A" w:themeColor="accent1"/>
      </w:rPr>
    </w:lvl>
    <w:lvl w:ilvl="1" w:tplc="08090003" w:tentative="1">
      <w:start w:val="1"/>
      <w:numFmt w:val="bullet"/>
      <w:lvlText w:val="o"/>
      <w:lvlJc w:val="left"/>
      <w:pPr>
        <w:ind w:left="-1071" w:hanging="360"/>
      </w:pPr>
      <w:rPr>
        <w:rFonts w:ascii="Courier New" w:hAnsi="Courier New" w:cs="Courier New" w:hint="default"/>
      </w:rPr>
    </w:lvl>
    <w:lvl w:ilvl="2" w:tplc="08090005" w:tentative="1">
      <w:start w:val="1"/>
      <w:numFmt w:val="bullet"/>
      <w:lvlText w:val=""/>
      <w:lvlJc w:val="left"/>
      <w:pPr>
        <w:ind w:left="-351" w:hanging="360"/>
      </w:pPr>
      <w:rPr>
        <w:rFonts w:ascii="Wingdings" w:hAnsi="Wingdings" w:hint="default"/>
      </w:rPr>
    </w:lvl>
    <w:lvl w:ilvl="3" w:tplc="08090001" w:tentative="1">
      <w:start w:val="1"/>
      <w:numFmt w:val="bullet"/>
      <w:lvlText w:val=""/>
      <w:lvlJc w:val="left"/>
      <w:pPr>
        <w:ind w:left="369" w:hanging="360"/>
      </w:pPr>
      <w:rPr>
        <w:rFonts w:ascii="Symbol" w:hAnsi="Symbol" w:hint="default"/>
      </w:rPr>
    </w:lvl>
    <w:lvl w:ilvl="4" w:tplc="08090003" w:tentative="1">
      <w:start w:val="1"/>
      <w:numFmt w:val="bullet"/>
      <w:lvlText w:val="o"/>
      <w:lvlJc w:val="left"/>
      <w:pPr>
        <w:ind w:left="1089" w:hanging="360"/>
      </w:pPr>
      <w:rPr>
        <w:rFonts w:ascii="Courier New" w:hAnsi="Courier New" w:cs="Courier New" w:hint="default"/>
      </w:rPr>
    </w:lvl>
    <w:lvl w:ilvl="5" w:tplc="08090005" w:tentative="1">
      <w:start w:val="1"/>
      <w:numFmt w:val="bullet"/>
      <w:lvlText w:val=""/>
      <w:lvlJc w:val="left"/>
      <w:pPr>
        <w:ind w:left="1809" w:hanging="360"/>
      </w:pPr>
      <w:rPr>
        <w:rFonts w:ascii="Wingdings" w:hAnsi="Wingdings" w:hint="default"/>
      </w:rPr>
    </w:lvl>
    <w:lvl w:ilvl="6" w:tplc="08090001" w:tentative="1">
      <w:start w:val="1"/>
      <w:numFmt w:val="bullet"/>
      <w:lvlText w:val=""/>
      <w:lvlJc w:val="left"/>
      <w:pPr>
        <w:ind w:left="2529" w:hanging="360"/>
      </w:pPr>
      <w:rPr>
        <w:rFonts w:ascii="Symbol" w:hAnsi="Symbol" w:hint="default"/>
      </w:rPr>
    </w:lvl>
    <w:lvl w:ilvl="7" w:tplc="08090003" w:tentative="1">
      <w:start w:val="1"/>
      <w:numFmt w:val="bullet"/>
      <w:lvlText w:val="o"/>
      <w:lvlJc w:val="left"/>
      <w:pPr>
        <w:ind w:left="3249" w:hanging="360"/>
      </w:pPr>
      <w:rPr>
        <w:rFonts w:ascii="Courier New" w:hAnsi="Courier New" w:cs="Courier New" w:hint="default"/>
      </w:rPr>
    </w:lvl>
    <w:lvl w:ilvl="8" w:tplc="08090005" w:tentative="1">
      <w:start w:val="1"/>
      <w:numFmt w:val="bullet"/>
      <w:lvlText w:val=""/>
      <w:lvlJc w:val="left"/>
      <w:pPr>
        <w:ind w:left="3969" w:hanging="360"/>
      </w:pPr>
      <w:rPr>
        <w:rFonts w:ascii="Wingdings" w:hAnsi="Wingdings" w:hint="default"/>
      </w:rPr>
    </w:lvl>
  </w:abstractNum>
  <w:abstractNum w:abstractNumId="34">
    <w:nsid w:val="798C466C"/>
    <w:multiLevelType w:val="hybridMultilevel"/>
    <w:tmpl w:val="2A56B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6"/>
  </w:num>
  <w:num w:numId="3">
    <w:abstractNumId w:val="4"/>
  </w:num>
  <w:num w:numId="4">
    <w:abstractNumId w:val="31"/>
  </w:num>
  <w:num w:numId="5">
    <w:abstractNumId w:val="31"/>
  </w:num>
  <w:num w:numId="6">
    <w:abstractNumId w:val="31"/>
  </w:num>
  <w:num w:numId="7">
    <w:abstractNumId w:val="26"/>
  </w:num>
  <w:num w:numId="8">
    <w:abstractNumId w:val="4"/>
  </w:num>
  <w:num w:numId="9">
    <w:abstractNumId w:val="31"/>
  </w:num>
  <w:num w:numId="10">
    <w:abstractNumId w:val="31"/>
  </w:num>
  <w:num w:numId="11">
    <w:abstractNumId w:val="23"/>
  </w:num>
  <w:num w:numId="12">
    <w:abstractNumId w:val="0"/>
  </w:num>
  <w:num w:numId="13">
    <w:abstractNumId w:val="33"/>
  </w:num>
  <w:num w:numId="14">
    <w:abstractNumId w:val="27"/>
  </w:num>
  <w:num w:numId="15">
    <w:abstractNumId w:val="20"/>
  </w:num>
  <w:num w:numId="16">
    <w:abstractNumId w:val="29"/>
  </w:num>
  <w:num w:numId="17">
    <w:abstractNumId w:val="30"/>
  </w:num>
  <w:num w:numId="18">
    <w:abstractNumId w:val="34"/>
  </w:num>
  <w:num w:numId="19">
    <w:abstractNumId w:val="17"/>
  </w:num>
  <w:num w:numId="20">
    <w:abstractNumId w:val="7"/>
  </w:num>
  <w:num w:numId="21">
    <w:abstractNumId w:val="16"/>
  </w:num>
  <w:num w:numId="22">
    <w:abstractNumId w:val="9"/>
  </w:num>
  <w:num w:numId="23">
    <w:abstractNumId w:val="1"/>
  </w:num>
  <w:num w:numId="24">
    <w:abstractNumId w:val="21"/>
  </w:num>
  <w:num w:numId="25">
    <w:abstractNumId w:val="25"/>
  </w:num>
  <w:num w:numId="26">
    <w:abstractNumId w:val="32"/>
  </w:num>
  <w:num w:numId="27">
    <w:abstractNumId w:val="3"/>
  </w:num>
  <w:num w:numId="28">
    <w:abstractNumId w:val="6"/>
  </w:num>
  <w:num w:numId="29">
    <w:abstractNumId w:val="2"/>
  </w:num>
  <w:num w:numId="30">
    <w:abstractNumId w:val="12"/>
  </w:num>
  <w:num w:numId="31">
    <w:abstractNumId w:val="5"/>
  </w:num>
  <w:num w:numId="32">
    <w:abstractNumId w:val="19"/>
  </w:num>
  <w:num w:numId="33">
    <w:abstractNumId w:val="24"/>
  </w:num>
  <w:num w:numId="34">
    <w:abstractNumId w:val="15"/>
  </w:num>
  <w:num w:numId="35">
    <w:abstractNumId w:val="13"/>
  </w:num>
  <w:num w:numId="36">
    <w:abstractNumId w:val="22"/>
  </w:num>
  <w:num w:numId="37">
    <w:abstractNumId w:val="14"/>
  </w:num>
  <w:num w:numId="38">
    <w:abstractNumId w:val="28"/>
  </w:num>
  <w:num w:numId="39">
    <w:abstractNumId w:val="8"/>
  </w:num>
  <w:num w:numId="40">
    <w:abstractNumId w:val="10"/>
  </w:num>
  <w:num w:numId="41">
    <w:abstractNumId w:val="18"/>
  </w:num>
  <w:num w:numId="42">
    <w:abstractNumId w:val="11"/>
  </w:num>
  <w:num w:numId="43">
    <w:abstractNumId w:val="1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drawingGridHorizontalSpacing w:val="110"/>
  <w:displayHorizontalDrawingGridEvery w:val="2"/>
  <w:characterSpacingControl w:val="doNotCompress"/>
  <w:hdrShapeDefaults>
    <o:shapedefaults v:ext="edit" spidmax="2049">
      <o:colormru v:ext="edit" colors="#f2f2f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B0D95"/>
    <w:rsid w:val="0000692D"/>
    <w:rsid w:val="00006D29"/>
    <w:rsid w:val="00011695"/>
    <w:rsid w:val="00014D00"/>
    <w:rsid w:val="00024404"/>
    <w:rsid w:val="00037576"/>
    <w:rsid w:val="00060FDB"/>
    <w:rsid w:val="00061839"/>
    <w:rsid w:val="00062865"/>
    <w:rsid w:val="00075685"/>
    <w:rsid w:val="00083A80"/>
    <w:rsid w:val="00085EDC"/>
    <w:rsid w:val="000A13EF"/>
    <w:rsid w:val="000A3414"/>
    <w:rsid w:val="000A7B20"/>
    <w:rsid w:val="000B063B"/>
    <w:rsid w:val="000B128A"/>
    <w:rsid w:val="000C2C14"/>
    <w:rsid w:val="000C3505"/>
    <w:rsid w:val="000C3B4C"/>
    <w:rsid w:val="000C569A"/>
    <w:rsid w:val="000D0290"/>
    <w:rsid w:val="000D3869"/>
    <w:rsid w:val="000D5F5B"/>
    <w:rsid w:val="000E2B9D"/>
    <w:rsid w:val="000E4CCD"/>
    <w:rsid w:val="000E7868"/>
    <w:rsid w:val="000F1D01"/>
    <w:rsid w:val="000F4897"/>
    <w:rsid w:val="001143EA"/>
    <w:rsid w:val="00120DD8"/>
    <w:rsid w:val="00140198"/>
    <w:rsid w:val="001419BD"/>
    <w:rsid w:val="0014710D"/>
    <w:rsid w:val="0014754C"/>
    <w:rsid w:val="00151656"/>
    <w:rsid w:val="001578BA"/>
    <w:rsid w:val="0016468F"/>
    <w:rsid w:val="00165BE0"/>
    <w:rsid w:val="00174DA8"/>
    <w:rsid w:val="00177E3C"/>
    <w:rsid w:val="00182BA2"/>
    <w:rsid w:val="001879E2"/>
    <w:rsid w:val="00187EBF"/>
    <w:rsid w:val="001A0E86"/>
    <w:rsid w:val="001A6A1A"/>
    <w:rsid w:val="001B6A61"/>
    <w:rsid w:val="001B6CAB"/>
    <w:rsid w:val="001D6914"/>
    <w:rsid w:val="001E4220"/>
    <w:rsid w:val="001F5826"/>
    <w:rsid w:val="001F7C7B"/>
    <w:rsid w:val="00215EED"/>
    <w:rsid w:val="00216B1B"/>
    <w:rsid w:val="00220A56"/>
    <w:rsid w:val="0022157B"/>
    <w:rsid w:val="00221B7C"/>
    <w:rsid w:val="0023079F"/>
    <w:rsid w:val="00242669"/>
    <w:rsid w:val="00254416"/>
    <w:rsid w:val="00255E71"/>
    <w:rsid w:val="00257D21"/>
    <w:rsid w:val="00262366"/>
    <w:rsid w:val="00263FD1"/>
    <w:rsid w:val="00273231"/>
    <w:rsid w:val="002805FD"/>
    <w:rsid w:val="00283D33"/>
    <w:rsid w:val="0028533D"/>
    <w:rsid w:val="00292C76"/>
    <w:rsid w:val="00293CCF"/>
    <w:rsid w:val="0029480D"/>
    <w:rsid w:val="002957FB"/>
    <w:rsid w:val="002A053F"/>
    <w:rsid w:val="002A1A48"/>
    <w:rsid w:val="002A1C24"/>
    <w:rsid w:val="002A7922"/>
    <w:rsid w:val="002C1264"/>
    <w:rsid w:val="002C1960"/>
    <w:rsid w:val="002C199B"/>
    <w:rsid w:val="002C1EBD"/>
    <w:rsid w:val="002D0066"/>
    <w:rsid w:val="002D4A42"/>
    <w:rsid w:val="002D64B2"/>
    <w:rsid w:val="002D66D5"/>
    <w:rsid w:val="002E281D"/>
    <w:rsid w:val="002E3C81"/>
    <w:rsid w:val="002E472D"/>
    <w:rsid w:val="002E7620"/>
    <w:rsid w:val="002F147D"/>
    <w:rsid w:val="002F7DFA"/>
    <w:rsid w:val="003043AA"/>
    <w:rsid w:val="00307F11"/>
    <w:rsid w:val="00315F22"/>
    <w:rsid w:val="00327B86"/>
    <w:rsid w:val="00352C6C"/>
    <w:rsid w:val="00364462"/>
    <w:rsid w:val="00365E45"/>
    <w:rsid w:val="003675D0"/>
    <w:rsid w:val="00376FDC"/>
    <w:rsid w:val="00377204"/>
    <w:rsid w:val="00383680"/>
    <w:rsid w:val="0038476C"/>
    <w:rsid w:val="003854C5"/>
    <w:rsid w:val="00390CA7"/>
    <w:rsid w:val="00393657"/>
    <w:rsid w:val="00396529"/>
    <w:rsid w:val="003A53FA"/>
    <w:rsid w:val="003B7849"/>
    <w:rsid w:val="003C766E"/>
    <w:rsid w:val="003D3D43"/>
    <w:rsid w:val="003D49DE"/>
    <w:rsid w:val="003D73BB"/>
    <w:rsid w:val="003F4C90"/>
    <w:rsid w:val="003F5EB3"/>
    <w:rsid w:val="003F760F"/>
    <w:rsid w:val="004008A2"/>
    <w:rsid w:val="004116BD"/>
    <w:rsid w:val="00415D03"/>
    <w:rsid w:val="00423550"/>
    <w:rsid w:val="00424369"/>
    <w:rsid w:val="00424927"/>
    <w:rsid w:val="00437942"/>
    <w:rsid w:val="004453E5"/>
    <w:rsid w:val="00445FF4"/>
    <w:rsid w:val="00446494"/>
    <w:rsid w:val="004478F0"/>
    <w:rsid w:val="00452514"/>
    <w:rsid w:val="00463A0B"/>
    <w:rsid w:val="00474FCB"/>
    <w:rsid w:val="00477E93"/>
    <w:rsid w:val="00482C8E"/>
    <w:rsid w:val="0048393A"/>
    <w:rsid w:val="004A29DF"/>
    <w:rsid w:val="004A4CB0"/>
    <w:rsid w:val="004B1539"/>
    <w:rsid w:val="004C4D8D"/>
    <w:rsid w:val="004C6A14"/>
    <w:rsid w:val="004D2140"/>
    <w:rsid w:val="004D3A4D"/>
    <w:rsid w:val="004E21DF"/>
    <w:rsid w:val="004E3E54"/>
    <w:rsid w:val="004E6BBD"/>
    <w:rsid w:val="004E74AF"/>
    <w:rsid w:val="004E75D8"/>
    <w:rsid w:val="004E7AFA"/>
    <w:rsid w:val="0050574B"/>
    <w:rsid w:val="00512247"/>
    <w:rsid w:val="00512710"/>
    <w:rsid w:val="00520C63"/>
    <w:rsid w:val="00531763"/>
    <w:rsid w:val="00531FB1"/>
    <w:rsid w:val="005374BA"/>
    <w:rsid w:val="0054120F"/>
    <w:rsid w:val="005451AF"/>
    <w:rsid w:val="00545783"/>
    <w:rsid w:val="0054797C"/>
    <w:rsid w:val="00562689"/>
    <w:rsid w:val="005771A9"/>
    <w:rsid w:val="00581731"/>
    <w:rsid w:val="0058452A"/>
    <w:rsid w:val="00585052"/>
    <w:rsid w:val="00593E49"/>
    <w:rsid w:val="00597D71"/>
    <w:rsid w:val="005A20B8"/>
    <w:rsid w:val="005B6249"/>
    <w:rsid w:val="005C0DD4"/>
    <w:rsid w:val="005C7B55"/>
    <w:rsid w:val="005D502E"/>
    <w:rsid w:val="005E6081"/>
    <w:rsid w:val="005E65DA"/>
    <w:rsid w:val="005F1F3B"/>
    <w:rsid w:val="00602E8B"/>
    <w:rsid w:val="00603302"/>
    <w:rsid w:val="0061105D"/>
    <w:rsid w:val="00613ECB"/>
    <w:rsid w:val="006172A0"/>
    <w:rsid w:val="006234F4"/>
    <w:rsid w:val="00630879"/>
    <w:rsid w:val="00636C50"/>
    <w:rsid w:val="0064089B"/>
    <w:rsid w:val="0064717A"/>
    <w:rsid w:val="00653574"/>
    <w:rsid w:val="00656F76"/>
    <w:rsid w:val="00662C46"/>
    <w:rsid w:val="006656D3"/>
    <w:rsid w:val="0067151C"/>
    <w:rsid w:val="00677BC4"/>
    <w:rsid w:val="00680F0F"/>
    <w:rsid w:val="00691C0B"/>
    <w:rsid w:val="006A44FC"/>
    <w:rsid w:val="006B461C"/>
    <w:rsid w:val="006B6A59"/>
    <w:rsid w:val="006B74E2"/>
    <w:rsid w:val="006C05A0"/>
    <w:rsid w:val="006C3C60"/>
    <w:rsid w:val="006C4992"/>
    <w:rsid w:val="006D6487"/>
    <w:rsid w:val="006E760C"/>
    <w:rsid w:val="006F0AC6"/>
    <w:rsid w:val="006F5FF9"/>
    <w:rsid w:val="007012B1"/>
    <w:rsid w:val="007013C3"/>
    <w:rsid w:val="00702733"/>
    <w:rsid w:val="00720A49"/>
    <w:rsid w:val="007214B7"/>
    <w:rsid w:val="007355B8"/>
    <w:rsid w:val="0074228E"/>
    <w:rsid w:val="007459D7"/>
    <w:rsid w:val="00756392"/>
    <w:rsid w:val="00760002"/>
    <w:rsid w:val="00780E72"/>
    <w:rsid w:val="007967B9"/>
    <w:rsid w:val="007A626C"/>
    <w:rsid w:val="007B1C3B"/>
    <w:rsid w:val="007C0CCA"/>
    <w:rsid w:val="007C7EB6"/>
    <w:rsid w:val="007D0024"/>
    <w:rsid w:val="007D3A43"/>
    <w:rsid w:val="007D432E"/>
    <w:rsid w:val="007D6405"/>
    <w:rsid w:val="007D6833"/>
    <w:rsid w:val="007D71DB"/>
    <w:rsid w:val="007F0527"/>
    <w:rsid w:val="007F057E"/>
    <w:rsid w:val="007F7B9E"/>
    <w:rsid w:val="0084184C"/>
    <w:rsid w:val="00842FB6"/>
    <w:rsid w:val="008430E0"/>
    <w:rsid w:val="00843DD8"/>
    <w:rsid w:val="008440BB"/>
    <w:rsid w:val="008455A7"/>
    <w:rsid w:val="0085257F"/>
    <w:rsid w:val="00857563"/>
    <w:rsid w:val="00857D47"/>
    <w:rsid w:val="00860DDF"/>
    <w:rsid w:val="00877E95"/>
    <w:rsid w:val="00880CA8"/>
    <w:rsid w:val="00882820"/>
    <w:rsid w:val="00893A27"/>
    <w:rsid w:val="00895195"/>
    <w:rsid w:val="00896730"/>
    <w:rsid w:val="008969AF"/>
    <w:rsid w:val="008A6457"/>
    <w:rsid w:val="008A6E99"/>
    <w:rsid w:val="008A7925"/>
    <w:rsid w:val="008B3A52"/>
    <w:rsid w:val="008B4E79"/>
    <w:rsid w:val="008B7ADA"/>
    <w:rsid w:val="008C4088"/>
    <w:rsid w:val="008C6815"/>
    <w:rsid w:val="008C7BBE"/>
    <w:rsid w:val="008D135F"/>
    <w:rsid w:val="008E0192"/>
    <w:rsid w:val="008E44A1"/>
    <w:rsid w:val="008F0223"/>
    <w:rsid w:val="008F3599"/>
    <w:rsid w:val="008F7C6E"/>
    <w:rsid w:val="009003E4"/>
    <w:rsid w:val="00906FE1"/>
    <w:rsid w:val="00913127"/>
    <w:rsid w:val="00913BA1"/>
    <w:rsid w:val="00915750"/>
    <w:rsid w:val="00917D55"/>
    <w:rsid w:val="00920A36"/>
    <w:rsid w:val="00920F42"/>
    <w:rsid w:val="00921BAE"/>
    <w:rsid w:val="00924796"/>
    <w:rsid w:val="0092631B"/>
    <w:rsid w:val="009300D1"/>
    <w:rsid w:val="009333BB"/>
    <w:rsid w:val="00942F6B"/>
    <w:rsid w:val="00951A8D"/>
    <w:rsid w:val="00953C26"/>
    <w:rsid w:val="00957A02"/>
    <w:rsid w:val="009659B3"/>
    <w:rsid w:val="00971F4E"/>
    <w:rsid w:val="00985298"/>
    <w:rsid w:val="00994DAB"/>
    <w:rsid w:val="009962F3"/>
    <w:rsid w:val="009976F7"/>
    <w:rsid w:val="009A6300"/>
    <w:rsid w:val="009B7B8B"/>
    <w:rsid w:val="009B7E38"/>
    <w:rsid w:val="009C1AD7"/>
    <w:rsid w:val="009C5640"/>
    <w:rsid w:val="009D2D39"/>
    <w:rsid w:val="009F043F"/>
    <w:rsid w:val="009F0974"/>
    <w:rsid w:val="009F3B3C"/>
    <w:rsid w:val="00A01AD0"/>
    <w:rsid w:val="00A1111F"/>
    <w:rsid w:val="00A133E8"/>
    <w:rsid w:val="00A220AF"/>
    <w:rsid w:val="00A23392"/>
    <w:rsid w:val="00A34080"/>
    <w:rsid w:val="00A402B5"/>
    <w:rsid w:val="00A444EC"/>
    <w:rsid w:val="00A5252C"/>
    <w:rsid w:val="00A528C9"/>
    <w:rsid w:val="00A648EF"/>
    <w:rsid w:val="00A674EA"/>
    <w:rsid w:val="00A67B1E"/>
    <w:rsid w:val="00A8317F"/>
    <w:rsid w:val="00A8626F"/>
    <w:rsid w:val="00A87516"/>
    <w:rsid w:val="00A96FAF"/>
    <w:rsid w:val="00AA0565"/>
    <w:rsid w:val="00AA2288"/>
    <w:rsid w:val="00AB6FC7"/>
    <w:rsid w:val="00AB74D0"/>
    <w:rsid w:val="00AC1904"/>
    <w:rsid w:val="00AC1C38"/>
    <w:rsid w:val="00AC7E3E"/>
    <w:rsid w:val="00AD22E0"/>
    <w:rsid w:val="00AE2880"/>
    <w:rsid w:val="00AE2B5F"/>
    <w:rsid w:val="00AE4683"/>
    <w:rsid w:val="00AE6793"/>
    <w:rsid w:val="00AF4283"/>
    <w:rsid w:val="00B00929"/>
    <w:rsid w:val="00B12B29"/>
    <w:rsid w:val="00B140F3"/>
    <w:rsid w:val="00B20C02"/>
    <w:rsid w:val="00B23D8B"/>
    <w:rsid w:val="00B24281"/>
    <w:rsid w:val="00B37DC6"/>
    <w:rsid w:val="00B53575"/>
    <w:rsid w:val="00B61650"/>
    <w:rsid w:val="00B6767E"/>
    <w:rsid w:val="00B83184"/>
    <w:rsid w:val="00B831B0"/>
    <w:rsid w:val="00B85044"/>
    <w:rsid w:val="00BA21D2"/>
    <w:rsid w:val="00BA5C26"/>
    <w:rsid w:val="00BB358D"/>
    <w:rsid w:val="00BC7B4C"/>
    <w:rsid w:val="00BD3A5B"/>
    <w:rsid w:val="00BD42AF"/>
    <w:rsid w:val="00BE582E"/>
    <w:rsid w:val="00C04EA1"/>
    <w:rsid w:val="00C07B29"/>
    <w:rsid w:val="00C23C0A"/>
    <w:rsid w:val="00C31018"/>
    <w:rsid w:val="00C3440C"/>
    <w:rsid w:val="00C40716"/>
    <w:rsid w:val="00C543DE"/>
    <w:rsid w:val="00C6012A"/>
    <w:rsid w:val="00C61D79"/>
    <w:rsid w:val="00C755D8"/>
    <w:rsid w:val="00C76F6C"/>
    <w:rsid w:val="00C8354B"/>
    <w:rsid w:val="00C83957"/>
    <w:rsid w:val="00CB1141"/>
    <w:rsid w:val="00CB2FCE"/>
    <w:rsid w:val="00CC52BC"/>
    <w:rsid w:val="00CC55F8"/>
    <w:rsid w:val="00CD1B59"/>
    <w:rsid w:val="00CD4F71"/>
    <w:rsid w:val="00CD5B0B"/>
    <w:rsid w:val="00CE4D76"/>
    <w:rsid w:val="00CE5345"/>
    <w:rsid w:val="00CE62D5"/>
    <w:rsid w:val="00CF6293"/>
    <w:rsid w:val="00D02017"/>
    <w:rsid w:val="00D069DA"/>
    <w:rsid w:val="00D16A92"/>
    <w:rsid w:val="00D17BEC"/>
    <w:rsid w:val="00D233EB"/>
    <w:rsid w:val="00D242A0"/>
    <w:rsid w:val="00D27B8F"/>
    <w:rsid w:val="00D30670"/>
    <w:rsid w:val="00D42627"/>
    <w:rsid w:val="00D5119F"/>
    <w:rsid w:val="00D5580C"/>
    <w:rsid w:val="00D715E6"/>
    <w:rsid w:val="00D912D3"/>
    <w:rsid w:val="00D91E9B"/>
    <w:rsid w:val="00D97E45"/>
    <w:rsid w:val="00DA1EF6"/>
    <w:rsid w:val="00DA7ED6"/>
    <w:rsid w:val="00DB2742"/>
    <w:rsid w:val="00DB5DEA"/>
    <w:rsid w:val="00DB71D7"/>
    <w:rsid w:val="00DC1D97"/>
    <w:rsid w:val="00DC30DF"/>
    <w:rsid w:val="00DC7E6A"/>
    <w:rsid w:val="00DD3323"/>
    <w:rsid w:val="00DD3CF2"/>
    <w:rsid w:val="00DE3EC0"/>
    <w:rsid w:val="00DE599A"/>
    <w:rsid w:val="00E01881"/>
    <w:rsid w:val="00E03DA9"/>
    <w:rsid w:val="00E102AB"/>
    <w:rsid w:val="00E138FD"/>
    <w:rsid w:val="00E2168F"/>
    <w:rsid w:val="00E25244"/>
    <w:rsid w:val="00E25C21"/>
    <w:rsid w:val="00E30009"/>
    <w:rsid w:val="00E3795A"/>
    <w:rsid w:val="00E461E4"/>
    <w:rsid w:val="00E50624"/>
    <w:rsid w:val="00E5780F"/>
    <w:rsid w:val="00E617E2"/>
    <w:rsid w:val="00E652A2"/>
    <w:rsid w:val="00E657C4"/>
    <w:rsid w:val="00E664BA"/>
    <w:rsid w:val="00E75147"/>
    <w:rsid w:val="00E7570A"/>
    <w:rsid w:val="00E76D2B"/>
    <w:rsid w:val="00E8127E"/>
    <w:rsid w:val="00E82369"/>
    <w:rsid w:val="00EB20EE"/>
    <w:rsid w:val="00EB6E4A"/>
    <w:rsid w:val="00EC2777"/>
    <w:rsid w:val="00ED2706"/>
    <w:rsid w:val="00ED2C15"/>
    <w:rsid w:val="00ED47C4"/>
    <w:rsid w:val="00EF0D57"/>
    <w:rsid w:val="00EF12C6"/>
    <w:rsid w:val="00F01119"/>
    <w:rsid w:val="00F041FB"/>
    <w:rsid w:val="00F161B6"/>
    <w:rsid w:val="00F360B6"/>
    <w:rsid w:val="00F418BB"/>
    <w:rsid w:val="00F444D0"/>
    <w:rsid w:val="00F44EFF"/>
    <w:rsid w:val="00F45472"/>
    <w:rsid w:val="00F50B85"/>
    <w:rsid w:val="00F537E6"/>
    <w:rsid w:val="00F53851"/>
    <w:rsid w:val="00F53E27"/>
    <w:rsid w:val="00F5647F"/>
    <w:rsid w:val="00F56BDA"/>
    <w:rsid w:val="00F5779B"/>
    <w:rsid w:val="00F6040E"/>
    <w:rsid w:val="00F67F7F"/>
    <w:rsid w:val="00F740F1"/>
    <w:rsid w:val="00F802CF"/>
    <w:rsid w:val="00F932D9"/>
    <w:rsid w:val="00F973A5"/>
    <w:rsid w:val="00FB0D95"/>
    <w:rsid w:val="00FB4D82"/>
    <w:rsid w:val="00FC0076"/>
    <w:rsid w:val="00FC3E3E"/>
    <w:rsid w:val="00FD026F"/>
    <w:rsid w:val="00FD10C6"/>
    <w:rsid w:val="00FD6C0B"/>
    <w:rsid w:val="00FE5894"/>
    <w:rsid w:val="00FF7D6F"/>
  </w:rsids>
  <m:mathPr>
    <m:mathFont m:val="Cambria Math"/>
    <m:brkBin m:val="before"/>
    <m:brkBinSub m:val="--"/>
    <m:smallFrac m:val="0"/>
    <m:dispDef/>
    <m:lMargin m:val="0"/>
    <m:rMargin m:val="0"/>
    <m:defJc m:val="centerGroup"/>
    <m:wrapIndent m:val="1440"/>
    <m:intLim m:val="subSup"/>
    <m:naryLim m:val="undOvr"/>
  </m:mathPr>
  <w:themeFontLang w:val="bg-B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2f2f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RESIGN_TITEL_HEAD"/>
    <w:basedOn w:val="Normal"/>
    <w:next w:val="Normal"/>
    <w:link w:val="Heading1Char"/>
    <w:uiPriority w:val="9"/>
    <w:qFormat/>
    <w:rsid w:val="00D17BE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RESIN_TITELSITE_COPY"/>
    <w:basedOn w:val="Normal"/>
    <w:next w:val="Normal"/>
    <w:link w:val="Heading2Char"/>
    <w:uiPriority w:val="9"/>
    <w:unhideWhenUsed/>
    <w:qFormat/>
    <w:rsid w:val="00D17BE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17BEC"/>
    <w:pPr>
      <w:spacing w:before="200" w:after="0" w:line="271" w:lineRule="auto"/>
      <w:outlineLvl w:val="2"/>
    </w:pPr>
    <w:rPr>
      <w:rFonts w:asciiTheme="majorHAnsi" w:eastAsiaTheme="majorEastAsia" w:hAnsiTheme="majorHAnsi" w:cstheme="majorBidi"/>
      <w:b/>
      <w:bCs/>
    </w:rPr>
  </w:style>
  <w:style w:type="paragraph" w:styleId="Heading4">
    <w:name w:val="heading 4"/>
    <w:aliases w:val="Copytext"/>
    <w:basedOn w:val="Normal"/>
    <w:next w:val="Normal"/>
    <w:link w:val="Heading4Char"/>
    <w:uiPriority w:val="9"/>
    <w:unhideWhenUsed/>
    <w:qFormat/>
    <w:rsid w:val="00D17BE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17BEC"/>
    <w:pPr>
      <w:spacing w:before="200" w:after="0"/>
      <w:outlineLvl w:val="4"/>
    </w:pPr>
    <w:rPr>
      <w:rFonts w:asciiTheme="majorHAnsi" w:eastAsiaTheme="majorEastAsia" w:hAnsiTheme="majorHAnsi" w:cstheme="majorBidi"/>
      <w:b/>
      <w:bCs/>
      <w:color w:val="A3A3A2" w:themeColor="text1" w:themeTint="80"/>
    </w:rPr>
  </w:style>
  <w:style w:type="paragraph" w:styleId="Heading6">
    <w:name w:val="heading 6"/>
    <w:basedOn w:val="Normal"/>
    <w:next w:val="Normal"/>
    <w:link w:val="Heading6Char"/>
    <w:uiPriority w:val="9"/>
    <w:semiHidden/>
    <w:unhideWhenUsed/>
    <w:qFormat/>
    <w:rsid w:val="00D17BEC"/>
    <w:pPr>
      <w:spacing w:after="0" w:line="271" w:lineRule="auto"/>
      <w:outlineLvl w:val="5"/>
    </w:pPr>
    <w:rPr>
      <w:rFonts w:asciiTheme="majorHAnsi" w:eastAsiaTheme="majorEastAsia" w:hAnsiTheme="majorHAnsi" w:cstheme="majorBidi"/>
      <w:b/>
      <w:bCs/>
      <w:i/>
      <w:iCs/>
      <w:color w:val="A3A3A2" w:themeColor="text1" w:themeTint="80"/>
    </w:rPr>
  </w:style>
  <w:style w:type="paragraph" w:styleId="Heading7">
    <w:name w:val="heading 7"/>
    <w:basedOn w:val="Normal"/>
    <w:next w:val="Normal"/>
    <w:link w:val="Heading7Char"/>
    <w:uiPriority w:val="9"/>
    <w:semiHidden/>
    <w:unhideWhenUsed/>
    <w:qFormat/>
    <w:rsid w:val="00D17BE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17BE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17BE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SIGN_TITEL_HEAD Char"/>
    <w:basedOn w:val="DefaultParagraphFont"/>
    <w:link w:val="Heading1"/>
    <w:uiPriority w:val="9"/>
    <w:rsid w:val="00D17BE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D17BEC"/>
    <w:pPr>
      <w:spacing w:after="0" w:line="240" w:lineRule="auto"/>
    </w:pPr>
  </w:style>
  <w:style w:type="character" w:customStyle="1" w:styleId="Heading2Char">
    <w:name w:val="Heading 2 Char"/>
    <w:aliases w:val="RESIN_TITELSITE_COPY Char"/>
    <w:basedOn w:val="DefaultParagraphFont"/>
    <w:link w:val="Heading2"/>
    <w:uiPriority w:val="9"/>
    <w:rsid w:val="00D17BEC"/>
    <w:rPr>
      <w:rFonts w:asciiTheme="majorHAnsi" w:eastAsiaTheme="majorEastAsia" w:hAnsiTheme="majorHAnsi" w:cstheme="majorBidi"/>
      <w:b/>
      <w:bCs/>
      <w:sz w:val="26"/>
      <w:szCs w:val="26"/>
    </w:rPr>
  </w:style>
  <w:style w:type="character" w:customStyle="1" w:styleId="Heading4Char">
    <w:name w:val="Heading 4 Char"/>
    <w:aliases w:val="Copytext Char"/>
    <w:basedOn w:val="DefaultParagraphFont"/>
    <w:link w:val="Heading4"/>
    <w:uiPriority w:val="9"/>
    <w:rsid w:val="00D17BEC"/>
    <w:rPr>
      <w:rFonts w:asciiTheme="majorHAnsi" w:eastAsiaTheme="majorEastAsia" w:hAnsiTheme="majorHAnsi" w:cstheme="majorBidi"/>
      <w:b/>
      <w:bCs/>
      <w:i/>
      <w:iCs/>
    </w:rPr>
  </w:style>
  <w:style w:type="paragraph" w:styleId="TOC1">
    <w:name w:val="toc 1"/>
    <w:basedOn w:val="Normal"/>
    <w:next w:val="Normal"/>
    <w:autoRedefine/>
    <w:uiPriority w:val="39"/>
    <w:unhideWhenUsed/>
    <w:rsid w:val="00A67B1E"/>
    <w:pPr>
      <w:tabs>
        <w:tab w:val="left" w:pos="284"/>
        <w:tab w:val="right" w:leader="dot" w:pos="7938"/>
      </w:tabs>
      <w:spacing w:before="240" w:after="240"/>
    </w:pPr>
    <w:rPr>
      <w:rFonts w:ascii="Arial" w:hAnsi="Arial"/>
      <w:b/>
      <w:bCs/>
      <w:noProof/>
      <w:color w:val="5FB278"/>
      <w:sz w:val="32"/>
      <w:szCs w:val="32"/>
    </w:rPr>
  </w:style>
  <w:style w:type="paragraph" w:customStyle="1" w:styleId="TabellenHeadings">
    <w:name w:val="Tabellen_Headings"/>
    <w:basedOn w:val="Normal"/>
    <w:autoRedefine/>
    <w:rsid w:val="00A67B1E"/>
    <w:pPr>
      <w:spacing w:after="120"/>
    </w:pPr>
    <w:rPr>
      <w:rFonts w:ascii="Arial" w:eastAsia="Times New Roman" w:hAnsi="Arial"/>
      <w:b/>
      <w:snapToGrid w:val="0"/>
      <w:color w:val="3C3C3B"/>
      <w:kern w:val="8"/>
      <w:sz w:val="18"/>
      <w:szCs w:val="18"/>
    </w:rPr>
  </w:style>
  <w:style w:type="paragraph" w:customStyle="1" w:styleId="TabelleInput">
    <w:name w:val="Tabelle_Input"/>
    <w:basedOn w:val="TabellenHeadings"/>
    <w:rsid w:val="00A67B1E"/>
    <w:rPr>
      <w:b w:val="0"/>
    </w:rPr>
  </w:style>
  <w:style w:type="character" w:customStyle="1" w:styleId="BHeadlineContact">
    <w:name w:val="B_Headline_Contact"/>
    <w:uiPriority w:val="1"/>
    <w:rsid w:val="00A67B1E"/>
    <w:rPr>
      <w:rFonts w:ascii="Arial" w:hAnsi="Arial" w:cs="Arial-BoldMT"/>
      <w:b/>
      <w:bCs/>
      <w:color w:val="60B169"/>
      <w:sz w:val="24"/>
    </w:rPr>
  </w:style>
  <w:style w:type="paragraph" w:customStyle="1" w:styleId="B-Headline01">
    <w:name w:val="B-Headline_01"/>
    <w:basedOn w:val="Normal"/>
    <w:autoRedefine/>
    <w:qFormat/>
    <w:rsid w:val="00AB74D0"/>
    <w:pPr>
      <w:tabs>
        <w:tab w:val="left" w:pos="567"/>
        <w:tab w:val="left" w:pos="709"/>
        <w:tab w:val="left" w:pos="851"/>
        <w:tab w:val="left" w:pos="1000"/>
        <w:tab w:val="right" w:leader="dot" w:pos="7938"/>
      </w:tabs>
      <w:spacing w:before="240" w:after="240" w:line="240" w:lineRule="auto"/>
    </w:pPr>
    <w:rPr>
      <w:rFonts w:cs="MinionPro-Bold"/>
      <w:b/>
      <w:bCs/>
      <w:noProof/>
      <w:color w:val="008A88" w:themeColor="text2"/>
      <w:sz w:val="40"/>
      <w:szCs w:val="28"/>
    </w:rPr>
  </w:style>
  <w:style w:type="paragraph" w:customStyle="1" w:styleId="B-Leadtext01">
    <w:name w:val="B-Lead_text_01"/>
    <w:basedOn w:val="Normal"/>
    <w:rsid w:val="00A67B1E"/>
    <w:pPr>
      <w:widowControl w:val="0"/>
      <w:autoSpaceDE w:val="0"/>
      <w:autoSpaceDN w:val="0"/>
      <w:adjustRightInd w:val="0"/>
      <w:spacing w:line="288" w:lineRule="auto"/>
      <w:textAlignment w:val="center"/>
    </w:pPr>
    <w:rPr>
      <w:rFonts w:ascii="Arial" w:hAnsi="Arial" w:cs="ArialMT"/>
      <w:color w:val="60B169"/>
    </w:rPr>
  </w:style>
  <w:style w:type="paragraph" w:customStyle="1" w:styleId="B-Headline02">
    <w:name w:val="B-Headline_02"/>
    <w:basedOn w:val="Normal"/>
    <w:qFormat/>
    <w:rsid w:val="00780E72"/>
    <w:pPr>
      <w:widowControl w:val="0"/>
      <w:autoSpaceDE w:val="0"/>
      <w:autoSpaceDN w:val="0"/>
      <w:adjustRightInd w:val="0"/>
      <w:spacing w:line="288" w:lineRule="auto"/>
      <w:textAlignment w:val="center"/>
    </w:pPr>
    <w:rPr>
      <w:rFonts w:cs="Arial-BoldMT"/>
      <w:b/>
      <w:bCs/>
      <w:color w:val="1C665A" w:themeColor="accent1"/>
      <w:sz w:val="32"/>
      <w:szCs w:val="28"/>
    </w:rPr>
  </w:style>
  <w:style w:type="paragraph" w:customStyle="1" w:styleId="B-Headlinetext02">
    <w:name w:val="B-Headline_text_02"/>
    <w:basedOn w:val="Normal"/>
    <w:rsid w:val="00A67B1E"/>
    <w:pPr>
      <w:widowControl w:val="0"/>
      <w:autoSpaceDE w:val="0"/>
      <w:autoSpaceDN w:val="0"/>
      <w:adjustRightInd w:val="0"/>
      <w:spacing w:line="288" w:lineRule="auto"/>
      <w:textAlignment w:val="center"/>
    </w:pPr>
    <w:rPr>
      <w:rFonts w:ascii="Arial" w:hAnsi="Arial" w:cs="Arial-BoldMT"/>
      <w:b/>
      <w:bCs/>
      <w:noProof/>
      <w:color w:val="5AB7B4"/>
    </w:rPr>
  </w:style>
  <w:style w:type="paragraph" w:customStyle="1" w:styleId="C-Standardbold01">
    <w:name w:val="C-Standard_bold_01"/>
    <w:basedOn w:val="Normal"/>
    <w:rsid w:val="00A67B1E"/>
    <w:pPr>
      <w:widowControl w:val="0"/>
      <w:numPr>
        <w:ilvl w:val="2"/>
        <w:numId w:val="10"/>
      </w:numPr>
      <w:autoSpaceDE w:val="0"/>
      <w:autoSpaceDN w:val="0"/>
      <w:adjustRightInd w:val="0"/>
      <w:spacing w:line="288" w:lineRule="auto"/>
      <w:textAlignment w:val="center"/>
    </w:pPr>
    <w:rPr>
      <w:rFonts w:ascii="Arial" w:hAnsi="Arial" w:cs="Arial-BoldMT"/>
      <w:b/>
      <w:bCs/>
      <w:color w:val="3C3C3B"/>
    </w:rPr>
  </w:style>
  <w:style w:type="paragraph" w:customStyle="1" w:styleId="C-Standardtext">
    <w:name w:val="C-Standard_text"/>
    <w:basedOn w:val="Normal"/>
    <w:rsid w:val="00A67B1E"/>
    <w:pPr>
      <w:widowControl w:val="0"/>
      <w:autoSpaceDE w:val="0"/>
      <w:autoSpaceDN w:val="0"/>
      <w:adjustRightInd w:val="0"/>
      <w:spacing w:line="288" w:lineRule="auto"/>
      <w:textAlignment w:val="center"/>
    </w:pPr>
    <w:rPr>
      <w:rFonts w:ascii="Arial" w:hAnsi="Arial" w:cs="Arial-BoldMT"/>
      <w:bCs/>
      <w:color w:val="3C3C3B"/>
    </w:rPr>
  </w:style>
  <w:style w:type="paragraph" w:customStyle="1" w:styleId="C-AufzhlungPunkt02">
    <w:name w:val="C-Aufzählung_Punkt_02"/>
    <w:basedOn w:val="Normal"/>
    <w:autoRedefine/>
    <w:rsid w:val="00A67B1E"/>
    <w:pPr>
      <w:numPr>
        <w:numId w:val="7"/>
      </w:numPr>
      <w:spacing w:after="120" w:line="240" w:lineRule="exact"/>
    </w:pPr>
    <w:rPr>
      <w:rFonts w:ascii="Arial" w:eastAsia="Times New Roman" w:hAnsi="Arial"/>
      <w:color w:val="3C3C3B"/>
      <w:kern w:val="8"/>
    </w:rPr>
  </w:style>
  <w:style w:type="paragraph" w:customStyle="1" w:styleId="C-AufzManahmen03">
    <w:name w:val="C-Aufz_Maßnahmen_03"/>
    <w:basedOn w:val="Normal"/>
    <w:autoRedefine/>
    <w:rsid w:val="00A67B1E"/>
    <w:pPr>
      <w:numPr>
        <w:numId w:val="8"/>
      </w:numPr>
      <w:spacing w:after="120" w:line="240" w:lineRule="exact"/>
      <w:jc w:val="both"/>
    </w:pPr>
    <w:rPr>
      <w:rFonts w:ascii="Arial" w:eastAsia="SimSun" w:hAnsi="Arial"/>
      <w:color w:val="3C3C3B"/>
    </w:rPr>
  </w:style>
  <w:style w:type="paragraph" w:customStyle="1" w:styleId="C-AufzhlungNummer01">
    <w:name w:val="C-Aufzählung_Nummer_01"/>
    <w:autoRedefine/>
    <w:rsid w:val="00A67B1E"/>
    <w:pPr>
      <w:spacing w:after="120" w:line="240" w:lineRule="exact"/>
    </w:pPr>
    <w:rPr>
      <w:rFonts w:ascii="Arial" w:eastAsia="Times New Roman" w:hAnsi="Arial"/>
      <w:noProof/>
      <w:color w:val="3C3C3B"/>
    </w:rPr>
  </w:style>
  <w:style w:type="paragraph" w:customStyle="1" w:styleId="D-TabellenHeadings-03">
    <w:name w:val="D-Tabellen_Headings-03"/>
    <w:basedOn w:val="Normal"/>
    <w:autoRedefine/>
    <w:rsid w:val="00A67B1E"/>
    <w:pPr>
      <w:spacing w:after="120" w:line="240" w:lineRule="exact"/>
      <w:jc w:val="both"/>
    </w:pPr>
    <w:rPr>
      <w:rFonts w:ascii="Arial" w:eastAsia="Times New Roman" w:hAnsi="Arial"/>
      <w:snapToGrid w:val="0"/>
      <w:color w:val="00708F"/>
      <w:kern w:val="8"/>
      <w:sz w:val="18"/>
      <w:szCs w:val="18"/>
    </w:rPr>
  </w:style>
  <w:style w:type="paragraph" w:customStyle="1" w:styleId="Index01">
    <w:name w:val="Index_01"/>
    <w:next w:val="Index02"/>
    <w:autoRedefine/>
    <w:rsid w:val="00A67B1E"/>
    <w:pPr>
      <w:numPr>
        <w:numId w:val="10"/>
      </w:numPr>
      <w:tabs>
        <w:tab w:val="left" w:pos="426"/>
      </w:tabs>
      <w:spacing w:after="240"/>
    </w:pPr>
    <w:rPr>
      <w:rFonts w:ascii="Arial" w:hAnsi="Arial" w:cs="Arial-BoldMT"/>
      <w:b/>
      <w:bCs/>
      <w:color w:val="5FB278"/>
      <w:sz w:val="40"/>
      <w:szCs w:val="40"/>
    </w:rPr>
  </w:style>
  <w:style w:type="paragraph" w:customStyle="1" w:styleId="Index02">
    <w:name w:val="Index_02"/>
    <w:rsid w:val="00A67B1E"/>
    <w:pPr>
      <w:numPr>
        <w:ilvl w:val="1"/>
        <w:numId w:val="10"/>
      </w:numPr>
      <w:spacing w:after="240"/>
    </w:pPr>
    <w:rPr>
      <w:rFonts w:ascii="Arial" w:hAnsi="Arial" w:cs="Arial-BoldMT"/>
      <w:b/>
      <w:bCs/>
      <w:color w:val="2EAEDA"/>
      <w:sz w:val="28"/>
      <w:szCs w:val="28"/>
    </w:rPr>
  </w:style>
  <w:style w:type="paragraph" w:customStyle="1" w:styleId="Index">
    <w:name w:val="Index"/>
    <w:autoRedefine/>
    <w:rsid w:val="00A67B1E"/>
    <w:pPr>
      <w:tabs>
        <w:tab w:val="left" w:pos="407"/>
        <w:tab w:val="right" w:leader="dot" w:pos="8261"/>
      </w:tabs>
      <w:spacing w:line="360" w:lineRule="auto"/>
    </w:pPr>
    <w:rPr>
      <w:rFonts w:ascii="Arial" w:hAnsi="Arial"/>
      <w:b/>
      <w:bCs/>
      <w:color w:val="60B169"/>
      <w:sz w:val="32"/>
    </w:rPr>
  </w:style>
  <w:style w:type="paragraph" w:customStyle="1" w:styleId="Ruggedisedstyle">
    <w:name w:val="Ruggedised style"/>
    <w:basedOn w:val="Heading1"/>
    <w:link w:val="RuggedisedstyleChar"/>
    <w:rsid w:val="00A67B1E"/>
    <w:rPr>
      <w:color w:val="FFFFFF" w:themeColor="background1"/>
    </w:rPr>
  </w:style>
  <w:style w:type="character" w:customStyle="1" w:styleId="RuggedisedstyleChar">
    <w:name w:val="Ruggedised style Char"/>
    <w:basedOn w:val="Heading1Char"/>
    <w:link w:val="Ruggedisedstyle"/>
    <w:rsid w:val="00A67B1E"/>
    <w:rPr>
      <w:rFonts w:asciiTheme="majorHAnsi" w:eastAsiaTheme="majorEastAsia" w:hAnsiTheme="majorHAnsi" w:cstheme="majorBidi"/>
      <w:b/>
      <w:bCs/>
      <w:color w:val="FFFFFF" w:themeColor="background1"/>
      <w:sz w:val="28"/>
      <w:szCs w:val="28"/>
      <w:lang w:val="bg-BG"/>
    </w:rPr>
  </w:style>
  <w:style w:type="paragraph" w:customStyle="1" w:styleId="Ruggedised2">
    <w:name w:val="Ruggedised 2"/>
    <w:basedOn w:val="Normal"/>
    <w:link w:val="Ruggedised2Char"/>
    <w:rsid w:val="00A67B1E"/>
    <w:pPr>
      <w:widowControl w:val="0"/>
      <w:autoSpaceDE w:val="0"/>
      <w:autoSpaceDN w:val="0"/>
      <w:adjustRightInd w:val="0"/>
      <w:spacing w:line="288" w:lineRule="auto"/>
      <w:textAlignment w:val="center"/>
    </w:pPr>
    <w:rPr>
      <w:rFonts w:ascii="Arial" w:hAnsi="Arial" w:cs="Arial-BoldMT"/>
      <w:bCs/>
      <w:color w:val="2EAEDA"/>
    </w:rPr>
  </w:style>
  <w:style w:type="character" w:customStyle="1" w:styleId="Ruggedised2Char">
    <w:name w:val="Ruggedised 2 Char"/>
    <w:basedOn w:val="DefaultParagraphFont"/>
    <w:link w:val="Ruggedised2"/>
    <w:rsid w:val="00A67B1E"/>
    <w:rPr>
      <w:rFonts w:ascii="Arial" w:hAnsi="Arial" w:cs="Arial-BoldMT"/>
      <w:bCs/>
      <w:color w:val="2EAEDA"/>
      <w:sz w:val="22"/>
      <w:lang w:val="bg-BG"/>
    </w:rPr>
  </w:style>
  <w:style w:type="paragraph" w:customStyle="1" w:styleId="Style1">
    <w:name w:val="Style1"/>
    <w:basedOn w:val="TOC3"/>
    <w:link w:val="Style1Char"/>
    <w:rsid w:val="00A67B1E"/>
    <w:pPr>
      <w:tabs>
        <w:tab w:val="left" w:pos="567"/>
        <w:tab w:val="left" w:pos="709"/>
        <w:tab w:val="left" w:pos="851"/>
        <w:tab w:val="left" w:pos="1000"/>
        <w:tab w:val="right" w:leader="dot" w:pos="7938"/>
      </w:tabs>
      <w:spacing w:after="0"/>
      <w:ind w:left="0"/>
    </w:pPr>
    <w:rPr>
      <w:rFonts w:ascii="Arial" w:hAnsi="Arial" w:cs="MinionPro-Bold"/>
      <w:b/>
      <w:bCs/>
      <w:noProof/>
      <w:color w:val="5AB7B4"/>
      <w:sz w:val="32"/>
      <w:szCs w:val="28"/>
    </w:rPr>
  </w:style>
  <w:style w:type="paragraph" w:styleId="TOC3">
    <w:name w:val="toc 3"/>
    <w:basedOn w:val="Normal"/>
    <w:next w:val="Normal"/>
    <w:autoRedefine/>
    <w:uiPriority w:val="39"/>
    <w:semiHidden/>
    <w:unhideWhenUsed/>
    <w:rsid w:val="00A67B1E"/>
    <w:pPr>
      <w:spacing w:after="100"/>
      <w:ind w:left="400"/>
    </w:pPr>
  </w:style>
  <w:style w:type="character" w:customStyle="1" w:styleId="Style1Char">
    <w:name w:val="Style1 Char"/>
    <w:basedOn w:val="DefaultParagraphFont"/>
    <w:link w:val="Style1"/>
    <w:rsid w:val="00A67B1E"/>
    <w:rPr>
      <w:rFonts w:ascii="Arial" w:hAnsi="Arial" w:cs="MinionPro-Bold"/>
      <w:b/>
      <w:bCs/>
      <w:noProof/>
      <w:color w:val="5AB7B4"/>
      <w:sz w:val="32"/>
      <w:szCs w:val="28"/>
      <w:lang w:val="bg-BG"/>
    </w:rPr>
  </w:style>
  <w:style w:type="paragraph" w:customStyle="1" w:styleId="Style2">
    <w:name w:val="Style2"/>
    <w:basedOn w:val="Ruggedised2"/>
    <w:link w:val="Style2Char"/>
    <w:rsid w:val="00A67B1E"/>
    <w:rPr>
      <w:rFonts w:cs="Times New Roman"/>
      <w:b/>
      <w:noProof/>
      <w:color w:val="5AB7B4"/>
    </w:rPr>
  </w:style>
  <w:style w:type="character" w:customStyle="1" w:styleId="Style2Char">
    <w:name w:val="Style2 Char"/>
    <w:basedOn w:val="Ruggedised2Char"/>
    <w:link w:val="Style2"/>
    <w:rsid w:val="00A67B1E"/>
    <w:rPr>
      <w:rFonts w:ascii="Arial" w:hAnsi="Arial" w:cs="Arial-BoldMT"/>
      <w:b/>
      <w:bCs/>
      <w:noProof/>
      <w:color w:val="5AB7B4"/>
      <w:sz w:val="22"/>
      <w:lang w:val="bg-BG"/>
    </w:rPr>
  </w:style>
  <w:style w:type="paragraph" w:customStyle="1" w:styleId="StandardtextRuggedised">
    <w:name w:val="Standard text Ruggedised"/>
    <w:basedOn w:val="Normal"/>
    <w:link w:val="StandardtextRuggedisedChar"/>
    <w:autoRedefine/>
    <w:rsid w:val="00A67B1E"/>
    <w:pPr>
      <w:jc w:val="both"/>
    </w:pPr>
  </w:style>
  <w:style w:type="character" w:customStyle="1" w:styleId="StandardtextRuggedisedChar">
    <w:name w:val="Standard text Ruggedised Char"/>
    <w:basedOn w:val="DefaultParagraphFont"/>
    <w:link w:val="StandardtextRuggedised"/>
    <w:rsid w:val="00A67B1E"/>
    <w:rPr>
      <w:rFonts w:asciiTheme="minorHAnsi" w:hAnsiTheme="minorHAnsi" w:cstheme="minorBidi"/>
      <w:sz w:val="22"/>
      <w:lang w:val="bg-BG"/>
    </w:rPr>
  </w:style>
  <w:style w:type="paragraph" w:customStyle="1" w:styleId="BasicText">
    <w:name w:val="Basic_Text"/>
    <w:basedOn w:val="C-Standardtext"/>
    <w:next w:val="C-Standardtext"/>
    <w:autoRedefine/>
    <w:rsid w:val="00ED47C4"/>
    <w:pPr>
      <w:jc w:val="both"/>
    </w:pPr>
    <w:rPr>
      <w:rFonts w:eastAsia="MS Mincho"/>
      <w:color w:val="6F6F6F"/>
    </w:rPr>
  </w:style>
  <w:style w:type="character" w:customStyle="1" w:styleId="Heading3Char">
    <w:name w:val="Heading 3 Char"/>
    <w:basedOn w:val="DefaultParagraphFont"/>
    <w:link w:val="Heading3"/>
    <w:uiPriority w:val="9"/>
    <w:rsid w:val="00D17BEC"/>
    <w:rPr>
      <w:rFonts w:asciiTheme="majorHAnsi" w:eastAsiaTheme="majorEastAsia" w:hAnsiTheme="majorHAnsi" w:cstheme="majorBidi"/>
      <w:b/>
      <w:bCs/>
    </w:rPr>
  </w:style>
  <w:style w:type="character" w:customStyle="1" w:styleId="Heading5Char">
    <w:name w:val="Heading 5 Char"/>
    <w:basedOn w:val="DefaultParagraphFont"/>
    <w:link w:val="Heading5"/>
    <w:uiPriority w:val="9"/>
    <w:semiHidden/>
    <w:rsid w:val="00D17BEC"/>
    <w:rPr>
      <w:rFonts w:asciiTheme="majorHAnsi" w:eastAsiaTheme="majorEastAsia" w:hAnsiTheme="majorHAnsi" w:cstheme="majorBidi"/>
      <w:b/>
      <w:bCs/>
      <w:color w:val="A3A3A2" w:themeColor="text1" w:themeTint="80"/>
    </w:rPr>
  </w:style>
  <w:style w:type="character" w:customStyle="1" w:styleId="Heading6Char">
    <w:name w:val="Heading 6 Char"/>
    <w:basedOn w:val="DefaultParagraphFont"/>
    <w:link w:val="Heading6"/>
    <w:uiPriority w:val="9"/>
    <w:semiHidden/>
    <w:rsid w:val="00D17BEC"/>
    <w:rPr>
      <w:rFonts w:asciiTheme="majorHAnsi" w:eastAsiaTheme="majorEastAsia" w:hAnsiTheme="majorHAnsi" w:cstheme="majorBidi"/>
      <w:b/>
      <w:bCs/>
      <w:i/>
      <w:iCs/>
      <w:color w:val="A3A3A2" w:themeColor="text1" w:themeTint="80"/>
    </w:rPr>
  </w:style>
  <w:style w:type="character" w:customStyle="1" w:styleId="Heading7Char">
    <w:name w:val="Heading 7 Char"/>
    <w:basedOn w:val="DefaultParagraphFont"/>
    <w:link w:val="Heading7"/>
    <w:uiPriority w:val="9"/>
    <w:semiHidden/>
    <w:rsid w:val="00D17BE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17BE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17BE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24404"/>
    <w:pPr>
      <w:spacing w:line="240" w:lineRule="auto"/>
      <w:contextualSpacing/>
    </w:pPr>
    <w:rPr>
      <w:rFonts w:asciiTheme="majorHAnsi" w:eastAsiaTheme="majorEastAsia" w:hAnsiTheme="majorHAnsi" w:cstheme="majorBidi"/>
      <w:color w:val="008A88"/>
      <w:spacing w:val="5"/>
      <w:sz w:val="52"/>
      <w:szCs w:val="52"/>
    </w:rPr>
  </w:style>
  <w:style w:type="character" w:customStyle="1" w:styleId="TitleChar">
    <w:name w:val="Title Char"/>
    <w:basedOn w:val="DefaultParagraphFont"/>
    <w:link w:val="Title"/>
    <w:uiPriority w:val="10"/>
    <w:rsid w:val="00024404"/>
    <w:rPr>
      <w:rFonts w:asciiTheme="majorHAnsi" w:eastAsiaTheme="majorEastAsia" w:hAnsiTheme="majorHAnsi" w:cstheme="majorBidi"/>
      <w:color w:val="008A88"/>
      <w:spacing w:val="5"/>
      <w:sz w:val="52"/>
      <w:szCs w:val="52"/>
    </w:rPr>
  </w:style>
  <w:style w:type="paragraph" w:styleId="Subtitle">
    <w:name w:val="Subtitle"/>
    <w:basedOn w:val="Normal"/>
    <w:next w:val="Normal"/>
    <w:link w:val="SubtitleChar"/>
    <w:uiPriority w:val="11"/>
    <w:qFormat/>
    <w:rsid w:val="00D17BE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17BEC"/>
    <w:rPr>
      <w:rFonts w:asciiTheme="majorHAnsi" w:eastAsiaTheme="majorEastAsia" w:hAnsiTheme="majorHAnsi" w:cstheme="majorBidi"/>
      <w:i/>
      <w:iCs/>
      <w:spacing w:val="13"/>
      <w:sz w:val="24"/>
      <w:szCs w:val="24"/>
    </w:rPr>
  </w:style>
  <w:style w:type="character" w:styleId="Strong">
    <w:name w:val="Strong"/>
    <w:uiPriority w:val="22"/>
    <w:qFormat/>
    <w:rsid w:val="00D17BEC"/>
    <w:rPr>
      <w:b/>
      <w:bCs/>
    </w:rPr>
  </w:style>
  <w:style w:type="character" w:styleId="Emphasis">
    <w:name w:val="Emphasis"/>
    <w:uiPriority w:val="20"/>
    <w:qFormat/>
    <w:rsid w:val="00D17BEC"/>
    <w:rPr>
      <w:b/>
      <w:bCs/>
      <w:i/>
      <w:iCs/>
      <w:spacing w:val="10"/>
      <w:bdr w:val="none" w:sz="0" w:space="0" w:color="auto"/>
      <w:shd w:val="clear" w:color="auto" w:fill="auto"/>
    </w:rPr>
  </w:style>
  <w:style w:type="paragraph" w:styleId="ListParagraph">
    <w:name w:val="List Paragraph"/>
    <w:basedOn w:val="Normal"/>
    <w:uiPriority w:val="34"/>
    <w:qFormat/>
    <w:rsid w:val="00B140F3"/>
    <w:pPr>
      <w:numPr>
        <w:numId w:val="14"/>
      </w:numPr>
      <w:contextualSpacing/>
    </w:pPr>
  </w:style>
  <w:style w:type="paragraph" w:styleId="Quote">
    <w:name w:val="Quote"/>
    <w:basedOn w:val="Normal"/>
    <w:next w:val="Normal"/>
    <w:link w:val="QuoteChar"/>
    <w:uiPriority w:val="29"/>
    <w:qFormat/>
    <w:rsid w:val="00D17BEC"/>
    <w:pPr>
      <w:spacing w:before="200" w:after="0"/>
      <w:ind w:left="360" w:right="360"/>
    </w:pPr>
    <w:rPr>
      <w:i/>
      <w:iCs/>
    </w:rPr>
  </w:style>
  <w:style w:type="character" w:customStyle="1" w:styleId="QuoteChar">
    <w:name w:val="Quote Char"/>
    <w:basedOn w:val="DefaultParagraphFont"/>
    <w:link w:val="Quote"/>
    <w:uiPriority w:val="29"/>
    <w:rsid w:val="00D17BEC"/>
    <w:rPr>
      <w:i/>
      <w:iCs/>
    </w:rPr>
  </w:style>
  <w:style w:type="paragraph" w:styleId="IntenseQuote">
    <w:name w:val="Intense Quote"/>
    <w:basedOn w:val="Normal"/>
    <w:next w:val="Normal"/>
    <w:link w:val="IntenseQuoteChar"/>
    <w:uiPriority w:val="30"/>
    <w:qFormat/>
    <w:rsid w:val="00D17BE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17BEC"/>
    <w:rPr>
      <w:b/>
      <w:bCs/>
      <w:i/>
      <w:iCs/>
    </w:rPr>
  </w:style>
  <w:style w:type="character" w:styleId="SubtleEmphasis">
    <w:name w:val="Subtle Emphasis"/>
    <w:uiPriority w:val="19"/>
    <w:qFormat/>
    <w:rsid w:val="00D17BEC"/>
    <w:rPr>
      <w:i/>
      <w:iCs/>
    </w:rPr>
  </w:style>
  <w:style w:type="character" w:styleId="IntenseEmphasis">
    <w:name w:val="Intense Emphasis"/>
    <w:uiPriority w:val="21"/>
    <w:qFormat/>
    <w:rsid w:val="00D17BEC"/>
    <w:rPr>
      <w:b/>
      <w:bCs/>
    </w:rPr>
  </w:style>
  <w:style w:type="character" w:styleId="SubtleReference">
    <w:name w:val="Subtle Reference"/>
    <w:uiPriority w:val="31"/>
    <w:qFormat/>
    <w:rsid w:val="00D17BEC"/>
    <w:rPr>
      <w:smallCaps/>
    </w:rPr>
  </w:style>
  <w:style w:type="character" w:styleId="IntenseReference">
    <w:name w:val="Intense Reference"/>
    <w:uiPriority w:val="32"/>
    <w:qFormat/>
    <w:rsid w:val="00D17BEC"/>
    <w:rPr>
      <w:smallCaps/>
      <w:spacing w:val="5"/>
      <w:u w:val="single"/>
    </w:rPr>
  </w:style>
  <w:style w:type="character" w:styleId="BookTitle">
    <w:name w:val="Book Title"/>
    <w:uiPriority w:val="33"/>
    <w:qFormat/>
    <w:rsid w:val="00D17BEC"/>
    <w:rPr>
      <w:i/>
      <w:iCs/>
      <w:smallCaps/>
      <w:spacing w:val="5"/>
    </w:rPr>
  </w:style>
  <w:style w:type="paragraph" w:styleId="TOCHeading">
    <w:name w:val="TOC Heading"/>
    <w:basedOn w:val="Heading1"/>
    <w:next w:val="Normal"/>
    <w:uiPriority w:val="39"/>
    <w:semiHidden/>
    <w:unhideWhenUsed/>
    <w:qFormat/>
    <w:rsid w:val="00D17BEC"/>
    <w:pPr>
      <w:outlineLvl w:val="9"/>
    </w:pPr>
  </w:style>
  <w:style w:type="paragraph" w:styleId="BalloonText">
    <w:name w:val="Balloon Text"/>
    <w:basedOn w:val="Normal"/>
    <w:link w:val="BalloonTextChar"/>
    <w:uiPriority w:val="99"/>
    <w:semiHidden/>
    <w:unhideWhenUsed/>
    <w:rsid w:val="00D17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BEC"/>
    <w:rPr>
      <w:rFonts w:ascii="Tahoma" w:hAnsi="Tahoma" w:cs="Tahoma"/>
      <w:sz w:val="16"/>
      <w:szCs w:val="16"/>
      <w:lang w:val="bg-BG"/>
    </w:rPr>
  </w:style>
  <w:style w:type="paragraph" w:styleId="Header">
    <w:name w:val="header"/>
    <w:basedOn w:val="Normal"/>
    <w:link w:val="HeaderChar"/>
    <w:uiPriority w:val="99"/>
    <w:unhideWhenUsed/>
    <w:rsid w:val="002C12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1264"/>
  </w:style>
  <w:style w:type="paragraph" w:styleId="Footer">
    <w:name w:val="footer"/>
    <w:basedOn w:val="Normal"/>
    <w:link w:val="FooterChar"/>
    <w:uiPriority w:val="99"/>
    <w:unhideWhenUsed/>
    <w:rsid w:val="002C12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1264"/>
  </w:style>
  <w:style w:type="table" w:styleId="TableGrid">
    <w:name w:val="Table Grid"/>
    <w:basedOn w:val="TableNormal"/>
    <w:uiPriority w:val="39"/>
    <w:rsid w:val="00AB6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DD3CF2"/>
    <w:pPr>
      <w:spacing w:after="0" w:line="240" w:lineRule="auto"/>
    </w:pPr>
    <w:tblPr>
      <w:tblStyleRowBandSize w:val="1"/>
      <w:tblStyleColBandSize w:val="1"/>
      <w:tblInd w:w="0" w:type="dxa"/>
      <w:tblBorders>
        <w:top w:val="single" w:sz="8" w:space="0" w:color="31859B" w:themeColor="accent5"/>
        <w:left w:val="single" w:sz="8" w:space="0" w:color="31859B" w:themeColor="accent5"/>
        <w:bottom w:val="single" w:sz="8" w:space="0" w:color="31859B" w:themeColor="accent5"/>
        <w:right w:val="single" w:sz="8" w:space="0" w:color="31859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1859B" w:themeFill="accent5"/>
      </w:tcPr>
    </w:tblStylePr>
    <w:tblStylePr w:type="lastRow">
      <w:pPr>
        <w:spacing w:before="0" w:after="0" w:line="240" w:lineRule="auto"/>
      </w:pPr>
      <w:rPr>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tcBorders>
      </w:tcPr>
    </w:tblStylePr>
    <w:tblStylePr w:type="firstCol">
      <w:rPr>
        <w:b/>
        <w:bCs/>
      </w:rPr>
    </w:tblStylePr>
    <w:tblStylePr w:type="lastCol">
      <w:rPr>
        <w:b/>
        <w:bCs/>
      </w:r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style>
  <w:style w:type="paragraph" w:styleId="NormalWeb">
    <w:name w:val="Normal (Web)"/>
    <w:basedOn w:val="Normal"/>
    <w:uiPriority w:val="99"/>
    <w:semiHidden/>
    <w:unhideWhenUsed/>
    <w:rsid w:val="00182BA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93C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CCF"/>
    <w:rPr>
      <w:sz w:val="20"/>
      <w:szCs w:val="20"/>
    </w:rPr>
  </w:style>
  <w:style w:type="character" w:styleId="FootnoteReference">
    <w:name w:val="footnote reference"/>
    <w:basedOn w:val="DefaultParagraphFont"/>
    <w:uiPriority w:val="99"/>
    <w:semiHidden/>
    <w:unhideWhenUsed/>
    <w:rsid w:val="00293CCF"/>
    <w:rPr>
      <w:vertAlign w:val="superscript"/>
    </w:rPr>
  </w:style>
  <w:style w:type="paragraph" w:customStyle="1" w:styleId="CM1">
    <w:name w:val="CM1"/>
    <w:basedOn w:val="Normal"/>
    <w:next w:val="Normal"/>
    <w:uiPriority w:val="99"/>
    <w:rsid w:val="00AE2B5F"/>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AE2B5F"/>
    <w:pPr>
      <w:autoSpaceDE w:val="0"/>
      <w:autoSpaceDN w:val="0"/>
      <w:adjustRightInd w:val="0"/>
      <w:spacing w:after="0" w:line="240" w:lineRule="auto"/>
    </w:pPr>
    <w:rPr>
      <w:rFonts w:ascii="EUAlbertina" w:hAnsi="EUAlbertina"/>
      <w:sz w:val="24"/>
      <w:szCs w:val="24"/>
    </w:rPr>
  </w:style>
  <w:style w:type="character" w:customStyle="1" w:styleId="NoSpacingChar">
    <w:name w:val="No Spacing Char"/>
    <w:basedOn w:val="DefaultParagraphFont"/>
    <w:link w:val="NoSpacing"/>
    <w:uiPriority w:val="1"/>
    <w:rsid w:val="008C4088"/>
  </w:style>
  <w:style w:type="character" w:styleId="CommentReference">
    <w:name w:val="annotation reference"/>
    <w:basedOn w:val="DefaultParagraphFont"/>
    <w:uiPriority w:val="99"/>
    <w:semiHidden/>
    <w:unhideWhenUsed/>
    <w:rsid w:val="00BE582E"/>
    <w:rPr>
      <w:sz w:val="16"/>
      <w:szCs w:val="16"/>
    </w:rPr>
  </w:style>
  <w:style w:type="paragraph" w:styleId="CommentText">
    <w:name w:val="annotation text"/>
    <w:basedOn w:val="Normal"/>
    <w:link w:val="CommentTextChar"/>
    <w:uiPriority w:val="99"/>
    <w:semiHidden/>
    <w:unhideWhenUsed/>
    <w:rsid w:val="00BE582E"/>
    <w:pPr>
      <w:spacing w:line="240" w:lineRule="auto"/>
    </w:pPr>
    <w:rPr>
      <w:sz w:val="20"/>
      <w:szCs w:val="20"/>
    </w:rPr>
  </w:style>
  <w:style w:type="character" w:customStyle="1" w:styleId="CommentTextChar">
    <w:name w:val="Comment Text Char"/>
    <w:basedOn w:val="DefaultParagraphFont"/>
    <w:link w:val="CommentText"/>
    <w:uiPriority w:val="99"/>
    <w:semiHidden/>
    <w:rsid w:val="00BE582E"/>
    <w:rPr>
      <w:sz w:val="20"/>
      <w:szCs w:val="20"/>
    </w:rPr>
  </w:style>
  <w:style w:type="paragraph" w:styleId="CommentSubject">
    <w:name w:val="annotation subject"/>
    <w:basedOn w:val="CommentText"/>
    <w:next w:val="CommentText"/>
    <w:link w:val="CommentSubjectChar"/>
    <w:uiPriority w:val="99"/>
    <w:semiHidden/>
    <w:unhideWhenUsed/>
    <w:rsid w:val="00BE582E"/>
    <w:rPr>
      <w:b/>
      <w:bCs/>
    </w:rPr>
  </w:style>
  <w:style w:type="character" w:customStyle="1" w:styleId="CommentSubjectChar">
    <w:name w:val="Comment Subject Char"/>
    <w:basedOn w:val="CommentTextChar"/>
    <w:link w:val="CommentSubject"/>
    <w:uiPriority w:val="99"/>
    <w:semiHidden/>
    <w:rsid w:val="00BE582E"/>
    <w:rPr>
      <w:b/>
      <w:bCs/>
      <w:sz w:val="20"/>
      <w:szCs w:val="20"/>
    </w:rPr>
  </w:style>
  <w:style w:type="character" w:styleId="Hyperlink">
    <w:name w:val="Hyperlink"/>
    <w:basedOn w:val="DefaultParagraphFont"/>
    <w:uiPriority w:val="99"/>
    <w:unhideWhenUsed/>
    <w:rsid w:val="003D3D43"/>
    <w:rPr>
      <w:color w:val="366092" w:themeColor="hyperlink"/>
      <w:u w:val="single"/>
    </w:rPr>
  </w:style>
  <w:style w:type="character" w:customStyle="1" w:styleId="UnresolvedMention1">
    <w:name w:val="Unresolved Mention1"/>
    <w:basedOn w:val="DefaultParagraphFont"/>
    <w:uiPriority w:val="99"/>
    <w:semiHidden/>
    <w:unhideWhenUsed/>
    <w:rsid w:val="003D3D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RESIGN_TITEL_HEAD"/>
    <w:basedOn w:val="Normal"/>
    <w:next w:val="Normal"/>
    <w:link w:val="Heading1Char"/>
    <w:uiPriority w:val="9"/>
    <w:qFormat/>
    <w:rsid w:val="00D17BE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RESIN_TITELSITE_COPY"/>
    <w:basedOn w:val="Normal"/>
    <w:next w:val="Normal"/>
    <w:link w:val="Heading2Char"/>
    <w:uiPriority w:val="9"/>
    <w:unhideWhenUsed/>
    <w:qFormat/>
    <w:rsid w:val="00D17BE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17BEC"/>
    <w:pPr>
      <w:spacing w:before="200" w:after="0" w:line="271" w:lineRule="auto"/>
      <w:outlineLvl w:val="2"/>
    </w:pPr>
    <w:rPr>
      <w:rFonts w:asciiTheme="majorHAnsi" w:eastAsiaTheme="majorEastAsia" w:hAnsiTheme="majorHAnsi" w:cstheme="majorBidi"/>
      <w:b/>
      <w:bCs/>
    </w:rPr>
  </w:style>
  <w:style w:type="paragraph" w:styleId="Heading4">
    <w:name w:val="heading 4"/>
    <w:aliases w:val="Copytext"/>
    <w:basedOn w:val="Normal"/>
    <w:next w:val="Normal"/>
    <w:link w:val="Heading4Char"/>
    <w:uiPriority w:val="9"/>
    <w:unhideWhenUsed/>
    <w:qFormat/>
    <w:rsid w:val="00D17BE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17BEC"/>
    <w:pPr>
      <w:spacing w:before="200" w:after="0"/>
      <w:outlineLvl w:val="4"/>
    </w:pPr>
    <w:rPr>
      <w:rFonts w:asciiTheme="majorHAnsi" w:eastAsiaTheme="majorEastAsia" w:hAnsiTheme="majorHAnsi" w:cstheme="majorBidi"/>
      <w:b/>
      <w:bCs/>
      <w:color w:val="A3A3A2" w:themeColor="text1" w:themeTint="80"/>
    </w:rPr>
  </w:style>
  <w:style w:type="paragraph" w:styleId="Heading6">
    <w:name w:val="heading 6"/>
    <w:basedOn w:val="Normal"/>
    <w:next w:val="Normal"/>
    <w:link w:val="Heading6Char"/>
    <w:uiPriority w:val="9"/>
    <w:semiHidden/>
    <w:unhideWhenUsed/>
    <w:qFormat/>
    <w:rsid w:val="00D17BEC"/>
    <w:pPr>
      <w:spacing w:after="0" w:line="271" w:lineRule="auto"/>
      <w:outlineLvl w:val="5"/>
    </w:pPr>
    <w:rPr>
      <w:rFonts w:asciiTheme="majorHAnsi" w:eastAsiaTheme="majorEastAsia" w:hAnsiTheme="majorHAnsi" w:cstheme="majorBidi"/>
      <w:b/>
      <w:bCs/>
      <w:i/>
      <w:iCs/>
      <w:color w:val="A3A3A2" w:themeColor="text1" w:themeTint="80"/>
    </w:rPr>
  </w:style>
  <w:style w:type="paragraph" w:styleId="Heading7">
    <w:name w:val="heading 7"/>
    <w:basedOn w:val="Normal"/>
    <w:next w:val="Normal"/>
    <w:link w:val="Heading7Char"/>
    <w:uiPriority w:val="9"/>
    <w:semiHidden/>
    <w:unhideWhenUsed/>
    <w:qFormat/>
    <w:rsid w:val="00D17BE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17BE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17BE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SIGN_TITEL_HEAD Char"/>
    <w:basedOn w:val="DefaultParagraphFont"/>
    <w:link w:val="Heading1"/>
    <w:uiPriority w:val="9"/>
    <w:rsid w:val="00D17BE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D17BEC"/>
    <w:pPr>
      <w:spacing w:after="0" w:line="240" w:lineRule="auto"/>
    </w:pPr>
  </w:style>
  <w:style w:type="character" w:customStyle="1" w:styleId="Heading2Char">
    <w:name w:val="Heading 2 Char"/>
    <w:aliases w:val="RESIN_TITELSITE_COPY Char"/>
    <w:basedOn w:val="DefaultParagraphFont"/>
    <w:link w:val="Heading2"/>
    <w:uiPriority w:val="9"/>
    <w:rsid w:val="00D17BEC"/>
    <w:rPr>
      <w:rFonts w:asciiTheme="majorHAnsi" w:eastAsiaTheme="majorEastAsia" w:hAnsiTheme="majorHAnsi" w:cstheme="majorBidi"/>
      <w:b/>
      <w:bCs/>
      <w:sz w:val="26"/>
      <w:szCs w:val="26"/>
    </w:rPr>
  </w:style>
  <w:style w:type="character" w:customStyle="1" w:styleId="Heading4Char">
    <w:name w:val="Heading 4 Char"/>
    <w:aliases w:val="Copytext Char"/>
    <w:basedOn w:val="DefaultParagraphFont"/>
    <w:link w:val="Heading4"/>
    <w:uiPriority w:val="9"/>
    <w:rsid w:val="00D17BEC"/>
    <w:rPr>
      <w:rFonts w:asciiTheme="majorHAnsi" w:eastAsiaTheme="majorEastAsia" w:hAnsiTheme="majorHAnsi" w:cstheme="majorBidi"/>
      <w:b/>
      <w:bCs/>
      <w:i/>
      <w:iCs/>
    </w:rPr>
  </w:style>
  <w:style w:type="paragraph" w:styleId="TOC1">
    <w:name w:val="toc 1"/>
    <w:basedOn w:val="Normal"/>
    <w:next w:val="Normal"/>
    <w:autoRedefine/>
    <w:uiPriority w:val="39"/>
    <w:unhideWhenUsed/>
    <w:rsid w:val="00A67B1E"/>
    <w:pPr>
      <w:tabs>
        <w:tab w:val="left" w:pos="284"/>
        <w:tab w:val="right" w:leader="dot" w:pos="7938"/>
      </w:tabs>
      <w:spacing w:before="240" w:after="240"/>
    </w:pPr>
    <w:rPr>
      <w:rFonts w:ascii="Arial" w:hAnsi="Arial"/>
      <w:b/>
      <w:bCs/>
      <w:noProof/>
      <w:color w:val="5FB278"/>
      <w:sz w:val="32"/>
      <w:szCs w:val="32"/>
    </w:rPr>
  </w:style>
  <w:style w:type="paragraph" w:customStyle="1" w:styleId="TabellenHeadings">
    <w:name w:val="Tabellen_Headings"/>
    <w:basedOn w:val="Normal"/>
    <w:autoRedefine/>
    <w:rsid w:val="00A67B1E"/>
    <w:pPr>
      <w:spacing w:after="120"/>
    </w:pPr>
    <w:rPr>
      <w:rFonts w:ascii="Arial" w:eastAsia="Times New Roman" w:hAnsi="Arial"/>
      <w:b/>
      <w:snapToGrid w:val="0"/>
      <w:color w:val="3C3C3B"/>
      <w:kern w:val="8"/>
      <w:sz w:val="18"/>
      <w:szCs w:val="18"/>
    </w:rPr>
  </w:style>
  <w:style w:type="paragraph" w:customStyle="1" w:styleId="TabelleInput">
    <w:name w:val="Tabelle_Input"/>
    <w:basedOn w:val="TabellenHeadings"/>
    <w:rsid w:val="00A67B1E"/>
    <w:rPr>
      <w:b w:val="0"/>
    </w:rPr>
  </w:style>
  <w:style w:type="character" w:customStyle="1" w:styleId="BHeadlineContact">
    <w:name w:val="B_Headline_Contact"/>
    <w:uiPriority w:val="1"/>
    <w:rsid w:val="00A67B1E"/>
    <w:rPr>
      <w:rFonts w:ascii="Arial" w:hAnsi="Arial" w:cs="Arial-BoldMT"/>
      <w:b/>
      <w:bCs/>
      <w:color w:val="60B169"/>
      <w:sz w:val="24"/>
    </w:rPr>
  </w:style>
  <w:style w:type="paragraph" w:customStyle="1" w:styleId="B-Headline01">
    <w:name w:val="B-Headline_01"/>
    <w:basedOn w:val="Normal"/>
    <w:autoRedefine/>
    <w:qFormat/>
    <w:rsid w:val="00AB74D0"/>
    <w:pPr>
      <w:tabs>
        <w:tab w:val="left" w:pos="567"/>
        <w:tab w:val="left" w:pos="709"/>
        <w:tab w:val="left" w:pos="851"/>
        <w:tab w:val="left" w:pos="1000"/>
        <w:tab w:val="right" w:leader="dot" w:pos="7938"/>
      </w:tabs>
      <w:spacing w:before="240" w:after="240" w:line="240" w:lineRule="auto"/>
    </w:pPr>
    <w:rPr>
      <w:rFonts w:cs="MinionPro-Bold"/>
      <w:b/>
      <w:bCs/>
      <w:noProof/>
      <w:color w:val="008A88" w:themeColor="text2"/>
      <w:sz w:val="40"/>
      <w:szCs w:val="28"/>
    </w:rPr>
  </w:style>
  <w:style w:type="paragraph" w:customStyle="1" w:styleId="B-Leadtext01">
    <w:name w:val="B-Lead_text_01"/>
    <w:basedOn w:val="Normal"/>
    <w:rsid w:val="00A67B1E"/>
    <w:pPr>
      <w:widowControl w:val="0"/>
      <w:autoSpaceDE w:val="0"/>
      <w:autoSpaceDN w:val="0"/>
      <w:adjustRightInd w:val="0"/>
      <w:spacing w:line="288" w:lineRule="auto"/>
      <w:textAlignment w:val="center"/>
    </w:pPr>
    <w:rPr>
      <w:rFonts w:ascii="Arial" w:hAnsi="Arial" w:cs="ArialMT"/>
      <w:color w:val="60B169"/>
    </w:rPr>
  </w:style>
  <w:style w:type="paragraph" w:customStyle="1" w:styleId="B-Headline02">
    <w:name w:val="B-Headline_02"/>
    <w:basedOn w:val="Normal"/>
    <w:qFormat/>
    <w:rsid w:val="00780E72"/>
    <w:pPr>
      <w:widowControl w:val="0"/>
      <w:autoSpaceDE w:val="0"/>
      <w:autoSpaceDN w:val="0"/>
      <w:adjustRightInd w:val="0"/>
      <w:spacing w:line="288" w:lineRule="auto"/>
      <w:textAlignment w:val="center"/>
    </w:pPr>
    <w:rPr>
      <w:rFonts w:cs="Arial-BoldMT"/>
      <w:b/>
      <w:bCs/>
      <w:color w:val="1C665A" w:themeColor="accent1"/>
      <w:sz w:val="32"/>
      <w:szCs w:val="28"/>
    </w:rPr>
  </w:style>
  <w:style w:type="paragraph" w:customStyle="1" w:styleId="B-Headlinetext02">
    <w:name w:val="B-Headline_text_02"/>
    <w:basedOn w:val="Normal"/>
    <w:rsid w:val="00A67B1E"/>
    <w:pPr>
      <w:widowControl w:val="0"/>
      <w:autoSpaceDE w:val="0"/>
      <w:autoSpaceDN w:val="0"/>
      <w:adjustRightInd w:val="0"/>
      <w:spacing w:line="288" w:lineRule="auto"/>
      <w:textAlignment w:val="center"/>
    </w:pPr>
    <w:rPr>
      <w:rFonts w:ascii="Arial" w:hAnsi="Arial" w:cs="Arial-BoldMT"/>
      <w:b/>
      <w:bCs/>
      <w:noProof/>
      <w:color w:val="5AB7B4"/>
    </w:rPr>
  </w:style>
  <w:style w:type="paragraph" w:customStyle="1" w:styleId="C-Standardbold01">
    <w:name w:val="C-Standard_bold_01"/>
    <w:basedOn w:val="Normal"/>
    <w:rsid w:val="00A67B1E"/>
    <w:pPr>
      <w:widowControl w:val="0"/>
      <w:numPr>
        <w:ilvl w:val="2"/>
        <w:numId w:val="10"/>
      </w:numPr>
      <w:autoSpaceDE w:val="0"/>
      <w:autoSpaceDN w:val="0"/>
      <w:adjustRightInd w:val="0"/>
      <w:spacing w:line="288" w:lineRule="auto"/>
      <w:textAlignment w:val="center"/>
    </w:pPr>
    <w:rPr>
      <w:rFonts w:ascii="Arial" w:hAnsi="Arial" w:cs="Arial-BoldMT"/>
      <w:b/>
      <w:bCs/>
      <w:color w:val="3C3C3B"/>
    </w:rPr>
  </w:style>
  <w:style w:type="paragraph" w:customStyle="1" w:styleId="C-Standardtext">
    <w:name w:val="C-Standard_text"/>
    <w:basedOn w:val="Normal"/>
    <w:rsid w:val="00A67B1E"/>
    <w:pPr>
      <w:widowControl w:val="0"/>
      <w:autoSpaceDE w:val="0"/>
      <w:autoSpaceDN w:val="0"/>
      <w:adjustRightInd w:val="0"/>
      <w:spacing w:line="288" w:lineRule="auto"/>
      <w:textAlignment w:val="center"/>
    </w:pPr>
    <w:rPr>
      <w:rFonts w:ascii="Arial" w:hAnsi="Arial" w:cs="Arial-BoldMT"/>
      <w:bCs/>
      <w:color w:val="3C3C3B"/>
    </w:rPr>
  </w:style>
  <w:style w:type="paragraph" w:customStyle="1" w:styleId="C-AufzhlungPunkt02">
    <w:name w:val="C-Aufzählung_Punkt_02"/>
    <w:basedOn w:val="Normal"/>
    <w:autoRedefine/>
    <w:rsid w:val="00A67B1E"/>
    <w:pPr>
      <w:numPr>
        <w:numId w:val="7"/>
      </w:numPr>
      <w:spacing w:after="120" w:line="240" w:lineRule="exact"/>
    </w:pPr>
    <w:rPr>
      <w:rFonts w:ascii="Arial" w:eastAsia="Times New Roman" w:hAnsi="Arial"/>
      <w:color w:val="3C3C3B"/>
      <w:kern w:val="8"/>
    </w:rPr>
  </w:style>
  <w:style w:type="paragraph" w:customStyle="1" w:styleId="C-AufzManahmen03">
    <w:name w:val="C-Aufz_Maßnahmen_03"/>
    <w:basedOn w:val="Normal"/>
    <w:autoRedefine/>
    <w:rsid w:val="00A67B1E"/>
    <w:pPr>
      <w:numPr>
        <w:numId w:val="8"/>
      </w:numPr>
      <w:spacing w:after="120" w:line="240" w:lineRule="exact"/>
      <w:jc w:val="both"/>
    </w:pPr>
    <w:rPr>
      <w:rFonts w:ascii="Arial" w:eastAsia="SimSun" w:hAnsi="Arial"/>
      <w:color w:val="3C3C3B"/>
    </w:rPr>
  </w:style>
  <w:style w:type="paragraph" w:customStyle="1" w:styleId="C-AufzhlungNummer01">
    <w:name w:val="C-Aufzählung_Nummer_01"/>
    <w:autoRedefine/>
    <w:rsid w:val="00A67B1E"/>
    <w:pPr>
      <w:spacing w:after="120" w:line="240" w:lineRule="exact"/>
    </w:pPr>
    <w:rPr>
      <w:rFonts w:ascii="Arial" w:eastAsia="Times New Roman" w:hAnsi="Arial"/>
      <w:noProof/>
      <w:color w:val="3C3C3B"/>
    </w:rPr>
  </w:style>
  <w:style w:type="paragraph" w:customStyle="1" w:styleId="D-TabellenHeadings-03">
    <w:name w:val="D-Tabellen_Headings-03"/>
    <w:basedOn w:val="Normal"/>
    <w:autoRedefine/>
    <w:rsid w:val="00A67B1E"/>
    <w:pPr>
      <w:spacing w:after="120" w:line="240" w:lineRule="exact"/>
      <w:jc w:val="both"/>
    </w:pPr>
    <w:rPr>
      <w:rFonts w:ascii="Arial" w:eastAsia="Times New Roman" w:hAnsi="Arial"/>
      <w:snapToGrid w:val="0"/>
      <w:color w:val="00708F"/>
      <w:kern w:val="8"/>
      <w:sz w:val="18"/>
      <w:szCs w:val="18"/>
    </w:rPr>
  </w:style>
  <w:style w:type="paragraph" w:customStyle="1" w:styleId="Index01">
    <w:name w:val="Index_01"/>
    <w:next w:val="Index02"/>
    <w:autoRedefine/>
    <w:rsid w:val="00A67B1E"/>
    <w:pPr>
      <w:numPr>
        <w:numId w:val="10"/>
      </w:numPr>
      <w:tabs>
        <w:tab w:val="left" w:pos="426"/>
      </w:tabs>
      <w:spacing w:after="240"/>
    </w:pPr>
    <w:rPr>
      <w:rFonts w:ascii="Arial" w:hAnsi="Arial" w:cs="Arial-BoldMT"/>
      <w:b/>
      <w:bCs/>
      <w:color w:val="5FB278"/>
      <w:sz w:val="40"/>
      <w:szCs w:val="40"/>
    </w:rPr>
  </w:style>
  <w:style w:type="paragraph" w:customStyle="1" w:styleId="Index02">
    <w:name w:val="Index_02"/>
    <w:rsid w:val="00A67B1E"/>
    <w:pPr>
      <w:numPr>
        <w:ilvl w:val="1"/>
        <w:numId w:val="10"/>
      </w:numPr>
      <w:spacing w:after="240"/>
    </w:pPr>
    <w:rPr>
      <w:rFonts w:ascii="Arial" w:hAnsi="Arial" w:cs="Arial-BoldMT"/>
      <w:b/>
      <w:bCs/>
      <w:color w:val="2EAEDA"/>
      <w:sz w:val="28"/>
      <w:szCs w:val="28"/>
    </w:rPr>
  </w:style>
  <w:style w:type="paragraph" w:customStyle="1" w:styleId="Index">
    <w:name w:val="Index"/>
    <w:autoRedefine/>
    <w:rsid w:val="00A67B1E"/>
    <w:pPr>
      <w:tabs>
        <w:tab w:val="left" w:pos="407"/>
        <w:tab w:val="right" w:leader="dot" w:pos="8261"/>
      </w:tabs>
      <w:spacing w:line="360" w:lineRule="auto"/>
    </w:pPr>
    <w:rPr>
      <w:rFonts w:ascii="Arial" w:hAnsi="Arial"/>
      <w:b/>
      <w:bCs/>
      <w:color w:val="60B169"/>
      <w:sz w:val="32"/>
    </w:rPr>
  </w:style>
  <w:style w:type="paragraph" w:customStyle="1" w:styleId="Ruggedisedstyle">
    <w:name w:val="Ruggedised style"/>
    <w:basedOn w:val="Heading1"/>
    <w:link w:val="RuggedisedstyleChar"/>
    <w:rsid w:val="00A67B1E"/>
    <w:rPr>
      <w:color w:val="FFFFFF" w:themeColor="background1"/>
    </w:rPr>
  </w:style>
  <w:style w:type="character" w:customStyle="1" w:styleId="RuggedisedstyleChar">
    <w:name w:val="Ruggedised style Char"/>
    <w:basedOn w:val="Heading1Char"/>
    <w:link w:val="Ruggedisedstyle"/>
    <w:rsid w:val="00A67B1E"/>
    <w:rPr>
      <w:rFonts w:asciiTheme="majorHAnsi" w:eastAsiaTheme="majorEastAsia" w:hAnsiTheme="majorHAnsi" w:cstheme="majorBidi"/>
      <w:b/>
      <w:bCs/>
      <w:color w:val="FFFFFF" w:themeColor="background1"/>
      <w:sz w:val="28"/>
      <w:szCs w:val="28"/>
      <w:lang w:val="bg-BG"/>
    </w:rPr>
  </w:style>
  <w:style w:type="paragraph" w:customStyle="1" w:styleId="Ruggedised2">
    <w:name w:val="Ruggedised 2"/>
    <w:basedOn w:val="Normal"/>
    <w:link w:val="Ruggedised2Char"/>
    <w:rsid w:val="00A67B1E"/>
    <w:pPr>
      <w:widowControl w:val="0"/>
      <w:autoSpaceDE w:val="0"/>
      <w:autoSpaceDN w:val="0"/>
      <w:adjustRightInd w:val="0"/>
      <w:spacing w:line="288" w:lineRule="auto"/>
      <w:textAlignment w:val="center"/>
    </w:pPr>
    <w:rPr>
      <w:rFonts w:ascii="Arial" w:hAnsi="Arial" w:cs="Arial-BoldMT"/>
      <w:bCs/>
      <w:color w:val="2EAEDA"/>
    </w:rPr>
  </w:style>
  <w:style w:type="character" w:customStyle="1" w:styleId="Ruggedised2Char">
    <w:name w:val="Ruggedised 2 Char"/>
    <w:basedOn w:val="DefaultParagraphFont"/>
    <w:link w:val="Ruggedised2"/>
    <w:rsid w:val="00A67B1E"/>
    <w:rPr>
      <w:rFonts w:ascii="Arial" w:hAnsi="Arial" w:cs="Arial-BoldMT"/>
      <w:bCs/>
      <w:color w:val="2EAEDA"/>
      <w:sz w:val="22"/>
      <w:lang w:val="bg-BG"/>
    </w:rPr>
  </w:style>
  <w:style w:type="paragraph" w:customStyle="1" w:styleId="Style1">
    <w:name w:val="Style1"/>
    <w:basedOn w:val="TOC3"/>
    <w:link w:val="Style1Char"/>
    <w:rsid w:val="00A67B1E"/>
    <w:pPr>
      <w:tabs>
        <w:tab w:val="left" w:pos="567"/>
        <w:tab w:val="left" w:pos="709"/>
        <w:tab w:val="left" w:pos="851"/>
        <w:tab w:val="left" w:pos="1000"/>
        <w:tab w:val="right" w:leader="dot" w:pos="7938"/>
      </w:tabs>
      <w:spacing w:after="0"/>
      <w:ind w:left="0"/>
    </w:pPr>
    <w:rPr>
      <w:rFonts w:ascii="Arial" w:hAnsi="Arial" w:cs="MinionPro-Bold"/>
      <w:b/>
      <w:bCs/>
      <w:noProof/>
      <w:color w:val="5AB7B4"/>
      <w:sz w:val="32"/>
      <w:szCs w:val="28"/>
    </w:rPr>
  </w:style>
  <w:style w:type="paragraph" w:styleId="TOC3">
    <w:name w:val="toc 3"/>
    <w:basedOn w:val="Normal"/>
    <w:next w:val="Normal"/>
    <w:autoRedefine/>
    <w:uiPriority w:val="39"/>
    <w:semiHidden/>
    <w:unhideWhenUsed/>
    <w:rsid w:val="00A67B1E"/>
    <w:pPr>
      <w:spacing w:after="100"/>
      <w:ind w:left="400"/>
    </w:pPr>
  </w:style>
  <w:style w:type="character" w:customStyle="1" w:styleId="Style1Char">
    <w:name w:val="Style1 Char"/>
    <w:basedOn w:val="DefaultParagraphFont"/>
    <w:link w:val="Style1"/>
    <w:rsid w:val="00A67B1E"/>
    <w:rPr>
      <w:rFonts w:ascii="Arial" w:hAnsi="Arial" w:cs="MinionPro-Bold"/>
      <w:b/>
      <w:bCs/>
      <w:noProof/>
      <w:color w:val="5AB7B4"/>
      <w:sz w:val="32"/>
      <w:szCs w:val="28"/>
      <w:lang w:val="bg-BG"/>
    </w:rPr>
  </w:style>
  <w:style w:type="paragraph" w:customStyle="1" w:styleId="Style2">
    <w:name w:val="Style2"/>
    <w:basedOn w:val="Ruggedised2"/>
    <w:link w:val="Style2Char"/>
    <w:rsid w:val="00A67B1E"/>
    <w:rPr>
      <w:rFonts w:cs="Times New Roman"/>
      <w:b/>
      <w:noProof/>
      <w:color w:val="5AB7B4"/>
    </w:rPr>
  </w:style>
  <w:style w:type="character" w:customStyle="1" w:styleId="Style2Char">
    <w:name w:val="Style2 Char"/>
    <w:basedOn w:val="Ruggedised2Char"/>
    <w:link w:val="Style2"/>
    <w:rsid w:val="00A67B1E"/>
    <w:rPr>
      <w:rFonts w:ascii="Arial" w:hAnsi="Arial" w:cs="Arial-BoldMT"/>
      <w:b/>
      <w:bCs/>
      <w:noProof/>
      <w:color w:val="5AB7B4"/>
      <w:sz w:val="22"/>
      <w:lang w:val="bg-BG"/>
    </w:rPr>
  </w:style>
  <w:style w:type="paragraph" w:customStyle="1" w:styleId="StandardtextRuggedised">
    <w:name w:val="Standard text Ruggedised"/>
    <w:basedOn w:val="Normal"/>
    <w:link w:val="StandardtextRuggedisedChar"/>
    <w:autoRedefine/>
    <w:rsid w:val="00A67B1E"/>
    <w:pPr>
      <w:jc w:val="both"/>
    </w:pPr>
  </w:style>
  <w:style w:type="character" w:customStyle="1" w:styleId="StandardtextRuggedisedChar">
    <w:name w:val="Standard text Ruggedised Char"/>
    <w:basedOn w:val="DefaultParagraphFont"/>
    <w:link w:val="StandardtextRuggedised"/>
    <w:rsid w:val="00A67B1E"/>
    <w:rPr>
      <w:rFonts w:asciiTheme="minorHAnsi" w:hAnsiTheme="minorHAnsi" w:cstheme="minorBidi"/>
      <w:sz w:val="22"/>
      <w:lang w:val="bg-BG"/>
    </w:rPr>
  </w:style>
  <w:style w:type="paragraph" w:customStyle="1" w:styleId="BasicText">
    <w:name w:val="Basic_Text"/>
    <w:basedOn w:val="C-Standardtext"/>
    <w:next w:val="C-Standardtext"/>
    <w:autoRedefine/>
    <w:rsid w:val="00ED47C4"/>
    <w:pPr>
      <w:jc w:val="both"/>
    </w:pPr>
    <w:rPr>
      <w:rFonts w:eastAsia="MS Mincho"/>
      <w:color w:val="6F6F6F"/>
    </w:rPr>
  </w:style>
  <w:style w:type="character" w:customStyle="1" w:styleId="Heading3Char">
    <w:name w:val="Heading 3 Char"/>
    <w:basedOn w:val="DefaultParagraphFont"/>
    <w:link w:val="Heading3"/>
    <w:uiPriority w:val="9"/>
    <w:rsid w:val="00D17BEC"/>
    <w:rPr>
      <w:rFonts w:asciiTheme="majorHAnsi" w:eastAsiaTheme="majorEastAsia" w:hAnsiTheme="majorHAnsi" w:cstheme="majorBidi"/>
      <w:b/>
      <w:bCs/>
    </w:rPr>
  </w:style>
  <w:style w:type="character" w:customStyle="1" w:styleId="Heading5Char">
    <w:name w:val="Heading 5 Char"/>
    <w:basedOn w:val="DefaultParagraphFont"/>
    <w:link w:val="Heading5"/>
    <w:uiPriority w:val="9"/>
    <w:semiHidden/>
    <w:rsid w:val="00D17BEC"/>
    <w:rPr>
      <w:rFonts w:asciiTheme="majorHAnsi" w:eastAsiaTheme="majorEastAsia" w:hAnsiTheme="majorHAnsi" w:cstheme="majorBidi"/>
      <w:b/>
      <w:bCs/>
      <w:color w:val="A3A3A2" w:themeColor="text1" w:themeTint="80"/>
    </w:rPr>
  </w:style>
  <w:style w:type="character" w:customStyle="1" w:styleId="Heading6Char">
    <w:name w:val="Heading 6 Char"/>
    <w:basedOn w:val="DefaultParagraphFont"/>
    <w:link w:val="Heading6"/>
    <w:uiPriority w:val="9"/>
    <w:semiHidden/>
    <w:rsid w:val="00D17BEC"/>
    <w:rPr>
      <w:rFonts w:asciiTheme="majorHAnsi" w:eastAsiaTheme="majorEastAsia" w:hAnsiTheme="majorHAnsi" w:cstheme="majorBidi"/>
      <w:b/>
      <w:bCs/>
      <w:i/>
      <w:iCs/>
      <w:color w:val="A3A3A2" w:themeColor="text1" w:themeTint="80"/>
    </w:rPr>
  </w:style>
  <w:style w:type="character" w:customStyle="1" w:styleId="Heading7Char">
    <w:name w:val="Heading 7 Char"/>
    <w:basedOn w:val="DefaultParagraphFont"/>
    <w:link w:val="Heading7"/>
    <w:uiPriority w:val="9"/>
    <w:semiHidden/>
    <w:rsid w:val="00D17BE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17BE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17BE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24404"/>
    <w:pPr>
      <w:spacing w:line="240" w:lineRule="auto"/>
      <w:contextualSpacing/>
    </w:pPr>
    <w:rPr>
      <w:rFonts w:asciiTheme="majorHAnsi" w:eastAsiaTheme="majorEastAsia" w:hAnsiTheme="majorHAnsi" w:cstheme="majorBidi"/>
      <w:color w:val="008A88"/>
      <w:spacing w:val="5"/>
      <w:sz w:val="52"/>
      <w:szCs w:val="52"/>
    </w:rPr>
  </w:style>
  <w:style w:type="character" w:customStyle="1" w:styleId="TitleChar">
    <w:name w:val="Title Char"/>
    <w:basedOn w:val="DefaultParagraphFont"/>
    <w:link w:val="Title"/>
    <w:uiPriority w:val="10"/>
    <w:rsid w:val="00024404"/>
    <w:rPr>
      <w:rFonts w:asciiTheme="majorHAnsi" w:eastAsiaTheme="majorEastAsia" w:hAnsiTheme="majorHAnsi" w:cstheme="majorBidi"/>
      <w:color w:val="008A88"/>
      <w:spacing w:val="5"/>
      <w:sz w:val="52"/>
      <w:szCs w:val="52"/>
    </w:rPr>
  </w:style>
  <w:style w:type="paragraph" w:styleId="Subtitle">
    <w:name w:val="Subtitle"/>
    <w:basedOn w:val="Normal"/>
    <w:next w:val="Normal"/>
    <w:link w:val="SubtitleChar"/>
    <w:uiPriority w:val="11"/>
    <w:qFormat/>
    <w:rsid w:val="00D17BE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17BEC"/>
    <w:rPr>
      <w:rFonts w:asciiTheme="majorHAnsi" w:eastAsiaTheme="majorEastAsia" w:hAnsiTheme="majorHAnsi" w:cstheme="majorBidi"/>
      <w:i/>
      <w:iCs/>
      <w:spacing w:val="13"/>
      <w:sz w:val="24"/>
      <w:szCs w:val="24"/>
    </w:rPr>
  </w:style>
  <w:style w:type="character" w:styleId="Strong">
    <w:name w:val="Strong"/>
    <w:uiPriority w:val="22"/>
    <w:qFormat/>
    <w:rsid w:val="00D17BEC"/>
    <w:rPr>
      <w:b/>
      <w:bCs/>
    </w:rPr>
  </w:style>
  <w:style w:type="character" w:styleId="Emphasis">
    <w:name w:val="Emphasis"/>
    <w:uiPriority w:val="20"/>
    <w:qFormat/>
    <w:rsid w:val="00D17BEC"/>
    <w:rPr>
      <w:b/>
      <w:bCs/>
      <w:i/>
      <w:iCs/>
      <w:spacing w:val="10"/>
      <w:bdr w:val="none" w:sz="0" w:space="0" w:color="auto"/>
      <w:shd w:val="clear" w:color="auto" w:fill="auto"/>
    </w:rPr>
  </w:style>
  <w:style w:type="paragraph" w:styleId="ListParagraph">
    <w:name w:val="List Paragraph"/>
    <w:basedOn w:val="Normal"/>
    <w:uiPriority w:val="34"/>
    <w:qFormat/>
    <w:rsid w:val="00B140F3"/>
    <w:pPr>
      <w:numPr>
        <w:numId w:val="14"/>
      </w:numPr>
      <w:contextualSpacing/>
    </w:pPr>
  </w:style>
  <w:style w:type="paragraph" w:styleId="Quote">
    <w:name w:val="Quote"/>
    <w:basedOn w:val="Normal"/>
    <w:next w:val="Normal"/>
    <w:link w:val="QuoteChar"/>
    <w:uiPriority w:val="29"/>
    <w:qFormat/>
    <w:rsid w:val="00D17BEC"/>
    <w:pPr>
      <w:spacing w:before="200" w:after="0"/>
      <w:ind w:left="360" w:right="360"/>
    </w:pPr>
    <w:rPr>
      <w:i/>
      <w:iCs/>
    </w:rPr>
  </w:style>
  <w:style w:type="character" w:customStyle="1" w:styleId="QuoteChar">
    <w:name w:val="Quote Char"/>
    <w:basedOn w:val="DefaultParagraphFont"/>
    <w:link w:val="Quote"/>
    <w:uiPriority w:val="29"/>
    <w:rsid w:val="00D17BEC"/>
    <w:rPr>
      <w:i/>
      <w:iCs/>
    </w:rPr>
  </w:style>
  <w:style w:type="paragraph" w:styleId="IntenseQuote">
    <w:name w:val="Intense Quote"/>
    <w:basedOn w:val="Normal"/>
    <w:next w:val="Normal"/>
    <w:link w:val="IntenseQuoteChar"/>
    <w:uiPriority w:val="30"/>
    <w:qFormat/>
    <w:rsid w:val="00D17BE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17BEC"/>
    <w:rPr>
      <w:b/>
      <w:bCs/>
      <w:i/>
      <w:iCs/>
    </w:rPr>
  </w:style>
  <w:style w:type="character" w:styleId="SubtleEmphasis">
    <w:name w:val="Subtle Emphasis"/>
    <w:uiPriority w:val="19"/>
    <w:qFormat/>
    <w:rsid w:val="00D17BEC"/>
    <w:rPr>
      <w:i/>
      <w:iCs/>
    </w:rPr>
  </w:style>
  <w:style w:type="character" w:styleId="IntenseEmphasis">
    <w:name w:val="Intense Emphasis"/>
    <w:uiPriority w:val="21"/>
    <w:qFormat/>
    <w:rsid w:val="00D17BEC"/>
    <w:rPr>
      <w:b/>
      <w:bCs/>
    </w:rPr>
  </w:style>
  <w:style w:type="character" w:styleId="SubtleReference">
    <w:name w:val="Subtle Reference"/>
    <w:uiPriority w:val="31"/>
    <w:qFormat/>
    <w:rsid w:val="00D17BEC"/>
    <w:rPr>
      <w:smallCaps/>
    </w:rPr>
  </w:style>
  <w:style w:type="character" w:styleId="IntenseReference">
    <w:name w:val="Intense Reference"/>
    <w:uiPriority w:val="32"/>
    <w:qFormat/>
    <w:rsid w:val="00D17BEC"/>
    <w:rPr>
      <w:smallCaps/>
      <w:spacing w:val="5"/>
      <w:u w:val="single"/>
    </w:rPr>
  </w:style>
  <w:style w:type="character" w:styleId="BookTitle">
    <w:name w:val="Book Title"/>
    <w:uiPriority w:val="33"/>
    <w:qFormat/>
    <w:rsid w:val="00D17BEC"/>
    <w:rPr>
      <w:i/>
      <w:iCs/>
      <w:smallCaps/>
      <w:spacing w:val="5"/>
    </w:rPr>
  </w:style>
  <w:style w:type="paragraph" w:styleId="TOCHeading">
    <w:name w:val="TOC Heading"/>
    <w:basedOn w:val="Heading1"/>
    <w:next w:val="Normal"/>
    <w:uiPriority w:val="39"/>
    <w:semiHidden/>
    <w:unhideWhenUsed/>
    <w:qFormat/>
    <w:rsid w:val="00D17BEC"/>
    <w:pPr>
      <w:outlineLvl w:val="9"/>
    </w:pPr>
  </w:style>
  <w:style w:type="paragraph" w:styleId="BalloonText">
    <w:name w:val="Balloon Text"/>
    <w:basedOn w:val="Normal"/>
    <w:link w:val="BalloonTextChar"/>
    <w:uiPriority w:val="99"/>
    <w:semiHidden/>
    <w:unhideWhenUsed/>
    <w:rsid w:val="00D17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BEC"/>
    <w:rPr>
      <w:rFonts w:ascii="Tahoma" w:hAnsi="Tahoma" w:cs="Tahoma"/>
      <w:sz w:val="16"/>
      <w:szCs w:val="16"/>
      <w:lang w:val="bg-BG"/>
    </w:rPr>
  </w:style>
  <w:style w:type="paragraph" w:styleId="Header">
    <w:name w:val="header"/>
    <w:basedOn w:val="Normal"/>
    <w:link w:val="HeaderChar"/>
    <w:uiPriority w:val="99"/>
    <w:unhideWhenUsed/>
    <w:rsid w:val="002C12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1264"/>
  </w:style>
  <w:style w:type="paragraph" w:styleId="Footer">
    <w:name w:val="footer"/>
    <w:basedOn w:val="Normal"/>
    <w:link w:val="FooterChar"/>
    <w:uiPriority w:val="99"/>
    <w:unhideWhenUsed/>
    <w:rsid w:val="002C12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1264"/>
  </w:style>
  <w:style w:type="table" w:styleId="TableGrid">
    <w:name w:val="Table Grid"/>
    <w:basedOn w:val="TableNormal"/>
    <w:uiPriority w:val="39"/>
    <w:rsid w:val="00AB6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DD3CF2"/>
    <w:pPr>
      <w:spacing w:after="0" w:line="240" w:lineRule="auto"/>
    </w:pPr>
    <w:tblPr>
      <w:tblStyleRowBandSize w:val="1"/>
      <w:tblStyleColBandSize w:val="1"/>
      <w:tblInd w:w="0" w:type="dxa"/>
      <w:tblBorders>
        <w:top w:val="single" w:sz="8" w:space="0" w:color="31859B" w:themeColor="accent5"/>
        <w:left w:val="single" w:sz="8" w:space="0" w:color="31859B" w:themeColor="accent5"/>
        <w:bottom w:val="single" w:sz="8" w:space="0" w:color="31859B" w:themeColor="accent5"/>
        <w:right w:val="single" w:sz="8" w:space="0" w:color="31859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1859B" w:themeFill="accent5"/>
      </w:tcPr>
    </w:tblStylePr>
    <w:tblStylePr w:type="lastRow">
      <w:pPr>
        <w:spacing w:before="0" w:after="0" w:line="240" w:lineRule="auto"/>
      </w:pPr>
      <w:rPr>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tcBorders>
      </w:tcPr>
    </w:tblStylePr>
    <w:tblStylePr w:type="firstCol">
      <w:rPr>
        <w:b/>
        <w:bCs/>
      </w:rPr>
    </w:tblStylePr>
    <w:tblStylePr w:type="lastCol">
      <w:rPr>
        <w:b/>
        <w:bCs/>
      </w:r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style>
  <w:style w:type="paragraph" w:styleId="NormalWeb">
    <w:name w:val="Normal (Web)"/>
    <w:basedOn w:val="Normal"/>
    <w:uiPriority w:val="99"/>
    <w:semiHidden/>
    <w:unhideWhenUsed/>
    <w:rsid w:val="00182BA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93C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CCF"/>
    <w:rPr>
      <w:sz w:val="20"/>
      <w:szCs w:val="20"/>
    </w:rPr>
  </w:style>
  <w:style w:type="character" w:styleId="FootnoteReference">
    <w:name w:val="footnote reference"/>
    <w:basedOn w:val="DefaultParagraphFont"/>
    <w:uiPriority w:val="99"/>
    <w:semiHidden/>
    <w:unhideWhenUsed/>
    <w:rsid w:val="00293CCF"/>
    <w:rPr>
      <w:vertAlign w:val="superscript"/>
    </w:rPr>
  </w:style>
  <w:style w:type="paragraph" w:customStyle="1" w:styleId="CM1">
    <w:name w:val="CM1"/>
    <w:basedOn w:val="Normal"/>
    <w:next w:val="Normal"/>
    <w:uiPriority w:val="99"/>
    <w:rsid w:val="00AE2B5F"/>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AE2B5F"/>
    <w:pPr>
      <w:autoSpaceDE w:val="0"/>
      <w:autoSpaceDN w:val="0"/>
      <w:adjustRightInd w:val="0"/>
      <w:spacing w:after="0" w:line="240" w:lineRule="auto"/>
    </w:pPr>
    <w:rPr>
      <w:rFonts w:ascii="EUAlbertina" w:hAnsi="EUAlbertina"/>
      <w:sz w:val="24"/>
      <w:szCs w:val="24"/>
    </w:rPr>
  </w:style>
  <w:style w:type="character" w:customStyle="1" w:styleId="NoSpacingChar">
    <w:name w:val="No Spacing Char"/>
    <w:basedOn w:val="DefaultParagraphFont"/>
    <w:link w:val="NoSpacing"/>
    <w:uiPriority w:val="1"/>
    <w:rsid w:val="008C4088"/>
  </w:style>
  <w:style w:type="character" w:styleId="CommentReference">
    <w:name w:val="annotation reference"/>
    <w:basedOn w:val="DefaultParagraphFont"/>
    <w:uiPriority w:val="99"/>
    <w:semiHidden/>
    <w:unhideWhenUsed/>
    <w:rsid w:val="00BE582E"/>
    <w:rPr>
      <w:sz w:val="16"/>
      <w:szCs w:val="16"/>
    </w:rPr>
  </w:style>
  <w:style w:type="paragraph" w:styleId="CommentText">
    <w:name w:val="annotation text"/>
    <w:basedOn w:val="Normal"/>
    <w:link w:val="CommentTextChar"/>
    <w:uiPriority w:val="99"/>
    <w:semiHidden/>
    <w:unhideWhenUsed/>
    <w:rsid w:val="00BE582E"/>
    <w:pPr>
      <w:spacing w:line="240" w:lineRule="auto"/>
    </w:pPr>
    <w:rPr>
      <w:sz w:val="20"/>
      <w:szCs w:val="20"/>
    </w:rPr>
  </w:style>
  <w:style w:type="character" w:customStyle="1" w:styleId="CommentTextChar">
    <w:name w:val="Comment Text Char"/>
    <w:basedOn w:val="DefaultParagraphFont"/>
    <w:link w:val="CommentText"/>
    <w:uiPriority w:val="99"/>
    <w:semiHidden/>
    <w:rsid w:val="00BE582E"/>
    <w:rPr>
      <w:sz w:val="20"/>
      <w:szCs w:val="20"/>
    </w:rPr>
  </w:style>
  <w:style w:type="paragraph" w:styleId="CommentSubject">
    <w:name w:val="annotation subject"/>
    <w:basedOn w:val="CommentText"/>
    <w:next w:val="CommentText"/>
    <w:link w:val="CommentSubjectChar"/>
    <w:uiPriority w:val="99"/>
    <w:semiHidden/>
    <w:unhideWhenUsed/>
    <w:rsid w:val="00BE582E"/>
    <w:rPr>
      <w:b/>
      <w:bCs/>
    </w:rPr>
  </w:style>
  <w:style w:type="character" w:customStyle="1" w:styleId="CommentSubjectChar">
    <w:name w:val="Comment Subject Char"/>
    <w:basedOn w:val="CommentTextChar"/>
    <w:link w:val="CommentSubject"/>
    <w:uiPriority w:val="99"/>
    <w:semiHidden/>
    <w:rsid w:val="00BE582E"/>
    <w:rPr>
      <w:b/>
      <w:bCs/>
      <w:sz w:val="20"/>
      <w:szCs w:val="20"/>
    </w:rPr>
  </w:style>
  <w:style w:type="character" w:styleId="Hyperlink">
    <w:name w:val="Hyperlink"/>
    <w:basedOn w:val="DefaultParagraphFont"/>
    <w:uiPriority w:val="99"/>
    <w:unhideWhenUsed/>
    <w:rsid w:val="003D3D43"/>
    <w:rPr>
      <w:color w:val="366092" w:themeColor="hyperlink"/>
      <w:u w:val="single"/>
    </w:rPr>
  </w:style>
  <w:style w:type="character" w:customStyle="1" w:styleId="UnresolvedMention1">
    <w:name w:val="Unresolved Mention1"/>
    <w:basedOn w:val="DefaultParagraphFont"/>
    <w:uiPriority w:val="99"/>
    <w:semiHidden/>
    <w:unhideWhenUsed/>
    <w:rsid w:val="003D3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442">
      <w:bodyDiv w:val="1"/>
      <w:marLeft w:val="0"/>
      <w:marRight w:val="0"/>
      <w:marTop w:val="0"/>
      <w:marBottom w:val="0"/>
      <w:divBdr>
        <w:top w:val="none" w:sz="0" w:space="0" w:color="auto"/>
        <w:left w:val="none" w:sz="0" w:space="0" w:color="auto"/>
        <w:bottom w:val="none" w:sz="0" w:space="0" w:color="auto"/>
        <w:right w:val="none" w:sz="0" w:space="0" w:color="auto"/>
      </w:divBdr>
      <w:divsChild>
        <w:div w:id="1620063229">
          <w:marLeft w:val="547"/>
          <w:marRight w:val="0"/>
          <w:marTop w:val="134"/>
          <w:marBottom w:val="0"/>
          <w:divBdr>
            <w:top w:val="none" w:sz="0" w:space="0" w:color="auto"/>
            <w:left w:val="none" w:sz="0" w:space="0" w:color="auto"/>
            <w:bottom w:val="none" w:sz="0" w:space="0" w:color="auto"/>
            <w:right w:val="none" w:sz="0" w:space="0" w:color="auto"/>
          </w:divBdr>
        </w:div>
        <w:div w:id="1777365027">
          <w:marLeft w:val="547"/>
          <w:marRight w:val="0"/>
          <w:marTop w:val="134"/>
          <w:marBottom w:val="0"/>
          <w:divBdr>
            <w:top w:val="none" w:sz="0" w:space="0" w:color="auto"/>
            <w:left w:val="none" w:sz="0" w:space="0" w:color="auto"/>
            <w:bottom w:val="none" w:sz="0" w:space="0" w:color="auto"/>
            <w:right w:val="none" w:sz="0" w:space="0" w:color="auto"/>
          </w:divBdr>
        </w:div>
        <w:div w:id="358551984">
          <w:marLeft w:val="547"/>
          <w:marRight w:val="0"/>
          <w:marTop w:val="134"/>
          <w:marBottom w:val="0"/>
          <w:divBdr>
            <w:top w:val="none" w:sz="0" w:space="0" w:color="auto"/>
            <w:left w:val="none" w:sz="0" w:space="0" w:color="auto"/>
            <w:bottom w:val="none" w:sz="0" w:space="0" w:color="auto"/>
            <w:right w:val="none" w:sz="0" w:space="0" w:color="auto"/>
          </w:divBdr>
        </w:div>
        <w:div w:id="608708287">
          <w:marLeft w:val="547"/>
          <w:marRight w:val="0"/>
          <w:marTop w:val="134"/>
          <w:marBottom w:val="0"/>
          <w:divBdr>
            <w:top w:val="none" w:sz="0" w:space="0" w:color="auto"/>
            <w:left w:val="none" w:sz="0" w:space="0" w:color="auto"/>
            <w:bottom w:val="none" w:sz="0" w:space="0" w:color="auto"/>
            <w:right w:val="none" w:sz="0" w:space="0" w:color="auto"/>
          </w:divBdr>
        </w:div>
        <w:div w:id="126898212">
          <w:marLeft w:val="547"/>
          <w:marRight w:val="0"/>
          <w:marTop w:val="134"/>
          <w:marBottom w:val="0"/>
          <w:divBdr>
            <w:top w:val="none" w:sz="0" w:space="0" w:color="auto"/>
            <w:left w:val="none" w:sz="0" w:space="0" w:color="auto"/>
            <w:bottom w:val="none" w:sz="0" w:space="0" w:color="auto"/>
            <w:right w:val="none" w:sz="0" w:space="0" w:color="auto"/>
          </w:divBdr>
        </w:div>
        <w:div w:id="1839536663">
          <w:marLeft w:val="547"/>
          <w:marRight w:val="0"/>
          <w:marTop w:val="134"/>
          <w:marBottom w:val="0"/>
          <w:divBdr>
            <w:top w:val="none" w:sz="0" w:space="0" w:color="auto"/>
            <w:left w:val="none" w:sz="0" w:space="0" w:color="auto"/>
            <w:bottom w:val="none" w:sz="0" w:space="0" w:color="auto"/>
            <w:right w:val="none" w:sz="0" w:space="0" w:color="auto"/>
          </w:divBdr>
        </w:div>
      </w:divsChild>
    </w:div>
    <w:div w:id="146827811">
      <w:bodyDiv w:val="1"/>
      <w:marLeft w:val="0"/>
      <w:marRight w:val="0"/>
      <w:marTop w:val="0"/>
      <w:marBottom w:val="0"/>
      <w:divBdr>
        <w:top w:val="none" w:sz="0" w:space="0" w:color="auto"/>
        <w:left w:val="none" w:sz="0" w:space="0" w:color="auto"/>
        <w:bottom w:val="none" w:sz="0" w:space="0" w:color="auto"/>
        <w:right w:val="none" w:sz="0" w:space="0" w:color="auto"/>
      </w:divBdr>
    </w:div>
    <w:div w:id="168646414">
      <w:bodyDiv w:val="1"/>
      <w:marLeft w:val="0"/>
      <w:marRight w:val="0"/>
      <w:marTop w:val="0"/>
      <w:marBottom w:val="0"/>
      <w:divBdr>
        <w:top w:val="none" w:sz="0" w:space="0" w:color="auto"/>
        <w:left w:val="none" w:sz="0" w:space="0" w:color="auto"/>
        <w:bottom w:val="none" w:sz="0" w:space="0" w:color="auto"/>
        <w:right w:val="none" w:sz="0" w:space="0" w:color="auto"/>
      </w:divBdr>
      <w:divsChild>
        <w:div w:id="1089152610">
          <w:marLeft w:val="547"/>
          <w:marRight w:val="0"/>
          <w:marTop w:val="134"/>
          <w:marBottom w:val="0"/>
          <w:divBdr>
            <w:top w:val="none" w:sz="0" w:space="0" w:color="auto"/>
            <w:left w:val="none" w:sz="0" w:space="0" w:color="auto"/>
            <w:bottom w:val="none" w:sz="0" w:space="0" w:color="auto"/>
            <w:right w:val="none" w:sz="0" w:space="0" w:color="auto"/>
          </w:divBdr>
        </w:div>
        <w:div w:id="534345481">
          <w:marLeft w:val="547"/>
          <w:marRight w:val="0"/>
          <w:marTop w:val="134"/>
          <w:marBottom w:val="0"/>
          <w:divBdr>
            <w:top w:val="none" w:sz="0" w:space="0" w:color="auto"/>
            <w:left w:val="none" w:sz="0" w:space="0" w:color="auto"/>
            <w:bottom w:val="none" w:sz="0" w:space="0" w:color="auto"/>
            <w:right w:val="none" w:sz="0" w:space="0" w:color="auto"/>
          </w:divBdr>
        </w:div>
        <w:div w:id="994452106">
          <w:marLeft w:val="547"/>
          <w:marRight w:val="0"/>
          <w:marTop w:val="134"/>
          <w:marBottom w:val="0"/>
          <w:divBdr>
            <w:top w:val="none" w:sz="0" w:space="0" w:color="auto"/>
            <w:left w:val="none" w:sz="0" w:space="0" w:color="auto"/>
            <w:bottom w:val="none" w:sz="0" w:space="0" w:color="auto"/>
            <w:right w:val="none" w:sz="0" w:space="0" w:color="auto"/>
          </w:divBdr>
        </w:div>
      </w:divsChild>
    </w:div>
    <w:div w:id="183902348">
      <w:bodyDiv w:val="1"/>
      <w:marLeft w:val="0"/>
      <w:marRight w:val="0"/>
      <w:marTop w:val="0"/>
      <w:marBottom w:val="0"/>
      <w:divBdr>
        <w:top w:val="none" w:sz="0" w:space="0" w:color="auto"/>
        <w:left w:val="none" w:sz="0" w:space="0" w:color="auto"/>
        <w:bottom w:val="none" w:sz="0" w:space="0" w:color="auto"/>
        <w:right w:val="none" w:sz="0" w:space="0" w:color="auto"/>
      </w:divBdr>
      <w:divsChild>
        <w:div w:id="653875460">
          <w:marLeft w:val="806"/>
          <w:marRight w:val="0"/>
          <w:marTop w:val="125"/>
          <w:marBottom w:val="0"/>
          <w:divBdr>
            <w:top w:val="none" w:sz="0" w:space="0" w:color="auto"/>
            <w:left w:val="none" w:sz="0" w:space="0" w:color="auto"/>
            <w:bottom w:val="none" w:sz="0" w:space="0" w:color="auto"/>
            <w:right w:val="none" w:sz="0" w:space="0" w:color="auto"/>
          </w:divBdr>
        </w:div>
        <w:div w:id="1134061290">
          <w:marLeft w:val="806"/>
          <w:marRight w:val="0"/>
          <w:marTop w:val="125"/>
          <w:marBottom w:val="0"/>
          <w:divBdr>
            <w:top w:val="none" w:sz="0" w:space="0" w:color="auto"/>
            <w:left w:val="none" w:sz="0" w:space="0" w:color="auto"/>
            <w:bottom w:val="none" w:sz="0" w:space="0" w:color="auto"/>
            <w:right w:val="none" w:sz="0" w:space="0" w:color="auto"/>
          </w:divBdr>
        </w:div>
        <w:div w:id="1299066702">
          <w:marLeft w:val="806"/>
          <w:marRight w:val="0"/>
          <w:marTop w:val="125"/>
          <w:marBottom w:val="0"/>
          <w:divBdr>
            <w:top w:val="none" w:sz="0" w:space="0" w:color="auto"/>
            <w:left w:val="none" w:sz="0" w:space="0" w:color="auto"/>
            <w:bottom w:val="none" w:sz="0" w:space="0" w:color="auto"/>
            <w:right w:val="none" w:sz="0" w:space="0" w:color="auto"/>
          </w:divBdr>
        </w:div>
        <w:div w:id="1938713601">
          <w:marLeft w:val="806"/>
          <w:marRight w:val="0"/>
          <w:marTop w:val="125"/>
          <w:marBottom w:val="0"/>
          <w:divBdr>
            <w:top w:val="none" w:sz="0" w:space="0" w:color="auto"/>
            <w:left w:val="none" w:sz="0" w:space="0" w:color="auto"/>
            <w:bottom w:val="none" w:sz="0" w:space="0" w:color="auto"/>
            <w:right w:val="none" w:sz="0" w:space="0" w:color="auto"/>
          </w:divBdr>
        </w:div>
        <w:div w:id="872687778">
          <w:marLeft w:val="806"/>
          <w:marRight w:val="0"/>
          <w:marTop w:val="125"/>
          <w:marBottom w:val="0"/>
          <w:divBdr>
            <w:top w:val="none" w:sz="0" w:space="0" w:color="auto"/>
            <w:left w:val="none" w:sz="0" w:space="0" w:color="auto"/>
            <w:bottom w:val="none" w:sz="0" w:space="0" w:color="auto"/>
            <w:right w:val="none" w:sz="0" w:space="0" w:color="auto"/>
          </w:divBdr>
        </w:div>
        <w:div w:id="25258592">
          <w:marLeft w:val="806"/>
          <w:marRight w:val="0"/>
          <w:marTop w:val="125"/>
          <w:marBottom w:val="0"/>
          <w:divBdr>
            <w:top w:val="none" w:sz="0" w:space="0" w:color="auto"/>
            <w:left w:val="none" w:sz="0" w:space="0" w:color="auto"/>
            <w:bottom w:val="none" w:sz="0" w:space="0" w:color="auto"/>
            <w:right w:val="none" w:sz="0" w:space="0" w:color="auto"/>
          </w:divBdr>
        </w:div>
      </w:divsChild>
    </w:div>
    <w:div w:id="364713859">
      <w:bodyDiv w:val="1"/>
      <w:marLeft w:val="0"/>
      <w:marRight w:val="0"/>
      <w:marTop w:val="0"/>
      <w:marBottom w:val="0"/>
      <w:divBdr>
        <w:top w:val="none" w:sz="0" w:space="0" w:color="auto"/>
        <w:left w:val="none" w:sz="0" w:space="0" w:color="auto"/>
        <w:bottom w:val="none" w:sz="0" w:space="0" w:color="auto"/>
        <w:right w:val="none" w:sz="0" w:space="0" w:color="auto"/>
      </w:divBdr>
    </w:div>
    <w:div w:id="500774493">
      <w:bodyDiv w:val="1"/>
      <w:marLeft w:val="0"/>
      <w:marRight w:val="0"/>
      <w:marTop w:val="0"/>
      <w:marBottom w:val="0"/>
      <w:divBdr>
        <w:top w:val="none" w:sz="0" w:space="0" w:color="auto"/>
        <w:left w:val="none" w:sz="0" w:space="0" w:color="auto"/>
        <w:bottom w:val="none" w:sz="0" w:space="0" w:color="auto"/>
        <w:right w:val="none" w:sz="0" w:space="0" w:color="auto"/>
      </w:divBdr>
      <w:divsChild>
        <w:div w:id="1212618676">
          <w:marLeft w:val="547"/>
          <w:marRight w:val="0"/>
          <w:marTop w:val="134"/>
          <w:marBottom w:val="0"/>
          <w:divBdr>
            <w:top w:val="none" w:sz="0" w:space="0" w:color="auto"/>
            <w:left w:val="none" w:sz="0" w:space="0" w:color="auto"/>
            <w:bottom w:val="none" w:sz="0" w:space="0" w:color="auto"/>
            <w:right w:val="none" w:sz="0" w:space="0" w:color="auto"/>
          </w:divBdr>
        </w:div>
        <w:div w:id="676231967">
          <w:marLeft w:val="547"/>
          <w:marRight w:val="0"/>
          <w:marTop w:val="134"/>
          <w:marBottom w:val="0"/>
          <w:divBdr>
            <w:top w:val="none" w:sz="0" w:space="0" w:color="auto"/>
            <w:left w:val="none" w:sz="0" w:space="0" w:color="auto"/>
            <w:bottom w:val="none" w:sz="0" w:space="0" w:color="auto"/>
            <w:right w:val="none" w:sz="0" w:space="0" w:color="auto"/>
          </w:divBdr>
        </w:div>
        <w:div w:id="1034039443">
          <w:marLeft w:val="547"/>
          <w:marRight w:val="0"/>
          <w:marTop w:val="134"/>
          <w:marBottom w:val="0"/>
          <w:divBdr>
            <w:top w:val="none" w:sz="0" w:space="0" w:color="auto"/>
            <w:left w:val="none" w:sz="0" w:space="0" w:color="auto"/>
            <w:bottom w:val="none" w:sz="0" w:space="0" w:color="auto"/>
            <w:right w:val="none" w:sz="0" w:space="0" w:color="auto"/>
          </w:divBdr>
        </w:div>
      </w:divsChild>
    </w:div>
    <w:div w:id="504905901">
      <w:bodyDiv w:val="1"/>
      <w:marLeft w:val="0"/>
      <w:marRight w:val="0"/>
      <w:marTop w:val="0"/>
      <w:marBottom w:val="0"/>
      <w:divBdr>
        <w:top w:val="none" w:sz="0" w:space="0" w:color="auto"/>
        <w:left w:val="none" w:sz="0" w:space="0" w:color="auto"/>
        <w:bottom w:val="none" w:sz="0" w:space="0" w:color="auto"/>
        <w:right w:val="none" w:sz="0" w:space="0" w:color="auto"/>
      </w:divBdr>
    </w:div>
    <w:div w:id="567495322">
      <w:bodyDiv w:val="1"/>
      <w:marLeft w:val="0"/>
      <w:marRight w:val="0"/>
      <w:marTop w:val="0"/>
      <w:marBottom w:val="0"/>
      <w:divBdr>
        <w:top w:val="none" w:sz="0" w:space="0" w:color="auto"/>
        <w:left w:val="none" w:sz="0" w:space="0" w:color="auto"/>
        <w:bottom w:val="none" w:sz="0" w:space="0" w:color="auto"/>
        <w:right w:val="none" w:sz="0" w:space="0" w:color="auto"/>
      </w:divBdr>
      <w:divsChild>
        <w:div w:id="887034664">
          <w:marLeft w:val="274"/>
          <w:marRight w:val="0"/>
          <w:marTop w:val="134"/>
          <w:marBottom w:val="0"/>
          <w:divBdr>
            <w:top w:val="none" w:sz="0" w:space="0" w:color="auto"/>
            <w:left w:val="none" w:sz="0" w:space="0" w:color="auto"/>
            <w:bottom w:val="none" w:sz="0" w:space="0" w:color="auto"/>
            <w:right w:val="none" w:sz="0" w:space="0" w:color="auto"/>
          </w:divBdr>
        </w:div>
        <w:div w:id="619336567">
          <w:marLeft w:val="274"/>
          <w:marRight w:val="0"/>
          <w:marTop w:val="134"/>
          <w:marBottom w:val="0"/>
          <w:divBdr>
            <w:top w:val="none" w:sz="0" w:space="0" w:color="auto"/>
            <w:left w:val="none" w:sz="0" w:space="0" w:color="auto"/>
            <w:bottom w:val="none" w:sz="0" w:space="0" w:color="auto"/>
            <w:right w:val="none" w:sz="0" w:space="0" w:color="auto"/>
          </w:divBdr>
        </w:div>
      </w:divsChild>
    </w:div>
    <w:div w:id="615721188">
      <w:bodyDiv w:val="1"/>
      <w:marLeft w:val="0"/>
      <w:marRight w:val="0"/>
      <w:marTop w:val="0"/>
      <w:marBottom w:val="0"/>
      <w:divBdr>
        <w:top w:val="none" w:sz="0" w:space="0" w:color="auto"/>
        <w:left w:val="none" w:sz="0" w:space="0" w:color="auto"/>
        <w:bottom w:val="none" w:sz="0" w:space="0" w:color="auto"/>
        <w:right w:val="none" w:sz="0" w:space="0" w:color="auto"/>
      </w:divBdr>
    </w:div>
    <w:div w:id="793207625">
      <w:bodyDiv w:val="1"/>
      <w:marLeft w:val="0"/>
      <w:marRight w:val="0"/>
      <w:marTop w:val="0"/>
      <w:marBottom w:val="0"/>
      <w:divBdr>
        <w:top w:val="none" w:sz="0" w:space="0" w:color="auto"/>
        <w:left w:val="none" w:sz="0" w:space="0" w:color="auto"/>
        <w:bottom w:val="none" w:sz="0" w:space="0" w:color="auto"/>
        <w:right w:val="none" w:sz="0" w:space="0" w:color="auto"/>
      </w:divBdr>
      <w:divsChild>
        <w:div w:id="453449003">
          <w:marLeft w:val="547"/>
          <w:marRight w:val="0"/>
          <w:marTop w:val="134"/>
          <w:marBottom w:val="0"/>
          <w:divBdr>
            <w:top w:val="none" w:sz="0" w:space="0" w:color="auto"/>
            <w:left w:val="none" w:sz="0" w:space="0" w:color="auto"/>
            <w:bottom w:val="none" w:sz="0" w:space="0" w:color="auto"/>
            <w:right w:val="none" w:sz="0" w:space="0" w:color="auto"/>
          </w:divBdr>
        </w:div>
        <w:div w:id="83693716">
          <w:marLeft w:val="547"/>
          <w:marRight w:val="0"/>
          <w:marTop w:val="134"/>
          <w:marBottom w:val="0"/>
          <w:divBdr>
            <w:top w:val="none" w:sz="0" w:space="0" w:color="auto"/>
            <w:left w:val="none" w:sz="0" w:space="0" w:color="auto"/>
            <w:bottom w:val="none" w:sz="0" w:space="0" w:color="auto"/>
            <w:right w:val="none" w:sz="0" w:space="0" w:color="auto"/>
          </w:divBdr>
        </w:div>
        <w:div w:id="327170004">
          <w:marLeft w:val="547"/>
          <w:marRight w:val="0"/>
          <w:marTop w:val="134"/>
          <w:marBottom w:val="0"/>
          <w:divBdr>
            <w:top w:val="none" w:sz="0" w:space="0" w:color="auto"/>
            <w:left w:val="none" w:sz="0" w:space="0" w:color="auto"/>
            <w:bottom w:val="none" w:sz="0" w:space="0" w:color="auto"/>
            <w:right w:val="none" w:sz="0" w:space="0" w:color="auto"/>
          </w:divBdr>
        </w:div>
        <w:div w:id="1750034167">
          <w:marLeft w:val="547"/>
          <w:marRight w:val="0"/>
          <w:marTop w:val="134"/>
          <w:marBottom w:val="0"/>
          <w:divBdr>
            <w:top w:val="none" w:sz="0" w:space="0" w:color="auto"/>
            <w:left w:val="none" w:sz="0" w:space="0" w:color="auto"/>
            <w:bottom w:val="none" w:sz="0" w:space="0" w:color="auto"/>
            <w:right w:val="none" w:sz="0" w:space="0" w:color="auto"/>
          </w:divBdr>
        </w:div>
        <w:div w:id="1407455130">
          <w:marLeft w:val="547"/>
          <w:marRight w:val="0"/>
          <w:marTop w:val="134"/>
          <w:marBottom w:val="0"/>
          <w:divBdr>
            <w:top w:val="none" w:sz="0" w:space="0" w:color="auto"/>
            <w:left w:val="none" w:sz="0" w:space="0" w:color="auto"/>
            <w:bottom w:val="none" w:sz="0" w:space="0" w:color="auto"/>
            <w:right w:val="none" w:sz="0" w:space="0" w:color="auto"/>
          </w:divBdr>
        </w:div>
        <w:div w:id="1494561215">
          <w:marLeft w:val="547"/>
          <w:marRight w:val="0"/>
          <w:marTop w:val="134"/>
          <w:marBottom w:val="0"/>
          <w:divBdr>
            <w:top w:val="none" w:sz="0" w:space="0" w:color="auto"/>
            <w:left w:val="none" w:sz="0" w:space="0" w:color="auto"/>
            <w:bottom w:val="none" w:sz="0" w:space="0" w:color="auto"/>
            <w:right w:val="none" w:sz="0" w:space="0" w:color="auto"/>
          </w:divBdr>
        </w:div>
        <w:div w:id="1372605627">
          <w:marLeft w:val="547"/>
          <w:marRight w:val="0"/>
          <w:marTop w:val="134"/>
          <w:marBottom w:val="0"/>
          <w:divBdr>
            <w:top w:val="none" w:sz="0" w:space="0" w:color="auto"/>
            <w:left w:val="none" w:sz="0" w:space="0" w:color="auto"/>
            <w:bottom w:val="none" w:sz="0" w:space="0" w:color="auto"/>
            <w:right w:val="none" w:sz="0" w:space="0" w:color="auto"/>
          </w:divBdr>
        </w:div>
      </w:divsChild>
    </w:div>
    <w:div w:id="806972478">
      <w:bodyDiv w:val="1"/>
      <w:marLeft w:val="0"/>
      <w:marRight w:val="0"/>
      <w:marTop w:val="0"/>
      <w:marBottom w:val="0"/>
      <w:divBdr>
        <w:top w:val="none" w:sz="0" w:space="0" w:color="auto"/>
        <w:left w:val="none" w:sz="0" w:space="0" w:color="auto"/>
        <w:bottom w:val="none" w:sz="0" w:space="0" w:color="auto"/>
        <w:right w:val="none" w:sz="0" w:space="0" w:color="auto"/>
      </w:divBdr>
    </w:div>
    <w:div w:id="827476440">
      <w:bodyDiv w:val="1"/>
      <w:marLeft w:val="0"/>
      <w:marRight w:val="0"/>
      <w:marTop w:val="0"/>
      <w:marBottom w:val="0"/>
      <w:divBdr>
        <w:top w:val="none" w:sz="0" w:space="0" w:color="auto"/>
        <w:left w:val="none" w:sz="0" w:space="0" w:color="auto"/>
        <w:bottom w:val="none" w:sz="0" w:space="0" w:color="auto"/>
        <w:right w:val="none" w:sz="0" w:space="0" w:color="auto"/>
      </w:divBdr>
    </w:div>
    <w:div w:id="871498759">
      <w:bodyDiv w:val="1"/>
      <w:marLeft w:val="0"/>
      <w:marRight w:val="0"/>
      <w:marTop w:val="0"/>
      <w:marBottom w:val="0"/>
      <w:divBdr>
        <w:top w:val="none" w:sz="0" w:space="0" w:color="auto"/>
        <w:left w:val="none" w:sz="0" w:space="0" w:color="auto"/>
        <w:bottom w:val="none" w:sz="0" w:space="0" w:color="auto"/>
        <w:right w:val="none" w:sz="0" w:space="0" w:color="auto"/>
      </w:divBdr>
    </w:div>
    <w:div w:id="886068206">
      <w:bodyDiv w:val="1"/>
      <w:marLeft w:val="0"/>
      <w:marRight w:val="0"/>
      <w:marTop w:val="0"/>
      <w:marBottom w:val="0"/>
      <w:divBdr>
        <w:top w:val="none" w:sz="0" w:space="0" w:color="auto"/>
        <w:left w:val="none" w:sz="0" w:space="0" w:color="auto"/>
        <w:bottom w:val="none" w:sz="0" w:space="0" w:color="auto"/>
        <w:right w:val="none" w:sz="0" w:space="0" w:color="auto"/>
      </w:divBdr>
    </w:div>
    <w:div w:id="968970210">
      <w:bodyDiv w:val="1"/>
      <w:marLeft w:val="0"/>
      <w:marRight w:val="0"/>
      <w:marTop w:val="0"/>
      <w:marBottom w:val="0"/>
      <w:divBdr>
        <w:top w:val="none" w:sz="0" w:space="0" w:color="auto"/>
        <w:left w:val="none" w:sz="0" w:space="0" w:color="auto"/>
        <w:bottom w:val="none" w:sz="0" w:space="0" w:color="auto"/>
        <w:right w:val="none" w:sz="0" w:space="0" w:color="auto"/>
      </w:divBdr>
    </w:div>
    <w:div w:id="1014309400">
      <w:bodyDiv w:val="1"/>
      <w:marLeft w:val="0"/>
      <w:marRight w:val="0"/>
      <w:marTop w:val="0"/>
      <w:marBottom w:val="0"/>
      <w:divBdr>
        <w:top w:val="none" w:sz="0" w:space="0" w:color="auto"/>
        <w:left w:val="none" w:sz="0" w:space="0" w:color="auto"/>
        <w:bottom w:val="none" w:sz="0" w:space="0" w:color="auto"/>
        <w:right w:val="none" w:sz="0" w:space="0" w:color="auto"/>
      </w:divBdr>
      <w:divsChild>
        <w:div w:id="957758069">
          <w:marLeft w:val="547"/>
          <w:marRight w:val="0"/>
          <w:marTop w:val="0"/>
          <w:marBottom w:val="0"/>
          <w:divBdr>
            <w:top w:val="none" w:sz="0" w:space="0" w:color="auto"/>
            <w:left w:val="none" w:sz="0" w:space="0" w:color="auto"/>
            <w:bottom w:val="none" w:sz="0" w:space="0" w:color="auto"/>
            <w:right w:val="none" w:sz="0" w:space="0" w:color="auto"/>
          </w:divBdr>
        </w:div>
        <w:div w:id="1750229900">
          <w:marLeft w:val="547"/>
          <w:marRight w:val="0"/>
          <w:marTop w:val="0"/>
          <w:marBottom w:val="0"/>
          <w:divBdr>
            <w:top w:val="none" w:sz="0" w:space="0" w:color="auto"/>
            <w:left w:val="none" w:sz="0" w:space="0" w:color="auto"/>
            <w:bottom w:val="none" w:sz="0" w:space="0" w:color="auto"/>
            <w:right w:val="none" w:sz="0" w:space="0" w:color="auto"/>
          </w:divBdr>
        </w:div>
        <w:div w:id="1149785952">
          <w:marLeft w:val="720"/>
          <w:marRight w:val="0"/>
          <w:marTop w:val="0"/>
          <w:marBottom w:val="0"/>
          <w:divBdr>
            <w:top w:val="none" w:sz="0" w:space="0" w:color="auto"/>
            <w:left w:val="none" w:sz="0" w:space="0" w:color="auto"/>
            <w:bottom w:val="none" w:sz="0" w:space="0" w:color="auto"/>
            <w:right w:val="none" w:sz="0" w:space="0" w:color="auto"/>
          </w:divBdr>
        </w:div>
        <w:div w:id="541869786">
          <w:marLeft w:val="720"/>
          <w:marRight w:val="0"/>
          <w:marTop w:val="0"/>
          <w:marBottom w:val="0"/>
          <w:divBdr>
            <w:top w:val="none" w:sz="0" w:space="0" w:color="auto"/>
            <w:left w:val="none" w:sz="0" w:space="0" w:color="auto"/>
            <w:bottom w:val="none" w:sz="0" w:space="0" w:color="auto"/>
            <w:right w:val="none" w:sz="0" w:space="0" w:color="auto"/>
          </w:divBdr>
        </w:div>
      </w:divsChild>
    </w:div>
    <w:div w:id="1020472790">
      <w:bodyDiv w:val="1"/>
      <w:marLeft w:val="0"/>
      <w:marRight w:val="0"/>
      <w:marTop w:val="0"/>
      <w:marBottom w:val="0"/>
      <w:divBdr>
        <w:top w:val="none" w:sz="0" w:space="0" w:color="auto"/>
        <w:left w:val="none" w:sz="0" w:space="0" w:color="auto"/>
        <w:bottom w:val="none" w:sz="0" w:space="0" w:color="auto"/>
        <w:right w:val="none" w:sz="0" w:space="0" w:color="auto"/>
      </w:divBdr>
    </w:div>
    <w:div w:id="1035808316">
      <w:bodyDiv w:val="1"/>
      <w:marLeft w:val="0"/>
      <w:marRight w:val="0"/>
      <w:marTop w:val="0"/>
      <w:marBottom w:val="0"/>
      <w:divBdr>
        <w:top w:val="none" w:sz="0" w:space="0" w:color="auto"/>
        <w:left w:val="none" w:sz="0" w:space="0" w:color="auto"/>
        <w:bottom w:val="none" w:sz="0" w:space="0" w:color="auto"/>
        <w:right w:val="none" w:sz="0" w:space="0" w:color="auto"/>
      </w:divBdr>
    </w:div>
    <w:div w:id="1159690278">
      <w:bodyDiv w:val="1"/>
      <w:marLeft w:val="0"/>
      <w:marRight w:val="0"/>
      <w:marTop w:val="0"/>
      <w:marBottom w:val="0"/>
      <w:divBdr>
        <w:top w:val="none" w:sz="0" w:space="0" w:color="auto"/>
        <w:left w:val="none" w:sz="0" w:space="0" w:color="auto"/>
        <w:bottom w:val="none" w:sz="0" w:space="0" w:color="auto"/>
        <w:right w:val="none" w:sz="0" w:space="0" w:color="auto"/>
      </w:divBdr>
    </w:div>
    <w:div w:id="1165243751">
      <w:bodyDiv w:val="1"/>
      <w:marLeft w:val="0"/>
      <w:marRight w:val="0"/>
      <w:marTop w:val="0"/>
      <w:marBottom w:val="0"/>
      <w:divBdr>
        <w:top w:val="none" w:sz="0" w:space="0" w:color="auto"/>
        <w:left w:val="none" w:sz="0" w:space="0" w:color="auto"/>
        <w:bottom w:val="none" w:sz="0" w:space="0" w:color="auto"/>
        <w:right w:val="none" w:sz="0" w:space="0" w:color="auto"/>
      </w:divBdr>
      <w:divsChild>
        <w:div w:id="982078471">
          <w:marLeft w:val="806"/>
          <w:marRight w:val="0"/>
          <w:marTop w:val="0"/>
          <w:marBottom w:val="0"/>
          <w:divBdr>
            <w:top w:val="none" w:sz="0" w:space="0" w:color="auto"/>
            <w:left w:val="none" w:sz="0" w:space="0" w:color="auto"/>
            <w:bottom w:val="none" w:sz="0" w:space="0" w:color="auto"/>
            <w:right w:val="none" w:sz="0" w:space="0" w:color="auto"/>
          </w:divBdr>
        </w:div>
        <w:div w:id="213389378">
          <w:marLeft w:val="806"/>
          <w:marRight w:val="0"/>
          <w:marTop w:val="0"/>
          <w:marBottom w:val="0"/>
          <w:divBdr>
            <w:top w:val="none" w:sz="0" w:space="0" w:color="auto"/>
            <w:left w:val="none" w:sz="0" w:space="0" w:color="auto"/>
            <w:bottom w:val="none" w:sz="0" w:space="0" w:color="auto"/>
            <w:right w:val="none" w:sz="0" w:space="0" w:color="auto"/>
          </w:divBdr>
        </w:div>
      </w:divsChild>
    </w:div>
    <w:div w:id="1252353064">
      <w:bodyDiv w:val="1"/>
      <w:marLeft w:val="0"/>
      <w:marRight w:val="0"/>
      <w:marTop w:val="0"/>
      <w:marBottom w:val="0"/>
      <w:divBdr>
        <w:top w:val="none" w:sz="0" w:space="0" w:color="auto"/>
        <w:left w:val="none" w:sz="0" w:space="0" w:color="auto"/>
        <w:bottom w:val="none" w:sz="0" w:space="0" w:color="auto"/>
        <w:right w:val="none" w:sz="0" w:space="0" w:color="auto"/>
      </w:divBdr>
    </w:div>
    <w:div w:id="1335112587">
      <w:bodyDiv w:val="1"/>
      <w:marLeft w:val="0"/>
      <w:marRight w:val="0"/>
      <w:marTop w:val="0"/>
      <w:marBottom w:val="0"/>
      <w:divBdr>
        <w:top w:val="none" w:sz="0" w:space="0" w:color="auto"/>
        <w:left w:val="none" w:sz="0" w:space="0" w:color="auto"/>
        <w:bottom w:val="none" w:sz="0" w:space="0" w:color="auto"/>
        <w:right w:val="none" w:sz="0" w:space="0" w:color="auto"/>
      </w:divBdr>
      <w:divsChild>
        <w:div w:id="1748109309">
          <w:marLeft w:val="446"/>
          <w:marRight w:val="0"/>
          <w:marTop w:val="0"/>
          <w:marBottom w:val="0"/>
          <w:divBdr>
            <w:top w:val="none" w:sz="0" w:space="0" w:color="auto"/>
            <w:left w:val="none" w:sz="0" w:space="0" w:color="auto"/>
            <w:bottom w:val="none" w:sz="0" w:space="0" w:color="auto"/>
            <w:right w:val="none" w:sz="0" w:space="0" w:color="auto"/>
          </w:divBdr>
        </w:div>
        <w:div w:id="1347170865">
          <w:marLeft w:val="446"/>
          <w:marRight w:val="0"/>
          <w:marTop w:val="0"/>
          <w:marBottom w:val="0"/>
          <w:divBdr>
            <w:top w:val="none" w:sz="0" w:space="0" w:color="auto"/>
            <w:left w:val="none" w:sz="0" w:space="0" w:color="auto"/>
            <w:bottom w:val="none" w:sz="0" w:space="0" w:color="auto"/>
            <w:right w:val="none" w:sz="0" w:space="0" w:color="auto"/>
          </w:divBdr>
        </w:div>
        <w:div w:id="624963583">
          <w:marLeft w:val="446"/>
          <w:marRight w:val="0"/>
          <w:marTop w:val="0"/>
          <w:marBottom w:val="0"/>
          <w:divBdr>
            <w:top w:val="none" w:sz="0" w:space="0" w:color="auto"/>
            <w:left w:val="none" w:sz="0" w:space="0" w:color="auto"/>
            <w:bottom w:val="none" w:sz="0" w:space="0" w:color="auto"/>
            <w:right w:val="none" w:sz="0" w:space="0" w:color="auto"/>
          </w:divBdr>
        </w:div>
      </w:divsChild>
    </w:div>
    <w:div w:id="1346135451">
      <w:bodyDiv w:val="1"/>
      <w:marLeft w:val="0"/>
      <w:marRight w:val="0"/>
      <w:marTop w:val="0"/>
      <w:marBottom w:val="0"/>
      <w:divBdr>
        <w:top w:val="none" w:sz="0" w:space="0" w:color="auto"/>
        <w:left w:val="none" w:sz="0" w:space="0" w:color="auto"/>
        <w:bottom w:val="none" w:sz="0" w:space="0" w:color="auto"/>
        <w:right w:val="none" w:sz="0" w:space="0" w:color="auto"/>
      </w:divBdr>
      <w:divsChild>
        <w:div w:id="170267166">
          <w:marLeft w:val="547"/>
          <w:marRight w:val="0"/>
          <w:marTop w:val="134"/>
          <w:marBottom w:val="0"/>
          <w:divBdr>
            <w:top w:val="none" w:sz="0" w:space="0" w:color="auto"/>
            <w:left w:val="none" w:sz="0" w:space="0" w:color="auto"/>
            <w:bottom w:val="none" w:sz="0" w:space="0" w:color="auto"/>
            <w:right w:val="none" w:sz="0" w:space="0" w:color="auto"/>
          </w:divBdr>
        </w:div>
        <w:div w:id="1227883748">
          <w:marLeft w:val="547"/>
          <w:marRight w:val="0"/>
          <w:marTop w:val="134"/>
          <w:marBottom w:val="0"/>
          <w:divBdr>
            <w:top w:val="none" w:sz="0" w:space="0" w:color="auto"/>
            <w:left w:val="none" w:sz="0" w:space="0" w:color="auto"/>
            <w:bottom w:val="none" w:sz="0" w:space="0" w:color="auto"/>
            <w:right w:val="none" w:sz="0" w:space="0" w:color="auto"/>
          </w:divBdr>
        </w:div>
        <w:div w:id="1079595720">
          <w:marLeft w:val="547"/>
          <w:marRight w:val="0"/>
          <w:marTop w:val="134"/>
          <w:marBottom w:val="0"/>
          <w:divBdr>
            <w:top w:val="none" w:sz="0" w:space="0" w:color="auto"/>
            <w:left w:val="none" w:sz="0" w:space="0" w:color="auto"/>
            <w:bottom w:val="none" w:sz="0" w:space="0" w:color="auto"/>
            <w:right w:val="none" w:sz="0" w:space="0" w:color="auto"/>
          </w:divBdr>
        </w:div>
      </w:divsChild>
    </w:div>
    <w:div w:id="1378235532">
      <w:bodyDiv w:val="1"/>
      <w:marLeft w:val="0"/>
      <w:marRight w:val="0"/>
      <w:marTop w:val="0"/>
      <w:marBottom w:val="0"/>
      <w:divBdr>
        <w:top w:val="none" w:sz="0" w:space="0" w:color="auto"/>
        <w:left w:val="none" w:sz="0" w:space="0" w:color="auto"/>
        <w:bottom w:val="none" w:sz="0" w:space="0" w:color="auto"/>
        <w:right w:val="none" w:sz="0" w:space="0" w:color="auto"/>
      </w:divBdr>
    </w:div>
    <w:div w:id="1417357964">
      <w:bodyDiv w:val="1"/>
      <w:marLeft w:val="0"/>
      <w:marRight w:val="0"/>
      <w:marTop w:val="0"/>
      <w:marBottom w:val="0"/>
      <w:divBdr>
        <w:top w:val="none" w:sz="0" w:space="0" w:color="auto"/>
        <w:left w:val="none" w:sz="0" w:space="0" w:color="auto"/>
        <w:bottom w:val="none" w:sz="0" w:space="0" w:color="auto"/>
        <w:right w:val="none" w:sz="0" w:space="0" w:color="auto"/>
      </w:divBdr>
    </w:div>
    <w:div w:id="1421563523">
      <w:bodyDiv w:val="1"/>
      <w:marLeft w:val="0"/>
      <w:marRight w:val="0"/>
      <w:marTop w:val="0"/>
      <w:marBottom w:val="0"/>
      <w:divBdr>
        <w:top w:val="none" w:sz="0" w:space="0" w:color="auto"/>
        <w:left w:val="none" w:sz="0" w:space="0" w:color="auto"/>
        <w:bottom w:val="none" w:sz="0" w:space="0" w:color="auto"/>
        <w:right w:val="none" w:sz="0" w:space="0" w:color="auto"/>
      </w:divBdr>
    </w:div>
    <w:div w:id="1630622890">
      <w:bodyDiv w:val="1"/>
      <w:marLeft w:val="0"/>
      <w:marRight w:val="0"/>
      <w:marTop w:val="0"/>
      <w:marBottom w:val="0"/>
      <w:divBdr>
        <w:top w:val="none" w:sz="0" w:space="0" w:color="auto"/>
        <w:left w:val="none" w:sz="0" w:space="0" w:color="auto"/>
        <w:bottom w:val="none" w:sz="0" w:space="0" w:color="auto"/>
        <w:right w:val="none" w:sz="0" w:space="0" w:color="auto"/>
      </w:divBdr>
      <w:divsChild>
        <w:div w:id="520239485">
          <w:marLeft w:val="547"/>
          <w:marRight w:val="0"/>
          <w:marTop w:val="0"/>
          <w:marBottom w:val="0"/>
          <w:divBdr>
            <w:top w:val="none" w:sz="0" w:space="0" w:color="auto"/>
            <w:left w:val="none" w:sz="0" w:space="0" w:color="auto"/>
            <w:bottom w:val="none" w:sz="0" w:space="0" w:color="auto"/>
            <w:right w:val="none" w:sz="0" w:space="0" w:color="auto"/>
          </w:divBdr>
        </w:div>
        <w:div w:id="1493183620">
          <w:marLeft w:val="547"/>
          <w:marRight w:val="0"/>
          <w:marTop w:val="0"/>
          <w:marBottom w:val="0"/>
          <w:divBdr>
            <w:top w:val="none" w:sz="0" w:space="0" w:color="auto"/>
            <w:left w:val="none" w:sz="0" w:space="0" w:color="auto"/>
            <w:bottom w:val="none" w:sz="0" w:space="0" w:color="auto"/>
            <w:right w:val="none" w:sz="0" w:space="0" w:color="auto"/>
          </w:divBdr>
        </w:div>
        <w:div w:id="1605532590">
          <w:marLeft w:val="547"/>
          <w:marRight w:val="0"/>
          <w:marTop w:val="0"/>
          <w:marBottom w:val="0"/>
          <w:divBdr>
            <w:top w:val="none" w:sz="0" w:space="0" w:color="auto"/>
            <w:left w:val="none" w:sz="0" w:space="0" w:color="auto"/>
            <w:bottom w:val="none" w:sz="0" w:space="0" w:color="auto"/>
            <w:right w:val="none" w:sz="0" w:space="0" w:color="auto"/>
          </w:divBdr>
        </w:div>
      </w:divsChild>
    </w:div>
    <w:div w:id="1656177569">
      <w:bodyDiv w:val="1"/>
      <w:marLeft w:val="0"/>
      <w:marRight w:val="0"/>
      <w:marTop w:val="0"/>
      <w:marBottom w:val="0"/>
      <w:divBdr>
        <w:top w:val="none" w:sz="0" w:space="0" w:color="auto"/>
        <w:left w:val="none" w:sz="0" w:space="0" w:color="auto"/>
        <w:bottom w:val="none" w:sz="0" w:space="0" w:color="auto"/>
        <w:right w:val="none" w:sz="0" w:space="0" w:color="auto"/>
      </w:divBdr>
      <w:divsChild>
        <w:div w:id="815800566">
          <w:marLeft w:val="806"/>
          <w:marRight w:val="0"/>
          <w:marTop w:val="125"/>
          <w:marBottom w:val="0"/>
          <w:divBdr>
            <w:top w:val="none" w:sz="0" w:space="0" w:color="auto"/>
            <w:left w:val="none" w:sz="0" w:space="0" w:color="auto"/>
            <w:bottom w:val="none" w:sz="0" w:space="0" w:color="auto"/>
            <w:right w:val="none" w:sz="0" w:space="0" w:color="auto"/>
          </w:divBdr>
        </w:div>
        <w:div w:id="2081751767">
          <w:marLeft w:val="806"/>
          <w:marRight w:val="0"/>
          <w:marTop w:val="125"/>
          <w:marBottom w:val="0"/>
          <w:divBdr>
            <w:top w:val="none" w:sz="0" w:space="0" w:color="auto"/>
            <w:left w:val="none" w:sz="0" w:space="0" w:color="auto"/>
            <w:bottom w:val="none" w:sz="0" w:space="0" w:color="auto"/>
            <w:right w:val="none" w:sz="0" w:space="0" w:color="auto"/>
          </w:divBdr>
        </w:div>
        <w:div w:id="1571109518">
          <w:marLeft w:val="806"/>
          <w:marRight w:val="0"/>
          <w:marTop w:val="125"/>
          <w:marBottom w:val="0"/>
          <w:divBdr>
            <w:top w:val="none" w:sz="0" w:space="0" w:color="auto"/>
            <w:left w:val="none" w:sz="0" w:space="0" w:color="auto"/>
            <w:bottom w:val="none" w:sz="0" w:space="0" w:color="auto"/>
            <w:right w:val="none" w:sz="0" w:space="0" w:color="auto"/>
          </w:divBdr>
        </w:div>
        <w:div w:id="619338461">
          <w:marLeft w:val="806"/>
          <w:marRight w:val="0"/>
          <w:marTop w:val="125"/>
          <w:marBottom w:val="0"/>
          <w:divBdr>
            <w:top w:val="none" w:sz="0" w:space="0" w:color="auto"/>
            <w:left w:val="none" w:sz="0" w:space="0" w:color="auto"/>
            <w:bottom w:val="none" w:sz="0" w:space="0" w:color="auto"/>
            <w:right w:val="none" w:sz="0" w:space="0" w:color="auto"/>
          </w:divBdr>
        </w:div>
        <w:div w:id="533081327">
          <w:marLeft w:val="806"/>
          <w:marRight w:val="0"/>
          <w:marTop w:val="125"/>
          <w:marBottom w:val="0"/>
          <w:divBdr>
            <w:top w:val="none" w:sz="0" w:space="0" w:color="auto"/>
            <w:left w:val="none" w:sz="0" w:space="0" w:color="auto"/>
            <w:bottom w:val="none" w:sz="0" w:space="0" w:color="auto"/>
            <w:right w:val="none" w:sz="0" w:space="0" w:color="auto"/>
          </w:divBdr>
        </w:div>
      </w:divsChild>
    </w:div>
    <w:div w:id="1666006350">
      <w:bodyDiv w:val="1"/>
      <w:marLeft w:val="0"/>
      <w:marRight w:val="0"/>
      <w:marTop w:val="0"/>
      <w:marBottom w:val="0"/>
      <w:divBdr>
        <w:top w:val="none" w:sz="0" w:space="0" w:color="auto"/>
        <w:left w:val="none" w:sz="0" w:space="0" w:color="auto"/>
        <w:bottom w:val="none" w:sz="0" w:space="0" w:color="auto"/>
        <w:right w:val="none" w:sz="0" w:space="0" w:color="auto"/>
      </w:divBdr>
    </w:div>
    <w:div w:id="1699623997">
      <w:bodyDiv w:val="1"/>
      <w:marLeft w:val="0"/>
      <w:marRight w:val="0"/>
      <w:marTop w:val="0"/>
      <w:marBottom w:val="0"/>
      <w:divBdr>
        <w:top w:val="none" w:sz="0" w:space="0" w:color="auto"/>
        <w:left w:val="none" w:sz="0" w:space="0" w:color="auto"/>
        <w:bottom w:val="none" w:sz="0" w:space="0" w:color="auto"/>
        <w:right w:val="none" w:sz="0" w:space="0" w:color="auto"/>
      </w:divBdr>
      <w:divsChild>
        <w:div w:id="896626040">
          <w:marLeft w:val="446"/>
          <w:marRight w:val="0"/>
          <w:marTop w:val="0"/>
          <w:marBottom w:val="0"/>
          <w:divBdr>
            <w:top w:val="none" w:sz="0" w:space="0" w:color="auto"/>
            <w:left w:val="none" w:sz="0" w:space="0" w:color="auto"/>
            <w:bottom w:val="none" w:sz="0" w:space="0" w:color="auto"/>
            <w:right w:val="none" w:sz="0" w:space="0" w:color="auto"/>
          </w:divBdr>
        </w:div>
        <w:div w:id="952589339">
          <w:marLeft w:val="446"/>
          <w:marRight w:val="0"/>
          <w:marTop w:val="0"/>
          <w:marBottom w:val="0"/>
          <w:divBdr>
            <w:top w:val="none" w:sz="0" w:space="0" w:color="auto"/>
            <w:left w:val="none" w:sz="0" w:space="0" w:color="auto"/>
            <w:bottom w:val="none" w:sz="0" w:space="0" w:color="auto"/>
            <w:right w:val="none" w:sz="0" w:space="0" w:color="auto"/>
          </w:divBdr>
        </w:div>
        <w:div w:id="514465483">
          <w:marLeft w:val="446"/>
          <w:marRight w:val="0"/>
          <w:marTop w:val="0"/>
          <w:marBottom w:val="0"/>
          <w:divBdr>
            <w:top w:val="none" w:sz="0" w:space="0" w:color="auto"/>
            <w:left w:val="none" w:sz="0" w:space="0" w:color="auto"/>
            <w:bottom w:val="none" w:sz="0" w:space="0" w:color="auto"/>
            <w:right w:val="none" w:sz="0" w:space="0" w:color="auto"/>
          </w:divBdr>
        </w:div>
      </w:divsChild>
    </w:div>
    <w:div w:id="1710062254">
      <w:bodyDiv w:val="1"/>
      <w:marLeft w:val="0"/>
      <w:marRight w:val="0"/>
      <w:marTop w:val="0"/>
      <w:marBottom w:val="0"/>
      <w:divBdr>
        <w:top w:val="none" w:sz="0" w:space="0" w:color="auto"/>
        <w:left w:val="none" w:sz="0" w:space="0" w:color="auto"/>
        <w:bottom w:val="none" w:sz="0" w:space="0" w:color="auto"/>
        <w:right w:val="none" w:sz="0" w:space="0" w:color="auto"/>
      </w:divBdr>
    </w:div>
    <w:div w:id="1777552247">
      <w:bodyDiv w:val="1"/>
      <w:marLeft w:val="0"/>
      <w:marRight w:val="0"/>
      <w:marTop w:val="0"/>
      <w:marBottom w:val="0"/>
      <w:divBdr>
        <w:top w:val="none" w:sz="0" w:space="0" w:color="auto"/>
        <w:left w:val="none" w:sz="0" w:space="0" w:color="auto"/>
        <w:bottom w:val="none" w:sz="0" w:space="0" w:color="auto"/>
        <w:right w:val="none" w:sz="0" w:space="0" w:color="auto"/>
      </w:divBdr>
    </w:div>
    <w:div w:id="1779517898">
      <w:bodyDiv w:val="1"/>
      <w:marLeft w:val="0"/>
      <w:marRight w:val="0"/>
      <w:marTop w:val="0"/>
      <w:marBottom w:val="0"/>
      <w:divBdr>
        <w:top w:val="none" w:sz="0" w:space="0" w:color="auto"/>
        <w:left w:val="none" w:sz="0" w:space="0" w:color="auto"/>
        <w:bottom w:val="none" w:sz="0" w:space="0" w:color="auto"/>
        <w:right w:val="none" w:sz="0" w:space="0" w:color="auto"/>
      </w:divBdr>
    </w:div>
    <w:div w:id="1795637555">
      <w:bodyDiv w:val="1"/>
      <w:marLeft w:val="0"/>
      <w:marRight w:val="0"/>
      <w:marTop w:val="0"/>
      <w:marBottom w:val="0"/>
      <w:divBdr>
        <w:top w:val="none" w:sz="0" w:space="0" w:color="auto"/>
        <w:left w:val="none" w:sz="0" w:space="0" w:color="auto"/>
        <w:bottom w:val="none" w:sz="0" w:space="0" w:color="auto"/>
        <w:right w:val="none" w:sz="0" w:space="0" w:color="auto"/>
      </w:divBdr>
    </w:div>
    <w:div w:id="1830054905">
      <w:bodyDiv w:val="1"/>
      <w:marLeft w:val="0"/>
      <w:marRight w:val="0"/>
      <w:marTop w:val="0"/>
      <w:marBottom w:val="0"/>
      <w:divBdr>
        <w:top w:val="none" w:sz="0" w:space="0" w:color="auto"/>
        <w:left w:val="none" w:sz="0" w:space="0" w:color="auto"/>
        <w:bottom w:val="none" w:sz="0" w:space="0" w:color="auto"/>
        <w:right w:val="none" w:sz="0" w:space="0" w:color="auto"/>
      </w:divBdr>
    </w:div>
    <w:div w:id="1865365586">
      <w:bodyDiv w:val="1"/>
      <w:marLeft w:val="0"/>
      <w:marRight w:val="0"/>
      <w:marTop w:val="0"/>
      <w:marBottom w:val="0"/>
      <w:divBdr>
        <w:top w:val="none" w:sz="0" w:space="0" w:color="auto"/>
        <w:left w:val="none" w:sz="0" w:space="0" w:color="auto"/>
        <w:bottom w:val="none" w:sz="0" w:space="0" w:color="auto"/>
        <w:right w:val="none" w:sz="0" w:space="0" w:color="auto"/>
      </w:divBdr>
    </w:div>
    <w:div w:id="1924146323">
      <w:bodyDiv w:val="1"/>
      <w:marLeft w:val="0"/>
      <w:marRight w:val="0"/>
      <w:marTop w:val="0"/>
      <w:marBottom w:val="0"/>
      <w:divBdr>
        <w:top w:val="none" w:sz="0" w:space="0" w:color="auto"/>
        <w:left w:val="none" w:sz="0" w:space="0" w:color="auto"/>
        <w:bottom w:val="none" w:sz="0" w:space="0" w:color="auto"/>
        <w:right w:val="none" w:sz="0" w:space="0" w:color="auto"/>
      </w:divBdr>
      <w:divsChild>
        <w:div w:id="481654914">
          <w:marLeft w:val="547"/>
          <w:marRight w:val="0"/>
          <w:marTop w:val="134"/>
          <w:marBottom w:val="0"/>
          <w:divBdr>
            <w:top w:val="none" w:sz="0" w:space="0" w:color="auto"/>
            <w:left w:val="none" w:sz="0" w:space="0" w:color="auto"/>
            <w:bottom w:val="none" w:sz="0" w:space="0" w:color="auto"/>
            <w:right w:val="none" w:sz="0" w:space="0" w:color="auto"/>
          </w:divBdr>
        </w:div>
        <w:div w:id="6636425">
          <w:marLeft w:val="547"/>
          <w:marRight w:val="0"/>
          <w:marTop w:val="134"/>
          <w:marBottom w:val="0"/>
          <w:divBdr>
            <w:top w:val="none" w:sz="0" w:space="0" w:color="auto"/>
            <w:left w:val="none" w:sz="0" w:space="0" w:color="auto"/>
            <w:bottom w:val="none" w:sz="0" w:space="0" w:color="auto"/>
            <w:right w:val="none" w:sz="0" w:space="0" w:color="auto"/>
          </w:divBdr>
        </w:div>
      </w:divsChild>
    </w:div>
    <w:div w:id="2032298062">
      <w:bodyDiv w:val="1"/>
      <w:marLeft w:val="0"/>
      <w:marRight w:val="0"/>
      <w:marTop w:val="0"/>
      <w:marBottom w:val="0"/>
      <w:divBdr>
        <w:top w:val="none" w:sz="0" w:space="0" w:color="auto"/>
        <w:left w:val="none" w:sz="0" w:space="0" w:color="auto"/>
        <w:bottom w:val="none" w:sz="0" w:space="0" w:color="auto"/>
        <w:right w:val="none" w:sz="0" w:space="0" w:color="auto"/>
      </w:divBdr>
      <w:divsChild>
        <w:div w:id="196889207">
          <w:marLeft w:val="806"/>
          <w:marRight w:val="0"/>
          <w:marTop w:val="0"/>
          <w:marBottom w:val="0"/>
          <w:divBdr>
            <w:top w:val="none" w:sz="0" w:space="0" w:color="auto"/>
            <w:left w:val="none" w:sz="0" w:space="0" w:color="auto"/>
            <w:bottom w:val="none" w:sz="0" w:space="0" w:color="auto"/>
            <w:right w:val="none" w:sz="0" w:space="0" w:color="auto"/>
          </w:divBdr>
        </w:div>
        <w:div w:id="126247649">
          <w:marLeft w:val="806"/>
          <w:marRight w:val="0"/>
          <w:marTop w:val="0"/>
          <w:marBottom w:val="0"/>
          <w:divBdr>
            <w:top w:val="none" w:sz="0" w:space="0" w:color="auto"/>
            <w:left w:val="none" w:sz="0" w:space="0" w:color="auto"/>
            <w:bottom w:val="none" w:sz="0" w:space="0" w:color="auto"/>
            <w:right w:val="none" w:sz="0" w:space="0" w:color="auto"/>
          </w:divBdr>
        </w:div>
        <w:div w:id="1337151821">
          <w:marLeft w:val="806"/>
          <w:marRight w:val="0"/>
          <w:marTop w:val="0"/>
          <w:marBottom w:val="0"/>
          <w:divBdr>
            <w:top w:val="none" w:sz="0" w:space="0" w:color="auto"/>
            <w:left w:val="none" w:sz="0" w:space="0" w:color="auto"/>
            <w:bottom w:val="none" w:sz="0" w:space="0" w:color="auto"/>
            <w:right w:val="none" w:sz="0" w:space="0" w:color="auto"/>
          </w:divBdr>
        </w:div>
        <w:div w:id="2044478810">
          <w:marLeft w:val="806"/>
          <w:marRight w:val="0"/>
          <w:marTop w:val="0"/>
          <w:marBottom w:val="0"/>
          <w:divBdr>
            <w:top w:val="none" w:sz="0" w:space="0" w:color="auto"/>
            <w:left w:val="none" w:sz="0" w:space="0" w:color="auto"/>
            <w:bottom w:val="none" w:sz="0" w:space="0" w:color="auto"/>
            <w:right w:val="none" w:sz="0" w:space="0" w:color="auto"/>
          </w:divBdr>
        </w:div>
        <w:div w:id="2010332001">
          <w:marLeft w:val="806"/>
          <w:marRight w:val="0"/>
          <w:marTop w:val="0"/>
          <w:marBottom w:val="0"/>
          <w:divBdr>
            <w:top w:val="none" w:sz="0" w:space="0" w:color="auto"/>
            <w:left w:val="none" w:sz="0" w:space="0" w:color="auto"/>
            <w:bottom w:val="none" w:sz="0" w:space="0" w:color="auto"/>
            <w:right w:val="none" w:sz="0" w:space="0" w:color="auto"/>
          </w:divBdr>
        </w:div>
        <w:div w:id="128405693">
          <w:marLeft w:val="806"/>
          <w:marRight w:val="0"/>
          <w:marTop w:val="0"/>
          <w:marBottom w:val="0"/>
          <w:divBdr>
            <w:top w:val="none" w:sz="0" w:space="0" w:color="auto"/>
            <w:left w:val="none" w:sz="0" w:space="0" w:color="auto"/>
            <w:bottom w:val="none" w:sz="0" w:space="0" w:color="auto"/>
            <w:right w:val="none" w:sz="0" w:space="0" w:color="auto"/>
          </w:divBdr>
        </w:div>
      </w:divsChild>
    </w:div>
    <w:div w:id="2052070007">
      <w:bodyDiv w:val="1"/>
      <w:marLeft w:val="0"/>
      <w:marRight w:val="0"/>
      <w:marTop w:val="0"/>
      <w:marBottom w:val="0"/>
      <w:divBdr>
        <w:top w:val="none" w:sz="0" w:space="0" w:color="auto"/>
        <w:left w:val="none" w:sz="0" w:space="0" w:color="auto"/>
        <w:bottom w:val="none" w:sz="0" w:space="0" w:color="auto"/>
        <w:right w:val="none" w:sz="0" w:space="0" w:color="auto"/>
      </w:divBdr>
    </w:div>
    <w:div w:id="20888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eader" Target="header1.xml"/><Relationship Id="rId10" Type="http://schemas.openxmlformats.org/officeDocument/2006/relationships/hyperlink" Target="http://ec.europa.eu/environment/gpp/buying_handbook_en.htm" TargetMode="External"/><Relationship Id="rId19" Type="http://schemas.openxmlformats.org/officeDocument/2006/relationships/diagramLayout" Target="diagrams/layout2.xml"/><Relationship Id="rId4" Type="http://schemas.microsoft.com/office/2007/relationships/stylesWithEffects" Target="stylesWithEffects.xml"/><Relationship Id="rId9" Type="http://schemas.openxmlformats.org/officeDocument/2006/relationships/hyperlink" Target="http://ec.europa.eu/environment/gpp/index_en.htm"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2DF9A2-B745-43A9-B97A-0443D3AE3423}" type="doc">
      <dgm:prSet loTypeId="urn:microsoft.com/office/officeart/2005/8/layout/pyramid1" loCatId="pyramid" qsTypeId="urn:microsoft.com/office/officeart/2005/8/quickstyle/simple3" qsCatId="simple" csTypeId="urn:microsoft.com/office/officeart/2005/8/colors/accent1_2" csCatId="accent1" phldr="1"/>
      <dgm:spPr/>
    </dgm:pt>
    <dgm:pt modelId="{23D480F7-3E96-45B1-8986-09EF012C8217}">
      <dgm:prSet phldrT="[Text]" custT="1"/>
      <dgm:spPr/>
      <dgm:t>
        <a:bodyPr/>
        <a:lstStyle/>
        <a:p>
          <a:endParaRPr lang="en-GB" sz="1100"/>
        </a:p>
        <a:p>
          <a:r>
            <a:rPr lang="bg-BG" sz="700"/>
            <a:t>Много</a:t>
          </a:r>
          <a:r>
            <a:rPr lang="en-US" sz="700"/>
            <a:t>-</a:t>
          </a:r>
        </a:p>
        <a:p>
          <a:r>
            <a:rPr lang="bg-BG" sz="700"/>
            <a:t>странно</a:t>
          </a:r>
          <a:endParaRPr lang="en-US" sz="700"/>
        </a:p>
        <a:p>
          <a:r>
            <a:rPr lang="bg-BG" sz="700"/>
            <a:t>споразу</a:t>
          </a:r>
          <a:r>
            <a:rPr lang="en-US" sz="700"/>
            <a:t>-</a:t>
          </a:r>
        </a:p>
        <a:p>
          <a:r>
            <a:rPr lang="bg-BG" sz="700"/>
            <a:t>мение на СТО за </a:t>
          </a:r>
          <a:r>
            <a:rPr lang="bg-BG" sz="800"/>
            <a:t>държав</a:t>
          </a:r>
          <a:endParaRPr lang="en-US" sz="800"/>
        </a:p>
        <a:p>
          <a:r>
            <a:rPr lang="bg-BG" sz="1100"/>
            <a:t>ните поръчки</a:t>
          </a:r>
          <a:endParaRPr lang="en-GB" sz="1100"/>
        </a:p>
      </dgm:t>
    </dgm:pt>
    <dgm:pt modelId="{B5563D9E-E85A-4448-BEAB-D9C748A98E83}" type="parTrans" cxnId="{B7A06082-A63F-4947-9596-7A94D2091867}">
      <dgm:prSet/>
      <dgm:spPr/>
      <dgm:t>
        <a:bodyPr/>
        <a:lstStyle/>
        <a:p>
          <a:endParaRPr lang="en-GB"/>
        </a:p>
      </dgm:t>
    </dgm:pt>
    <dgm:pt modelId="{6BCB73C1-4274-4739-B0BA-5ACC7B8DB338}" type="sibTrans" cxnId="{B7A06082-A63F-4947-9596-7A94D2091867}">
      <dgm:prSet/>
      <dgm:spPr/>
      <dgm:t>
        <a:bodyPr/>
        <a:lstStyle/>
        <a:p>
          <a:endParaRPr lang="en-GB"/>
        </a:p>
      </dgm:t>
    </dgm:pt>
    <dgm:pt modelId="{228B14F4-22FF-4A54-97B2-E7A6D457328B}">
      <dgm:prSet phldrT="[Text]" custT="1"/>
      <dgm:spPr/>
      <dgm:t>
        <a:bodyPr/>
        <a:lstStyle/>
        <a:p>
          <a:r>
            <a:rPr lang="pl-PL" sz="800"/>
            <a:t> </a:t>
          </a:r>
          <a:r>
            <a:rPr lang="bg-BG" sz="800"/>
            <a:t>Национално законодателство в областта на обществените поръчки, което е в съответствие с правото на ЕС</a:t>
          </a:r>
          <a:endParaRPr lang="en-GB" sz="1100"/>
        </a:p>
      </dgm:t>
    </dgm:pt>
    <dgm:pt modelId="{EA152239-20B9-4F81-98CB-AD5C7D8FA74C}" type="parTrans" cxnId="{F20D1E7D-B89D-4AA7-9D7D-62AC891665D6}">
      <dgm:prSet/>
      <dgm:spPr/>
      <dgm:t>
        <a:bodyPr/>
        <a:lstStyle/>
        <a:p>
          <a:endParaRPr lang="en-GB"/>
        </a:p>
      </dgm:t>
    </dgm:pt>
    <dgm:pt modelId="{F93AA907-EA54-474F-8F5C-B44FDA97DBE1}" type="sibTrans" cxnId="{F20D1E7D-B89D-4AA7-9D7D-62AC891665D6}">
      <dgm:prSet/>
      <dgm:spPr/>
      <dgm:t>
        <a:bodyPr/>
        <a:lstStyle/>
        <a:p>
          <a:endParaRPr lang="en-GB"/>
        </a:p>
      </dgm:t>
    </dgm:pt>
    <dgm:pt modelId="{47E8675D-E426-4613-B6E4-7E588E58FE33}">
      <dgm:prSet phldrT="[Text]" custT="1"/>
      <dgm:spPr/>
      <dgm:t>
        <a:bodyPr/>
        <a:lstStyle/>
        <a:p>
          <a:r>
            <a:rPr lang="bg-BG" sz="1100"/>
            <a:t>Съдебна практика на Съда на ЕС и на националните съдилища</a:t>
          </a:r>
          <a:endParaRPr lang="en-GB" sz="1100"/>
        </a:p>
      </dgm:t>
    </dgm:pt>
    <dgm:pt modelId="{F745E759-F6AE-46C2-9551-DF197E2170C5}" type="sibTrans" cxnId="{AA0874D9-F752-4F94-BA36-E05E38DEF0F6}">
      <dgm:prSet/>
      <dgm:spPr/>
      <dgm:t>
        <a:bodyPr/>
        <a:lstStyle/>
        <a:p>
          <a:endParaRPr lang="en-GB"/>
        </a:p>
      </dgm:t>
    </dgm:pt>
    <dgm:pt modelId="{9954144D-483C-41B3-BCBE-48D518AD6D64}" type="parTrans" cxnId="{AA0874D9-F752-4F94-BA36-E05E38DEF0F6}">
      <dgm:prSet/>
      <dgm:spPr/>
      <dgm:t>
        <a:bodyPr/>
        <a:lstStyle/>
        <a:p>
          <a:endParaRPr lang="en-GB"/>
        </a:p>
      </dgm:t>
    </dgm:pt>
    <dgm:pt modelId="{45680979-E53E-4B48-999D-ACBAD06FAC9A}">
      <dgm:prSet custT="1"/>
      <dgm:spPr/>
      <dgm:t>
        <a:bodyPr/>
        <a:lstStyle/>
        <a:p>
          <a:r>
            <a:rPr lang="bg-BG" sz="1100"/>
            <a:t>Директиви на ЕС за обществените поръчки и директиви относно средствата за правна защита</a:t>
          </a:r>
          <a:endParaRPr lang="en-GB" sz="1100"/>
        </a:p>
      </dgm:t>
    </dgm:pt>
    <dgm:pt modelId="{212A5B46-D8DD-4F41-B8FC-6B4BD20501A2}" type="parTrans" cxnId="{E7EC656C-5E71-4B18-B44F-ABCD544B1A17}">
      <dgm:prSet/>
      <dgm:spPr/>
      <dgm:t>
        <a:bodyPr/>
        <a:lstStyle/>
        <a:p>
          <a:endParaRPr lang="en-GB"/>
        </a:p>
      </dgm:t>
    </dgm:pt>
    <dgm:pt modelId="{02B90DD1-C28C-42BD-B917-12385AF1E72A}" type="sibTrans" cxnId="{E7EC656C-5E71-4B18-B44F-ABCD544B1A17}">
      <dgm:prSet/>
      <dgm:spPr/>
      <dgm:t>
        <a:bodyPr/>
        <a:lstStyle/>
        <a:p>
          <a:endParaRPr lang="en-GB"/>
        </a:p>
      </dgm:t>
    </dgm:pt>
    <dgm:pt modelId="{794E5E7A-F30E-4236-8EA1-F243588CAA73}">
      <dgm:prSet custT="1"/>
      <dgm:spPr/>
      <dgm:t>
        <a:bodyPr/>
        <a:lstStyle/>
        <a:p>
          <a:r>
            <a:rPr lang="bg-BG" sz="1100"/>
            <a:t>Принципи, заложени в Договора за функционирането на Европейския съюз</a:t>
          </a:r>
          <a:endParaRPr lang="en-GB" sz="1100"/>
        </a:p>
      </dgm:t>
    </dgm:pt>
    <dgm:pt modelId="{C990A25A-53D6-468B-95BC-05EFF82C542E}" type="parTrans" cxnId="{91B690DC-1BD4-43B8-B0DB-85EE9B5CAA75}">
      <dgm:prSet/>
      <dgm:spPr/>
      <dgm:t>
        <a:bodyPr/>
        <a:lstStyle/>
        <a:p>
          <a:endParaRPr lang="en-GB"/>
        </a:p>
      </dgm:t>
    </dgm:pt>
    <dgm:pt modelId="{5C1A2D45-5A8B-46EB-B6DF-0D231BF42E42}" type="sibTrans" cxnId="{91B690DC-1BD4-43B8-B0DB-85EE9B5CAA75}">
      <dgm:prSet/>
      <dgm:spPr/>
      <dgm:t>
        <a:bodyPr/>
        <a:lstStyle/>
        <a:p>
          <a:endParaRPr lang="en-GB"/>
        </a:p>
      </dgm:t>
    </dgm:pt>
    <dgm:pt modelId="{731D122E-6260-42B0-94BD-EFEA7E46AF3C}" type="pres">
      <dgm:prSet presAssocID="{BF2DF9A2-B745-43A9-B97A-0443D3AE3423}" presName="Name0" presStyleCnt="0">
        <dgm:presLayoutVars>
          <dgm:dir/>
          <dgm:animLvl val="lvl"/>
          <dgm:resizeHandles val="exact"/>
        </dgm:presLayoutVars>
      </dgm:prSet>
      <dgm:spPr/>
    </dgm:pt>
    <dgm:pt modelId="{66CFAB6A-EDE5-4AB9-88CB-12BD02577855}" type="pres">
      <dgm:prSet presAssocID="{23D480F7-3E96-45B1-8986-09EF012C8217}" presName="Name8" presStyleCnt="0"/>
      <dgm:spPr/>
    </dgm:pt>
    <dgm:pt modelId="{35A5F470-7E6C-45EF-AE55-D93B5B32F6AA}" type="pres">
      <dgm:prSet presAssocID="{23D480F7-3E96-45B1-8986-09EF012C8217}" presName="level" presStyleLbl="node1" presStyleIdx="0" presStyleCnt="5">
        <dgm:presLayoutVars>
          <dgm:chMax val="1"/>
          <dgm:bulletEnabled val="1"/>
        </dgm:presLayoutVars>
      </dgm:prSet>
      <dgm:spPr/>
      <dgm:t>
        <a:bodyPr/>
        <a:lstStyle/>
        <a:p>
          <a:endParaRPr lang="bg-BG"/>
        </a:p>
      </dgm:t>
    </dgm:pt>
    <dgm:pt modelId="{46341F0A-3D6F-44C6-A621-3CDFFE012ABE}" type="pres">
      <dgm:prSet presAssocID="{23D480F7-3E96-45B1-8986-09EF012C8217}" presName="levelTx" presStyleLbl="revTx" presStyleIdx="0" presStyleCnt="0">
        <dgm:presLayoutVars>
          <dgm:chMax val="1"/>
          <dgm:bulletEnabled val="1"/>
        </dgm:presLayoutVars>
      </dgm:prSet>
      <dgm:spPr/>
      <dgm:t>
        <a:bodyPr/>
        <a:lstStyle/>
        <a:p>
          <a:endParaRPr lang="bg-BG"/>
        </a:p>
      </dgm:t>
    </dgm:pt>
    <dgm:pt modelId="{F74B87B4-2256-48BC-9ECC-5AD5959BC99F}" type="pres">
      <dgm:prSet presAssocID="{228B14F4-22FF-4A54-97B2-E7A6D457328B}" presName="Name8" presStyleCnt="0"/>
      <dgm:spPr/>
    </dgm:pt>
    <dgm:pt modelId="{826710B5-27E4-462C-9DDD-7BB68D9119DE}" type="pres">
      <dgm:prSet presAssocID="{228B14F4-22FF-4A54-97B2-E7A6D457328B}" presName="level" presStyleLbl="node1" presStyleIdx="1" presStyleCnt="5" custLinFactNeighborX="-1121" custLinFactNeighborY="3316">
        <dgm:presLayoutVars>
          <dgm:chMax val="1"/>
          <dgm:bulletEnabled val="1"/>
        </dgm:presLayoutVars>
      </dgm:prSet>
      <dgm:spPr/>
      <dgm:t>
        <a:bodyPr/>
        <a:lstStyle/>
        <a:p>
          <a:endParaRPr lang="bg-BG"/>
        </a:p>
      </dgm:t>
    </dgm:pt>
    <dgm:pt modelId="{5B5034D0-555E-43AF-BB24-E0070915BC65}" type="pres">
      <dgm:prSet presAssocID="{228B14F4-22FF-4A54-97B2-E7A6D457328B}" presName="levelTx" presStyleLbl="revTx" presStyleIdx="0" presStyleCnt="0">
        <dgm:presLayoutVars>
          <dgm:chMax val="1"/>
          <dgm:bulletEnabled val="1"/>
        </dgm:presLayoutVars>
      </dgm:prSet>
      <dgm:spPr/>
      <dgm:t>
        <a:bodyPr/>
        <a:lstStyle/>
        <a:p>
          <a:endParaRPr lang="bg-BG"/>
        </a:p>
      </dgm:t>
    </dgm:pt>
    <dgm:pt modelId="{76DFE02F-0D48-4E10-9DCC-4D91CB4B1441}" type="pres">
      <dgm:prSet presAssocID="{47E8675D-E426-4613-B6E4-7E588E58FE33}" presName="Name8" presStyleCnt="0"/>
      <dgm:spPr/>
    </dgm:pt>
    <dgm:pt modelId="{FD920380-5C31-4E74-AF8D-FCEA2B7708DE}" type="pres">
      <dgm:prSet presAssocID="{47E8675D-E426-4613-B6E4-7E588E58FE33}" presName="level" presStyleLbl="node1" presStyleIdx="2" presStyleCnt="5" custLinFactNeighborX="-579">
        <dgm:presLayoutVars>
          <dgm:chMax val="1"/>
          <dgm:bulletEnabled val="1"/>
        </dgm:presLayoutVars>
      </dgm:prSet>
      <dgm:spPr/>
      <dgm:t>
        <a:bodyPr/>
        <a:lstStyle/>
        <a:p>
          <a:endParaRPr lang="bg-BG"/>
        </a:p>
      </dgm:t>
    </dgm:pt>
    <dgm:pt modelId="{60FE7691-CA04-4ECE-9E47-6BA0E891C95C}" type="pres">
      <dgm:prSet presAssocID="{47E8675D-E426-4613-B6E4-7E588E58FE33}" presName="levelTx" presStyleLbl="revTx" presStyleIdx="0" presStyleCnt="0">
        <dgm:presLayoutVars>
          <dgm:chMax val="1"/>
          <dgm:bulletEnabled val="1"/>
        </dgm:presLayoutVars>
      </dgm:prSet>
      <dgm:spPr/>
      <dgm:t>
        <a:bodyPr/>
        <a:lstStyle/>
        <a:p>
          <a:endParaRPr lang="bg-BG"/>
        </a:p>
      </dgm:t>
    </dgm:pt>
    <dgm:pt modelId="{B860C6A3-1BD5-4BC6-9D1A-5681D7F919F9}" type="pres">
      <dgm:prSet presAssocID="{45680979-E53E-4B48-999D-ACBAD06FAC9A}" presName="Name8" presStyleCnt="0"/>
      <dgm:spPr/>
    </dgm:pt>
    <dgm:pt modelId="{B3D63603-69D8-4830-B5C6-94394D4AB81C}" type="pres">
      <dgm:prSet presAssocID="{45680979-E53E-4B48-999D-ACBAD06FAC9A}" presName="level" presStyleLbl="node1" presStyleIdx="3" presStyleCnt="5">
        <dgm:presLayoutVars>
          <dgm:chMax val="1"/>
          <dgm:bulletEnabled val="1"/>
        </dgm:presLayoutVars>
      </dgm:prSet>
      <dgm:spPr/>
      <dgm:t>
        <a:bodyPr/>
        <a:lstStyle/>
        <a:p>
          <a:endParaRPr lang="bg-BG"/>
        </a:p>
      </dgm:t>
    </dgm:pt>
    <dgm:pt modelId="{7B4FB2AB-D34A-46EB-9D91-AFECB4F1E1B3}" type="pres">
      <dgm:prSet presAssocID="{45680979-E53E-4B48-999D-ACBAD06FAC9A}" presName="levelTx" presStyleLbl="revTx" presStyleIdx="0" presStyleCnt="0">
        <dgm:presLayoutVars>
          <dgm:chMax val="1"/>
          <dgm:bulletEnabled val="1"/>
        </dgm:presLayoutVars>
      </dgm:prSet>
      <dgm:spPr/>
      <dgm:t>
        <a:bodyPr/>
        <a:lstStyle/>
        <a:p>
          <a:endParaRPr lang="bg-BG"/>
        </a:p>
      </dgm:t>
    </dgm:pt>
    <dgm:pt modelId="{8127C654-97A1-42C3-8341-EA0360308349}" type="pres">
      <dgm:prSet presAssocID="{794E5E7A-F30E-4236-8EA1-F243588CAA73}" presName="Name8" presStyleCnt="0"/>
      <dgm:spPr/>
    </dgm:pt>
    <dgm:pt modelId="{7B1E1C0D-6313-488D-99E8-C55731930585}" type="pres">
      <dgm:prSet presAssocID="{794E5E7A-F30E-4236-8EA1-F243588CAA73}" presName="level" presStyleLbl="node1" presStyleIdx="4" presStyleCnt="5">
        <dgm:presLayoutVars>
          <dgm:chMax val="1"/>
          <dgm:bulletEnabled val="1"/>
        </dgm:presLayoutVars>
      </dgm:prSet>
      <dgm:spPr/>
      <dgm:t>
        <a:bodyPr/>
        <a:lstStyle/>
        <a:p>
          <a:endParaRPr lang="bg-BG"/>
        </a:p>
      </dgm:t>
    </dgm:pt>
    <dgm:pt modelId="{744A0ACE-96C7-4AB4-9CB6-1E8960FC00E7}" type="pres">
      <dgm:prSet presAssocID="{794E5E7A-F30E-4236-8EA1-F243588CAA73}" presName="levelTx" presStyleLbl="revTx" presStyleIdx="0" presStyleCnt="0">
        <dgm:presLayoutVars>
          <dgm:chMax val="1"/>
          <dgm:bulletEnabled val="1"/>
        </dgm:presLayoutVars>
      </dgm:prSet>
      <dgm:spPr/>
      <dgm:t>
        <a:bodyPr/>
        <a:lstStyle/>
        <a:p>
          <a:endParaRPr lang="bg-BG"/>
        </a:p>
      </dgm:t>
    </dgm:pt>
  </dgm:ptLst>
  <dgm:cxnLst>
    <dgm:cxn modelId="{D25A554C-E6E0-4EA7-A267-B5BBA5BC0DCD}" type="presOf" srcId="{23D480F7-3E96-45B1-8986-09EF012C8217}" destId="{35A5F470-7E6C-45EF-AE55-D93B5B32F6AA}" srcOrd="0" destOrd="0" presId="urn:microsoft.com/office/officeart/2005/8/layout/pyramid1"/>
    <dgm:cxn modelId="{416F7D52-023E-4990-9003-F1D581462584}" type="presOf" srcId="{794E5E7A-F30E-4236-8EA1-F243588CAA73}" destId="{744A0ACE-96C7-4AB4-9CB6-1E8960FC00E7}" srcOrd="1" destOrd="0" presId="urn:microsoft.com/office/officeart/2005/8/layout/pyramid1"/>
    <dgm:cxn modelId="{7DC61F70-5C84-43F0-850C-7344210E0B02}" type="presOf" srcId="{228B14F4-22FF-4A54-97B2-E7A6D457328B}" destId="{5B5034D0-555E-43AF-BB24-E0070915BC65}" srcOrd="1" destOrd="0" presId="urn:microsoft.com/office/officeart/2005/8/layout/pyramid1"/>
    <dgm:cxn modelId="{08264ED4-35BB-4493-9818-BF55D4AAC830}" type="presOf" srcId="{23D480F7-3E96-45B1-8986-09EF012C8217}" destId="{46341F0A-3D6F-44C6-A621-3CDFFE012ABE}" srcOrd="1" destOrd="0" presId="urn:microsoft.com/office/officeart/2005/8/layout/pyramid1"/>
    <dgm:cxn modelId="{91B690DC-1BD4-43B8-B0DB-85EE9B5CAA75}" srcId="{BF2DF9A2-B745-43A9-B97A-0443D3AE3423}" destId="{794E5E7A-F30E-4236-8EA1-F243588CAA73}" srcOrd="4" destOrd="0" parTransId="{C990A25A-53D6-468B-95BC-05EFF82C542E}" sibTransId="{5C1A2D45-5A8B-46EB-B6DF-0D231BF42E42}"/>
    <dgm:cxn modelId="{E2CB7AB5-D571-439D-86CE-9A33351B6F17}" type="presOf" srcId="{794E5E7A-F30E-4236-8EA1-F243588CAA73}" destId="{7B1E1C0D-6313-488D-99E8-C55731930585}" srcOrd="0" destOrd="0" presId="urn:microsoft.com/office/officeart/2005/8/layout/pyramid1"/>
    <dgm:cxn modelId="{B7A06082-A63F-4947-9596-7A94D2091867}" srcId="{BF2DF9A2-B745-43A9-B97A-0443D3AE3423}" destId="{23D480F7-3E96-45B1-8986-09EF012C8217}" srcOrd="0" destOrd="0" parTransId="{B5563D9E-E85A-4448-BEAB-D9C748A98E83}" sibTransId="{6BCB73C1-4274-4739-B0BA-5ACC7B8DB338}"/>
    <dgm:cxn modelId="{4E50CC2A-A980-4739-8330-9E37D838E048}" type="presOf" srcId="{47E8675D-E426-4613-B6E4-7E588E58FE33}" destId="{FD920380-5C31-4E74-AF8D-FCEA2B7708DE}" srcOrd="0" destOrd="0" presId="urn:microsoft.com/office/officeart/2005/8/layout/pyramid1"/>
    <dgm:cxn modelId="{2EED7EFC-CD32-49B6-9C78-D14B1AE57789}" type="presOf" srcId="{45680979-E53E-4B48-999D-ACBAD06FAC9A}" destId="{7B4FB2AB-D34A-46EB-9D91-AFECB4F1E1B3}" srcOrd="1" destOrd="0" presId="urn:microsoft.com/office/officeart/2005/8/layout/pyramid1"/>
    <dgm:cxn modelId="{A4360F1E-C44C-4E7A-9399-DD8847E3EFDF}" type="presOf" srcId="{228B14F4-22FF-4A54-97B2-E7A6D457328B}" destId="{826710B5-27E4-462C-9DDD-7BB68D9119DE}" srcOrd="0" destOrd="0" presId="urn:microsoft.com/office/officeart/2005/8/layout/pyramid1"/>
    <dgm:cxn modelId="{64F9BB74-562C-49EE-9D71-16ADF9822DE2}" type="presOf" srcId="{BF2DF9A2-B745-43A9-B97A-0443D3AE3423}" destId="{731D122E-6260-42B0-94BD-EFEA7E46AF3C}" srcOrd="0" destOrd="0" presId="urn:microsoft.com/office/officeart/2005/8/layout/pyramid1"/>
    <dgm:cxn modelId="{20714D1A-3659-41EF-A891-FA4D5DAAF0F8}" type="presOf" srcId="{45680979-E53E-4B48-999D-ACBAD06FAC9A}" destId="{B3D63603-69D8-4830-B5C6-94394D4AB81C}" srcOrd="0" destOrd="0" presId="urn:microsoft.com/office/officeart/2005/8/layout/pyramid1"/>
    <dgm:cxn modelId="{F20D1E7D-B89D-4AA7-9D7D-62AC891665D6}" srcId="{BF2DF9A2-B745-43A9-B97A-0443D3AE3423}" destId="{228B14F4-22FF-4A54-97B2-E7A6D457328B}" srcOrd="1" destOrd="0" parTransId="{EA152239-20B9-4F81-98CB-AD5C7D8FA74C}" sibTransId="{F93AA907-EA54-474F-8F5C-B44FDA97DBE1}"/>
    <dgm:cxn modelId="{045C54A3-6242-458A-B126-953C90991969}" type="presOf" srcId="{47E8675D-E426-4613-B6E4-7E588E58FE33}" destId="{60FE7691-CA04-4ECE-9E47-6BA0E891C95C}" srcOrd="1" destOrd="0" presId="urn:microsoft.com/office/officeart/2005/8/layout/pyramid1"/>
    <dgm:cxn modelId="{AA0874D9-F752-4F94-BA36-E05E38DEF0F6}" srcId="{BF2DF9A2-B745-43A9-B97A-0443D3AE3423}" destId="{47E8675D-E426-4613-B6E4-7E588E58FE33}" srcOrd="2" destOrd="0" parTransId="{9954144D-483C-41B3-BCBE-48D518AD6D64}" sibTransId="{F745E759-F6AE-46C2-9551-DF197E2170C5}"/>
    <dgm:cxn modelId="{E7EC656C-5E71-4B18-B44F-ABCD544B1A17}" srcId="{BF2DF9A2-B745-43A9-B97A-0443D3AE3423}" destId="{45680979-E53E-4B48-999D-ACBAD06FAC9A}" srcOrd="3" destOrd="0" parTransId="{212A5B46-D8DD-4F41-B8FC-6B4BD20501A2}" sibTransId="{02B90DD1-C28C-42BD-B917-12385AF1E72A}"/>
    <dgm:cxn modelId="{9FF83436-FA0E-478A-B409-3D7B804E2255}" type="presParOf" srcId="{731D122E-6260-42B0-94BD-EFEA7E46AF3C}" destId="{66CFAB6A-EDE5-4AB9-88CB-12BD02577855}" srcOrd="0" destOrd="0" presId="urn:microsoft.com/office/officeart/2005/8/layout/pyramid1"/>
    <dgm:cxn modelId="{1C9D3B54-D744-4B56-B331-A523F888B646}" type="presParOf" srcId="{66CFAB6A-EDE5-4AB9-88CB-12BD02577855}" destId="{35A5F470-7E6C-45EF-AE55-D93B5B32F6AA}" srcOrd="0" destOrd="0" presId="urn:microsoft.com/office/officeart/2005/8/layout/pyramid1"/>
    <dgm:cxn modelId="{71223CE8-DB80-4B7E-AC3E-56281DD884DC}" type="presParOf" srcId="{66CFAB6A-EDE5-4AB9-88CB-12BD02577855}" destId="{46341F0A-3D6F-44C6-A621-3CDFFE012ABE}" srcOrd="1" destOrd="0" presId="urn:microsoft.com/office/officeart/2005/8/layout/pyramid1"/>
    <dgm:cxn modelId="{A01E3867-CE77-4454-98C8-3A3E2F6AEC63}" type="presParOf" srcId="{731D122E-6260-42B0-94BD-EFEA7E46AF3C}" destId="{F74B87B4-2256-48BC-9ECC-5AD5959BC99F}" srcOrd="1" destOrd="0" presId="urn:microsoft.com/office/officeart/2005/8/layout/pyramid1"/>
    <dgm:cxn modelId="{677CB45A-0123-44B4-A59B-D8FA55AABDE2}" type="presParOf" srcId="{F74B87B4-2256-48BC-9ECC-5AD5959BC99F}" destId="{826710B5-27E4-462C-9DDD-7BB68D9119DE}" srcOrd="0" destOrd="0" presId="urn:microsoft.com/office/officeart/2005/8/layout/pyramid1"/>
    <dgm:cxn modelId="{6D66CBE9-BA87-4AF5-8D04-47E4060E3D15}" type="presParOf" srcId="{F74B87B4-2256-48BC-9ECC-5AD5959BC99F}" destId="{5B5034D0-555E-43AF-BB24-E0070915BC65}" srcOrd="1" destOrd="0" presId="urn:microsoft.com/office/officeart/2005/8/layout/pyramid1"/>
    <dgm:cxn modelId="{7A2AE190-621C-4D4C-B2A3-EE7D725FEE7F}" type="presParOf" srcId="{731D122E-6260-42B0-94BD-EFEA7E46AF3C}" destId="{76DFE02F-0D48-4E10-9DCC-4D91CB4B1441}" srcOrd="2" destOrd="0" presId="urn:microsoft.com/office/officeart/2005/8/layout/pyramid1"/>
    <dgm:cxn modelId="{982FBCA4-6F8D-45DB-A740-F470507C4803}" type="presParOf" srcId="{76DFE02F-0D48-4E10-9DCC-4D91CB4B1441}" destId="{FD920380-5C31-4E74-AF8D-FCEA2B7708DE}" srcOrd="0" destOrd="0" presId="urn:microsoft.com/office/officeart/2005/8/layout/pyramid1"/>
    <dgm:cxn modelId="{4CA47FF0-C2B3-488C-A37E-F86ED9AC8DD1}" type="presParOf" srcId="{76DFE02F-0D48-4E10-9DCC-4D91CB4B1441}" destId="{60FE7691-CA04-4ECE-9E47-6BA0E891C95C}" srcOrd="1" destOrd="0" presId="urn:microsoft.com/office/officeart/2005/8/layout/pyramid1"/>
    <dgm:cxn modelId="{F5EDA004-5588-42C7-B8ED-083A740A8E75}" type="presParOf" srcId="{731D122E-6260-42B0-94BD-EFEA7E46AF3C}" destId="{B860C6A3-1BD5-4BC6-9D1A-5681D7F919F9}" srcOrd="3" destOrd="0" presId="urn:microsoft.com/office/officeart/2005/8/layout/pyramid1"/>
    <dgm:cxn modelId="{C3F816AF-BF9D-4596-B982-F692AE2B8109}" type="presParOf" srcId="{B860C6A3-1BD5-4BC6-9D1A-5681D7F919F9}" destId="{B3D63603-69D8-4830-B5C6-94394D4AB81C}" srcOrd="0" destOrd="0" presId="urn:microsoft.com/office/officeart/2005/8/layout/pyramid1"/>
    <dgm:cxn modelId="{FFC8948F-BDDB-4748-B371-13DC674397E5}" type="presParOf" srcId="{B860C6A3-1BD5-4BC6-9D1A-5681D7F919F9}" destId="{7B4FB2AB-D34A-46EB-9D91-AFECB4F1E1B3}" srcOrd="1" destOrd="0" presId="urn:microsoft.com/office/officeart/2005/8/layout/pyramid1"/>
    <dgm:cxn modelId="{91D1D8BC-31ED-46FE-B195-CBA131D8D6A7}" type="presParOf" srcId="{731D122E-6260-42B0-94BD-EFEA7E46AF3C}" destId="{8127C654-97A1-42C3-8341-EA0360308349}" srcOrd="4" destOrd="0" presId="urn:microsoft.com/office/officeart/2005/8/layout/pyramid1"/>
    <dgm:cxn modelId="{4382C1F1-65B0-449A-A7BF-33B7238DFD17}" type="presParOf" srcId="{8127C654-97A1-42C3-8341-EA0360308349}" destId="{7B1E1C0D-6313-488D-99E8-C55731930585}" srcOrd="0" destOrd="0" presId="urn:microsoft.com/office/officeart/2005/8/layout/pyramid1"/>
    <dgm:cxn modelId="{7105F970-C6CB-4916-B838-A1367937EE9B}" type="presParOf" srcId="{8127C654-97A1-42C3-8341-EA0360308349}" destId="{744A0ACE-96C7-4AB4-9CB6-1E8960FC00E7}" srcOrd="1" destOrd="0" presId="urn:microsoft.com/office/officeart/2005/8/layout/pyramid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17E6BA-4B01-4D1C-AEDE-ED111EBB5B24}" type="doc">
      <dgm:prSet loTypeId="urn:microsoft.com/office/officeart/2005/8/layout/default#4" loCatId="list" qsTypeId="urn:microsoft.com/office/officeart/2005/8/quickstyle/simple3" qsCatId="simple" csTypeId="urn:microsoft.com/office/officeart/2005/8/colors/accent1_2" csCatId="accent1" phldr="1"/>
      <dgm:spPr/>
      <dgm:t>
        <a:bodyPr/>
        <a:lstStyle/>
        <a:p>
          <a:endParaRPr lang="en-GB"/>
        </a:p>
      </dgm:t>
    </dgm:pt>
    <dgm:pt modelId="{1D41705A-2B02-4D3E-9DE5-EAFE48E80B48}">
      <dgm:prSet phldrT="[Text]" custT="1"/>
      <dgm:spPr/>
      <dgm:t>
        <a:bodyPr/>
        <a:lstStyle/>
        <a:p>
          <a:r>
            <a:rPr lang="bg-BG" sz="1000"/>
            <a:t>Открита процедура</a:t>
          </a:r>
        </a:p>
      </dgm:t>
    </dgm:pt>
    <dgm:pt modelId="{ED6969DF-2D63-4EDD-903B-9DC80552D8CC}" type="parTrans" cxnId="{C2FB5C8D-3AA5-4380-B97E-F36C6DB41A03}">
      <dgm:prSet/>
      <dgm:spPr/>
      <dgm:t>
        <a:bodyPr/>
        <a:lstStyle/>
        <a:p>
          <a:endParaRPr lang="en-GB"/>
        </a:p>
      </dgm:t>
    </dgm:pt>
    <dgm:pt modelId="{72858AD4-4C59-4FBA-8A7D-59A573C4A33B}" type="sibTrans" cxnId="{C2FB5C8D-3AA5-4380-B97E-F36C6DB41A03}">
      <dgm:prSet/>
      <dgm:spPr/>
      <dgm:t>
        <a:bodyPr/>
        <a:lstStyle/>
        <a:p>
          <a:endParaRPr lang="en-GB"/>
        </a:p>
      </dgm:t>
    </dgm:pt>
    <dgm:pt modelId="{D87719D6-D582-43C7-8949-6ADBC18E146F}">
      <dgm:prSet phldrT="[Text]" custT="1"/>
      <dgm:spPr/>
      <dgm:t>
        <a:bodyPr/>
        <a:lstStyle/>
        <a:p>
          <a:r>
            <a:rPr lang="bg-BG" sz="1000"/>
            <a:t>Ограничена процедура</a:t>
          </a:r>
        </a:p>
      </dgm:t>
    </dgm:pt>
    <dgm:pt modelId="{D1A9089A-EAF3-40E5-885C-29788E989E7C}" type="parTrans" cxnId="{B5EEFD15-9EFE-412C-938F-D658EC43A1F6}">
      <dgm:prSet/>
      <dgm:spPr/>
      <dgm:t>
        <a:bodyPr/>
        <a:lstStyle/>
        <a:p>
          <a:endParaRPr lang="en-GB"/>
        </a:p>
      </dgm:t>
    </dgm:pt>
    <dgm:pt modelId="{ED34C311-4EB4-4F1F-AE10-895DAAE0802B}" type="sibTrans" cxnId="{B5EEFD15-9EFE-412C-938F-D658EC43A1F6}">
      <dgm:prSet/>
      <dgm:spPr/>
      <dgm:t>
        <a:bodyPr/>
        <a:lstStyle/>
        <a:p>
          <a:endParaRPr lang="en-GB"/>
        </a:p>
      </dgm:t>
    </dgm:pt>
    <dgm:pt modelId="{57193C50-B5F9-4ED7-81C2-889A4E0D176A}">
      <dgm:prSet phldrT="[Text]" custT="1"/>
      <dgm:spPr/>
      <dgm:t>
        <a:bodyPr/>
        <a:lstStyle/>
        <a:p>
          <a:r>
            <a:rPr lang="bg-BG" sz="1000"/>
            <a:t>Конкурсна процедура с договаряне</a:t>
          </a:r>
        </a:p>
      </dgm:t>
    </dgm:pt>
    <dgm:pt modelId="{9F968A00-83D4-4731-80A9-CE8C0EE7154D}" type="parTrans" cxnId="{265F60E7-E359-44B4-9E44-A3551E598C87}">
      <dgm:prSet/>
      <dgm:spPr/>
      <dgm:t>
        <a:bodyPr/>
        <a:lstStyle/>
        <a:p>
          <a:endParaRPr lang="en-GB"/>
        </a:p>
      </dgm:t>
    </dgm:pt>
    <dgm:pt modelId="{6D202801-5547-47FF-BB4D-D0ABA8B6E5C8}" type="sibTrans" cxnId="{265F60E7-E359-44B4-9E44-A3551E598C87}">
      <dgm:prSet/>
      <dgm:spPr/>
      <dgm:t>
        <a:bodyPr/>
        <a:lstStyle/>
        <a:p>
          <a:endParaRPr lang="en-GB"/>
        </a:p>
      </dgm:t>
    </dgm:pt>
    <dgm:pt modelId="{C0B6D600-5BDE-4C05-ADC5-1744F378476C}">
      <dgm:prSet phldrT="[Text]" custT="1"/>
      <dgm:spPr/>
      <dgm:t>
        <a:bodyPr/>
        <a:lstStyle/>
        <a:p>
          <a:r>
            <a:rPr lang="bg-BG" sz="1000"/>
            <a:t>Партньорство за иновации</a:t>
          </a:r>
        </a:p>
      </dgm:t>
    </dgm:pt>
    <dgm:pt modelId="{FF4874B5-0B3B-4507-A2A0-13723CCFF11E}" type="parTrans" cxnId="{12F338BD-C2F6-4249-9963-1218418B43DD}">
      <dgm:prSet/>
      <dgm:spPr/>
      <dgm:t>
        <a:bodyPr/>
        <a:lstStyle/>
        <a:p>
          <a:endParaRPr lang="en-GB"/>
        </a:p>
      </dgm:t>
    </dgm:pt>
    <dgm:pt modelId="{6C1237C1-1EE8-4947-8376-A261DC138EA8}" type="sibTrans" cxnId="{12F338BD-C2F6-4249-9963-1218418B43DD}">
      <dgm:prSet/>
      <dgm:spPr/>
      <dgm:t>
        <a:bodyPr/>
        <a:lstStyle/>
        <a:p>
          <a:endParaRPr lang="en-GB"/>
        </a:p>
      </dgm:t>
    </dgm:pt>
    <dgm:pt modelId="{3990CC81-6498-4D9F-81EA-1DFAFEBE6B9F}">
      <dgm:prSet phldrT="[Text]" custT="1"/>
      <dgm:spPr/>
      <dgm:t>
        <a:bodyPr/>
        <a:lstStyle/>
        <a:p>
          <a:r>
            <a:rPr lang="bg-BG" sz="1000"/>
            <a:t>Конкурсен диалог</a:t>
          </a:r>
        </a:p>
      </dgm:t>
    </dgm:pt>
    <dgm:pt modelId="{444F3ABF-BAA4-4634-8CE8-048E5317F617}" type="parTrans" cxnId="{CEFF3E6B-C6FF-4B27-815D-BF5D0AD7B85E}">
      <dgm:prSet/>
      <dgm:spPr/>
      <dgm:t>
        <a:bodyPr/>
        <a:lstStyle/>
        <a:p>
          <a:endParaRPr lang="en-GB"/>
        </a:p>
      </dgm:t>
    </dgm:pt>
    <dgm:pt modelId="{5E14F901-54D7-4C15-8B8C-5DDC7DB613E3}" type="sibTrans" cxnId="{CEFF3E6B-C6FF-4B27-815D-BF5D0AD7B85E}">
      <dgm:prSet/>
      <dgm:spPr/>
      <dgm:t>
        <a:bodyPr/>
        <a:lstStyle/>
        <a:p>
          <a:endParaRPr lang="en-GB"/>
        </a:p>
      </dgm:t>
    </dgm:pt>
    <dgm:pt modelId="{E6A356F4-5DAF-4535-8B46-16F614632E62}" type="pres">
      <dgm:prSet presAssocID="{D117E6BA-4B01-4D1C-AEDE-ED111EBB5B24}" presName="diagram" presStyleCnt="0">
        <dgm:presLayoutVars>
          <dgm:dir/>
          <dgm:resizeHandles val="exact"/>
        </dgm:presLayoutVars>
      </dgm:prSet>
      <dgm:spPr/>
      <dgm:t>
        <a:bodyPr/>
        <a:lstStyle/>
        <a:p>
          <a:endParaRPr lang="bg-BG"/>
        </a:p>
      </dgm:t>
    </dgm:pt>
    <dgm:pt modelId="{907B6676-F8B4-45AA-A10B-9013F6DF6C5B}" type="pres">
      <dgm:prSet presAssocID="{1D41705A-2B02-4D3E-9DE5-EAFE48E80B48}" presName="node" presStyleLbl="node1" presStyleIdx="0" presStyleCnt="5" custScaleX="83117" custScaleY="52191" custLinFactNeighborX="39924" custLinFactNeighborY="-20829">
        <dgm:presLayoutVars>
          <dgm:bulletEnabled val="1"/>
        </dgm:presLayoutVars>
      </dgm:prSet>
      <dgm:spPr/>
      <dgm:t>
        <a:bodyPr/>
        <a:lstStyle/>
        <a:p>
          <a:endParaRPr lang="bg-BG"/>
        </a:p>
      </dgm:t>
    </dgm:pt>
    <dgm:pt modelId="{9290BB4A-E6EA-4483-96D8-20774FCEEE51}" type="pres">
      <dgm:prSet presAssocID="{72858AD4-4C59-4FBA-8A7D-59A573C4A33B}" presName="sibTrans" presStyleCnt="0"/>
      <dgm:spPr/>
    </dgm:pt>
    <dgm:pt modelId="{8854DAE2-E7EE-458D-AF90-C9FF44C3C55F}" type="pres">
      <dgm:prSet presAssocID="{D87719D6-D582-43C7-8949-6ADBC18E146F}" presName="node" presStyleLbl="node1" presStyleIdx="1" presStyleCnt="5" custScaleX="80276" custScaleY="51018" custLinFactNeighborX="47939" custLinFactNeighborY="-3343">
        <dgm:presLayoutVars>
          <dgm:bulletEnabled val="1"/>
        </dgm:presLayoutVars>
      </dgm:prSet>
      <dgm:spPr/>
      <dgm:t>
        <a:bodyPr/>
        <a:lstStyle/>
        <a:p>
          <a:endParaRPr lang="bg-BG"/>
        </a:p>
      </dgm:t>
    </dgm:pt>
    <dgm:pt modelId="{7EC94453-A6DC-43AA-8EDA-8C2D0AEA6891}" type="pres">
      <dgm:prSet presAssocID="{ED34C311-4EB4-4F1F-AE10-895DAAE0802B}" presName="sibTrans" presStyleCnt="0"/>
      <dgm:spPr/>
    </dgm:pt>
    <dgm:pt modelId="{7D83CC18-C019-4964-838A-C28B035AB266}" type="pres">
      <dgm:prSet presAssocID="{57193C50-B5F9-4ED7-81C2-889A4E0D176A}" presName="node" presStyleLbl="node1" presStyleIdx="2" presStyleCnt="5" custScaleX="76585" custScaleY="57600" custLinFactX="-72061" custLinFactNeighborX="-100000" custLinFactNeighborY="64466">
        <dgm:presLayoutVars>
          <dgm:bulletEnabled val="1"/>
        </dgm:presLayoutVars>
      </dgm:prSet>
      <dgm:spPr/>
      <dgm:t>
        <a:bodyPr/>
        <a:lstStyle/>
        <a:p>
          <a:endParaRPr lang="bg-BG"/>
        </a:p>
      </dgm:t>
    </dgm:pt>
    <dgm:pt modelId="{B189CCC9-910B-427B-AF68-52E3CAC5E001}" type="pres">
      <dgm:prSet presAssocID="{6D202801-5547-47FF-BB4D-D0ABA8B6E5C8}" presName="sibTrans" presStyleCnt="0"/>
      <dgm:spPr/>
    </dgm:pt>
    <dgm:pt modelId="{8306006E-2768-4221-BB22-55D5FDFEB0CF}" type="pres">
      <dgm:prSet presAssocID="{C0B6D600-5BDE-4C05-ADC5-1744F378476C}" presName="node" presStyleLbl="node1" presStyleIdx="3" presStyleCnt="5" custScaleX="79811" custScaleY="57766" custLinFactX="30064" custLinFactNeighborX="100000" custLinFactNeighborY="-9993">
        <dgm:presLayoutVars>
          <dgm:bulletEnabled val="1"/>
        </dgm:presLayoutVars>
      </dgm:prSet>
      <dgm:spPr/>
      <dgm:t>
        <a:bodyPr/>
        <a:lstStyle/>
        <a:p>
          <a:endParaRPr lang="bg-BG"/>
        </a:p>
      </dgm:t>
    </dgm:pt>
    <dgm:pt modelId="{0C33373E-B12A-4B29-9693-EC41C6E4B033}" type="pres">
      <dgm:prSet presAssocID="{6C1237C1-1EE8-4947-8376-A261DC138EA8}" presName="sibTrans" presStyleCnt="0"/>
      <dgm:spPr/>
    </dgm:pt>
    <dgm:pt modelId="{3AB67B9C-B269-4BF7-9B6D-4EFC26D070DF}" type="pres">
      <dgm:prSet presAssocID="{3990CC81-6498-4D9F-81EA-1DFAFEBE6B9F}" presName="node" presStyleLbl="node1" presStyleIdx="4" presStyleCnt="5" custScaleX="78011" custScaleY="56332" custLinFactNeighborX="-43028" custLinFactNeighborY="-8430">
        <dgm:presLayoutVars>
          <dgm:bulletEnabled val="1"/>
        </dgm:presLayoutVars>
      </dgm:prSet>
      <dgm:spPr/>
      <dgm:t>
        <a:bodyPr/>
        <a:lstStyle/>
        <a:p>
          <a:endParaRPr lang="bg-BG"/>
        </a:p>
      </dgm:t>
    </dgm:pt>
  </dgm:ptLst>
  <dgm:cxnLst>
    <dgm:cxn modelId="{CEFF3E6B-C6FF-4B27-815D-BF5D0AD7B85E}" srcId="{D117E6BA-4B01-4D1C-AEDE-ED111EBB5B24}" destId="{3990CC81-6498-4D9F-81EA-1DFAFEBE6B9F}" srcOrd="4" destOrd="0" parTransId="{444F3ABF-BAA4-4634-8CE8-048E5317F617}" sibTransId="{5E14F901-54D7-4C15-8B8C-5DDC7DB613E3}"/>
    <dgm:cxn modelId="{12F338BD-C2F6-4249-9963-1218418B43DD}" srcId="{D117E6BA-4B01-4D1C-AEDE-ED111EBB5B24}" destId="{C0B6D600-5BDE-4C05-ADC5-1744F378476C}" srcOrd="3" destOrd="0" parTransId="{FF4874B5-0B3B-4507-A2A0-13723CCFF11E}" sibTransId="{6C1237C1-1EE8-4947-8376-A261DC138EA8}"/>
    <dgm:cxn modelId="{2EDA0AFA-F7A4-4FEB-A84C-83694EA2B4B1}" type="presOf" srcId="{C0B6D600-5BDE-4C05-ADC5-1744F378476C}" destId="{8306006E-2768-4221-BB22-55D5FDFEB0CF}" srcOrd="0" destOrd="0" presId="urn:microsoft.com/office/officeart/2005/8/layout/default#4"/>
    <dgm:cxn modelId="{83BDB48C-0887-45EE-A3FF-3B058ECBA51A}" type="presOf" srcId="{1D41705A-2B02-4D3E-9DE5-EAFE48E80B48}" destId="{907B6676-F8B4-45AA-A10B-9013F6DF6C5B}" srcOrd="0" destOrd="0" presId="urn:microsoft.com/office/officeart/2005/8/layout/default#4"/>
    <dgm:cxn modelId="{B5EEFD15-9EFE-412C-938F-D658EC43A1F6}" srcId="{D117E6BA-4B01-4D1C-AEDE-ED111EBB5B24}" destId="{D87719D6-D582-43C7-8949-6ADBC18E146F}" srcOrd="1" destOrd="0" parTransId="{D1A9089A-EAF3-40E5-885C-29788E989E7C}" sibTransId="{ED34C311-4EB4-4F1F-AE10-895DAAE0802B}"/>
    <dgm:cxn modelId="{C4DCB6C9-2298-4372-BE7D-B88CAC5307F8}" type="presOf" srcId="{D117E6BA-4B01-4D1C-AEDE-ED111EBB5B24}" destId="{E6A356F4-5DAF-4535-8B46-16F614632E62}" srcOrd="0" destOrd="0" presId="urn:microsoft.com/office/officeart/2005/8/layout/default#4"/>
    <dgm:cxn modelId="{C2FB5C8D-3AA5-4380-B97E-F36C6DB41A03}" srcId="{D117E6BA-4B01-4D1C-AEDE-ED111EBB5B24}" destId="{1D41705A-2B02-4D3E-9DE5-EAFE48E80B48}" srcOrd="0" destOrd="0" parTransId="{ED6969DF-2D63-4EDD-903B-9DC80552D8CC}" sibTransId="{72858AD4-4C59-4FBA-8A7D-59A573C4A33B}"/>
    <dgm:cxn modelId="{B3A5CB29-7647-4314-9337-F9F3E3289EF1}" type="presOf" srcId="{D87719D6-D582-43C7-8949-6ADBC18E146F}" destId="{8854DAE2-E7EE-458D-AF90-C9FF44C3C55F}" srcOrd="0" destOrd="0" presId="urn:microsoft.com/office/officeart/2005/8/layout/default#4"/>
    <dgm:cxn modelId="{265F60E7-E359-44B4-9E44-A3551E598C87}" srcId="{D117E6BA-4B01-4D1C-AEDE-ED111EBB5B24}" destId="{57193C50-B5F9-4ED7-81C2-889A4E0D176A}" srcOrd="2" destOrd="0" parTransId="{9F968A00-83D4-4731-80A9-CE8C0EE7154D}" sibTransId="{6D202801-5547-47FF-BB4D-D0ABA8B6E5C8}"/>
    <dgm:cxn modelId="{23A214B4-D30E-47F7-9E9E-03120BEAE4A8}" type="presOf" srcId="{57193C50-B5F9-4ED7-81C2-889A4E0D176A}" destId="{7D83CC18-C019-4964-838A-C28B035AB266}" srcOrd="0" destOrd="0" presId="urn:microsoft.com/office/officeart/2005/8/layout/default#4"/>
    <dgm:cxn modelId="{4F645D9F-7893-4055-94D4-B3676150D1F3}" type="presOf" srcId="{3990CC81-6498-4D9F-81EA-1DFAFEBE6B9F}" destId="{3AB67B9C-B269-4BF7-9B6D-4EFC26D070DF}" srcOrd="0" destOrd="0" presId="urn:microsoft.com/office/officeart/2005/8/layout/default#4"/>
    <dgm:cxn modelId="{E3CC920E-8888-421C-9F41-C5FD2F9451BA}" type="presParOf" srcId="{E6A356F4-5DAF-4535-8B46-16F614632E62}" destId="{907B6676-F8B4-45AA-A10B-9013F6DF6C5B}" srcOrd="0" destOrd="0" presId="urn:microsoft.com/office/officeart/2005/8/layout/default#4"/>
    <dgm:cxn modelId="{E3BE1A79-0BC8-4B74-8CF5-44A432764922}" type="presParOf" srcId="{E6A356F4-5DAF-4535-8B46-16F614632E62}" destId="{9290BB4A-E6EA-4483-96D8-20774FCEEE51}" srcOrd="1" destOrd="0" presId="urn:microsoft.com/office/officeart/2005/8/layout/default#4"/>
    <dgm:cxn modelId="{23E59599-A0D6-4C2E-A7D6-4F2FD4A1E659}" type="presParOf" srcId="{E6A356F4-5DAF-4535-8B46-16F614632E62}" destId="{8854DAE2-E7EE-458D-AF90-C9FF44C3C55F}" srcOrd="2" destOrd="0" presId="urn:microsoft.com/office/officeart/2005/8/layout/default#4"/>
    <dgm:cxn modelId="{4FEAF7EB-DCAA-4A86-BF61-CF4D796D1BAA}" type="presParOf" srcId="{E6A356F4-5DAF-4535-8B46-16F614632E62}" destId="{7EC94453-A6DC-43AA-8EDA-8C2D0AEA6891}" srcOrd="3" destOrd="0" presId="urn:microsoft.com/office/officeart/2005/8/layout/default#4"/>
    <dgm:cxn modelId="{EE64A8E5-4EE3-495F-A066-921018C32558}" type="presParOf" srcId="{E6A356F4-5DAF-4535-8B46-16F614632E62}" destId="{7D83CC18-C019-4964-838A-C28B035AB266}" srcOrd="4" destOrd="0" presId="urn:microsoft.com/office/officeart/2005/8/layout/default#4"/>
    <dgm:cxn modelId="{181E2713-3116-4B45-9037-42F9E219DD4B}" type="presParOf" srcId="{E6A356F4-5DAF-4535-8B46-16F614632E62}" destId="{B189CCC9-910B-427B-AF68-52E3CAC5E001}" srcOrd="5" destOrd="0" presId="urn:microsoft.com/office/officeart/2005/8/layout/default#4"/>
    <dgm:cxn modelId="{85446E7A-A22F-4133-818E-8ACBF04C69A4}" type="presParOf" srcId="{E6A356F4-5DAF-4535-8B46-16F614632E62}" destId="{8306006E-2768-4221-BB22-55D5FDFEB0CF}" srcOrd="6" destOrd="0" presId="urn:microsoft.com/office/officeart/2005/8/layout/default#4"/>
    <dgm:cxn modelId="{88907D1E-46FA-432C-BDB8-C9F46FA1B923}" type="presParOf" srcId="{E6A356F4-5DAF-4535-8B46-16F614632E62}" destId="{0C33373E-B12A-4B29-9693-EC41C6E4B033}" srcOrd="7" destOrd="0" presId="urn:microsoft.com/office/officeart/2005/8/layout/default#4"/>
    <dgm:cxn modelId="{3B96217B-7030-46E1-9478-2E1F0B399D3F}" type="presParOf" srcId="{E6A356F4-5DAF-4535-8B46-16F614632E62}" destId="{3AB67B9C-B269-4BF7-9B6D-4EFC26D070DF}" srcOrd="8" destOrd="0" presId="urn:microsoft.com/office/officeart/2005/8/layout/default#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A5F470-7E6C-45EF-AE55-D93B5B32F6AA}">
      <dsp:nvSpPr>
        <dsp:cNvPr id="0" name=""/>
        <dsp:cNvSpPr/>
      </dsp:nvSpPr>
      <dsp:spPr>
        <a:xfrm>
          <a:off x="2118359" y="0"/>
          <a:ext cx="1059179" cy="537210"/>
        </a:xfrm>
        <a:prstGeom prst="trapezoid">
          <a:avLst>
            <a:gd name="adj" fmla="val 98582"/>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en-GB" sz="1100" kern="1200"/>
        </a:p>
        <a:p>
          <a:pPr lvl="0" algn="ctr" defTabSz="488950">
            <a:lnSpc>
              <a:spcPct val="90000"/>
            </a:lnSpc>
            <a:spcBef>
              <a:spcPct val="0"/>
            </a:spcBef>
            <a:spcAft>
              <a:spcPct val="35000"/>
            </a:spcAft>
          </a:pPr>
          <a:r>
            <a:rPr lang="bg-BG" sz="700" kern="1200"/>
            <a:t>Много</a:t>
          </a:r>
          <a:r>
            <a:rPr lang="en-US" sz="700" kern="1200"/>
            <a:t>-</a:t>
          </a:r>
        </a:p>
        <a:p>
          <a:pPr lvl="0" algn="ctr" defTabSz="488950">
            <a:lnSpc>
              <a:spcPct val="90000"/>
            </a:lnSpc>
            <a:spcBef>
              <a:spcPct val="0"/>
            </a:spcBef>
            <a:spcAft>
              <a:spcPct val="35000"/>
            </a:spcAft>
          </a:pPr>
          <a:r>
            <a:rPr lang="bg-BG" sz="700" kern="1200"/>
            <a:t>странно</a:t>
          </a:r>
          <a:endParaRPr lang="en-US" sz="700" kern="1200"/>
        </a:p>
        <a:p>
          <a:pPr lvl="0" algn="ctr" defTabSz="488950">
            <a:lnSpc>
              <a:spcPct val="90000"/>
            </a:lnSpc>
            <a:spcBef>
              <a:spcPct val="0"/>
            </a:spcBef>
            <a:spcAft>
              <a:spcPct val="35000"/>
            </a:spcAft>
          </a:pPr>
          <a:r>
            <a:rPr lang="bg-BG" sz="700" kern="1200"/>
            <a:t>споразу</a:t>
          </a:r>
          <a:r>
            <a:rPr lang="en-US" sz="700" kern="1200"/>
            <a:t>-</a:t>
          </a:r>
        </a:p>
        <a:p>
          <a:pPr lvl="0" algn="ctr" defTabSz="488950">
            <a:lnSpc>
              <a:spcPct val="90000"/>
            </a:lnSpc>
            <a:spcBef>
              <a:spcPct val="0"/>
            </a:spcBef>
            <a:spcAft>
              <a:spcPct val="35000"/>
            </a:spcAft>
          </a:pPr>
          <a:r>
            <a:rPr lang="bg-BG" sz="700" kern="1200"/>
            <a:t>мение на СТО за </a:t>
          </a:r>
          <a:r>
            <a:rPr lang="bg-BG" sz="800" kern="1200"/>
            <a:t>държав</a:t>
          </a:r>
          <a:endParaRPr lang="en-US" sz="800" kern="1200"/>
        </a:p>
        <a:p>
          <a:pPr lvl="0" algn="ctr" defTabSz="488950">
            <a:lnSpc>
              <a:spcPct val="90000"/>
            </a:lnSpc>
            <a:spcBef>
              <a:spcPct val="0"/>
            </a:spcBef>
            <a:spcAft>
              <a:spcPct val="35000"/>
            </a:spcAft>
          </a:pPr>
          <a:r>
            <a:rPr lang="bg-BG" sz="1100" kern="1200"/>
            <a:t>ните поръчки</a:t>
          </a:r>
          <a:endParaRPr lang="en-GB" sz="1100" kern="1200"/>
        </a:p>
      </dsp:txBody>
      <dsp:txXfrm>
        <a:off x="2118359" y="0"/>
        <a:ext cx="1059179" cy="537210"/>
      </dsp:txXfrm>
    </dsp:sp>
    <dsp:sp modelId="{826710B5-27E4-462C-9DDD-7BB68D9119DE}">
      <dsp:nvSpPr>
        <dsp:cNvPr id="0" name=""/>
        <dsp:cNvSpPr/>
      </dsp:nvSpPr>
      <dsp:spPr>
        <a:xfrm>
          <a:off x="1565023" y="555023"/>
          <a:ext cx="2118359" cy="537210"/>
        </a:xfrm>
        <a:prstGeom prst="trapezoid">
          <a:avLst>
            <a:gd name="adj" fmla="val 98582"/>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 </a:t>
          </a:r>
          <a:r>
            <a:rPr lang="bg-BG" sz="800" kern="1200"/>
            <a:t>Национално законодателство в областта на обществените поръчки, което е в съответствие с правото на ЕС</a:t>
          </a:r>
          <a:endParaRPr lang="en-GB" sz="1100" kern="1200"/>
        </a:p>
      </dsp:txBody>
      <dsp:txXfrm>
        <a:off x="1935736" y="555023"/>
        <a:ext cx="1376934" cy="537210"/>
      </dsp:txXfrm>
    </dsp:sp>
    <dsp:sp modelId="{FD920380-5C31-4E74-AF8D-FCEA2B7708DE}">
      <dsp:nvSpPr>
        <dsp:cNvPr id="0" name=""/>
        <dsp:cNvSpPr/>
      </dsp:nvSpPr>
      <dsp:spPr>
        <a:xfrm>
          <a:off x="1040782" y="1074420"/>
          <a:ext cx="3177540" cy="537210"/>
        </a:xfrm>
        <a:prstGeom prst="trapezoid">
          <a:avLst>
            <a:gd name="adj" fmla="val 98582"/>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bg-BG" sz="1100" kern="1200"/>
            <a:t>Съдебна практика на Съда на ЕС и на националните съдилища</a:t>
          </a:r>
          <a:endParaRPr lang="en-GB" sz="1100" kern="1200"/>
        </a:p>
      </dsp:txBody>
      <dsp:txXfrm>
        <a:off x="1596851" y="1074420"/>
        <a:ext cx="2065401" cy="537210"/>
      </dsp:txXfrm>
    </dsp:sp>
    <dsp:sp modelId="{B3D63603-69D8-4830-B5C6-94394D4AB81C}">
      <dsp:nvSpPr>
        <dsp:cNvPr id="0" name=""/>
        <dsp:cNvSpPr/>
      </dsp:nvSpPr>
      <dsp:spPr>
        <a:xfrm>
          <a:off x="529590" y="1611630"/>
          <a:ext cx="4236719" cy="537210"/>
        </a:xfrm>
        <a:prstGeom prst="trapezoid">
          <a:avLst>
            <a:gd name="adj" fmla="val 98582"/>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bg-BG" sz="1100" kern="1200"/>
            <a:t>Директиви на ЕС за обществените поръчки и директиви относно средствата за правна защита</a:t>
          </a:r>
          <a:endParaRPr lang="en-GB" sz="1100" kern="1200"/>
        </a:p>
      </dsp:txBody>
      <dsp:txXfrm>
        <a:off x="1271015" y="1611630"/>
        <a:ext cx="2753868" cy="537210"/>
      </dsp:txXfrm>
    </dsp:sp>
    <dsp:sp modelId="{7B1E1C0D-6313-488D-99E8-C55731930585}">
      <dsp:nvSpPr>
        <dsp:cNvPr id="0" name=""/>
        <dsp:cNvSpPr/>
      </dsp:nvSpPr>
      <dsp:spPr>
        <a:xfrm>
          <a:off x="0" y="2148840"/>
          <a:ext cx="5295899" cy="537210"/>
        </a:xfrm>
        <a:prstGeom prst="trapezoid">
          <a:avLst>
            <a:gd name="adj" fmla="val 98582"/>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bg-BG" sz="1100" kern="1200"/>
            <a:t>Принципи, заложени в Договора за функционирането на Европейския съюз</a:t>
          </a:r>
          <a:endParaRPr lang="en-GB" sz="1100" kern="1200"/>
        </a:p>
      </dsp:txBody>
      <dsp:txXfrm>
        <a:off x="926782" y="2148840"/>
        <a:ext cx="3442335" cy="5372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7B6676-F8B4-45AA-A10B-9013F6DF6C5B}">
      <dsp:nvSpPr>
        <dsp:cNvPr id="0" name=""/>
        <dsp:cNvSpPr/>
      </dsp:nvSpPr>
      <dsp:spPr>
        <a:xfrm>
          <a:off x="852325" y="0"/>
          <a:ext cx="1598501" cy="60224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g-BG" sz="1000" kern="1200"/>
            <a:t>Открита процедура</a:t>
          </a:r>
        </a:p>
      </dsp:txBody>
      <dsp:txXfrm>
        <a:off x="852325" y="0"/>
        <a:ext cx="1598501" cy="602240"/>
      </dsp:txXfrm>
    </dsp:sp>
    <dsp:sp modelId="{8854DAE2-E7EE-458D-AF90-C9FF44C3C55F}">
      <dsp:nvSpPr>
        <dsp:cNvPr id="0" name=""/>
        <dsp:cNvSpPr/>
      </dsp:nvSpPr>
      <dsp:spPr>
        <a:xfrm>
          <a:off x="2797289" y="0"/>
          <a:ext cx="1543863" cy="5887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g-BG" sz="1000" kern="1200"/>
            <a:t>Ограничена процедура</a:t>
          </a:r>
        </a:p>
      </dsp:txBody>
      <dsp:txXfrm>
        <a:off x="2797289" y="0"/>
        <a:ext cx="1543863" cy="588705"/>
      </dsp:txXfrm>
    </dsp:sp>
    <dsp:sp modelId="{7D83CC18-C019-4964-838A-C28B035AB266}">
      <dsp:nvSpPr>
        <dsp:cNvPr id="0" name=""/>
        <dsp:cNvSpPr/>
      </dsp:nvSpPr>
      <dsp:spPr>
        <a:xfrm>
          <a:off x="302445" y="744110"/>
          <a:ext cx="1472878" cy="6646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g-BG" sz="1000" kern="1200"/>
            <a:t>Конкурсна процедура с договаряне</a:t>
          </a:r>
        </a:p>
      </dsp:txBody>
      <dsp:txXfrm>
        <a:off x="302445" y="744110"/>
        <a:ext cx="1472878" cy="664655"/>
      </dsp:txXfrm>
    </dsp:sp>
    <dsp:sp modelId="{8306006E-2768-4221-BB22-55D5FDFEB0CF}">
      <dsp:nvSpPr>
        <dsp:cNvPr id="0" name=""/>
        <dsp:cNvSpPr/>
      </dsp:nvSpPr>
      <dsp:spPr>
        <a:xfrm>
          <a:off x="3472061" y="741891"/>
          <a:ext cx="1534920" cy="6665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g-BG" sz="1000" kern="1200"/>
            <a:t>Партньорство за иновации</a:t>
          </a:r>
        </a:p>
      </dsp:txBody>
      <dsp:txXfrm>
        <a:off x="3472061" y="741891"/>
        <a:ext cx="1534920" cy="666571"/>
      </dsp:txXfrm>
    </dsp:sp>
    <dsp:sp modelId="{3AB67B9C-B269-4BF7-9B6D-4EFC26D070DF}">
      <dsp:nvSpPr>
        <dsp:cNvPr id="0" name=""/>
        <dsp:cNvSpPr/>
      </dsp:nvSpPr>
      <dsp:spPr>
        <a:xfrm>
          <a:off x="1870406" y="768200"/>
          <a:ext cx="1500303" cy="65002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g-BG" sz="1000" kern="1200"/>
            <a:t>Конкурсен диалог</a:t>
          </a:r>
        </a:p>
      </dsp:txBody>
      <dsp:txXfrm>
        <a:off x="1870406" y="768200"/>
        <a:ext cx="1500303" cy="65002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4">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 Iclei">
  <a:themeElements>
    <a:clrScheme name="GPP Training colours">
      <a:dk1>
        <a:srgbClr val="484847"/>
      </a:dk1>
      <a:lt1>
        <a:sysClr val="window" lastClr="FFFFFF"/>
      </a:lt1>
      <a:dk2>
        <a:srgbClr val="008A88"/>
      </a:dk2>
      <a:lt2>
        <a:srgbClr val="EEECE1"/>
      </a:lt2>
      <a:accent1>
        <a:srgbClr val="1C665A"/>
      </a:accent1>
      <a:accent2>
        <a:srgbClr val="9BB51B"/>
      </a:accent2>
      <a:accent3>
        <a:srgbClr val="BBD828"/>
      </a:accent3>
      <a:accent4>
        <a:srgbClr val="D8E6B0"/>
      </a:accent4>
      <a:accent5>
        <a:srgbClr val="31859B"/>
      </a:accent5>
      <a:accent6>
        <a:srgbClr val="AFC63A"/>
      </a:accent6>
      <a:hlink>
        <a:srgbClr val="366092"/>
      </a:hlink>
      <a:folHlink>
        <a:srgbClr val="E36C0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2EC7C-A600-4F08-A413-05BC2C27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5418</Words>
  <Characters>30885</Characters>
  <Application>Microsoft Office Word</Application>
  <DocSecurity>0</DocSecurity>
  <Lines>257</Lines>
  <Paragraphs>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Iclei</Company>
  <LinksUpToDate>false</LinksUpToDate>
  <CharactersWithSpaces>36231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Cotel</dc:creator>
  <cp:lastModifiedBy>HStoev</cp:lastModifiedBy>
  <cp:revision>2</cp:revision>
  <dcterms:created xsi:type="dcterms:W3CDTF">2020-03-10T13:53:00Z</dcterms:created>
  <dcterms:modified xsi:type="dcterms:W3CDTF">2020-03-10T13:53:00Z</dcterms:modified>
</cp:coreProperties>
</file>