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29" w:rsidRDefault="0047179B" w:rsidP="0047179B">
      <w:pPr>
        <w:spacing w:line="240" w:lineRule="auto"/>
        <w:rPr>
          <w:rFonts w:eastAsia="Times New Roman" w:cs="Times New Roman"/>
          <w:bCs/>
          <w:i/>
          <w:szCs w:val="24"/>
          <w:bdr w:val="none" w:sz="0" w:space="0" w:color="auto" w:frame="1"/>
          <w:lang w:eastAsia="bg-BG"/>
        </w:rPr>
      </w:pPr>
      <w:r>
        <w:rPr>
          <w:b/>
        </w:rPr>
        <w:t xml:space="preserve">Утвърден със Заповед </w:t>
      </w:r>
      <w:r>
        <w:rPr>
          <w:rFonts w:cs="Times New Roman"/>
          <w:b/>
        </w:rPr>
        <w:t>№</w:t>
      </w:r>
      <w:r>
        <w:rPr>
          <w:b/>
        </w:rPr>
        <w:t xml:space="preserve"> РД-72/ 24.01.2022 г. на </w:t>
      </w:r>
      <w:r w:rsidRPr="0047179B">
        <w:rPr>
          <w:rFonts w:eastAsia="Times New Roman" w:cs="Times New Roman"/>
          <w:b/>
          <w:szCs w:val="24"/>
        </w:rPr>
        <w:t>з</w:t>
      </w:r>
      <w:r w:rsidRPr="0047179B">
        <w:rPr>
          <w:rFonts w:eastAsia="Times New Roman" w:cs="Times New Roman"/>
          <w:b/>
          <w:szCs w:val="24"/>
        </w:rPr>
        <w:t>аместник министър-председател</w:t>
      </w:r>
      <w:r w:rsidR="008D1129">
        <w:rPr>
          <w:rFonts w:eastAsia="Times New Roman" w:cs="Times New Roman"/>
          <w:b/>
          <w:szCs w:val="24"/>
        </w:rPr>
        <w:t>я</w:t>
      </w:r>
      <w:r w:rsidRPr="0047179B">
        <w:rPr>
          <w:rFonts w:eastAsia="Times New Roman" w:cs="Times New Roman"/>
          <w:b/>
          <w:bCs/>
          <w:szCs w:val="24"/>
          <w:bdr w:val="none" w:sz="0" w:space="0" w:color="auto" w:frame="1"/>
          <w:lang w:eastAsia="bg-BG"/>
        </w:rPr>
        <w:t xml:space="preserve"> </w:t>
      </w:r>
      <w:r w:rsidRPr="0047179B">
        <w:rPr>
          <w:rFonts w:eastAsia="Times New Roman" w:cs="Times New Roman"/>
          <w:b/>
          <w:szCs w:val="24"/>
        </w:rPr>
        <w:t>по климатичните политики</w:t>
      </w:r>
      <w:r w:rsidRPr="0047179B">
        <w:rPr>
          <w:rFonts w:eastAsia="Times New Roman" w:cs="Times New Roman"/>
          <w:b/>
          <w:bCs/>
          <w:szCs w:val="24"/>
          <w:bdr w:val="none" w:sz="0" w:space="0" w:color="auto" w:frame="1"/>
          <w:lang w:eastAsia="bg-BG"/>
        </w:rPr>
        <w:t xml:space="preserve"> </w:t>
      </w:r>
      <w:r w:rsidRPr="0047179B">
        <w:rPr>
          <w:rFonts w:eastAsia="Times New Roman" w:cs="Times New Roman"/>
          <w:b/>
          <w:szCs w:val="24"/>
        </w:rPr>
        <w:t>и</w:t>
      </w:r>
      <w:r>
        <w:rPr>
          <w:rFonts w:eastAsia="Times New Roman" w:cs="Times New Roman"/>
          <w:i/>
          <w:szCs w:val="24"/>
        </w:rPr>
        <w:t xml:space="preserve"> </w:t>
      </w:r>
      <w:r>
        <w:rPr>
          <w:b/>
        </w:rPr>
        <w:t>министъра на околната среда и водите,</w:t>
      </w:r>
      <w:r>
        <w:rPr>
          <w:rFonts w:eastAsia="Times New Roman" w:cs="Times New Roman"/>
          <w:bCs/>
          <w:i/>
          <w:szCs w:val="24"/>
          <w:bdr w:val="none" w:sz="0" w:space="0" w:color="auto" w:frame="1"/>
          <w:lang w:eastAsia="bg-BG"/>
        </w:rPr>
        <w:t xml:space="preserve"> </w:t>
      </w:r>
    </w:p>
    <w:p w:rsidR="0009558A" w:rsidRPr="0047179B" w:rsidRDefault="0009558A" w:rsidP="0047179B">
      <w:pPr>
        <w:spacing w:line="240" w:lineRule="auto"/>
        <w:rPr>
          <w:rFonts w:eastAsia="Times New Roman" w:cs="Times New Roman"/>
          <w:bCs/>
          <w:i/>
          <w:szCs w:val="24"/>
          <w:bdr w:val="none" w:sz="0" w:space="0" w:color="auto" w:frame="1"/>
          <w:lang w:eastAsia="bg-BG"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:rsidR="0009558A" w:rsidRPr="00F84CD8" w:rsidRDefault="0009558A">
      <w:pPr>
        <w:rPr>
          <w:b/>
        </w:rPr>
      </w:pPr>
    </w:p>
    <w:p w:rsidR="0047179B" w:rsidRDefault="0047179B" w:rsidP="0047179B">
      <w:pPr>
        <w:ind w:left="8496" w:firstLine="708"/>
        <w:rPr>
          <w:b/>
        </w:rPr>
      </w:pPr>
    </w:p>
    <w:p w:rsidR="0047179B" w:rsidRDefault="0009558A" w:rsidP="00284551">
      <w:pPr>
        <w:ind w:left="8496" w:firstLine="708"/>
        <w:rPr>
          <w:b/>
        </w:rPr>
      </w:pPr>
      <w:r w:rsidRPr="00F84CD8">
        <w:rPr>
          <w:b/>
        </w:rPr>
        <w:t>Утвърдил:</w:t>
      </w:r>
      <w:r w:rsidR="0047179B" w:rsidRPr="0047179B">
        <w:rPr>
          <w:b/>
        </w:rPr>
        <w:t xml:space="preserve"> </w:t>
      </w:r>
    </w:p>
    <w:p w:rsidR="00284551" w:rsidRPr="00284551" w:rsidRDefault="00284551" w:rsidP="00284551">
      <w:pPr>
        <w:ind w:left="8496" w:firstLine="708"/>
        <w:rPr>
          <w:b/>
          <w:sz w:val="12"/>
          <w:szCs w:val="12"/>
        </w:rPr>
      </w:pPr>
    </w:p>
    <w:p w:rsidR="0047179B" w:rsidRDefault="00284551" w:rsidP="0028455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="0047179B" w:rsidRPr="0047179B">
        <w:rPr>
          <w:b/>
          <w:bCs/>
        </w:rPr>
        <w:t>БОРИСЛАВ САНДОВ</w:t>
      </w:r>
      <w:r w:rsidRPr="00284551">
        <w:rPr>
          <w:b/>
          <w:bCs/>
        </w:rPr>
        <w:t>……(п)…</w:t>
      </w:r>
      <w:r w:rsidR="008D1129">
        <w:rPr>
          <w:b/>
          <w:bCs/>
        </w:rPr>
        <w:t>…</w:t>
      </w:r>
    </w:p>
    <w:p w:rsidR="008D1129" w:rsidRDefault="0047179B" w:rsidP="008D1129">
      <w:pPr>
        <w:ind w:left="8496" w:firstLine="708"/>
        <w:rPr>
          <w:b/>
          <w:bCs/>
          <w:i/>
        </w:rPr>
      </w:pPr>
      <w:r w:rsidRPr="0047179B">
        <w:rPr>
          <w:b/>
          <w:bCs/>
          <w:i/>
        </w:rPr>
        <w:t>Заместник министър-председател</w:t>
      </w:r>
    </w:p>
    <w:p w:rsidR="008D1129" w:rsidRDefault="0047179B" w:rsidP="008D1129">
      <w:pPr>
        <w:ind w:left="8496" w:firstLine="708"/>
        <w:rPr>
          <w:b/>
          <w:bCs/>
          <w:i/>
        </w:rPr>
      </w:pPr>
      <w:r w:rsidRPr="0047179B">
        <w:rPr>
          <w:b/>
          <w:bCs/>
          <w:i/>
        </w:rPr>
        <w:t xml:space="preserve">по климатичните политики и </w:t>
      </w:r>
    </w:p>
    <w:p w:rsidR="008D1129" w:rsidRDefault="0047179B" w:rsidP="008D1129">
      <w:pPr>
        <w:ind w:left="8496" w:firstLine="708"/>
        <w:rPr>
          <w:b/>
          <w:bCs/>
          <w:i/>
        </w:rPr>
      </w:pPr>
      <w:r w:rsidRPr="0047179B">
        <w:rPr>
          <w:b/>
          <w:bCs/>
          <w:i/>
        </w:rPr>
        <w:t>министър на</w:t>
      </w:r>
    </w:p>
    <w:p w:rsidR="0047179B" w:rsidRPr="0047179B" w:rsidRDefault="0047179B" w:rsidP="008D1129">
      <w:pPr>
        <w:ind w:left="8496" w:firstLine="708"/>
        <w:rPr>
          <w:b/>
          <w:bCs/>
          <w:i/>
        </w:rPr>
      </w:pPr>
      <w:r w:rsidRPr="0047179B">
        <w:rPr>
          <w:b/>
          <w:bCs/>
          <w:i/>
        </w:rPr>
        <w:t>околната среда и водите</w:t>
      </w:r>
    </w:p>
    <w:p w:rsidR="0047179B" w:rsidRPr="0047179B" w:rsidRDefault="0047179B" w:rsidP="0047179B">
      <w:pPr>
        <w:ind w:left="10206"/>
        <w:rPr>
          <w:b/>
          <w:bCs/>
        </w:rPr>
      </w:pPr>
    </w:p>
    <w:p w:rsidR="0009558A" w:rsidRPr="0047179B" w:rsidRDefault="0009558A" w:rsidP="0047179B">
      <w:pPr>
        <w:ind w:left="10206"/>
        <w:rPr>
          <w:b/>
        </w:rPr>
      </w:pPr>
    </w:p>
    <w:tbl>
      <w:tblPr>
        <w:tblStyle w:val="TableGrid"/>
        <w:tblW w:w="158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1"/>
        <w:gridCol w:w="1995"/>
        <w:gridCol w:w="1082"/>
        <w:gridCol w:w="845"/>
        <w:gridCol w:w="931"/>
        <w:gridCol w:w="705"/>
        <w:gridCol w:w="431"/>
        <w:gridCol w:w="1410"/>
        <w:gridCol w:w="1344"/>
        <w:gridCol w:w="294"/>
        <w:gridCol w:w="216"/>
        <w:gridCol w:w="211"/>
        <w:gridCol w:w="201"/>
        <w:gridCol w:w="15"/>
        <w:gridCol w:w="215"/>
        <w:gridCol w:w="922"/>
        <w:gridCol w:w="379"/>
        <w:gridCol w:w="14"/>
        <w:gridCol w:w="1201"/>
        <w:gridCol w:w="14"/>
        <w:gridCol w:w="430"/>
        <w:gridCol w:w="124"/>
        <w:gridCol w:w="742"/>
        <w:gridCol w:w="14"/>
      </w:tblGrid>
      <w:tr w:rsidR="00C02205" w:rsidTr="00B74420">
        <w:trPr>
          <w:trHeight w:val="425"/>
        </w:trPr>
        <w:tc>
          <w:tcPr>
            <w:tcW w:w="15836" w:type="dxa"/>
            <w:gridSpan w:val="24"/>
            <w:shd w:val="clear" w:color="auto" w:fill="BDD6EE" w:themeFill="accent1" w:themeFillTint="66"/>
          </w:tcPr>
          <w:p w:rsidR="00C02205" w:rsidRDefault="00C02205" w:rsidP="00E6108C">
            <w:pPr>
              <w:jc w:val="center"/>
              <w:rPr>
                <w:b/>
              </w:rPr>
            </w:pPr>
            <w:r>
              <w:rPr>
                <w:b/>
              </w:rPr>
              <w:t>АНТИ</w:t>
            </w:r>
            <w:r w:rsidRPr="00F45B47">
              <w:rPr>
                <w:b/>
              </w:rPr>
              <w:t>КОРУПЦИОНЕН ПЛАН</w:t>
            </w:r>
            <w:r w:rsidR="00AD0097">
              <w:t xml:space="preserve"> </w:t>
            </w:r>
            <w:r w:rsidR="00AD0097" w:rsidRPr="00AD0097">
              <w:rPr>
                <w:b/>
              </w:rPr>
              <w:t>НА МИНИСТЕРСТВО НА ОКОЛНАТА СРЕДА И ВОДИТЕ ЗА 202</w:t>
            </w:r>
            <w:r w:rsidR="00E6108C">
              <w:rPr>
                <w:b/>
                <w:lang w:val="en-US"/>
              </w:rPr>
              <w:t>2</w:t>
            </w:r>
            <w:r w:rsidR="00AD0097" w:rsidRPr="00AD0097">
              <w:rPr>
                <w:b/>
              </w:rPr>
              <w:t xml:space="preserve"> г.</w:t>
            </w:r>
          </w:p>
        </w:tc>
      </w:tr>
      <w:tr w:rsidR="00C02205" w:rsidTr="00B74420">
        <w:trPr>
          <w:trHeight w:val="425"/>
        </w:trPr>
        <w:tc>
          <w:tcPr>
            <w:tcW w:w="15836" w:type="dxa"/>
            <w:gridSpan w:val="24"/>
            <w:shd w:val="clear" w:color="auto" w:fill="BDD6EE" w:themeFill="accent1" w:themeFillTint="66"/>
          </w:tcPr>
          <w:p w:rsidR="00C02205" w:rsidRPr="00F45B47" w:rsidRDefault="005D0487" w:rsidP="00320258">
            <w:pPr>
              <w:jc w:val="center"/>
              <w:rPr>
                <w:b/>
              </w:rPr>
            </w:pPr>
            <w:r w:rsidRPr="005D0487">
              <w:t>Петър Димитров – заместник-министър на околната среда и водите, отговорен за координацията на антикорупционните мерки съгласно заповед № РД-1026/11.11.2021 г. на министъра на околната среда и водите</w:t>
            </w:r>
          </w:p>
        </w:tc>
      </w:tr>
      <w:tr w:rsidR="00C02205" w:rsidTr="00B74420">
        <w:trPr>
          <w:trHeight w:val="443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C02205" w:rsidRDefault="00C02205" w:rsidP="00320258">
            <w: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F60C84" w:rsidTr="00B74420">
        <w:trPr>
          <w:trHeight w:val="873"/>
        </w:trPr>
        <w:tc>
          <w:tcPr>
            <w:tcW w:w="2101" w:type="dxa"/>
            <w:shd w:val="clear" w:color="auto" w:fill="E2EFD9" w:themeFill="accent6" w:themeFillTint="33"/>
          </w:tcPr>
          <w:p w:rsidR="00C02205" w:rsidRDefault="00C02205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C02205" w:rsidRDefault="00C02205">
            <w:r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C02205" w:rsidRDefault="00C02205">
            <w: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C02205" w:rsidRDefault="00C02205">
            <w:r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C02205" w:rsidRDefault="00C02205">
            <w:r>
              <w:t>Срок за изпълнение и етапи</w:t>
            </w:r>
          </w:p>
        </w:tc>
        <w:tc>
          <w:tcPr>
            <w:tcW w:w="1638" w:type="dxa"/>
            <w:gridSpan w:val="2"/>
            <w:shd w:val="clear" w:color="auto" w:fill="E2EFD9" w:themeFill="accent6" w:themeFillTint="33"/>
          </w:tcPr>
          <w:p w:rsidR="00C02205" w:rsidRDefault="00C02205" w:rsidP="000A6319">
            <w:r>
              <w:t xml:space="preserve">Индикатор </w:t>
            </w:r>
          </w:p>
        </w:tc>
        <w:tc>
          <w:tcPr>
            <w:tcW w:w="2173" w:type="dxa"/>
            <w:gridSpan w:val="8"/>
            <w:shd w:val="clear" w:color="auto" w:fill="E2EFD9" w:themeFill="accent6" w:themeFillTint="33"/>
          </w:tcPr>
          <w:p w:rsidR="00C02205" w:rsidRDefault="00C02205" w:rsidP="000A6319">
            <w:r>
              <w:t>Отговорно лице</w:t>
            </w:r>
          </w:p>
        </w:tc>
        <w:tc>
          <w:tcPr>
            <w:tcW w:w="1645" w:type="dxa"/>
            <w:gridSpan w:val="3"/>
            <w:shd w:val="clear" w:color="auto" w:fill="E2EFD9" w:themeFill="accent6" w:themeFillTint="33"/>
          </w:tcPr>
          <w:p w:rsidR="00C02205" w:rsidRDefault="00C02205">
            <w:r>
              <w:t>Изпълнение/ неизпълнение</w:t>
            </w:r>
          </w:p>
        </w:tc>
        <w:tc>
          <w:tcPr>
            <w:tcW w:w="880" w:type="dxa"/>
            <w:gridSpan w:val="3"/>
            <w:shd w:val="clear" w:color="auto" w:fill="E2EFD9" w:themeFill="accent6" w:themeFillTint="33"/>
          </w:tcPr>
          <w:p w:rsidR="00C02205" w:rsidRDefault="00C02205" w:rsidP="000A6319">
            <w:r>
              <w:t>Причини при неизпълнение</w:t>
            </w:r>
          </w:p>
        </w:tc>
      </w:tr>
      <w:tr w:rsidR="00612ADC" w:rsidTr="00901B26">
        <w:trPr>
          <w:trHeight w:val="708"/>
        </w:trPr>
        <w:tc>
          <w:tcPr>
            <w:tcW w:w="2101" w:type="dxa"/>
          </w:tcPr>
          <w:p w:rsidR="002616CF" w:rsidRPr="00223AA6" w:rsidRDefault="002616CF">
            <w:r w:rsidRPr="00223AA6">
              <w:t xml:space="preserve">Не е идентифициран конкретен случай. </w:t>
            </w:r>
          </w:p>
          <w:p w:rsidR="002616CF" w:rsidRPr="009B27A1" w:rsidRDefault="002616CF" w:rsidP="00BC664C">
            <w:pPr>
              <w:rPr>
                <w:color w:val="808080" w:themeColor="background1" w:themeShade="80"/>
                <w:highlight w:val="yellow"/>
              </w:rPr>
            </w:pPr>
            <w:r w:rsidRPr="00223AA6">
              <w:t xml:space="preserve">Мярката е предложена </w:t>
            </w:r>
            <w:r w:rsidR="00BC664C" w:rsidRPr="00223AA6">
              <w:t>като част от</w:t>
            </w:r>
            <w:r w:rsidR="00040C7C" w:rsidRPr="00223AA6">
              <w:t xml:space="preserve"> </w:t>
            </w:r>
            <w:r w:rsidR="00E271CD" w:rsidRPr="00223AA6">
              <w:t>с</w:t>
            </w:r>
            <w:r w:rsidR="00040C7C" w:rsidRPr="00223AA6">
              <w:t xml:space="preserve">истема от </w:t>
            </w:r>
            <w:r w:rsidR="00040C7C" w:rsidRPr="00223AA6">
              <w:lastRenderedPageBreak/>
              <w:t xml:space="preserve">критерии за </w:t>
            </w:r>
            <w:r w:rsidRPr="00223AA6">
              <w:t xml:space="preserve">обективност , прозрачност </w:t>
            </w:r>
            <w:r w:rsidR="00040C7C" w:rsidRPr="00223AA6">
              <w:t xml:space="preserve"> и проследяемост.</w:t>
            </w:r>
          </w:p>
        </w:tc>
        <w:tc>
          <w:tcPr>
            <w:tcW w:w="1995" w:type="dxa"/>
          </w:tcPr>
          <w:p w:rsidR="00DD008E" w:rsidRPr="00C705D5" w:rsidRDefault="00D2044B" w:rsidP="00155130">
            <w:pPr>
              <w:rPr>
                <w:sz w:val="22"/>
              </w:rPr>
            </w:pPr>
            <w:r>
              <w:rPr>
                <w:sz w:val="22"/>
                <w:lang w:val="en-US"/>
              </w:rPr>
              <w:lastRenderedPageBreak/>
              <w:t>1.</w:t>
            </w:r>
            <w:r w:rsidR="00DD008E" w:rsidRPr="00C705D5">
              <w:rPr>
                <w:sz w:val="22"/>
              </w:rPr>
              <w:t xml:space="preserve">Поддържане на актуални Вътрешни правила за управление цикъла на обществените </w:t>
            </w:r>
            <w:r w:rsidR="00DD008E" w:rsidRPr="00C705D5">
              <w:rPr>
                <w:sz w:val="22"/>
              </w:rPr>
              <w:lastRenderedPageBreak/>
              <w:t xml:space="preserve">поръчки </w:t>
            </w:r>
            <w:r w:rsidR="00DD008E" w:rsidRPr="00C705D5">
              <w:rPr>
                <w:sz w:val="22"/>
                <w:lang w:val="en-US"/>
              </w:rPr>
              <w:t>(</w:t>
            </w:r>
            <w:r w:rsidR="00DD008E" w:rsidRPr="00C705D5">
              <w:rPr>
                <w:sz w:val="22"/>
              </w:rPr>
              <w:t>ВПУЦОП</w:t>
            </w:r>
            <w:r w:rsidR="00DD008E" w:rsidRPr="00C705D5">
              <w:rPr>
                <w:sz w:val="22"/>
                <w:lang w:val="en-US"/>
              </w:rPr>
              <w:t>)</w:t>
            </w:r>
            <w:r w:rsidR="00DD008E" w:rsidRPr="00C705D5">
              <w:rPr>
                <w:sz w:val="22"/>
              </w:rPr>
              <w:t xml:space="preserve"> и контрол върху спазването им</w:t>
            </w:r>
          </w:p>
        </w:tc>
        <w:tc>
          <w:tcPr>
            <w:tcW w:w="1927" w:type="dxa"/>
            <w:gridSpan w:val="2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Организационна</w:t>
            </w:r>
          </w:p>
        </w:tc>
        <w:tc>
          <w:tcPr>
            <w:tcW w:w="2067" w:type="dxa"/>
            <w:gridSpan w:val="3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Да се ограничат до разумен минимум възможностите за влияние, злоупотреби и корупционни </w:t>
            </w:r>
            <w:r w:rsidRPr="00C705D5">
              <w:rPr>
                <w:sz w:val="22"/>
              </w:rPr>
              <w:lastRenderedPageBreak/>
              <w:t>практики в процесите на възлагане</w:t>
            </w:r>
          </w:p>
        </w:tc>
        <w:tc>
          <w:tcPr>
            <w:tcW w:w="1410" w:type="dxa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1638" w:type="dxa"/>
            <w:gridSpan w:val="2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Одитни доклади и проверки на външни контролни органи, с </w:t>
            </w:r>
            <w:r w:rsidRPr="00C705D5">
              <w:rPr>
                <w:sz w:val="22"/>
              </w:rPr>
              <w:lastRenderedPageBreak/>
              <w:t>положителна оценка на системата</w:t>
            </w:r>
          </w:p>
        </w:tc>
        <w:tc>
          <w:tcPr>
            <w:tcW w:w="2173" w:type="dxa"/>
            <w:gridSpan w:val="8"/>
          </w:tcPr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Директор на дирекция ОП</w:t>
            </w:r>
          </w:p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Директор на </w:t>
            </w:r>
          </w:p>
          <w:p w:rsidR="00DD008E" w:rsidRPr="00C705D5" w:rsidRDefault="00DD008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ГД ОПОС</w:t>
            </w:r>
          </w:p>
        </w:tc>
        <w:tc>
          <w:tcPr>
            <w:tcW w:w="1645" w:type="dxa"/>
            <w:gridSpan w:val="3"/>
          </w:tcPr>
          <w:p w:rsidR="00DD008E" w:rsidRDefault="00DD008E"/>
        </w:tc>
        <w:tc>
          <w:tcPr>
            <w:tcW w:w="880" w:type="dxa"/>
            <w:gridSpan w:val="3"/>
          </w:tcPr>
          <w:p w:rsidR="00DD008E" w:rsidRDefault="00DD008E"/>
        </w:tc>
      </w:tr>
      <w:tr w:rsidR="00575967" w:rsidTr="003615DD">
        <w:trPr>
          <w:trHeight w:val="708"/>
        </w:trPr>
        <w:tc>
          <w:tcPr>
            <w:tcW w:w="2101" w:type="dxa"/>
          </w:tcPr>
          <w:p w:rsidR="00045FDD" w:rsidRPr="005263D3" w:rsidRDefault="00045FDD" w:rsidP="00175868">
            <w:pPr>
              <w:rPr>
                <w:color w:val="808080" w:themeColor="background1" w:themeShade="80"/>
                <w:lang w:val="en-US"/>
              </w:rPr>
            </w:pPr>
            <w:r w:rsidRPr="00354A09">
              <w:lastRenderedPageBreak/>
              <w:t xml:space="preserve">Мярката е предложена да се изпълнява </w:t>
            </w:r>
            <w:r w:rsidR="00153D17" w:rsidRPr="00354A09">
              <w:t>за</w:t>
            </w:r>
            <w:r w:rsidRPr="00354A09">
              <w:t xml:space="preserve"> недопускане на вероятно </w:t>
            </w:r>
            <w:r w:rsidR="00B20E6A" w:rsidRPr="00354A09">
              <w:t>обвързване на експер</w:t>
            </w:r>
            <w:r w:rsidR="00175868">
              <w:t>ти</w:t>
            </w:r>
            <w:r w:rsidR="00B20E6A" w:rsidRPr="00354A09">
              <w:t xml:space="preserve">те и </w:t>
            </w:r>
            <w:r w:rsidR="005822EE" w:rsidRPr="00354A09">
              <w:t xml:space="preserve">постигане на </w:t>
            </w:r>
            <w:r w:rsidR="00175868">
              <w:t>обективн</w:t>
            </w:r>
            <w:r w:rsidR="00B20E6A" w:rsidRPr="00354A09">
              <w:t>и критерии в процеса на вземане на решенията.</w:t>
            </w:r>
          </w:p>
        </w:tc>
        <w:tc>
          <w:tcPr>
            <w:tcW w:w="1995" w:type="dxa"/>
          </w:tcPr>
          <w:p w:rsidR="00D2044B" w:rsidRPr="00C705D5" w:rsidRDefault="00D2044B" w:rsidP="00155130">
            <w:pPr>
              <w:spacing w:line="259" w:lineRule="auto"/>
              <w:rPr>
                <w:sz w:val="22"/>
              </w:rPr>
            </w:pPr>
            <w:r w:rsidRPr="00C705D5">
              <w:rPr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 w:rsidRPr="00C705D5">
              <w:rPr>
                <w:sz w:val="22"/>
              </w:rPr>
              <w:t>Прилагане на ротационен принцип при разпределяне на експертите за подготовка на технически спецификации, документации, участие в оценителни комисии и контрол на изпълнение при наличие на експертна възможност</w:t>
            </w:r>
          </w:p>
        </w:tc>
        <w:tc>
          <w:tcPr>
            <w:tcW w:w="1927" w:type="dxa"/>
            <w:gridSpan w:val="2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</w:t>
            </w:r>
          </w:p>
        </w:tc>
        <w:tc>
          <w:tcPr>
            <w:tcW w:w="2067" w:type="dxa"/>
            <w:gridSpan w:val="3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Минимизиране на корупционния риск чрез въвеждане на ротационен принцип при изпълнение на дейностите</w:t>
            </w:r>
          </w:p>
        </w:tc>
        <w:tc>
          <w:tcPr>
            <w:tcW w:w="1410" w:type="dxa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1638" w:type="dxa"/>
            <w:gridSpan w:val="2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постъпилите жалби във връзка с проведени обществени поръчки в МОСВ и определени различни служители участващи в подготовката на техническите спецификации, работата в комисиите и приемане изпълнението на договорите</w:t>
            </w:r>
          </w:p>
        </w:tc>
        <w:tc>
          <w:tcPr>
            <w:tcW w:w="2173" w:type="dxa"/>
            <w:gridSpan w:val="8"/>
          </w:tcPr>
          <w:p w:rsidR="00D2044B" w:rsidRPr="00C705D5" w:rsidRDefault="00D2044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дирекции в МОСВ (заявители), участващи в цикъла на обществените поръчки.</w:t>
            </w:r>
          </w:p>
        </w:tc>
        <w:tc>
          <w:tcPr>
            <w:tcW w:w="1645" w:type="dxa"/>
            <w:gridSpan w:val="3"/>
          </w:tcPr>
          <w:p w:rsidR="00D2044B" w:rsidRDefault="00D2044B"/>
        </w:tc>
        <w:tc>
          <w:tcPr>
            <w:tcW w:w="880" w:type="dxa"/>
            <w:gridSpan w:val="3"/>
          </w:tcPr>
          <w:p w:rsidR="00D2044B" w:rsidRDefault="00D2044B"/>
        </w:tc>
      </w:tr>
      <w:tr w:rsidR="00580296" w:rsidTr="00B74420">
        <w:trPr>
          <w:trHeight w:val="1551"/>
        </w:trPr>
        <w:tc>
          <w:tcPr>
            <w:tcW w:w="2101" w:type="dxa"/>
          </w:tcPr>
          <w:p w:rsidR="00EB6810" w:rsidRDefault="008202CC">
            <w:r w:rsidRPr="00354A09">
              <w:t xml:space="preserve">Мярката е предложена да се изпълнява за насърчаване на прозрачността и отговорността в областта на управлението на публичните </w:t>
            </w:r>
            <w:r w:rsidRPr="00354A09">
              <w:lastRenderedPageBreak/>
              <w:t>финанси.</w:t>
            </w:r>
            <w:r w:rsidR="004039FD" w:rsidRPr="00354A09">
              <w:t>(</w:t>
            </w:r>
            <w:r w:rsidRPr="00354A09">
              <w:t>чл.</w:t>
            </w:r>
            <w:r w:rsidR="004039FD" w:rsidRPr="00354A09">
              <w:t xml:space="preserve"> </w:t>
            </w:r>
            <w:r w:rsidRPr="00354A09">
              <w:t>9, ал.2 от К на ООН)</w:t>
            </w:r>
          </w:p>
        </w:tc>
        <w:tc>
          <w:tcPr>
            <w:tcW w:w="1995" w:type="dxa"/>
          </w:tcPr>
          <w:p w:rsidR="007223A9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 xml:space="preserve">3.Актуализиране при необходимост на </w:t>
            </w:r>
            <w:r w:rsidR="00D61925" w:rsidRPr="00354A09">
              <w:rPr>
                <w:sz w:val="22"/>
              </w:rPr>
              <w:t>СВК</w:t>
            </w:r>
            <w:r w:rsidRPr="00C705D5">
              <w:rPr>
                <w:sz w:val="22"/>
              </w:rPr>
              <w:t xml:space="preserve"> и ВП и процедури з</w:t>
            </w:r>
            <w:r>
              <w:rPr>
                <w:sz w:val="22"/>
              </w:rPr>
              <w:t xml:space="preserve">а предварителен и текущ контрол за </w:t>
            </w:r>
            <w:r w:rsidRPr="00C705D5">
              <w:rPr>
                <w:sz w:val="22"/>
              </w:rPr>
              <w:t xml:space="preserve">осъществяване на предварителен и текущ контрол за законосъобразност </w:t>
            </w:r>
            <w:r w:rsidRPr="00C705D5">
              <w:rPr>
                <w:sz w:val="22"/>
              </w:rPr>
              <w:lastRenderedPageBreak/>
              <w:t xml:space="preserve">на финансовата дейност в МОСВ. </w:t>
            </w:r>
          </w:p>
          <w:p w:rsidR="007223A9" w:rsidRDefault="007223A9" w:rsidP="00155130">
            <w:pPr>
              <w:rPr>
                <w:sz w:val="22"/>
              </w:rPr>
            </w:pPr>
          </w:p>
          <w:p w:rsidR="007223A9" w:rsidRPr="00C705D5" w:rsidRDefault="007223A9" w:rsidP="00155130">
            <w:pPr>
              <w:rPr>
                <w:sz w:val="22"/>
              </w:rPr>
            </w:pPr>
          </w:p>
        </w:tc>
        <w:tc>
          <w:tcPr>
            <w:tcW w:w="1927" w:type="dxa"/>
            <w:gridSpan w:val="2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Организационна</w:t>
            </w:r>
          </w:p>
        </w:tc>
        <w:tc>
          <w:tcPr>
            <w:tcW w:w="2067" w:type="dxa"/>
            <w:gridSpan w:val="3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Ефективен и надежден контрол при спазване на действащата нормативна уредба</w:t>
            </w:r>
          </w:p>
        </w:tc>
        <w:tc>
          <w:tcPr>
            <w:tcW w:w="1410" w:type="dxa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1638" w:type="dxa"/>
            <w:gridSpan w:val="2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Одитни доклади и проверки на външни контролни органи</w:t>
            </w:r>
          </w:p>
        </w:tc>
        <w:tc>
          <w:tcPr>
            <w:tcW w:w="2173" w:type="dxa"/>
            <w:gridSpan w:val="8"/>
          </w:tcPr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Финансов контрольор и директор на дирекция ФУ,</w:t>
            </w:r>
          </w:p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 на дирекция ОП;</w:t>
            </w:r>
          </w:p>
          <w:p w:rsidR="007223A9" w:rsidRPr="00C705D5" w:rsidRDefault="007223A9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директор на дирекция </w:t>
            </w:r>
            <w:r>
              <w:rPr>
                <w:sz w:val="22"/>
              </w:rPr>
              <w:t>СДЧР</w:t>
            </w:r>
          </w:p>
        </w:tc>
        <w:tc>
          <w:tcPr>
            <w:tcW w:w="1645" w:type="dxa"/>
            <w:gridSpan w:val="3"/>
          </w:tcPr>
          <w:p w:rsidR="007223A9" w:rsidRDefault="007223A9"/>
        </w:tc>
        <w:tc>
          <w:tcPr>
            <w:tcW w:w="880" w:type="dxa"/>
            <w:gridSpan w:val="3"/>
          </w:tcPr>
          <w:p w:rsidR="007223A9" w:rsidRDefault="007223A9"/>
        </w:tc>
      </w:tr>
      <w:tr w:rsidR="007223A9" w:rsidTr="00B74420">
        <w:trPr>
          <w:trHeight w:val="444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7223A9" w:rsidRPr="0042391A" w:rsidRDefault="007223A9">
            <w:pPr>
              <w:rPr>
                <w:b/>
              </w:rPr>
            </w:pPr>
            <w:r w:rsidRPr="0042391A">
              <w:rPr>
                <w:b/>
              </w:rPr>
              <w:lastRenderedPageBreak/>
              <w:t>Корупционен риск – извършване на контролни дейности</w:t>
            </w:r>
          </w:p>
        </w:tc>
      </w:tr>
      <w:tr w:rsidR="00F60C84" w:rsidTr="00B74420">
        <w:trPr>
          <w:trHeight w:val="873"/>
        </w:trPr>
        <w:tc>
          <w:tcPr>
            <w:tcW w:w="2101" w:type="dxa"/>
            <w:shd w:val="clear" w:color="auto" w:fill="E2EFD9" w:themeFill="accent6" w:themeFillTint="33"/>
          </w:tcPr>
          <w:p w:rsidR="007223A9" w:rsidRPr="008278F7" w:rsidRDefault="007223A9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7223A9" w:rsidRPr="008278F7" w:rsidRDefault="007223A9" w:rsidP="000A6319">
            <w:r w:rsidRPr="008278F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7223A9" w:rsidRPr="008278F7" w:rsidRDefault="007223A9" w:rsidP="000A6319">
            <w:r w:rsidRPr="008278F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7223A9" w:rsidRPr="008278F7" w:rsidRDefault="007223A9" w:rsidP="000A6319">
            <w:r w:rsidRPr="008278F7"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7223A9" w:rsidRPr="008278F7" w:rsidRDefault="007223A9" w:rsidP="000A6319">
            <w:r>
              <w:t>Срок за изпълнение и етапи</w:t>
            </w:r>
          </w:p>
        </w:tc>
        <w:tc>
          <w:tcPr>
            <w:tcW w:w="1854" w:type="dxa"/>
            <w:gridSpan w:val="3"/>
            <w:shd w:val="clear" w:color="auto" w:fill="E2EFD9" w:themeFill="accent6" w:themeFillTint="33"/>
          </w:tcPr>
          <w:p w:rsidR="007223A9" w:rsidRPr="008278F7" w:rsidRDefault="007223A9" w:rsidP="000A6319">
            <w:r w:rsidRPr="008278F7">
              <w:t xml:space="preserve">Индикатор </w:t>
            </w:r>
          </w:p>
        </w:tc>
        <w:tc>
          <w:tcPr>
            <w:tcW w:w="1957" w:type="dxa"/>
            <w:gridSpan w:val="7"/>
            <w:shd w:val="clear" w:color="auto" w:fill="E2EFD9" w:themeFill="accent6" w:themeFillTint="33"/>
          </w:tcPr>
          <w:p w:rsidR="007223A9" w:rsidRPr="003A29B6" w:rsidRDefault="007223A9" w:rsidP="000A6319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645" w:type="dxa"/>
            <w:gridSpan w:val="3"/>
            <w:shd w:val="clear" w:color="auto" w:fill="E2EFD9" w:themeFill="accent6" w:themeFillTint="33"/>
          </w:tcPr>
          <w:p w:rsidR="007223A9" w:rsidRDefault="007223A9" w:rsidP="000A6319">
            <w:r>
              <w:t>Изпълнение/ неизпълнение</w:t>
            </w:r>
          </w:p>
        </w:tc>
        <w:tc>
          <w:tcPr>
            <w:tcW w:w="880" w:type="dxa"/>
            <w:gridSpan w:val="3"/>
            <w:shd w:val="clear" w:color="auto" w:fill="E2EFD9" w:themeFill="accent6" w:themeFillTint="33"/>
          </w:tcPr>
          <w:p w:rsidR="007223A9" w:rsidRDefault="007223A9" w:rsidP="000A6319">
            <w:r>
              <w:t>Причини при неизпълнение</w:t>
            </w:r>
          </w:p>
        </w:tc>
      </w:tr>
      <w:tr w:rsidR="00612ADC" w:rsidTr="00B74420">
        <w:trPr>
          <w:trHeight w:val="2622"/>
        </w:trPr>
        <w:tc>
          <w:tcPr>
            <w:tcW w:w="2101" w:type="dxa"/>
            <w:shd w:val="clear" w:color="auto" w:fill="auto"/>
          </w:tcPr>
          <w:p w:rsidR="00C817B5" w:rsidRPr="00354A09" w:rsidRDefault="00C817B5" w:rsidP="000A6319">
            <w:r w:rsidRPr="00354A09">
              <w:t>Не е идентифициран конкретен случай</w:t>
            </w:r>
            <w:r w:rsidR="00A27AE5" w:rsidRPr="00354A09">
              <w:t>.</w:t>
            </w:r>
            <w:r w:rsidRPr="00354A09">
              <w:t xml:space="preserve"> </w:t>
            </w:r>
            <w:r w:rsidR="00A27AE5" w:rsidRPr="00354A09">
              <w:t>М</w:t>
            </w:r>
            <w:r w:rsidRPr="00354A09">
              <w:t xml:space="preserve">ярката е предложена </w:t>
            </w:r>
            <w:r w:rsidR="00A27AE5" w:rsidRPr="00354A09">
              <w:t>да</w:t>
            </w:r>
            <w:r w:rsidRPr="00354A09">
              <w:t xml:space="preserve"> се изпълнява с цел недопускане на</w:t>
            </w:r>
          </w:p>
          <w:p w:rsidR="007A0EA7" w:rsidRDefault="00354A09" w:rsidP="00354A09">
            <w:r w:rsidRPr="00354A09">
              <w:t>В</w:t>
            </w:r>
            <w:r w:rsidR="006D2284" w:rsidRPr="00354A09">
              <w:t>ероятно</w:t>
            </w:r>
            <w:r w:rsidRPr="00354A09">
              <w:rPr>
                <w:lang w:val="en-US"/>
              </w:rPr>
              <w:t xml:space="preserve"> </w:t>
            </w:r>
            <w:r w:rsidR="00ED5D8A" w:rsidRPr="00354A09">
              <w:t>обвързване между одитори и одитирани структури</w:t>
            </w:r>
          </w:p>
        </w:tc>
        <w:tc>
          <w:tcPr>
            <w:tcW w:w="1995" w:type="dxa"/>
          </w:tcPr>
          <w:p w:rsidR="007A0EA7" w:rsidRPr="00E93654" w:rsidRDefault="007A0EA7" w:rsidP="00155130">
            <w:pPr>
              <w:rPr>
                <w:color w:val="808080" w:themeColor="background1" w:themeShade="80"/>
                <w:sz w:val="22"/>
                <w:highlight w:val="yellow"/>
                <w:lang w:val="en-US"/>
              </w:rPr>
            </w:pPr>
            <w:r w:rsidRPr="00E93654">
              <w:rPr>
                <w:rFonts w:eastAsia="Calibri"/>
                <w:sz w:val="22"/>
              </w:rPr>
              <w:t>Ротация на вътрешните одитори при извършване на одитните ангажименти в структурите и структурните звена в МОСВ</w:t>
            </w:r>
            <w:r w:rsidR="00E93654" w:rsidRPr="00E93654">
              <w:rPr>
                <w:rFonts w:eastAsia="Calibri"/>
                <w:sz w:val="22"/>
                <w:lang w:val="en-US"/>
              </w:rPr>
              <w:t>.</w:t>
            </w:r>
          </w:p>
        </w:tc>
        <w:tc>
          <w:tcPr>
            <w:tcW w:w="1927" w:type="dxa"/>
            <w:gridSpan w:val="2"/>
          </w:tcPr>
          <w:p w:rsidR="007A0EA7" w:rsidRPr="001A040A" w:rsidRDefault="007A0EA7" w:rsidP="00155130">
            <w:pPr>
              <w:rPr>
                <w:color w:val="808080" w:themeColor="background1" w:themeShade="80"/>
                <w:sz w:val="22"/>
                <w:highlight w:val="yellow"/>
              </w:rPr>
            </w:pPr>
            <w:r w:rsidRPr="00155752">
              <w:rPr>
                <w:sz w:val="22"/>
              </w:rPr>
              <w:t>Организационна/ кадрова</w:t>
            </w:r>
          </w:p>
        </w:tc>
        <w:tc>
          <w:tcPr>
            <w:tcW w:w="2067" w:type="dxa"/>
            <w:gridSpan w:val="3"/>
          </w:tcPr>
          <w:p w:rsidR="007A0EA7" w:rsidRPr="001A040A" w:rsidRDefault="007A0EA7" w:rsidP="00155130">
            <w:pPr>
              <w:rPr>
                <w:color w:val="808080" w:themeColor="background1" w:themeShade="80"/>
                <w:sz w:val="22"/>
                <w:highlight w:val="yellow"/>
              </w:rPr>
            </w:pPr>
            <w:r w:rsidRPr="00EC078E">
              <w:rPr>
                <w:sz w:val="22"/>
              </w:rPr>
              <w:t xml:space="preserve">Недопускане на </w:t>
            </w:r>
            <w:r w:rsidRPr="00E93654">
              <w:rPr>
                <w:sz w:val="22"/>
              </w:rPr>
              <w:t xml:space="preserve">взаимна обвързаност и </w:t>
            </w:r>
            <w:r w:rsidRPr="00EC078E">
              <w:rPr>
                <w:sz w:val="22"/>
              </w:rPr>
              <w:t>корупционни практики</w:t>
            </w:r>
          </w:p>
        </w:tc>
        <w:tc>
          <w:tcPr>
            <w:tcW w:w="1410" w:type="dxa"/>
          </w:tcPr>
          <w:p w:rsidR="007A0EA7" w:rsidRPr="00155752" w:rsidRDefault="007A0EA7" w:rsidP="00155130">
            <w:pPr>
              <w:rPr>
                <w:sz w:val="22"/>
                <w:highlight w:val="yellow"/>
              </w:rPr>
            </w:pPr>
            <w:r w:rsidRPr="00155752">
              <w:rPr>
                <w:sz w:val="22"/>
              </w:rPr>
              <w:t>постоянен</w:t>
            </w:r>
          </w:p>
        </w:tc>
        <w:tc>
          <w:tcPr>
            <w:tcW w:w="1854" w:type="dxa"/>
            <w:gridSpan w:val="3"/>
          </w:tcPr>
          <w:p w:rsidR="007A0EA7" w:rsidRPr="00EC078E" w:rsidRDefault="007A0EA7" w:rsidP="00155130">
            <w:pPr>
              <w:rPr>
                <w:sz w:val="22"/>
              </w:rPr>
            </w:pPr>
            <w:r w:rsidRPr="00EC078E">
              <w:rPr>
                <w:sz w:val="22"/>
              </w:rPr>
              <w:t xml:space="preserve">Констатирани проблемни области и приети препоръки </w:t>
            </w:r>
            <w:r w:rsidRPr="00E93654">
              <w:rPr>
                <w:sz w:val="22"/>
              </w:rPr>
              <w:t>за изпълнение</w:t>
            </w:r>
          </w:p>
        </w:tc>
        <w:tc>
          <w:tcPr>
            <w:tcW w:w="1957" w:type="dxa"/>
            <w:gridSpan w:val="7"/>
          </w:tcPr>
          <w:p w:rsidR="007A0EA7" w:rsidRPr="001A040A" w:rsidRDefault="007A0EA7" w:rsidP="00155130">
            <w:pPr>
              <w:rPr>
                <w:color w:val="808080" w:themeColor="background1" w:themeShade="80"/>
                <w:sz w:val="22"/>
                <w:highlight w:val="yellow"/>
              </w:rPr>
            </w:pPr>
            <w:r w:rsidRPr="00155752">
              <w:rPr>
                <w:sz w:val="22"/>
              </w:rPr>
              <w:t>Директор на дирекция ВО</w:t>
            </w:r>
          </w:p>
        </w:tc>
        <w:tc>
          <w:tcPr>
            <w:tcW w:w="1645" w:type="dxa"/>
            <w:gridSpan w:val="3"/>
          </w:tcPr>
          <w:p w:rsidR="007A0EA7" w:rsidRDefault="007A0EA7" w:rsidP="000A6319"/>
        </w:tc>
        <w:tc>
          <w:tcPr>
            <w:tcW w:w="880" w:type="dxa"/>
            <w:gridSpan w:val="3"/>
          </w:tcPr>
          <w:p w:rsidR="007A0EA7" w:rsidRDefault="007A0EA7" w:rsidP="000A6319"/>
        </w:tc>
      </w:tr>
      <w:tr w:rsidR="00F60C84" w:rsidTr="00B74420">
        <w:trPr>
          <w:trHeight w:val="2622"/>
        </w:trPr>
        <w:tc>
          <w:tcPr>
            <w:tcW w:w="2101" w:type="dxa"/>
            <w:shd w:val="clear" w:color="auto" w:fill="auto"/>
          </w:tcPr>
          <w:p w:rsidR="00337F6E" w:rsidRDefault="00C817B5" w:rsidP="006D2284">
            <w:r w:rsidRPr="00354A09">
              <w:lastRenderedPageBreak/>
              <w:t>М</w:t>
            </w:r>
            <w:r w:rsidR="003B747A" w:rsidRPr="00354A09">
              <w:t xml:space="preserve">ярката </w:t>
            </w:r>
            <w:r w:rsidRPr="00354A09">
              <w:t xml:space="preserve">е предложена </w:t>
            </w:r>
            <w:r w:rsidR="006D2284" w:rsidRPr="00354A09">
              <w:t>да</w:t>
            </w:r>
            <w:r w:rsidRPr="00354A09">
              <w:t xml:space="preserve"> </w:t>
            </w:r>
            <w:r w:rsidR="003B747A" w:rsidRPr="00354A09">
              <w:t xml:space="preserve">се изпълнява с цел недопускане на вероятно обвързване между </w:t>
            </w:r>
            <w:r w:rsidR="00EF6E4F" w:rsidRPr="00354A09">
              <w:t>проверяващи и проверявани</w:t>
            </w:r>
            <w:r w:rsidR="003B747A" w:rsidRPr="00354A09">
              <w:t>. (</w:t>
            </w:r>
            <w:r w:rsidR="003B747A" w:rsidRPr="00354A09">
              <w:rPr>
                <w:i/>
              </w:rPr>
              <w:t>процедура, предложена с чл. 7, ал.1</w:t>
            </w:r>
            <w:r w:rsidR="00FD2F34">
              <w:rPr>
                <w:i/>
              </w:rPr>
              <w:t>,</w:t>
            </w:r>
            <w:r w:rsidR="003B747A" w:rsidRPr="00354A09">
              <w:rPr>
                <w:i/>
              </w:rPr>
              <w:t xml:space="preserve"> т.</w:t>
            </w:r>
            <w:r w:rsidR="00FD2F34">
              <w:rPr>
                <w:i/>
              </w:rPr>
              <w:t xml:space="preserve"> </w:t>
            </w:r>
            <w:r w:rsidR="003B747A" w:rsidRPr="00354A09">
              <w:rPr>
                <w:i/>
              </w:rPr>
              <w:t>б от Конвенция</w:t>
            </w:r>
            <w:r w:rsidR="00FD2F34">
              <w:rPr>
                <w:i/>
              </w:rPr>
              <w:t xml:space="preserve"> на ООН с/у ко</w:t>
            </w:r>
            <w:r w:rsidR="003B747A" w:rsidRPr="00354A09">
              <w:rPr>
                <w:i/>
              </w:rPr>
              <w:t>рупцията</w:t>
            </w:r>
            <w:r w:rsidR="003B747A" w:rsidRPr="00354A09">
              <w:t>)</w:t>
            </w:r>
          </w:p>
        </w:tc>
        <w:tc>
          <w:tcPr>
            <w:tcW w:w="1995" w:type="dxa"/>
          </w:tcPr>
          <w:p w:rsidR="00337F6E" w:rsidRPr="00337F6E" w:rsidRDefault="00337F6E" w:rsidP="00155130">
            <w:pPr>
              <w:rPr>
                <w:sz w:val="22"/>
                <w:lang w:val="en-US"/>
              </w:rPr>
            </w:pPr>
            <w:r w:rsidRPr="00C705D5">
              <w:rPr>
                <w:sz w:val="22"/>
              </w:rPr>
              <w:br w:type="page"/>
            </w:r>
            <w:r>
              <w:rPr>
                <w:sz w:val="22"/>
              </w:rPr>
              <w:t>2</w:t>
            </w:r>
            <w:r w:rsidRPr="00C705D5">
              <w:rPr>
                <w:sz w:val="22"/>
              </w:rPr>
              <w:t>. Прилагане на комплексен подход и ротационен принцип при осъществяване на контролната дейност от контролните органи в системата на МОСВ и съвместни проверки с други институции (</w:t>
            </w:r>
            <w:r w:rsidR="00FD2F34" w:rsidRPr="00C705D5">
              <w:rPr>
                <w:sz w:val="22"/>
              </w:rPr>
              <w:t>общини</w:t>
            </w:r>
            <w:r w:rsidRPr="00C705D5">
              <w:rPr>
                <w:sz w:val="22"/>
              </w:rPr>
              <w:t>, ОДБХ, РЗИ, МВР и др.)</w:t>
            </w:r>
          </w:p>
        </w:tc>
        <w:tc>
          <w:tcPr>
            <w:tcW w:w="1927" w:type="dxa"/>
            <w:gridSpan w:val="2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Организационна/ кадрова</w:t>
            </w:r>
          </w:p>
        </w:tc>
        <w:tc>
          <w:tcPr>
            <w:tcW w:w="2067" w:type="dxa"/>
            <w:gridSpan w:val="3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Намаляване на вероятността за оказване на натиск и обвързване между проверяващи и проверявани</w:t>
            </w:r>
          </w:p>
          <w:p w:rsidR="00337F6E" w:rsidRPr="00C705D5" w:rsidRDefault="00337F6E" w:rsidP="00155130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1854" w:type="dxa"/>
            <w:gridSpan w:val="3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Извършени проверки- установени нарушения, съставени КП, предписания, АУАН и НП</w:t>
            </w:r>
          </w:p>
        </w:tc>
        <w:tc>
          <w:tcPr>
            <w:tcW w:w="1957" w:type="dxa"/>
            <w:gridSpan w:val="7"/>
          </w:tcPr>
          <w:p w:rsidR="00337F6E" w:rsidRPr="00C705D5" w:rsidRDefault="00337F6E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РИОСВ, БД и ДНП</w:t>
            </w:r>
          </w:p>
          <w:p w:rsidR="00337F6E" w:rsidRPr="00C705D5" w:rsidRDefault="00337F6E" w:rsidP="00155130">
            <w:pPr>
              <w:rPr>
                <w:sz w:val="22"/>
              </w:rPr>
            </w:pPr>
          </w:p>
        </w:tc>
        <w:tc>
          <w:tcPr>
            <w:tcW w:w="1645" w:type="dxa"/>
            <w:gridSpan w:val="3"/>
          </w:tcPr>
          <w:p w:rsidR="00337F6E" w:rsidRDefault="00337F6E" w:rsidP="000A6319"/>
        </w:tc>
        <w:tc>
          <w:tcPr>
            <w:tcW w:w="880" w:type="dxa"/>
            <w:gridSpan w:val="3"/>
          </w:tcPr>
          <w:p w:rsidR="00337F6E" w:rsidRDefault="00337F6E" w:rsidP="000A6319"/>
        </w:tc>
      </w:tr>
      <w:tr w:rsidR="005D0487" w:rsidTr="00BF5DF8">
        <w:trPr>
          <w:trHeight w:val="2126"/>
        </w:trPr>
        <w:tc>
          <w:tcPr>
            <w:tcW w:w="2101" w:type="dxa"/>
            <w:shd w:val="clear" w:color="auto" w:fill="auto"/>
          </w:tcPr>
          <w:p w:rsidR="005D0487" w:rsidRPr="00354A09" w:rsidRDefault="005D0487" w:rsidP="005D0487"/>
        </w:tc>
        <w:tc>
          <w:tcPr>
            <w:tcW w:w="1995" w:type="dxa"/>
          </w:tcPr>
          <w:p w:rsidR="005D0487" w:rsidRPr="00C705D5" w:rsidRDefault="005D0487" w:rsidP="00155130">
            <w:pPr>
              <w:rPr>
                <w:sz w:val="22"/>
              </w:rPr>
            </w:pPr>
          </w:p>
        </w:tc>
        <w:tc>
          <w:tcPr>
            <w:tcW w:w="1927" w:type="dxa"/>
            <w:gridSpan w:val="2"/>
          </w:tcPr>
          <w:p w:rsidR="005D0487" w:rsidRPr="00721FEB" w:rsidRDefault="005D0487" w:rsidP="008063E8">
            <w:pPr>
              <w:rPr>
                <w:sz w:val="22"/>
                <w:highlight w:val="yellow"/>
              </w:rPr>
            </w:pPr>
          </w:p>
        </w:tc>
        <w:tc>
          <w:tcPr>
            <w:tcW w:w="2067" w:type="dxa"/>
            <w:gridSpan w:val="3"/>
          </w:tcPr>
          <w:p w:rsidR="005D0487" w:rsidRPr="00721FEB" w:rsidRDefault="005D0487" w:rsidP="00155130">
            <w:pPr>
              <w:rPr>
                <w:sz w:val="22"/>
                <w:highlight w:val="yellow"/>
              </w:rPr>
            </w:pPr>
          </w:p>
        </w:tc>
        <w:tc>
          <w:tcPr>
            <w:tcW w:w="1410" w:type="dxa"/>
          </w:tcPr>
          <w:p w:rsidR="005D0487" w:rsidRPr="00C705D5" w:rsidRDefault="005D0487" w:rsidP="00155130">
            <w:pPr>
              <w:rPr>
                <w:sz w:val="22"/>
              </w:rPr>
            </w:pPr>
          </w:p>
        </w:tc>
        <w:tc>
          <w:tcPr>
            <w:tcW w:w="1854" w:type="dxa"/>
            <w:gridSpan w:val="3"/>
          </w:tcPr>
          <w:p w:rsidR="005D0487" w:rsidRPr="00C705D5" w:rsidRDefault="005D0487" w:rsidP="00155130">
            <w:pPr>
              <w:rPr>
                <w:sz w:val="22"/>
              </w:rPr>
            </w:pPr>
          </w:p>
        </w:tc>
        <w:tc>
          <w:tcPr>
            <w:tcW w:w="1957" w:type="dxa"/>
            <w:gridSpan w:val="7"/>
          </w:tcPr>
          <w:p w:rsidR="005D0487" w:rsidRPr="00C705D5" w:rsidRDefault="005D0487" w:rsidP="00155130">
            <w:pPr>
              <w:rPr>
                <w:sz w:val="22"/>
              </w:rPr>
            </w:pPr>
          </w:p>
        </w:tc>
        <w:tc>
          <w:tcPr>
            <w:tcW w:w="1645" w:type="dxa"/>
            <w:gridSpan w:val="3"/>
          </w:tcPr>
          <w:p w:rsidR="005D0487" w:rsidRDefault="005D0487" w:rsidP="000A6319"/>
        </w:tc>
        <w:tc>
          <w:tcPr>
            <w:tcW w:w="880" w:type="dxa"/>
            <w:gridSpan w:val="3"/>
          </w:tcPr>
          <w:p w:rsidR="005D0487" w:rsidRDefault="005D0487" w:rsidP="000A6319"/>
        </w:tc>
      </w:tr>
      <w:tr w:rsidR="00337F6E" w:rsidTr="00B74420">
        <w:trPr>
          <w:trHeight w:val="632"/>
        </w:trPr>
        <w:tc>
          <w:tcPr>
            <w:tcW w:w="15836" w:type="dxa"/>
            <w:gridSpan w:val="24"/>
            <w:shd w:val="clear" w:color="auto" w:fill="auto"/>
          </w:tcPr>
          <w:p w:rsidR="00337F6E" w:rsidRDefault="00337F6E" w:rsidP="000A6319">
            <w: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F60C84" w:rsidTr="00B74420">
        <w:trPr>
          <w:trHeight w:val="873"/>
        </w:trPr>
        <w:tc>
          <w:tcPr>
            <w:tcW w:w="2101" w:type="dxa"/>
            <w:shd w:val="clear" w:color="auto" w:fill="E2EFD9" w:themeFill="accent6" w:themeFillTint="33"/>
          </w:tcPr>
          <w:p w:rsidR="00337F6E" w:rsidRPr="00AC6CE7" w:rsidRDefault="00337F6E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337F6E" w:rsidRPr="00AC6CE7" w:rsidRDefault="00337F6E" w:rsidP="000A6319">
            <w:r w:rsidRPr="00AC6CE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337F6E" w:rsidRPr="00AC6CE7" w:rsidRDefault="00337F6E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337F6E" w:rsidRPr="00AC6CE7" w:rsidRDefault="00337F6E" w:rsidP="000A6319">
            <w:r w:rsidRPr="00AC6CE7"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337F6E" w:rsidRPr="00AC6CE7" w:rsidRDefault="00337F6E" w:rsidP="000A6319">
            <w:r>
              <w:t>Срок за изпълнение и етапи</w:t>
            </w:r>
          </w:p>
        </w:tc>
        <w:tc>
          <w:tcPr>
            <w:tcW w:w="2065" w:type="dxa"/>
            <w:gridSpan w:val="4"/>
            <w:shd w:val="clear" w:color="auto" w:fill="E2EFD9" w:themeFill="accent6" w:themeFillTint="33"/>
          </w:tcPr>
          <w:p w:rsidR="00337F6E" w:rsidRPr="00AC6CE7" w:rsidRDefault="00337F6E" w:rsidP="000A6319">
            <w:r>
              <w:t>Индикатор</w:t>
            </w:r>
          </w:p>
        </w:tc>
        <w:tc>
          <w:tcPr>
            <w:tcW w:w="1746" w:type="dxa"/>
            <w:gridSpan w:val="6"/>
            <w:shd w:val="clear" w:color="auto" w:fill="E2EFD9" w:themeFill="accent6" w:themeFillTint="33"/>
          </w:tcPr>
          <w:p w:rsidR="00337F6E" w:rsidRDefault="00337F6E" w:rsidP="000A6319">
            <w:r>
              <w:t>Отговорно лице</w:t>
            </w:r>
          </w:p>
        </w:tc>
        <w:tc>
          <w:tcPr>
            <w:tcW w:w="1215" w:type="dxa"/>
            <w:gridSpan w:val="2"/>
            <w:shd w:val="clear" w:color="auto" w:fill="E2EFD9" w:themeFill="accent6" w:themeFillTint="33"/>
          </w:tcPr>
          <w:p w:rsidR="00337F6E" w:rsidRDefault="00337F6E" w:rsidP="000A6319">
            <w:r>
              <w:t>Изпълнение/ неизпълнение</w:t>
            </w:r>
          </w:p>
        </w:tc>
        <w:tc>
          <w:tcPr>
            <w:tcW w:w="1310" w:type="dxa"/>
            <w:gridSpan w:val="4"/>
            <w:shd w:val="clear" w:color="auto" w:fill="E2EFD9" w:themeFill="accent6" w:themeFillTint="33"/>
          </w:tcPr>
          <w:p w:rsidR="00337F6E" w:rsidRDefault="00337F6E" w:rsidP="000A6319">
            <w:r>
              <w:t>Причини при неизпълнение</w:t>
            </w:r>
          </w:p>
        </w:tc>
      </w:tr>
      <w:tr w:rsidR="00612ADC" w:rsidTr="00B74420">
        <w:trPr>
          <w:trHeight w:val="1942"/>
        </w:trPr>
        <w:tc>
          <w:tcPr>
            <w:tcW w:w="2101" w:type="dxa"/>
          </w:tcPr>
          <w:p w:rsidR="007C512C" w:rsidRDefault="00BE4BB9" w:rsidP="006D2284">
            <w:r w:rsidRPr="00354A09">
              <w:lastRenderedPageBreak/>
              <w:t>Не е идентифициран конкретен случай</w:t>
            </w:r>
            <w:r w:rsidR="006D2284" w:rsidRPr="00354A09">
              <w:t>.</w:t>
            </w:r>
            <w:r w:rsidRPr="00354A09">
              <w:t xml:space="preserve"> </w:t>
            </w:r>
            <w:r w:rsidR="006D2284" w:rsidRPr="00354A09">
              <w:t>М</w:t>
            </w:r>
            <w:r w:rsidRPr="00354A09">
              <w:t xml:space="preserve">ярката </w:t>
            </w:r>
            <w:r w:rsidR="004007AB" w:rsidRPr="00354A09">
              <w:t xml:space="preserve">е предложена </w:t>
            </w:r>
            <w:r w:rsidR="006D2284" w:rsidRPr="00354A09">
              <w:t>да</w:t>
            </w:r>
            <w:r w:rsidR="004007AB" w:rsidRPr="00354A09">
              <w:t xml:space="preserve"> </w:t>
            </w:r>
            <w:r w:rsidRPr="00354A09">
              <w:t>се изпълнява с цел недопускане на предпоставките за възникване на корупционен риск за служителите координиращи процедурите по ЕО и ОВОС</w:t>
            </w:r>
          </w:p>
        </w:tc>
        <w:tc>
          <w:tcPr>
            <w:tcW w:w="1995" w:type="dxa"/>
          </w:tcPr>
          <w:p w:rsidR="007C512C" w:rsidRPr="00C705D5" w:rsidRDefault="007C512C" w:rsidP="00155130">
            <w:pPr>
              <w:rPr>
                <w:sz w:val="22"/>
                <w:highlight w:val="yellow"/>
              </w:rPr>
            </w:pPr>
            <w:r>
              <w:rPr>
                <w:sz w:val="22"/>
                <w:lang w:val="en-US"/>
              </w:rPr>
              <w:t>1</w:t>
            </w:r>
            <w:r w:rsidRPr="00C705D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C705D5">
              <w:rPr>
                <w:sz w:val="22"/>
              </w:rPr>
              <w:t>Прилагане на ротационен подход на разпределяне на преписките по процедурите по ЕО и ОВОС</w:t>
            </w:r>
          </w:p>
        </w:tc>
        <w:tc>
          <w:tcPr>
            <w:tcW w:w="1927" w:type="dxa"/>
            <w:gridSpan w:val="2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</w:t>
            </w:r>
          </w:p>
        </w:tc>
        <w:tc>
          <w:tcPr>
            <w:tcW w:w="2067" w:type="dxa"/>
            <w:gridSpan w:val="3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Намаляване на предпоставките за възникване на корупционен риск за служителите координиращи процедурите по ЕО и ОВОС</w:t>
            </w:r>
          </w:p>
        </w:tc>
        <w:tc>
          <w:tcPr>
            <w:tcW w:w="1410" w:type="dxa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2065" w:type="dxa"/>
            <w:gridSpan w:val="4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Подадени жалби, забавено произнасяне</w:t>
            </w:r>
          </w:p>
        </w:tc>
        <w:tc>
          <w:tcPr>
            <w:tcW w:w="1746" w:type="dxa"/>
            <w:gridSpan w:val="6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 на дирекция ЕООВОСПЗ</w:t>
            </w:r>
          </w:p>
        </w:tc>
        <w:tc>
          <w:tcPr>
            <w:tcW w:w="1215" w:type="dxa"/>
            <w:gridSpan w:val="2"/>
          </w:tcPr>
          <w:p w:rsidR="007C512C" w:rsidRDefault="007C512C" w:rsidP="000A6319"/>
        </w:tc>
        <w:tc>
          <w:tcPr>
            <w:tcW w:w="1310" w:type="dxa"/>
            <w:gridSpan w:val="4"/>
          </w:tcPr>
          <w:p w:rsidR="007C512C" w:rsidRDefault="007C512C" w:rsidP="000A6319"/>
        </w:tc>
      </w:tr>
      <w:tr w:rsidR="00575967" w:rsidTr="000572ED">
        <w:trPr>
          <w:trHeight w:val="566"/>
        </w:trPr>
        <w:tc>
          <w:tcPr>
            <w:tcW w:w="2101" w:type="dxa"/>
          </w:tcPr>
          <w:p w:rsidR="007C512C" w:rsidRDefault="002F43F2" w:rsidP="004B0065">
            <w:r w:rsidRPr="00354A09">
              <w:t xml:space="preserve">Мярката е предложена </w:t>
            </w:r>
            <w:r w:rsidR="004B0065" w:rsidRPr="00354A09">
              <w:t>да</w:t>
            </w:r>
            <w:r w:rsidRPr="00354A09">
              <w:t xml:space="preserve"> се изпълнява в съответствие с антикорупционните политики за публичност, прозрачност и отчетност.</w:t>
            </w:r>
          </w:p>
        </w:tc>
        <w:tc>
          <w:tcPr>
            <w:tcW w:w="1995" w:type="dxa"/>
          </w:tcPr>
          <w:p w:rsidR="007C512C" w:rsidRPr="00C705D5" w:rsidRDefault="007C512C" w:rsidP="00155130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Pr="00C705D5">
              <w:rPr>
                <w:sz w:val="22"/>
              </w:rPr>
              <w:t>. Поддържане на електронни досиета на административно наказателните производства във ВРБ съдържащи цялата информация по съставяне на АУАН и последващите действия, до окончателното плащане на наложената санкция/глоба</w:t>
            </w:r>
          </w:p>
        </w:tc>
        <w:tc>
          <w:tcPr>
            <w:tcW w:w="1927" w:type="dxa"/>
            <w:gridSpan w:val="2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</w:t>
            </w:r>
          </w:p>
        </w:tc>
        <w:tc>
          <w:tcPr>
            <w:tcW w:w="2067" w:type="dxa"/>
            <w:gridSpan w:val="3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Проследяемост на предприетите административно-наказателни мерки и постигнати резултати</w:t>
            </w:r>
          </w:p>
        </w:tc>
        <w:tc>
          <w:tcPr>
            <w:tcW w:w="1410" w:type="dxa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2065" w:type="dxa"/>
            <w:gridSpan w:val="4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Вписани административно-наказателни преписки и проследяемост на резултатите</w:t>
            </w:r>
          </w:p>
        </w:tc>
        <w:tc>
          <w:tcPr>
            <w:tcW w:w="1746" w:type="dxa"/>
            <w:gridSpan w:val="6"/>
          </w:tcPr>
          <w:p w:rsidR="007C512C" w:rsidRPr="00C705D5" w:rsidRDefault="007C512C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РИОСВ, БД, ДНП</w:t>
            </w:r>
          </w:p>
        </w:tc>
        <w:tc>
          <w:tcPr>
            <w:tcW w:w="1215" w:type="dxa"/>
            <w:gridSpan w:val="2"/>
          </w:tcPr>
          <w:p w:rsidR="007C512C" w:rsidRDefault="007C512C" w:rsidP="000A6319"/>
        </w:tc>
        <w:tc>
          <w:tcPr>
            <w:tcW w:w="1310" w:type="dxa"/>
            <w:gridSpan w:val="4"/>
          </w:tcPr>
          <w:p w:rsidR="007C512C" w:rsidRDefault="007C512C" w:rsidP="000A6319"/>
        </w:tc>
      </w:tr>
      <w:tr w:rsidR="007C512C" w:rsidTr="00B74420">
        <w:trPr>
          <w:trHeight w:val="755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7C512C" w:rsidRDefault="007C512C" w:rsidP="000A6319">
            <w: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F60C84" w:rsidTr="00B74420">
        <w:trPr>
          <w:trHeight w:val="301"/>
        </w:trPr>
        <w:tc>
          <w:tcPr>
            <w:tcW w:w="2101" w:type="dxa"/>
            <w:shd w:val="clear" w:color="auto" w:fill="E2EFD9" w:themeFill="accent6" w:themeFillTint="33"/>
          </w:tcPr>
          <w:p w:rsidR="007C512C" w:rsidRPr="00AC6CE7" w:rsidRDefault="007C512C" w:rsidP="000A6319">
            <w:r>
              <w:lastRenderedPageBreak/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7C512C" w:rsidRPr="00AC6CE7" w:rsidRDefault="007C512C" w:rsidP="000A6319">
            <w:r>
              <w:t>Срок за изпълнение и етапи</w:t>
            </w:r>
          </w:p>
        </w:tc>
        <w:tc>
          <w:tcPr>
            <w:tcW w:w="2281" w:type="dxa"/>
            <w:gridSpan w:val="6"/>
            <w:shd w:val="clear" w:color="auto" w:fill="E2EFD9" w:themeFill="accent6" w:themeFillTint="33"/>
          </w:tcPr>
          <w:p w:rsidR="007C512C" w:rsidRPr="00AC6CE7" w:rsidRDefault="007C512C" w:rsidP="000A6319">
            <w:r>
              <w:t xml:space="preserve">Индикатор </w:t>
            </w:r>
          </w:p>
        </w:tc>
        <w:tc>
          <w:tcPr>
            <w:tcW w:w="1530" w:type="dxa"/>
            <w:gridSpan w:val="4"/>
            <w:shd w:val="clear" w:color="auto" w:fill="E2EFD9" w:themeFill="accent6" w:themeFillTint="33"/>
          </w:tcPr>
          <w:p w:rsidR="007C512C" w:rsidRDefault="007C512C" w:rsidP="000A6319">
            <w:r>
              <w:t>Отговорно лице</w:t>
            </w:r>
          </w:p>
        </w:tc>
        <w:tc>
          <w:tcPr>
            <w:tcW w:w="1215" w:type="dxa"/>
            <w:gridSpan w:val="2"/>
            <w:shd w:val="clear" w:color="auto" w:fill="E2EFD9" w:themeFill="accent6" w:themeFillTint="33"/>
          </w:tcPr>
          <w:p w:rsidR="007C512C" w:rsidRDefault="007C512C" w:rsidP="000A6319">
            <w:r>
              <w:t>Изпълнение/ неизпълнение</w:t>
            </w:r>
          </w:p>
        </w:tc>
        <w:tc>
          <w:tcPr>
            <w:tcW w:w="1310" w:type="dxa"/>
            <w:gridSpan w:val="4"/>
            <w:shd w:val="clear" w:color="auto" w:fill="E2EFD9" w:themeFill="accent6" w:themeFillTint="33"/>
          </w:tcPr>
          <w:p w:rsidR="007C512C" w:rsidRDefault="007C512C" w:rsidP="000A6319">
            <w:r>
              <w:t>Причини при неизпълнение</w:t>
            </w:r>
          </w:p>
        </w:tc>
      </w:tr>
      <w:tr w:rsidR="00E54D4F" w:rsidTr="00B74420">
        <w:trPr>
          <w:trHeight w:val="444"/>
        </w:trPr>
        <w:tc>
          <w:tcPr>
            <w:tcW w:w="15836" w:type="dxa"/>
            <w:gridSpan w:val="24"/>
          </w:tcPr>
          <w:p w:rsidR="00E54D4F" w:rsidRDefault="00E54D4F" w:rsidP="000A6319">
            <w:r w:rsidRPr="00C705D5">
              <w:rPr>
                <w:sz w:val="22"/>
              </w:rPr>
              <w:t xml:space="preserve">Не </w:t>
            </w:r>
            <w:r>
              <w:rPr>
                <w:sz w:val="22"/>
              </w:rPr>
              <w:t>е приложимо за системата на МОСВ.</w:t>
            </w:r>
          </w:p>
        </w:tc>
      </w:tr>
      <w:tr w:rsidR="007C512C" w:rsidTr="00B74420">
        <w:trPr>
          <w:trHeight w:val="667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7C512C" w:rsidRDefault="007C512C" w:rsidP="000A6319">
            <w:r>
              <w:t xml:space="preserve">Корупционен риск – празноти в закони и неясна нормативна уредба, </w:t>
            </w:r>
            <w:proofErr w:type="spellStart"/>
            <w:r>
              <w:t>предпоставящи</w:t>
            </w:r>
            <w:proofErr w:type="spellEnd"/>
            <w:r>
              <w:t xml:space="preserve"> за противоречиво тълкуване и/или прилагане на нормативните актове</w:t>
            </w:r>
          </w:p>
        </w:tc>
      </w:tr>
      <w:tr w:rsidR="00F60C84" w:rsidTr="00B74420">
        <w:trPr>
          <w:gridAfter w:val="1"/>
          <w:wAfter w:w="14" w:type="dxa"/>
          <w:trHeight w:val="1234"/>
        </w:trPr>
        <w:tc>
          <w:tcPr>
            <w:tcW w:w="2101" w:type="dxa"/>
            <w:shd w:val="clear" w:color="auto" w:fill="E2EFD9" w:themeFill="accent6" w:themeFillTint="33"/>
          </w:tcPr>
          <w:p w:rsidR="007C512C" w:rsidRPr="00AC6CE7" w:rsidRDefault="007C512C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7C512C" w:rsidRPr="00AC6CE7" w:rsidRDefault="007C512C" w:rsidP="000A6319">
            <w:r w:rsidRPr="00AC6CE7"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7C512C" w:rsidRPr="00AC6CE7" w:rsidRDefault="007C512C" w:rsidP="000A6319">
            <w:r>
              <w:t>Срок за изпълнение и етапи</w:t>
            </w:r>
          </w:p>
        </w:tc>
        <w:tc>
          <w:tcPr>
            <w:tcW w:w="2266" w:type="dxa"/>
            <w:gridSpan w:val="5"/>
            <w:shd w:val="clear" w:color="auto" w:fill="E2EFD9" w:themeFill="accent6" w:themeFillTint="33"/>
          </w:tcPr>
          <w:p w:rsidR="007C512C" w:rsidRPr="00AC6CE7" w:rsidRDefault="007C512C" w:rsidP="000A6319">
            <w:r>
              <w:t xml:space="preserve">Индикатор </w:t>
            </w:r>
          </w:p>
        </w:tc>
        <w:tc>
          <w:tcPr>
            <w:tcW w:w="1531" w:type="dxa"/>
            <w:gridSpan w:val="4"/>
            <w:shd w:val="clear" w:color="auto" w:fill="E2EFD9" w:themeFill="accent6" w:themeFillTint="33"/>
          </w:tcPr>
          <w:p w:rsidR="007C512C" w:rsidRDefault="007C512C" w:rsidP="000A6319">
            <w:r>
              <w:t>Отговорно лице</w:t>
            </w:r>
          </w:p>
        </w:tc>
        <w:tc>
          <w:tcPr>
            <w:tcW w:w="1215" w:type="dxa"/>
            <w:gridSpan w:val="2"/>
            <w:shd w:val="clear" w:color="auto" w:fill="E2EFD9" w:themeFill="accent6" w:themeFillTint="33"/>
          </w:tcPr>
          <w:p w:rsidR="007C512C" w:rsidRDefault="007C512C" w:rsidP="000A6319">
            <w:r>
              <w:t>Изпълнение/ неизпълнение</w:t>
            </w:r>
          </w:p>
        </w:tc>
        <w:tc>
          <w:tcPr>
            <w:tcW w:w="1310" w:type="dxa"/>
            <w:gridSpan w:val="4"/>
            <w:shd w:val="clear" w:color="auto" w:fill="E2EFD9" w:themeFill="accent6" w:themeFillTint="33"/>
          </w:tcPr>
          <w:p w:rsidR="007C512C" w:rsidRDefault="007C512C" w:rsidP="000A6319">
            <w:r>
              <w:t>Причини при неизпълнение</w:t>
            </w:r>
          </w:p>
        </w:tc>
      </w:tr>
      <w:tr w:rsidR="00612ADC" w:rsidTr="00B74420">
        <w:trPr>
          <w:gridAfter w:val="1"/>
          <w:wAfter w:w="14" w:type="dxa"/>
          <w:trHeight w:val="1616"/>
        </w:trPr>
        <w:tc>
          <w:tcPr>
            <w:tcW w:w="2101" w:type="dxa"/>
          </w:tcPr>
          <w:p w:rsidR="009A69E2" w:rsidRDefault="00AE0BD9" w:rsidP="000A6319">
            <w:r w:rsidRPr="00354A09">
              <w:t>Мярката е предложена да се изпълнява в съответствие с антикорупционните политики за адекватност, публичност и прозрачност.</w:t>
            </w:r>
          </w:p>
        </w:tc>
        <w:tc>
          <w:tcPr>
            <w:tcW w:w="1995" w:type="dxa"/>
          </w:tcPr>
          <w:p w:rsidR="00FA52CB" w:rsidRPr="00C705D5" w:rsidRDefault="005A7180" w:rsidP="0015513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A52CB" w:rsidRPr="00C705D5">
              <w:rPr>
                <w:sz w:val="22"/>
              </w:rPr>
              <w:t xml:space="preserve">Периодичен преглед и актуализация на вътрешно ведомствени актове с цел предотвратяване на условията за корупционни практики; противоречиви практики и попълване на празноти в </w:t>
            </w:r>
            <w:r w:rsidR="00FA52CB" w:rsidRPr="00C705D5">
              <w:rPr>
                <w:sz w:val="22"/>
              </w:rPr>
              <w:lastRenderedPageBreak/>
              <w:t>нормативната уредба</w:t>
            </w:r>
          </w:p>
        </w:tc>
        <w:tc>
          <w:tcPr>
            <w:tcW w:w="1927" w:type="dxa"/>
            <w:gridSpan w:val="2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организационна /промени в нормативната уредба</w:t>
            </w: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Актуална и съответстваща на законодателството вътрешна нормативна уредба</w:t>
            </w:r>
          </w:p>
        </w:tc>
        <w:tc>
          <w:tcPr>
            <w:tcW w:w="1410" w:type="dxa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2266" w:type="dxa"/>
            <w:gridSpan w:val="5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Актуализирани вътрешни правила и процедури</w:t>
            </w:r>
          </w:p>
        </w:tc>
        <w:tc>
          <w:tcPr>
            <w:tcW w:w="1531" w:type="dxa"/>
            <w:gridSpan w:val="4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дирекции в МОСВ;</w:t>
            </w:r>
          </w:p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РИОСВ, БД, ДНП, ИАОС</w:t>
            </w:r>
          </w:p>
        </w:tc>
        <w:tc>
          <w:tcPr>
            <w:tcW w:w="1215" w:type="dxa"/>
            <w:gridSpan w:val="2"/>
          </w:tcPr>
          <w:p w:rsidR="00FA52CB" w:rsidRDefault="00FA52CB" w:rsidP="000A6319"/>
        </w:tc>
        <w:tc>
          <w:tcPr>
            <w:tcW w:w="1310" w:type="dxa"/>
            <w:gridSpan w:val="4"/>
          </w:tcPr>
          <w:p w:rsidR="00FA52CB" w:rsidRDefault="00FA52CB" w:rsidP="000A6319"/>
        </w:tc>
      </w:tr>
      <w:tr w:rsidR="005A7180" w:rsidTr="00B74420">
        <w:trPr>
          <w:gridAfter w:val="1"/>
          <w:wAfter w:w="14" w:type="dxa"/>
          <w:trHeight w:val="1616"/>
        </w:trPr>
        <w:tc>
          <w:tcPr>
            <w:tcW w:w="2101" w:type="dxa"/>
          </w:tcPr>
          <w:p w:rsidR="005A7180" w:rsidRPr="00354A09" w:rsidRDefault="005A7180" w:rsidP="000A6319">
            <w:r w:rsidRPr="007C7B2A">
              <w:lastRenderedPageBreak/>
              <w:t>Мярката е предложена да се изпълнява във връзка с вероятност от неправилно тълкуване на нормативните разпоредби, от които могат да последват/произтичат неблагоприятни последствия върху различни субекти в сферата на сектор околна среда.</w:t>
            </w:r>
          </w:p>
        </w:tc>
        <w:tc>
          <w:tcPr>
            <w:tcW w:w="1995" w:type="dxa"/>
          </w:tcPr>
          <w:p w:rsidR="005A7180" w:rsidRPr="007C7B2A" w:rsidRDefault="005A7180" w:rsidP="00155130">
            <w:pPr>
              <w:rPr>
                <w:sz w:val="22"/>
              </w:rPr>
            </w:pPr>
            <w:r w:rsidRPr="007C7B2A">
              <w:rPr>
                <w:sz w:val="22"/>
              </w:rPr>
              <w:t>Еднакво тълкуване и прилагане в практиката на нормативните актове и указания на МОСВ във всички ВРБ</w:t>
            </w:r>
          </w:p>
        </w:tc>
        <w:tc>
          <w:tcPr>
            <w:tcW w:w="1927" w:type="dxa"/>
            <w:gridSpan w:val="2"/>
          </w:tcPr>
          <w:p w:rsidR="005A7180" w:rsidRPr="007C7B2A" w:rsidRDefault="005A7180" w:rsidP="00155130">
            <w:pPr>
              <w:rPr>
                <w:sz w:val="22"/>
              </w:rPr>
            </w:pPr>
            <w:r w:rsidRPr="007C7B2A">
              <w:rPr>
                <w:sz w:val="22"/>
              </w:rPr>
              <w:t>организационна</w:t>
            </w:r>
          </w:p>
        </w:tc>
        <w:tc>
          <w:tcPr>
            <w:tcW w:w="2067" w:type="dxa"/>
            <w:gridSpan w:val="3"/>
          </w:tcPr>
          <w:p w:rsidR="005A7180" w:rsidRPr="007C7B2A" w:rsidRDefault="005A7180" w:rsidP="00155130">
            <w:pPr>
              <w:rPr>
                <w:sz w:val="22"/>
              </w:rPr>
            </w:pPr>
            <w:r w:rsidRPr="007C7B2A">
              <w:rPr>
                <w:sz w:val="22"/>
              </w:rPr>
              <w:t>Унифициране на прилагане на актовете и недопускане на субективно отношение</w:t>
            </w:r>
          </w:p>
        </w:tc>
        <w:tc>
          <w:tcPr>
            <w:tcW w:w="1410" w:type="dxa"/>
          </w:tcPr>
          <w:p w:rsidR="005A7180" w:rsidRPr="007C7B2A" w:rsidRDefault="005A7180" w:rsidP="00155130">
            <w:pPr>
              <w:rPr>
                <w:sz w:val="22"/>
              </w:rPr>
            </w:pPr>
            <w:r w:rsidRPr="007C7B2A">
              <w:rPr>
                <w:sz w:val="22"/>
              </w:rPr>
              <w:t>Постоянен</w:t>
            </w:r>
          </w:p>
        </w:tc>
        <w:tc>
          <w:tcPr>
            <w:tcW w:w="2266" w:type="dxa"/>
            <w:gridSpan w:val="5"/>
          </w:tcPr>
          <w:p w:rsidR="005A7180" w:rsidRPr="007C7B2A" w:rsidRDefault="005A7180" w:rsidP="00155130">
            <w:pPr>
              <w:rPr>
                <w:sz w:val="22"/>
              </w:rPr>
            </w:pPr>
            <w:r w:rsidRPr="007C7B2A">
              <w:rPr>
                <w:sz w:val="22"/>
              </w:rPr>
              <w:t>Брой проведени срещи и обучение на служители във ВРБ</w:t>
            </w:r>
            <w:r w:rsidR="00E43530" w:rsidRPr="007C7B2A">
              <w:rPr>
                <w:sz w:val="22"/>
              </w:rPr>
              <w:t xml:space="preserve"> и издадени указания от специализираната администрация към ВРБ</w:t>
            </w:r>
          </w:p>
        </w:tc>
        <w:tc>
          <w:tcPr>
            <w:tcW w:w="1531" w:type="dxa"/>
            <w:gridSpan w:val="4"/>
          </w:tcPr>
          <w:p w:rsidR="005A7180" w:rsidRPr="007C7B2A" w:rsidRDefault="005A7180" w:rsidP="00155130">
            <w:pPr>
              <w:rPr>
                <w:sz w:val="22"/>
              </w:rPr>
            </w:pPr>
            <w:r w:rsidRPr="007C7B2A">
              <w:rPr>
                <w:sz w:val="22"/>
              </w:rPr>
              <w:t>Директори на дирекции в МОСВ</w:t>
            </w:r>
          </w:p>
        </w:tc>
        <w:tc>
          <w:tcPr>
            <w:tcW w:w="1215" w:type="dxa"/>
            <w:gridSpan w:val="2"/>
          </w:tcPr>
          <w:p w:rsidR="005A7180" w:rsidRDefault="005A7180" w:rsidP="000A6319"/>
        </w:tc>
        <w:tc>
          <w:tcPr>
            <w:tcW w:w="1310" w:type="dxa"/>
            <w:gridSpan w:val="4"/>
          </w:tcPr>
          <w:p w:rsidR="005A7180" w:rsidRDefault="005A7180" w:rsidP="000A6319"/>
        </w:tc>
      </w:tr>
      <w:tr w:rsidR="00FA52CB" w:rsidTr="00B74420">
        <w:trPr>
          <w:trHeight w:val="525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FA52CB" w:rsidRDefault="00FA52CB" w:rsidP="000A6319">
            <w:r>
              <w:t>Други мерки с оглед специфичните рискове в съответните ведомства</w:t>
            </w:r>
          </w:p>
        </w:tc>
      </w:tr>
      <w:tr w:rsidR="00F60C84" w:rsidTr="00B74420">
        <w:trPr>
          <w:trHeight w:val="270"/>
        </w:trPr>
        <w:tc>
          <w:tcPr>
            <w:tcW w:w="2101" w:type="dxa"/>
            <w:shd w:val="clear" w:color="auto" w:fill="E2EFD9" w:themeFill="accent6" w:themeFillTint="33"/>
          </w:tcPr>
          <w:p w:rsidR="00FA52CB" w:rsidRPr="00AC6CE7" w:rsidRDefault="00FA52CB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FA52CB" w:rsidRPr="00AC6CE7" w:rsidRDefault="00FA52CB" w:rsidP="000A6319">
            <w:r w:rsidRPr="00AC6CE7">
              <w:t>Описание на мярката</w:t>
            </w:r>
          </w:p>
        </w:tc>
        <w:tc>
          <w:tcPr>
            <w:tcW w:w="1927" w:type="dxa"/>
            <w:gridSpan w:val="2"/>
            <w:shd w:val="clear" w:color="auto" w:fill="E2EFD9" w:themeFill="accent6" w:themeFillTint="33"/>
          </w:tcPr>
          <w:p w:rsidR="00FA52CB" w:rsidRPr="00AC6CE7" w:rsidRDefault="00FA52CB" w:rsidP="000A6319">
            <w:r w:rsidRPr="00AC6CE7">
              <w:t xml:space="preserve">Насоченост на мярката – организационен/ кадрови/ промени в </w:t>
            </w:r>
            <w:r w:rsidRPr="00AC6CE7">
              <w:lastRenderedPageBreak/>
              <w:t>нормативната уредба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FA52CB" w:rsidRPr="00AC6CE7" w:rsidRDefault="00FA52CB" w:rsidP="000A6319">
            <w:r w:rsidRPr="00AC6CE7">
              <w:lastRenderedPageBreak/>
              <w:t xml:space="preserve">Крайна цел на мярката </w:t>
            </w:r>
          </w:p>
        </w:tc>
        <w:tc>
          <w:tcPr>
            <w:tcW w:w="1410" w:type="dxa"/>
            <w:shd w:val="clear" w:color="auto" w:fill="E2EFD9" w:themeFill="accent6" w:themeFillTint="33"/>
          </w:tcPr>
          <w:p w:rsidR="00FA52CB" w:rsidRPr="00AC6CE7" w:rsidRDefault="00FA52CB" w:rsidP="000A6319">
            <w:r>
              <w:t>Срок за изпълнение и етапи</w:t>
            </w:r>
          </w:p>
        </w:tc>
        <w:tc>
          <w:tcPr>
            <w:tcW w:w="2496" w:type="dxa"/>
            <w:gridSpan w:val="7"/>
            <w:shd w:val="clear" w:color="auto" w:fill="E2EFD9" w:themeFill="accent6" w:themeFillTint="33"/>
          </w:tcPr>
          <w:p w:rsidR="00FA52CB" w:rsidRPr="000A6319" w:rsidRDefault="00FA52CB" w:rsidP="000A6319">
            <w:r w:rsidRPr="000A6319">
              <w:t xml:space="preserve">Индикатор </w:t>
            </w:r>
          </w:p>
        </w:tc>
        <w:tc>
          <w:tcPr>
            <w:tcW w:w="1315" w:type="dxa"/>
            <w:gridSpan w:val="3"/>
            <w:shd w:val="clear" w:color="auto" w:fill="E2EFD9" w:themeFill="accent6" w:themeFillTint="33"/>
          </w:tcPr>
          <w:p w:rsidR="00FA52CB" w:rsidRDefault="00FA52CB" w:rsidP="000A6319">
            <w:r>
              <w:t>Отговорно лице</w:t>
            </w:r>
          </w:p>
        </w:tc>
        <w:tc>
          <w:tcPr>
            <w:tcW w:w="1769" w:type="dxa"/>
            <w:gridSpan w:val="4"/>
            <w:shd w:val="clear" w:color="auto" w:fill="E2EFD9" w:themeFill="accent6" w:themeFillTint="33"/>
          </w:tcPr>
          <w:p w:rsidR="00FA52CB" w:rsidRDefault="00FA52CB" w:rsidP="000A6319">
            <w:r>
              <w:t>Изпълнение/ неизпълнение</w:t>
            </w:r>
          </w:p>
        </w:tc>
        <w:tc>
          <w:tcPr>
            <w:tcW w:w="756" w:type="dxa"/>
            <w:gridSpan w:val="2"/>
            <w:shd w:val="clear" w:color="auto" w:fill="E2EFD9" w:themeFill="accent6" w:themeFillTint="33"/>
          </w:tcPr>
          <w:p w:rsidR="00FA52CB" w:rsidRDefault="00FA52CB" w:rsidP="000A6319">
            <w:r>
              <w:t>Причини при неизпълнение</w:t>
            </w:r>
          </w:p>
        </w:tc>
      </w:tr>
      <w:tr w:rsidR="00F60C84" w:rsidTr="00E75114">
        <w:trPr>
          <w:trHeight w:val="2268"/>
        </w:trPr>
        <w:tc>
          <w:tcPr>
            <w:tcW w:w="2101" w:type="dxa"/>
            <w:shd w:val="clear" w:color="auto" w:fill="FFFFFF" w:themeFill="background1"/>
          </w:tcPr>
          <w:p w:rsidR="00FA52CB" w:rsidRPr="00354A09" w:rsidRDefault="00A16491" w:rsidP="000A6319">
            <w:r w:rsidRPr="00354A09">
              <w:lastRenderedPageBreak/>
              <w:t>Мярката има за цел насърчаване на активно участие на индивиди и групи (гражданско общество, неправителствени и местни органи</w:t>
            </w:r>
            <w:r w:rsidR="007C7B2A">
              <w:t>з</w:t>
            </w:r>
            <w:r w:rsidRPr="00354A09">
              <w:t>ации и др.) извън МОСВ (публичния сектор) в предотвратяването и борбата с/у корупцията чрез увеличаване на прозрачността и насърчаване на приноса на обществото в процеса на дейността на сектора.</w:t>
            </w:r>
            <w:r w:rsidR="001C0B17" w:rsidRPr="00354A09">
              <w:t xml:space="preserve"> </w:t>
            </w:r>
          </w:p>
        </w:tc>
        <w:tc>
          <w:tcPr>
            <w:tcW w:w="1995" w:type="dxa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Поддържане на различни механизми за подаване и обработване на сигнали за корупция и конфликт на интереси във ВРБ</w:t>
            </w: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  <w:p w:rsidR="00FA52CB" w:rsidRPr="00C705D5" w:rsidRDefault="00FA52CB" w:rsidP="00155130">
            <w:pPr>
              <w:rPr>
                <w:sz w:val="22"/>
              </w:rPr>
            </w:pPr>
          </w:p>
        </w:tc>
        <w:tc>
          <w:tcPr>
            <w:tcW w:w="1927" w:type="dxa"/>
            <w:gridSpan w:val="2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организационна</w:t>
            </w:r>
          </w:p>
        </w:tc>
        <w:tc>
          <w:tcPr>
            <w:tcW w:w="2067" w:type="dxa"/>
            <w:gridSpan w:val="3"/>
            <w:shd w:val="clear" w:color="auto" w:fill="FFFFFF" w:themeFill="background1"/>
          </w:tcPr>
          <w:p w:rsidR="00FA52CB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Поддържане на специализирана рубрика на интернет страниците на ВРБ с посочен телефон и електронна поща. -Информация за постъпили сигнали,</w:t>
            </w:r>
            <w:r w:rsidR="00E75114">
              <w:rPr>
                <w:sz w:val="22"/>
              </w:rPr>
              <w:t xml:space="preserve"> </w:t>
            </w:r>
            <w:r w:rsidRPr="00C705D5">
              <w:rPr>
                <w:sz w:val="22"/>
              </w:rPr>
              <w:t>извършени проверки и установени нарушения; издадени Решения.</w:t>
            </w:r>
          </w:p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Наличие  на пощенски кутии за сигнали на видно място до входа на  административните сгради и физическо подаване на сигнал в деловодството на съответния ВРБ.</w:t>
            </w:r>
          </w:p>
        </w:tc>
        <w:tc>
          <w:tcPr>
            <w:tcW w:w="1410" w:type="dxa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2496" w:type="dxa"/>
            <w:gridSpan w:val="7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Констатирани нарушения и издадени Решения</w:t>
            </w:r>
          </w:p>
        </w:tc>
        <w:tc>
          <w:tcPr>
            <w:tcW w:w="1315" w:type="dxa"/>
            <w:gridSpan w:val="3"/>
            <w:shd w:val="clear" w:color="auto" w:fill="FFFFFF" w:themeFill="background1"/>
          </w:tcPr>
          <w:p w:rsidR="00FA52CB" w:rsidRPr="00C705D5" w:rsidRDefault="00FA52CB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ИАОС, РИОСВ, БД, ДНП</w:t>
            </w:r>
          </w:p>
        </w:tc>
        <w:tc>
          <w:tcPr>
            <w:tcW w:w="1769" w:type="dxa"/>
            <w:gridSpan w:val="4"/>
            <w:shd w:val="clear" w:color="auto" w:fill="FFFFFF" w:themeFill="background1"/>
          </w:tcPr>
          <w:p w:rsidR="00FA52CB" w:rsidRDefault="00FA52CB" w:rsidP="000A6319"/>
        </w:tc>
        <w:tc>
          <w:tcPr>
            <w:tcW w:w="756" w:type="dxa"/>
            <w:gridSpan w:val="2"/>
            <w:shd w:val="clear" w:color="auto" w:fill="FFFFFF" w:themeFill="background1"/>
          </w:tcPr>
          <w:p w:rsidR="00FA52CB" w:rsidRDefault="00FA52CB" w:rsidP="000A6319"/>
        </w:tc>
      </w:tr>
      <w:tr w:rsidR="00FA52CB" w:rsidTr="00B74420">
        <w:trPr>
          <w:trHeight w:val="549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FA52CB" w:rsidRDefault="00FA52CB" w:rsidP="000A6319">
            <w:r>
              <w:t>Мерки за публичност</w:t>
            </w:r>
          </w:p>
        </w:tc>
      </w:tr>
      <w:tr w:rsidR="00575967" w:rsidTr="00B74420">
        <w:trPr>
          <w:trHeight w:val="557"/>
        </w:trPr>
        <w:tc>
          <w:tcPr>
            <w:tcW w:w="2101" w:type="dxa"/>
            <w:shd w:val="clear" w:color="auto" w:fill="E2EFD9" w:themeFill="accent6" w:themeFillTint="33"/>
          </w:tcPr>
          <w:p w:rsidR="00FA52CB" w:rsidRPr="00AC6CE7" w:rsidRDefault="00FA52CB" w:rsidP="000A6319">
            <w:r>
              <w:t>Конкретно идентифициран корупционен риск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FA52CB" w:rsidRDefault="00FA52CB" w:rsidP="000A6319">
            <w:r w:rsidRPr="00AC6CE7">
              <w:t>Описание на мярката</w:t>
            </w:r>
          </w:p>
          <w:p w:rsidR="00FA52CB" w:rsidRDefault="00FA52CB" w:rsidP="000A6319"/>
        </w:tc>
        <w:tc>
          <w:tcPr>
            <w:tcW w:w="3563" w:type="dxa"/>
            <w:gridSpan w:val="4"/>
            <w:shd w:val="clear" w:color="auto" w:fill="E2EFD9" w:themeFill="accent6" w:themeFillTint="33"/>
          </w:tcPr>
          <w:p w:rsidR="00FA52CB" w:rsidRDefault="00FA52CB" w:rsidP="000A6319">
            <w:r>
              <w:t>Срок за изпълнение и етапи</w:t>
            </w:r>
          </w:p>
        </w:tc>
        <w:tc>
          <w:tcPr>
            <w:tcW w:w="5259" w:type="dxa"/>
            <w:gridSpan w:val="10"/>
            <w:shd w:val="clear" w:color="auto" w:fill="E2EFD9" w:themeFill="accent6" w:themeFillTint="33"/>
          </w:tcPr>
          <w:p w:rsidR="00FA52CB" w:rsidRDefault="00FA52CB" w:rsidP="000A6319">
            <w:r w:rsidRPr="00AC6CE7">
              <w:t>Отговорно лице</w:t>
            </w:r>
          </w:p>
          <w:p w:rsidR="00FA52CB" w:rsidRDefault="00FA52CB" w:rsidP="000A6319"/>
        </w:tc>
        <w:tc>
          <w:tcPr>
            <w:tcW w:w="2918" w:type="dxa"/>
            <w:gridSpan w:val="8"/>
            <w:shd w:val="clear" w:color="auto" w:fill="E2EFD9" w:themeFill="accent6" w:themeFillTint="33"/>
          </w:tcPr>
          <w:p w:rsidR="00FA52CB" w:rsidRDefault="00FA52CB" w:rsidP="00F84CD8">
            <w:r>
              <w:t>Причини за неизпълнение</w:t>
            </w:r>
          </w:p>
        </w:tc>
      </w:tr>
      <w:tr w:rsidR="00575967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97325D" w:rsidRPr="00354A09" w:rsidRDefault="0097325D" w:rsidP="0097325D">
            <w:r w:rsidRPr="00354A09">
              <w:lastRenderedPageBreak/>
              <w:t>Не е идентифициран конкретен корупционен риск.</w:t>
            </w:r>
          </w:p>
          <w:p w:rsidR="00B23A77" w:rsidRPr="00354A09" w:rsidRDefault="0097325D" w:rsidP="002D4C22">
            <w:r w:rsidRPr="00354A09">
              <w:t xml:space="preserve">Мярката е предложена </w:t>
            </w:r>
            <w:r w:rsidR="006E0036" w:rsidRPr="00354A09">
              <w:t>да</w:t>
            </w:r>
            <w:r w:rsidRPr="00354A09">
              <w:t xml:space="preserve"> се изпълнява в съответствие с </w:t>
            </w:r>
            <w:r w:rsidR="006E0036" w:rsidRPr="00354A09">
              <w:t>а</w:t>
            </w:r>
            <w:r w:rsidRPr="00354A09">
              <w:t>нтикорупц</w:t>
            </w:r>
            <w:r w:rsidR="006E0036" w:rsidRPr="00354A09">
              <w:t>ионн</w:t>
            </w:r>
            <w:r w:rsidR="002D4C22" w:rsidRPr="00354A09">
              <w:t>а</w:t>
            </w:r>
            <w:r w:rsidR="006E0036" w:rsidRPr="00354A09">
              <w:t>т</w:t>
            </w:r>
            <w:r w:rsidR="002D4C22" w:rsidRPr="00354A09">
              <w:t>а</w:t>
            </w:r>
            <w:r w:rsidR="006E0036" w:rsidRPr="00354A09">
              <w:t xml:space="preserve"> </w:t>
            </w:r>
            <w:r w:rsidRPr="00354A09">
              <w:t>политик</w:t>
            </w:r>
            <w:r w:rsidR="002D4C22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1. Провеждане на допитвания и анкети,</w:t>
            </w:r>
            <w:r w:rsidRPr="00C705D5">
              <w:rPr>
                <w:rFonts w:cs="Times New Roman"/>
                <w:sz w:val="22"/>
              </w:rPr>
              <w:t xml:space="preserve"> </w:t>
            </w:r>
            <w:r w:rsidRPr="00C705D5">
              <w:rPr>
                <w:sz w:val="22"/>
              </w:rPr>
              <w:t>на физически и юридически лица, потребители на административни услуги, предоставяни от министерството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МОСВ – дирекция „</w:t>
            </w:r>
            <w:r>
              <w:rPr>
                <w:sz w:val="22"/>
              </w:rPr>
              <w:t>Административно</w:t>
            </w:r>
          </w:p>
          <w:p w:rsidR="00B23A77" w:rsidRPr="00C705D5" w:rsidRDefault="00F123C9" w:rsidP="00F123C9">
            <w:pPr>
              <w:rPr>
                <w:sz w:val="22"/>
              </w:rPr>
            </w:pPr>
            <w:r>
              <w:rPr>
                <w:sz w:val="22"/>
              </w:rPr>
              <w:t xml:space="preserve">и </w:t>
            </w:r>
            <w:r w:rsidR="00662B2D">
              <w:rPr>
                <w:sz w:val="22"/>
              </w:rPr>
              <w:t>информацион</w:t>
            </w:r>
            <w:r w:rsidR="00FD2F34">
              <w:rPr>
                <w:sz w:val="22"/>
              </w:rPr>
              <w:t>н</w:t>
            </w:r>
            <w:r>
              <w:rPr>
                <w:sz w:val="22"/>
              </w:rPr>
              <w:t xml:space="preserve">о </w:t>
            </w:r>
            <w:r w:rsidR="00B23A77" w:rsidRPr="00C705D5">
              <w:rPr>
                <w:sz w:val="22"/>
              </w:rPr>
              <w:t>обслужване“ и всички ВРБ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B23A77" w:rsidRDefault="00B23A77" w:rsidP="000A6319"/>
        </w:tc>
      </w:tr>
      <w:tr w:rsidR="00B23A77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C73A5C" w:rsidRPr="00354A09" w:rsidRDefault="00C73A5C" w:rsidP="007E2746">
            <w:r w:rsidRPr="00354A09">
              <w:t xml:space="preserve">Мярката </w:t>
            </w:r>
            <w:r w:rsidR="001F0F7F" w:rsidRPr="00354A09">
              <w:t xml:space="preserve">е предложена </w:t>
            </w:r>
            <w:r w:rsidR="007E2746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6E0036" w:rsidRPr="00354A09">
              <w:t>а</w:t>
            </w:r>
            <w:r w:rsidRPr="00354A09">
              <w:t>нтикорупц</w:t>
            </w:r>
            <w:r w:rsidR="002D4C22" w:rsidRPr="00354A09">
              <w:t xml:space="preserve">ионната </w:t>
            </w:r>
            <w:r w:rsidRPr="00354A09">
              <w:t>политик</w:t>
            </w:r>
            <w:r w:rsidR="002D4C22" w:rsidRPr="00354A09">
              <w:t>а</w:t>
            </w:r>
            <w:r w:rsidRPr="00354A09">
              <w:t xml:space="preserve"> за публичност, прозрачност и отчетност. </w:t>
            </w:r>
          </w:p>
        </w:tc>
        <w:tc>
          <w:tcPr>
            <w:tcW w:w="1995" w:type="dxa"/>
            <w:shd w:val="clear" w:color="auto" w:fill="FFFFFF" w:themeFill="background1"/>
          </w:tcPr>
          <w:p w:rsidR="00B23A77" w:rsidRPr="00C705D5" w:rsidRDefault="00580296" w:rsidP="00155130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="00B23A77" w:rsidRPr="00C705D5">
              <w:rPr>
                <w:sz w:val="22"/>
              </w:rPr>
              <w:t>Оповестяване на интернет страницата на МОСВ на резултатите от дейността на Инспектората</w:t>
            </w:r>
          </w:p>
          <w:p w:rsidR="00B23A77" w:rsidRPr="00C705D5" w:rsidRDefault="00B23A77" w:rsidP="00155130">
            <w:pPr>
              <w:rPr>
                <w:sz w:val="22"/>
              </w:rPr>
            </w:pP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B23A77" w:rsidRPr="00C705D5" w:rsidRDefault="00B23A77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Държавен инспектор определен със заповед на министъра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B23A77" w:rsidRDefault="00B23A77" w:rsidP="000A6319"/>
        </w:tc>
      </w:tr>
      <w:tr w:rsidR="00580296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580296" w:rsidRDefault="00C73A5C" w:rsidP="007E2746">
            <w:r w:rsidRPr="00354A09">
              <w:t xml:space="preserve">Мярката </w:t>
            </w:r>
            <w:r w:rsidR="001F0F7F" w:rsidRPr="00354A09">
              <w:t xml:space="preserve">е предложена </w:t>
            </w:r>
            <w:r w:rsidR="007E2746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DF0854" w:rsidRPr="00354A09">
              <w:t>а</w:t>
            </w:r>
            <w:r w:rsidRPr="00354A09">
              <w:t>нтикорупц</w:t>
            </w:r>
            <w:r w:rsidR="00DF0854" w:rsidRPr="00354A09">
              <w:t>ионн</w:t>
            </w:r>
            <w:r w:rsidR="00220964" w:rsidRPr="00354A09">
              <w:t>а</w:t>
            </w:r>
            <w:r w:rsidR="00DF0854" w:rsidRPr="00354A09">
              <w:t>т</w:t>
            </w:r>
            <w:r w:rsidR="00220964" w:rsidRPr="00354A09">
              <w:t>а</w:t>
            </w:r>
            <w:r w:rsidR="00DF0854" w:rsidRPr="00354A09">
              <w:t xml:space="preserve"> </w:t>
            </w:r>
            <w:r w:rsidRPr="00354A09">
              <w:t>политик</w:t>
            </w:r>
            <w:r w:rsidR="00220964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3. Публикуване на интернет страницата на ВРБ, на информация с антикорупционна насоченост, в т.ч. Вътрешни правила за реда и начина за разглеждане на </w:t>
            </w:r>
            <w:r w:rsidRPr="00C705D5">
              <w:rPr>
                <w:sz w:val="22"/>
              </w:rPr>
              <w:lastRenderedPageBreak/>
              <w:t>постъпили сигнали и защита на подателите на сигнали за корупция, конфликт на интереси и несъвместимост и информация за постъпили и отработени сигнали, при спазване изискванията на ЗПКОНПИ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ИАОС, РИОСВ, БД, ДНП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580296" w:rsidRDefault="00580296" w:rsidP="000A6319"/>
        </w:tc>
      </w:tr>
      <w:tr w:rsidR="00580296" w:rsidTr="00B74420">
        <w:trPr>
          <w:trHeight w:val="566"/>
        </w:trPr>
        <w:tc>
          <w:tcPr>
            <w:tcW w:w="2101" w:type="dxa"/>
            <w:shd w:val="clear" w:color="auto" w:fill="FFFFFF" w:themeFill="background1"/>
          </w:tcPr>
          <w:p w:rsidR="003333A9" w:rsidRDefault="003333A9" w:rsidP="00722523">
            <w:r w:rsidRPr="00354A09">
              <w:lastRenderedPageBreak/>
              <w:t xml:space="preserve">Мярката </w:t>
            </w:r>
            <w:r w:rsidR="001F0F7F" w:rsidRPr="00354A09">
              <w:t xml:space="preserve">е предложена </w:t>
            </w:r>
            <w:r w:rsidR="00722523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F47633" w:rsidRPr="00354A09">
              <w:t>а</w:t>
            </w:r>
            <w:r w:rsidRPr="00354A09">
              <w:t>нтикорупц</w:t>
            </w:r>
            <w:r w:rsidR="00F47633" w:rsidRPr="00354A09">
              <w:t xml:space="preserve">ионната </w:t>
            </w:r>
            <w:r w:rsidRPr="00354A09">
              <w:t>политик</w:t>
            </w:r>
            <w:r w:rsidR="00F47633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4. Поддържане на актуалното състояние на публичните електронни регистри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осигуряващо и прозрачност на работата на администрацията като: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-извършване на процедурите по ОВОС;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-извършване на процедури по екологична оценка на планове и програми;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-регистрираните по EMAS организации;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-комплексните разрешителни, съгласно чл. 129, ал. 1 от ЗООС;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 регистър по ЗОПОЕЩ;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-предприятия с висок и нисък рисков потенциал, съгласно чл.111,ал.1, т.6 от ЗООС;</w:t>
            </w:r>
          </w:p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- Поддържане на публични регистри по чл. 45, ал.1 и списъци с разрешения на организациите по оползотворяване и за индивидуално изпълнение на целите по оползотворяване на масово разпространени отпадъци.</w:t>
            </w:r>
          </w:p>
          <w:p w:rsidR="00580296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- Публична информация и документи относно прилагането Регламент </w:t>
            </w:r>
            <w:r w:rsidRPr="00C705D5">
              <w:rPr>
                <w:sz w:val="22"/>
              </w:rPr>
              <w:lastRenderedPageBreak/>
              <w:t>1013/2006 на ЕП и Съвета</w:t>
            </w:r>
            <w:r>
              <w:rPr>
                <w:sz w:val="22"/>
              </w:rPr>
              <w:t>;</w:t>
            </w:r>
          </w:p>
          <w:p w:rsidR="00CB0EAB" w:rsidRPr="00483CD6" w:rsidRDefault="001E361A" w:rsidP="001E361A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- </w:t>
            </w:r>
            <w:r w:rsidR="00580296" w:rsidRPr="001E361A">
              <w:rPr>
                <w:sz w:val="22"/>
              </w:rPr>
              <w:t>Публични електронни регистри по чл.183 от Закона за водите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580296" w:rsidRPr="00C705D5" w:rsidRDefault="00580296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Експерти и инспектори от съответните административни звена на МОСВ , определени със заповед на министъра и всички ВБР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580296" w:rsidRDefault="00580296" w:rsidP="000A6319"/>
        </w:tc>
      </w:tr>
      <w:tr w:rsidR="00964FCF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964FCF" w:rsidRDefault="00575FF3" w:rsidP="00722523">
            <w:r w:rsidRPr="00354A09">
              <w:lastRenderedPageBreak/>
              <w:t xml:space="preserve">Мярката </w:t>
            </w:r>
            <w:r w:rsidR="001F0F7F" w:rsidRPr="00354A09">
              <w:t xml:space="preserve">е предложена </w:t>
            </w:r>
            <w:r w:rsidR="00722523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F47633" w:rsidRPr="00354A09">
              <w:t>а</w:t>
            </w:r>
            <w:r w:rsidRPr="00354A09">
              <w:t>нтикорупц</w:t>
            </w:r>
            <w:r w:rsidR="00F47633" w:rsidRPr="00354A09">
              <w:t xml:space="preserve">ионната </w:t>
            </w:r>
            <w:r w:rsidRPr="00354A09">
              <w:t>политик</w:t>
            </w:r>
            <w:r w:rsidR="00F47633" w:rsidRPr="00354A09">
              <w:t>а</w:t>
            </w:r>
            <w:r w:rsidRPr="00354A09">
              <w:t xml:space="preserve"> за публичност, прозрачност и отчетност</w:t>
            </w:r>
            <w:r w:rsidRPr="00C73A5C">
              <w:rPr>
                <w:color w:val="00B0F0"/>
              </w:rPr>
              <w:t>.</w:t>
            </w:r>
          </w:p>
        </w:tc>
        <w:tc>
          <w:tcPr>
            <w:tcW w:w="1995" w:type="dxa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C705D5">
              <w:rPr>
                <w:sz w:val="22"/>
              </w:rPr>
              <w:t>. Осигуряване на прозрачност в процеса на управление и прилагане на: Оперативна програма „Околна среда 2014 -2020 г.“; Финансов механизъм на Европейско икономическо пространство Норвежки механизъм; други програми, управлявани от МОСВ, различни от ОПОС, възложени за изпълнение от административни звена в министерството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Главен директор на ГД ОПОС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64FCF" w:rsidRDefault="00964FCF" w:rsidP="000A6319"/>
        </w:tc>
      </w:tr>
      <w:tr w:rsidR="00964FCF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964FCF" w:rsidRDefault="00575FF3" w:rsidP="00722523">
            <w:r w:rsidRPr="00354A09">
              <w:t xml:space="preserve">Мярката е предложена </w:t>
            </w:r>
            <w:r w:rsidR="00722523" w:rsidRPr="00354A09">
              <w:t>да</w:t>
            </w:r>
            <w:r w:rsidRPr="00354A09">
              <w:t xml:space="preserve"> се изпълнява в съответствие с </w:t>
            </w:r>
            <w:r w:rsidR="00E86EFD" w:rsidRPr="00354A09">
              <w:lastRenderedPageBreak/>
              <w:t>а</w:t>
            </w:r>
            <w:r w:rsidRPr="00354A09">
              <w:t>нтикорупц</w:t>
            </w:r>
            <w:r w:rsidR="00E86EFD" w:rsidRPr="00354A09">
              <w:t xml:space="preserve">ионната </w:t>
            </w:r>
            <w:r w:rsidRPr="00354A09">
              <w:t>политик</w:t>
            </w:r>
            <w:r w:rsidR="00E86EFD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Pr="00C705D5">
              <w:rPr>
                <w:sz w:val="22"/>
              </w:rPr>
              <w:t xml:space="preserve">.Публикуване на интернет страницата на МОСВ на </w:t>
            </w:r>
            <w:r w:rsidRPr="00C705D5">
              <w:rPr>
                <w:sz w:val="22"/>
              </w:rPr>
              <w:lastRenderedPageBreak/>
              <w:t>административни актове,</w:t>
            </w:r>
            <w:r w:rsidR="00E75114">
              <w:rPr>
                <w:sz w:val="22"/>
              </w:rPr>
              <w:t xml:space="preserve"> </w:t>
            </w:r>
            <w:r w:rsidRPr="00C705D5">
              <w:rPr>
                <w:sz w:val="22"/>
              </w:rPr>
              <w:t>писма и обявления за обществено обсъждане на процедури свързани със защитени територии и защитени  зони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Директор на дирекция НСЗП</w:t>
            </w:r>
          </w:p>
          <w:p w:rsidR="00964FCF" w:rsidRPr="00C705D5" w:rsidRDefault="00964FCF" w:rsidP="00155130">
            <w:pPr>
              <w:rPr>
                <w:sz w:val="22"/>
              </w:rPr>
            </w:pPr>
            <w:r w:rsidRPr="00C705D5">
              <w:rPr>
                <w:sz w:val="22"/>
              </w:rPr>
              <w:t>Началник отдел Натура 2000 и ЗТ, НСЗП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64FCF" w:rsidRDefault="00964FCF" w:rsidP="000A6319"/>
        </w:tc>
      </w:tr>
      <w:tr w:rsidR="00942E24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575FF3" w:rsidRPr="00354A09" w:rsidRDefault="00575FF3" w:rsidP="00722523">
            <w:pPr>
              <w:rPr>
                <w:color w:val="808080" w:themeColor="background1" w:themeShade="80"/>
                <w:sz w:val="20"/>
                <w:szCs w:val="20"/>
              </w:rPr>
            </w:pPr>
            <w:r w:rsidRPr="00354A09">
              <w:lastRenderedPageBreak/>
              <w:t xml:space="preserve">Мярката </w:t>
            </w:r>
            <w:r w:rsidR="001F0F7F" w:rsidRPr="00354A09">
              <w:t xml:space="preserve">е предложена </w:t>
            </w:r>
            <w:r w:rsidR="00722523" w:rsidRPr="00354A09">
              <w:t>да</w:t>
            </w:r>
            <w:r w:rsidR="001F0F7F" w:rsidRPr="00354A09">
              <w:t xml:space="preserve"> </w:t>
            </w:r>
            <w:r w:rsidRPr="00354A09">
              <w:t xml:space="preserve">се изпълнява в съответствие с </w:t>
            </w:r>
            <w:r w:rsidR="00E86EFD" w:rsidRPr="00354A09">
              <w:t>а</w:t>
            </w:r>
            <w:r w:rsidRPr="00354A09">
              <w:t>нтикорупц</w:t>
            </w:r>
            <w:r w:rsidR="00E86EFD" w:rsidRPr="00354A09">
              <w:t xml:space="preserve">ионната </w:t>
            </w:r>
            <w:r w:rsidRPr="00354A09">
              <w:t>политик</w:t>
            </w:r>
            <w:r w:rsidR="00E86EFD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942E24" w:rsidRPr="00706980" w:rsidRDefault="00942E24" w:rsidP="00942E24">
            <w:pPr>
              <w:rPr>
                <w:sz w:val="22"/>
              </w:rPr>
            </w:pPr>
            <w:r w:rsidRPr="00706980">
              <w:rPr>
                <w:sz w:val="22"/>
              </w:rPr>
              <w:t>7. Месечен график за ползване на водите от комплексните и значими язовири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42E24" w:rsidRPr="00706980" w:rsidRDefault="00942E24" w:rsidP="00942E24">
            <w:pPr>
              <w:rPr>
                <w:sz w:val="22"/>
              </w:rPr>
            </w:pPr>
            <w:r w:rsidRPr="00706980">
              <w:rPr>
                <w:sz w:val="22"/>
              </w:rPr>
              <w:t>Постоянен, не по-късно от последния работен ден на предходния месец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42E24" w:rsidRPr="00706980" w:rsidRDefault="00942E24" w:rsidP="00942E24">
            <w:pPr>
              <w:rPr>
                <w:sz w:val="22"/>
              </w:rPr>
            </w:pPr>
            <w:r w:rsidRPr="00706980">
              <w:rPr>
                <w:sz w:val="22"/>
              </w:rPr>
              <w:t>Директор на дирекция УВ</w:t>
            </w:r>
          </w:p>
          <w:p w:rsidR="00942E24" w:rsidRPr="00706980" w:rsidRDefault="00942E24" w:rsidP="00942E24">
            <w:pPr>
              <w:rPr>
                <w:sz w:val="22"/>
              </w:rPr>
            </w:pPr>
            <w:r w:rsidRPr="00706980">
              <w:rPr>
                <w:sz w:val="22"/>
              </w:rPr>
              <w:t>Началник на отдел УРН, дирекция УВ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42E24" w:rsidRDefault="00942E24" w:rsidP="00942E24"/>
        </w:tc>
      </w:tr>
      <w:tr w:rsidR="00942E24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575FF3" w:rsidRDefault="00575FF3" w:rsidP="00E86EFD">
            <w:r w:rsidRPr="00354A09">
              <w:t xml:space="preserve">Мярката </w:t>
            </w:r>
            <w:r w:rsidR="00722523" w:rsidRPr="00354A09">
              <w:t xml:space="preserve">е предложена да </w:t>
            </w:r>
            <w:r w:rsidRPr="00354A09">
              <w:t xml:space="preserve">се изпълнява в съответствие с </w:t>
            </w:r>
            <w:r w:rsidR="00E86EFD" w:rsidRPr="00354A09">
              <w:t>а</w:t>
            </w:r>
            <w:r w:rsidRPr="00354A09">
              <w:t>нтикорупц</w:t>
            </w:r>
            <w:r w:rsidR="00E86EFD" w:rsidRPr="00354A09">
              <w:t xml:space="preserve">ионната </w:t>
            </w:r>
            <w:r w:rsidRPr="00354A09">
              <w:t>политик</w:t>
            </w:r>
            <w:r w:rsidR="00E86EFD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942E24" w:rsidRPr="00AC7163" w:rsidRDefault="00942E24" w:rsidP="00942E24">
            <w:pPr>
              <w:rPr>
                <w:sz w:val="22"/>
                <w:highlight w:val="green"/>
              </w:rPr>
            </w:pPr>
            <w:r w:rsidRPr="005565EC">
              <w:rPr>
                <w:sz w:val="22"/>
              </w:rPr>
              <w:t>8. Публикуване на информация за извършената контролна дейност от РИОСВ, БД и ДНП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42E24" w:rsidRPr="00AC7163" w:rsidRDefault="00942E24" w:rsidP="00942E24">
            <w:pPr>
              <w:rPr>
                <w:sz w:val="22"/>
                <w:highlight w:val="green"/>
              </w:rPr>
            </w:pPr>
            <w:r w:rsidRPr="005565EC">
              <w:rPr>
                <w:sz w:val="22"/>
              </w:rPr>
              <w:t>Постоянен, ежемесечно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42E24" w:rsidRPr="00AC7163" w:rsidRDefault="00942E24" w:rsidP="005D0487">
            <w:pPr>
              <w:rPr>
                <w:sz w:val="22"/>
                <w:highlight w:val="green"/>
              </w:rPr>
            </w:pPr>
            <w:r w:rsidRPr="005565EC">
              <w:rPr>
                <w:sz w:val="22"/>
              </w:rPr>
              <w:t xml:space="preserve">Директорите на дирекции </w:t>
            </w:r>
            <w:r w:rsidR="005D0487">
              <w:rPr>
                <w:sz w:val="22"/>
              </w:rPr>
              <w:t xml:space="preserve">НКЦ и НСЗП </w:t>
            </w:r>
            <w:r w:rsidRPr="005565EC">
              <w:rPr>
                <w:sz w:val="22"/>
              </w:rPr>
              <w:t>в МОСВ; директорите на РИОСВ, БД и ДНП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42E24" w:rsidRDefault="00942E24" w:rsidP="00942E24"/>
        </w:tc>
      </w:tr>
      <w:tr w:rsidR="00942E24" w:rsidTr="00B74420">
        <w:trPr>
          <w:trHeight w:val="975"/>
        </w:trPr>
        <w:tc>
          <w:tcPr>
            <w:tcW w:w="2101" w:type="dxa"/>
            <w:shd w:val="clear" w:color="auto" w:fill="FFFFFF" w:themeFill="background1"/>
          </w:tcPr>
          <w:p w:rsidR="009E4FCF" w:rsidRDefault="009E4FCF" w:rsidP="00E86EFD">
            <w:r w:rsidRPr="00354A09">
              <w:t>Мярката</w:t>
            </w:r>
            <w:r w:rsidR="00722523" w:rsidRPr="00354A09">
              <w:t xml:space="preserve"> е предложена да </w:t>
            </w:r>
            <w:r w:rsidRPr="00354A09">
              <w:t xml:space="preserve"> се изпълнява в съответствие с </w:t>
            </w:r>
            <w:r w:rsidR="00E86EFD" w:rsidRPr="00354A09">
              <w:t>а</w:t>
            </w:r>
            <w:r w:rsidRPr="00354A09">
              <w:t>нтикорупц</w:t>
            </w:r>
            <w:r w:rsidR="00E86EFD" w:rsidRPr="00354A09">
              <w:t>ионна</w:t>
            </w:r>
            <w:r w:rsidR="00E86EFD" w:rsidRPr="00354A09">
              <w:lastRenderedPageBreak/>
              <w:t xml:space="preserve">та </w:t>
            </w:r>
            <w:r w:rsidRPr="00354A09">
              <w:t>политик</w:t>
            </w:r>
            <w:r w:rsidR="00E86EFD" w:rsidRPr="00354A09">
              <w:t>а</w:t>
            </w:r>
            <w:r w:rsidRPr="00354A09">
              <w:t xml:space="preserve"> за публичност, прозрачност и отчетност.</w:t>
            </w:r>
          </w:p>
        </w:tc>
        <w:tc>
          <w:tcPr>
            <w:tcW w:w="1995" w:type="dxa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  <w:r w:rsidRPr="00C705D5">
              <w:rPr>
                <w:sz w:val="22"/>
              </w:rPr>
              <w:t xml:space="preserve">.Актуализиране и публикуване на информация за извършваните и  МОСВ административни </w:t>
            </w:r>
            <w:r w:rsidRPr="00C705D5">
              <w:rPr>
                <w:sz w:val="22"/>
              </w:rPr>
              <w:lastRenderedPageBreak/>
              <w:t>услуги - вид, цени, срокове в „Хартата на клиента“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lastRenderedPageBreak/>
              <w:t>постоянен</w:t>
            </w:r>
          </w:p>
        </w:tc>
        <w:tc>
          <w:tcPr>
            <w:tcW w:w="5259" w:type="dxa"/>
            <w:gridSpan w:val="10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Директори на дирекции в МОСВ и директори на ИАОС, РИОСВ, БД, ДНП</w:t>
            </w:r>
          </w:p>
        </w:tc>
        <w:tc>
          <w:tcPr>
            <w:tcW w:w="2918" w:type="dxa"/>
            <w:gridSpan w:val="8"/>
            <w:shd w:val="clear" w:color="auto" w:fill="FFFFFF" w:themeFill="background1"/>
          </w:tcPr>
          <w:p w:rsidR="00942E24" w:rsidRDefault="00942E24" w:rsidP="00942E24"/>
        </w:tc>
      </w:tr>
      <w:tr w:rsidR="00942E24" w:rsidTr="00B74420">
        <w:trPr>
          <w:trHeight w:val="572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942E24" w:rsidRDefault="00942E24" w:rsidP="00942E24">
            <w:r>
              <w:lastRenderedPageBreak/>
              <w:t>Обучения</w:t>
            </w:r>
          </w:p>
        </w:tc>
      </w:tr>
      <w:tr w:rsidR="00942E24" w:rsidTr="00B74420">
        <w:trPr>
          <w:trHeight w:val="843"/>
        </w:trPr>
        <w:tc>
          <w:tcPr>
            <w:tcW w:w="4096" w:type="dxa"/>
            <w:gridSpan w:val="2"/>
            <w:shd w:val="clear" w:color="auto" w:fill="E2EFD9" w:themeFill="accent6" w:themeFillTint="33"/>
          </w:tcPr>
          <w:p w:rsidR="00942E24" w:rsidRDefault="00942E24" w:rsidP="00942E24">
            <w:r>
              <w:t xml:space="preserve">Брой на проведените обучения </w:t>
            </w:r>
          </w:p>
        </w:tc>
        <w:tc>
          <w:tcPr>
            <w:tcW w:w="6748" w:type="dxa"/>
            <w:gridSpan w:val="7"/>
            <w:shd w:val="clear" w:color="auto" w:fill="E2EFD9" w:themeFill="accent6" w:themeFillTint="33"/>
          </w:tcPr>
          <w:p w:rsidR="00942E24" w:rsidRDefault="00942E24" w:rsidP="00942E24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4992" w:type="dxa"/>
            <w:gridSpan w:val="15"/>
            <w:shd w:val="clear" w:color="auto" w:fill="E2EFD9" w:themeFill="accent6" w:themeFillTint="33"/>
          </w:tcPr>
          <w:p w:rsidR="00942E24" w:rsidRDefault="00942E24" w:rsidP="00942E24">
            <w:r>
              <w:t>Индикатор</w:t>
            </w:r>
          </w:p>
        </w:tc>
      </w:tr>
      <w:tr w:rsidR="00942E24" w:rsidTr="00B74420">
        <w:trPr>
          <w:trHeight w:val="1844"/>
        </w:trPr>
        <w:tc>
          <w:tcPr>
            <w:tcW w:w="4096" w:type="dxa"/>
            <w:gridSpan w:val="2"/>
            <w:shd w:val="clear" w:color="auto" w:fill="FFFFFF" w:themeFill="background1"/>
          </w:tcPr>
          <w:p w:rsidR="00942E24" w:rsidRDefault="00942E24" w:rsidP="00942E24"/>
        </w:tc>
        <w:tc>
          <w:tcPr>
            <w:tcW w:w="6748" w:type="dxa"/>
            <w:gridSpan w:val="7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</w:p>
          <w:p w:rsidR="00942E24" w:rsidRPr="00E46527" w:rsidRDefault="00942E24" w:rsidP="00942E24">
            <w:pPr>
              <w:rPr>
                <w:sz w:val="22"/>
              </w:rPr>
            </w:pPr>
            <w:r w:rsidRPr="00E46527">
              <w:rPr>
                <w:sz w:val="22"/>
              </w:rPr>
              <w:t>1. Теми с антикорупционна насоченост</w:t>
            </w:r>
          </w:p>
          <w:p w:rsidR="00942E24" w:rsidRPr="00E46527" w:rsidRDefault="00942E24" w:rsidP="00942E24">
            <w:pPr>
              <w:rPr>
                <w:sz w:val="22"/>
              </w:rPr>
            </w:pPr>
            <w:r w:rsidRPr="00E46527">
              <w:rPr>
                <w:sz w:val="22"/>
              </w:rPr>
              <w:t>2. Специализирани обучения от каталога на Института за публична</w:t>
            </w:r>
          </w:p>
          <w:p w:rsidR="00942E24" w:rsidRPr="00C705D5" w:rsidRDefault="00942E24" w:rsidP="00942E24">
            <w:pPr>
              <w:rPr>
                <w:sz w:val="22"/>
              </w:rPr>
            </w:pPr>
          </w:p>
        </w:tc>
        <w:tc>
          <w:tcPr>
            <w:tcW w:w="4992" w:type="dxa"/>
            <w:gridSpan w:val="15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Служители придобили сертификат/удостоверение  за успешно преминато обучение </w:t>
            </w:r>
          </w:p>
        </w:tc>
      </w:tr>
      <w:tr w:rsidR="00942E24" w:rsidTr="00B74420">
        <w:trPr>
          <w:trHeight w:val="850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942E24" w:rsidRDefault="00942E24" w:rsidP="00942E24">
            <w:r>
              <w:t>Посочване на възможни начини за подаване на сигнали</w:t>
            </w:r>
          </w:p>
        </w:tc>
      </w:tr>
      <w:tr w:rsidR="00942E24" w:rsidTr="00B74420">
        <w:trPr>
          <w:trHeight w:val="992"/>
        </w:trPr>
        <w:tc>
          <w:tcPr>
            <w:tcW w:w="4096" w:type="dxa"/>
            <w:gridSpan w:val="2"/>
            <w:shd w:val="clear" w:color="auto" w:fill="E2EFD9" w:themeFill="accent6" w:themeFillTint="33"/>
          </w:tcPr>
          <w:p w:rsidR="00942E24" w:rsidRDefault="00942E24" w:rsidP="00942E24">
            <w:r>
              <w:t>Адрес</w:t>
            </w:r>
          </w:p>
        </w:tc>
        <w:tc>
          <w:tcPr>
            <w:tcW w:w="2858" w:type="dxa"/>
            <w:gridSpan w:val="3"/>
            <w:shd w:val="clear" w:color="auto" w:fill="E2EFD9" w:themeFill="accent6" w:themeFillTint="33"/>
          </w:tcPr>
          <w:p w:rsidR="00942E24" w:rsidRPr="006922DF" w:rsidRDefault="00942E24" w:rsidP="00942E24"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  <w:tc>
          <w:tcPr>
            <w:tcW w:w="3890" w:type="dxa"/>
            <w:gridSpan w:val="4"/>
            <w:shd w:val="clear" w:color="auto" w:fill="E2EFD9" w:themeFill="accent6" w:themeFillTint="33"/>
          </w:tcPr>
          <w:p w:rsidR="00942E24" w:rsidRDefault="00942E24" w:rsidP="00942E24">
            <w:r>
              <w:t>Телефонен номер</w:t>
            </w:r>
          </w:p>
        </w:tc>
        <w:tc>
          <w:tcPr>
            <w:tcW w:w="4112" w:type="dxa"/>
            <w:gridSpan w:val="12"/>
            <w:shd w:val="clear" w:color="auto" w:fill="E2EFD9" w:themeFill="accent6" w:themeFillTint="33"/>
          </w:tcPr>
          <w:p w:rsidR="00942E24" w:rsidRDefault="00942E24" w:rsidP="00942E24">
            <w: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880" w:type="dxa"/>
            <w:gridSpan w:val="3"/>
            <w:shd w:val="clear" w:color="auto" w:fill="E2EFD9" w:themeFill="accent6" w:themeFillTint="33"/>
          </w:tcPr>
          <w:p w:rsidR="00942E24" w:rsidRDefault="00942E24" w:rsidP="00942E24">
            <w:r>
              <w:t>Други</w:t>
            </w:r>
          </w:p>
        </w:tc>
      </w:tr>
      <w:tr w:rsidR="00942E24" w:rsidTr="00662B2D">
        <w:trPr>
          <w:trHeight w:val="1533"/>
        </w:trPr>
        <w:tc>
          <w:tcPr>
            <w:tcW w:w="4096" w:type="dxa"/>
            <w:gridSpan w:val="2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гр. София, </w:t>
            </w: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- бул. „Мария Луиза“ № 22;</w:t>
            </w: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- ул. „Уилям  </w:t>
            </w:r>
            <w:proofErr w:type="spellStart"/>
            <w:r w:rsidRPr="00C705D5">
              <w:rPr>
                <w:sz w:val="22"/>
              </w:rPr>
              <w:t>Гладстон</w:t>
            </w:r>
            <w:proofErr w:type="spellEnd"/>
            <w:r w:rsidRPr="00C705D5">
              <w:rPr>
                <w:sz w:val="22"/>
              </w:rPr>
              <w:t>“ № 67</w:t>
            </w:r>
          </w:p>
        </w:tc>
        <w:tc>
          <w:tcPr>
            <w:tcW w:w="2858" w:type="dxa"/>
            <w:gridSpan w:val="3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  <w:lang w:val="en-US"/>
              </w:rPr>
            </w:pPr>
            <w:proofErr w:type="spellStart"/>
            <w:r w:rsidRPr="00C705D5">
              <w:rPr>
                <w:sz w:val="22"/>
                <w:lang w:val="en-US"/>
              </w:rPr>
              <w:t>Inspectorat@moew</w:t>
            </w:r>
            <w:proofErr w:type="spellEnd"/>
            <w:r w:rsidRPr="00C705D5">
              <w:rPr>
                <w:sz w:val="22"/>
                <w:lang w:val="en-US"/>
              </w:rPr>
              <w:t>. government.bg;</w:t>
            </w:r>
          </w:p>
          <w:p w:rsidR="00942E24" w:rsidRPr="00C705D5" w:rsidRDefault="00942E24" w:rsidP="00942E24">
            <w:pPr>
              <w:rPr>
                <w:sz w:val="22"/>
                <w:lang w:val="en-US"/>
              </w:rPr>
            </w:pPr>
            <w:proofErr w:type="spellStart"/>
            <w:r w:rsidRPr="00C705D5">
              <w:rPr>
                <w:sz w:val="22"/>
                <w:lang w:val="en-US"/>
              </w:rPr>
              <w:t>edno_gishe@moew</w:t>
            </w:r>
            <w:proofErr w:type="spellEnd"/>
            <w:r w:rsidRPr="00C705D5">
              <w:rPr>
                <w:sz w:val="22"/>
                <w:lang w:val="en-US"/>
              </w:rPr>
              <w:t>. government.bg;</w:t>
            </w:r>
          </w:p>
        </w:tc>
        <w:tc>
          <w:tcPr>
            <w:tcW w:w="3890" w:type="dxa"/>
            <w:gridSpan w:val="4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02 940 66 91</w:t>
            </w:r>
          </w:p>
        </w:tc>
        <w:tc>
          <w:tcPr>
            <w:tcW w:w="4112" w:type="dxa"/>
            <w:gridSpan w:val="12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гр. София, бул. „Мария Луиза“ № 22;</w:t>
            </w: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ул. „У. </w:t>
            </w:r>
            <w:proofErr w:type="spellStart"/>
            <w:r w:rsidRPr="00C705D5">
              <w:rPr>
                <w:sz w:val="22"/>
              </w:rPr>
              <w:t>Гладстон</w:t>
            </w:r>
            <w:proofErr w:type="spellEnd"/>
            <w:r w:rsidRPr="00C705D5">
              <w:rPr>
                <w:sz w:val="22"/>
              </w:rPr>
              <w:t>“ № 67</w:t>
            </w:r>
          </w:p>
        </w:tc>
        <w:tc>
          <w:tcPr>
            <w:tcW w:w="880" w:type="dxa"/>
            <w:gridSpan w:val="3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Чрез информационната система за координация и комуникация </w:t>
            </w:r>
            <w:r w:rsidRPr="00C705D5">
              <w:rPr>
                <w:sz w:val="22"/>
              </w:rPr>
              <w:lastRenderedPageBreak/>
              <w:t>между антикорупционните структури</w:t>
            </w:r>
            <w:r w:rsidRPr="00C705D5">
              <w:rPr>
                <w:sz w:val="22"/>
                <w:lang w:val="en-US"/>
              </w:rPr>
              <w:t xml:space="preserve"> </w:t>
            </w:r>
            <w:r w:rsidRPr="00C705D5">
              <w:rPr>
                <w:sz w:val="22"/>
              </w:rPr>
              <w:t>налична на официалната интернет страница на Националния съвет по антикорупционни политики</w:t>
            </w:r>
          </w:p>
        </w:tc>
      </w:tr>
      <w:tr w:rsidR="00942E24" w:rsidTr="00B74420">
        <w:trPr>
          <w:trHeight w:val="408"/>
        </w:trPr>
        <w:tc>
          <w:tcPr>
            <w:tcW w:w="15836" w:type="dxa"/>
            <w:gridSpan w:val="24"/>
            <w:shd w:val="clear" w:color="auto" w:fill="A8D08D" w:themeFill="accent6" w:themeFillTint="99"/>
          </w:tcPr>
          <w:p w:rsidR="00942E24" w:rsidRDefault="00942E24" w:rsidP="00942E24">
            <w:r>
              <w:lastRenderedPageBreak/>
              <w:t>Мерки за защита на лицата, подали сигнали</w:t>
            </w:r>
          </w:p>
        </w:tc>
      </w:tr>
      <w:tr w:rsidR="00942E24" w:rsidTr="00B74420">
        <w:trPr>
          <w:trHeight w:val="1275"/>
        </w:trPr>
        <w:tc>
          <w:tcPr>
            <w:tcW w:w="5178" w:type="dxa"/>
            <w:gridSpan w:val="3"/>
            <w:shd w:val="clear" w:color="auto" w:fill="E2EFD9" w:themeFill="accent6" w:themeFillTint="33"/>
          </w:tcPr>
          <w:p w:rsidR="00942E24" w:rsidRPr="00C705D5" w:rsidRDefault="00942E24" w:rsidP="00942E24">
            <w:pPr>
              <w:rPr>
                <w:sz w:val="22"/>
                <w:lang w:val="en-US"/>
              </w:rPr>
            </w:pPr>
            <w:r w:rsidRPr="00C705D5">
              <w:rPr>
                <w:sz w:val="22"/>
              </w:rPr>
              <w:t>Същност на мерките</w:t>
            </w:r>
            <w:r w:rsidRPr="00C705D5">
              <w:rPr>
                <w:sz w:val="22"/>
                <w:lang w:val="en-US"/>
              </w:rPr>
              <w:t>:</w:t>
            </w:r>
          </w:p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>Осигуряване на защита на лицата подали сигнал за корупция или конфликт на интереси</w:t>
            </w:r>
          </w:p>
        </w:tc>
        <w:tc>
          <w:tcPr>
            <w:tcW w:w="10658" w:type="dxa"/>
            <w:gridSpan w:val="21"/>
            <w:shd w:val="clear" w:color="auto" w:fill="FFFFFF" w:themeFill="background1"/>
          </w:tcPr>
          <w:p w:rsidR="00942E24" w:rsidRPr="00C705D5" w:rsidRDefault="00942E24" w:rsidP="00942E24">
            <w:pPr>
              <w:rPr>
                <w:sz w:val="22"/>
              </w:rPr>
            </w:pPr>
            <w:r w:rsidRPr="00C705D5">
              <w:rPr>
                <w:sz w:val="22"/>
              </w:rPr>
              <w:t xml:space="preserve">Във връзка с прилагане на Закона за противодействие на корупцията и за отнемане на незаконно придобитото имущество, защитата на лицата, подаващи сигнали за корупция и конфликт на интереси е уредена Вътрешни правила за организацията при извършване на проверка на декларациите по чл.35 от ЗПКОНПИ и за установяване на конфликт на интереси в МОСВ, утвърдени със Заповед № РД </w:t>
            </w:r>
            <w:r w:rsidRPr="00C705D5">
              <w:rPr>
                <w:sz w:val="22"/>
                <w:lang w:val="en-US"/>
              </w:rPr>
              <w:t>-</w:t>
            </w:r>
            <w:r w:rsidRPr="00C705D5">
              <w:rPr>
                <w:sz w:val="22"/>
              </w:rPr>
              <w:t xml:space="preserve"> 737/</w:t>
            </w:r>
            <w:r w:rsidRPr="00C705D5">
              <w:rPr>
                <w:sz w:val="22"/>
                <w:lang w:val="en-US"/>
              </w:rPr>
              <w:t xml:space="preserve"> </w:t>
            </w:r>
            <w:r w:rsidRPr="00C705D5">
              <w:rPr>
                <w:sz w:val="22"/>
              </w:rPr>
              <w:t>30.11.2018 г. на министъра на околната среда и водите</w:t>
            </w:r>
          </w:p>
        </w:tc>
      </w:tr>
    </w:tbl>
    <w:p w:rsidR="00662B2D" w:rsidRDefault="00662B2D" w:rsidP="00575967"/>
    <w:p w:rsidR="00662B2D" w:rsidRDefault="00662B2D" w:rsidP="00575967"/>
    <w:p w:rsidR="00901DD9" w:rsidRPr="00575967" w:rsidRDefault="00901DD9" w:rsidP="00330B50">
      <w:pPr>
        <w:tabs>
          <w:tab w:val="left" w:pos="12474"/>
        </w:tabs>
        <w:rPr>
          <w:color w:val="A6A6A6" w:themeColor="background1" w:themeShade="A6"/>
        </w:rPr>
      </w:pPr>
      <w:bookmarkStart w:id="0" w:name="_GoBack"/>
      <w:bookmarkEnd w:id="0"/>
    </w:p>
    <w:sectPr w:rsidR="00901DD9" w:rsidRPr="00575967" w:rsidSect="008A5582">
      <w:footerReference w:type="default" r:id="rId7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B9" w:rsidRDefault="00005CB9" w:rsidP="00EB15B6">
      <w:pPr>
        <w:spacing w:line="240" w:lineRule="auto"/>
      </w:pPr>
      <w:r>
        <w:separator/>
      </w:r>
    </w:p>
  </w:endnote>
  <w:endnote w:type="continuationSeparator" w:id="0">
    <w:p w:rsidR="00005CB9" w:rsidRDefault="00005CB9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582" w:rsidRDefault="008A55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BB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A5582" w:rsidRDefault="008A5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B9" w:rsidRDefault="00005CB9" w:rsidP="00EB15B6">
      <w:pPr>
        <w:spacing w:line="240" w:lineRule="auto"/>
      </w:pPr>
      <w:r>
        <w:separator/>
      </w:r>
    </w:p>
  </w:footnote>
  <w:footnote w:type="continuationSeparator" w:id="0">
    <w:p w:rsidR="00005CB9" w:rsidRDefault="00005CB9" w:rsidP="00EB15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5CB9"/>
    <w:rsid w:val="00021E51"/>
    <w:rsid w:val="00040C7C"/>
    <w:rsid w:val="00045FDD"/>
    <w:rsid w:val="000572ED"/>
    <w:rsid w:val="0008125A"/>
    <w:rsid w:val="0009558A"/>
    <w:rsid w:val="000A6319"/>
    <w:rsid w:val="000C268F"/>
    <w:rsid w:val="000C43B1"/>
    <w:rsid w:val="000F02E1"/>
    <w:rsid w:val="00132C33"/>
    <w:rsid w:val="00153D17"/>
    <w:rsid w:val="001617B0"/>
    <w:rsid w:val="00175868"/>
    <w:rsid w:val="001C0B17"/>
    <w:rsid w:val="001E361A"/>
    <w:rsid w:val="001F0F7F"/>
    <w:rsid w:val="00220964"/>
    <w:rsid w:val="00223AA6"/>
    <w:rsid w:val="00231A75"/>
    <w:rsid w:val="00237CE5"/>
    <w:rsid w:val="00237DE7"/>
    <w:rsid w:val="002421C0"/>
    <w:rsid w:val="0025216E"/>
    <w:rsid w:val="0025479A"/>
    <w:rsid w:val="002616CF"/>
    <w:rsid w:val="00284551"/>
    <w:rsid w:val="002A6186"/>
    <w:rsid w:val="002D4C22"/>
    <w:rsid w:val="002F43F2"/>
    <w:rsid w:val="00320258"/>
    <w:rsid w:val="00330B50"/>
    <w:rsid w:val="003333A9"/>
    <w:rsid w:val="00337F6E"/>
    <w:rsid w:val="00354A09"/>
    <w:rsid w:val="00355282"/>
    <w:rsid w:val="003615DD"/>
    <w:rsid w:val="00393DD2"/>
    <w:rsid w:val="003A29B6"/>
    <w:rsid w:val="003B747A"/>
    <w:rsid w:val="004007AB"/>
    <w:rsid w:val="004039FD"/>
    <w:rsid w:val="0042391A"/>
    <w:rsid w:val="00443F3B"/>
    <w:rsid w:val="0044672D"/>
    <w:rsid w:val="0047179B"/>
    <w:rsid w:val="004839D1"/>
    <w:rsid w:val="00483CD6"/>
    <w:rsid w:val="004B0065"/>
    <w:rsid w:val="005021BE"/>
    <w:rsid w:val="005263D3"/>
    <w:rsid w:val="005565EC"/>
    <w:rsid w:val="00575967"/>
    <w:rsid w:val="00575FF3"/>
    <w:rsid w:val="00580296"/>
    <w:rsid w:val="005822EE"/>
    <w:rsid w:val="005A7090"/>
    <w:rsid w:val="005A7180"/>
    <w:rsid w:val="005D0487"/>
    <w:rsid w:val="00612ADC"/>
    <w:rsid w:val="006406AB"/>
    <w:rsid w:val="0064542D"/>
    <w:rsid w:val="00662B2D"/>
    <w:rsid w:val="006922DF"/>
    <w:rsid w:val="00697276"/>
    <w:rsid w:val="006D2284"/>
    <w:rsid w:val="006E0036"/>
    <w:rsid w:val="00721FEB"/>
    <w:rsid w:val="007223A9"/>
    <w:rsid w:val="00722523"/>
    <w:rsid w:val="007470F8"/>
    <w:rsid w:val="00765683"/>
    <w:rsid w:val="007A0EA7"/>
    <w:rsid w:val="007B4B16"/>
    <w:rsid w:val="007C512C"/>
    <w:rsid w:val="007C7B2A"/>
    <w:rsid w:val="007E2746"/>
    <w:rsid w:val="007E31B1"/>
    <w:rsid w:val="007E54D6"/>
    <w:rsid w:val="007E6B71"/>
    <w:rsid w:val="007F26B7"/>
    <w:rsid w:val="00802B8F"/>
    <w:rsid w:val="008063E8"/>
    <w:rsid w:val="008154B5"/>
    <w:rsid w:val="008202CC"/>
    <w:rsid w:val="00844FD5"/>
    <w:rsid w:val="00874327"/>
    <w:rsid w:val="008A5582"/>
    <w:rsid w:val="008C5847"/>
    <w:rsid w:val="008D1129"/>
    <w:rsid w:val="00901B26"/>
    <w:rsid w:val="00901DD9"/>
    <w:rsid w:val="00902BBF"/>
    <w:rsid w:val="00913DA4"/>
    <w:rsid w:val="00923954"/>
    <w:rsid w:val="00942E24"/>
    <w:rsid w:val="00944020"/>
    <w:rsid w:val="0096325B"/>
    <w:rsid w:val="00964FCF"/>
    <w:rsid w:val="0097325D"/>
    <w:rsid w:val="00997F5F"/>
    <w:rsid w:val="009A69E2"/>
    <w:rsid w:val="009A6D15"/>
    <w:rsid w:val="009B27A1"/>
    <w:rsid w:val="009E4FCF"/>
    <w:rsid w:val="00A16491"/>
    <w:rsid w:val="00A27AE5"/>
    <w:rsid w:val="00A820AE"/>
    <w:rsid w:val="00AB6FA8"/>
    <w:rsid w:val="00AD0097"/>
    <w:rsid w:val="00AE0BD9"/>
    <w:rsid w:val="00AF3953"/>
    <w:rsid w:val="00B20E6A"/>
    <w:rsid w:val="00B23A77"/>
    <w:rsid w:val="00B56338"/>
    <w:rsid w:val="00B66CBE"/>
    <w:rsid w:val="00B74420"/>
    <w:rsid w:val="00BC664C"/>
    <w:rsid w:val="00BE4BB9"/>
    <w:rsid w:val="00BF5DF8"/>
    <w:rsid w:val="00C02205"/>
    <w:rsid w:val="00C15524"/>
    <w:rsid w:val="00C446A9"/>
    <w:rsid w:val="00C469B1"/>
    <w:rsid w:val="00C52AF8"/>
    <w:rsid w:val="00C73A5C"/>
    <w:rsid w:val="00C817B5"/>
    <w:rsid w:val="00CB0EAB"/>
    <w:rsid w:val="00CE6145"/>
    <w:rsid w:val="00D2044B"/>
    <w:rsid w:val="00D61925"/>
    <w:rsid w:val="00D92782"/>
    <w:rsid w:val="00DA1968"/>
    <w:rsid w:val="00DB5E73"/>
    <w:rsid w:val="00DD008E"/>
    <w:rsid w:val="00DE3440"/>
    <w:rsid w:val="00DF0854"/>
    <w:rsid w:val="00E175AB"/>
    <w:rsid w:val="00E271CD"/>
    <w:rsid w:val="00E322AC"/>
    <w:rsid w:val="00E33140"/>
    <w:rsid w:val="00E34B99"/>
    <w:rsid w:val="00E43530"/>
    <w:rsid w:val="00E54D4F"/>
    <w:rsid w:val="00E6108C"/>
    <w:rsid w:val="00E75114"/>
    <w:rsid w:val="00E86EFD"/>
    <w:rsid w:val="00E93654"/>
    <w:rsid w:val="00EB15B6"/>
    <w:rsid w:val="00EB6810"/>
    <w:rsid w:val="00EC5555"/>
    <w:rsid w:val="00ED02F1"/>
    <w:rsid w:val="00ED5D8A"/>
    <w:rsid w:val="00EE04E2"/>
    <w:rsid w:val="00EF6E4F"/>
    <w:rsid w:val="00F0098D"/>
    <w:rsid w:val="00F123C9"/>
    <w:rsid w:val="00F1658D"/>
    <w:rsid w:val="00F25188"/>
    <w:rsid w:val="00F45B47"/>
    <w:rsid w:val="00F47633"/>
    <w:rsid w:val="00F60C84"/>
    <w:rsid w:val="00F84CD8"/>
    <w:rsid w:val="00F85F43"/>
    <w:rsid w:val="00FA52CB"/>
    <w:rsid w:val="00FB19A6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0C3F"/>
  <w15:docId w15:val="{D67A5BA7-8F1E-4E0C-B915-384682D2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5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7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5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582"/>
  </w:style>
  <w:style w:type="paragraph" w:styleId="Footer">
    <w:name w:val="footer"/>
    <w:basedOn w:val="Normal"/>
    <w:link w:val="FooterChar"/>
    <w:uiPriority w:val="99"/>
    <w:unhideWhenUsed/>
    <w:rsid w:val="008A55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D40D-354E-4B27-A703-3D117F4D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KKamenova</cp:lastModifiedBy>
  <cp:revision>6</cp:revision>
  <cp:lastPrinted>2018-01-29T16:32:00Z</cp:lastPrinted>
  <dcterms:created xsi:type="dcterms:W3CDTF">2022-01-24T13:06:00Z</dcterms:created>
  <dcterms:modified xsi:type="dcterms:W3CDTF">2022-01-24T13:19:00Z</dcterms:modified>
</cp:coreProperties>
</file>