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7CF07" w14:textId="6A785A72" w:rsidR="00680A11" w:rsidRDefault="006E21EB" w:rsidP="005F150A">
      <w:pPr>
        <w:jc w:val="center"/>
        <w:rPr>
          <w:rFonts w:ascii="Century Gothic" w:hAnsi="Century Gothic" w:cs="Times New Roman"/>
          <w:b/>
          <w:color w:val="000000" w:themeColor="text1"/>
        </w:rPr>
      </w:pPr>
      <w:r w:rsidRPr="00342B1E">
        <w:rPr>
          <w:rFonts w:ascii="Century Gothic" w:hAnsi="Century Gothic" w:cs="Times New Roman"/>
          <w:b/>
          <w:color w:val="000000" w:themeColor="text1"/>
        </w:rPr>
        <w:t xml:space="preserve">КРАТЪК НАРЪЧНИК ЗА </w:t>
      </w:r>
      <w:r w:rsidR="004F1546" w:rsidRPr="00342B1E">
        <w:rPr>
          <w:rFonts w:ascii="Century Gothic" w:hAnsi="Century Gothic" w:cs="Times New Roman"/>
          <w:b/>
          <w:color w:val="000000" w:themeColor="text1"/>
        </w:rPr>
        <w:t>ПРОВЕЖДАНЕ НА</w:t>
      </w:r>
      <w:r w:rsidRPr="00342B1E">
        <w:rPr>
          <w:rFonts w:ascii="Century Gothic" w:hAnsi="Century Gothic" w:cs="Times New Roman"/>
          <w:b/>
          <w:color w:val="000000" w:themeColor="text1"/>
        </w:rPr>
        <w:t xml:space="preserve"> </w:t>
      </w:r>
      <w:r w:rsidR="00381F90">
        <w:rPr>
          <w:rFonts w:ascii="Century Gothic" w:hAnsi="Century Gothic" w:cs="Times New Roman"/>
          <w:b/>
          <w:color w:val="000000" w:themeColor="text1"/>
          <w:lang w:val="en-US"/>
        </w:rPr>
        <w:t xml:space="preserve"> </w:t>
      </w:r>
      <w:r w:rsidRPr="00342B1E">
        <w:rPr>
          <w:rFonts w:ascii="Century Gothic" w:hAnsi="Century Gothic" w:cs="Times New Roman"/>
          <w:b/>
          <w:color w:val="000000" w:themeColor="text1"/>
        </w:rPr>
        <w:t xml:space="preserve">МОРФОЛОГИЧЕН АНАЛИЗ НА </w:t>
      </w:r>
      <w:r w:rsidR="00B60D11" w:rsidRPr="00342B1E">
        <w:rPr>
          <w:rFonts w:ascii="Century Gothic" w:hAnsi="Century Gothic" w:cs="Times New Roman"/>
          <w:b/>
          <w:color w:val="000000" w:themeColor="text1"/>
        </w:rPr>
        <w:t>БИТОВИТЕ ОТПАДЪЦИ</w:t>
      </w:r>
    </w:p>
    <w:p w14:paraId="66D92C78" w14:textId="77777777" w:rsid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</w:p>
    <w:p w14:paraId="348BDACD" w14:textId="77777777" w:rsid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</w:p>
    <w:p w14:paraId="7455B0D4" w14:textId="77777777" w:rsid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</w:p>
    <w:p w14:paraId="58A2482A" w14:textId="77777777" w:rsid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  <w:r>
        <w:rPr>
          <w:rFonts w:ascii="Century Gothic" w:hAnsi="Century Gothic" w:cs="Times New Roman"/>
          <w:b/>
          <w:color w:val="000000" w:themeColor="text1"/>
        </w:rPr>
        <w:t xml:space="preserve">Приложение 4 </w:t>
      </w:r>
    </w:p>
    <w:p w14:paraId="589376C8" w14:textId="64B74B85" w:rsidR="00E64363" w:rsidRP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  <w:r>
        <w:rPr>
          <w:rFonts w:ascii="Century Gothic" w:hAnsi="Century Gothic" w:cs="Times New Roman"/>
          <w:b/>
          <w:color w:val="000000" w:themeColor="text1"/>
        </w:rPr>
        <w:t xml:space="preserve">към </w:t>
      </w:r>
      <w:r w:rsidRPr="00E64363">
        <w:rPr>
          <w:rFonts w:ascii="Century Gothic" w:hAnsi="Century Gothic" w:cs="Times New Roman"/>
          <w:b/>
          <w:color w:val="000000" w:themeColor="text1"/>
        </w:rPr>
        <w:t>МЕТОДИКА ЗА ОПРЕДЕЛЯНЕ НА</w:t>
      </w:r>
    </w:p>
    <w:p w14:paraId="2C40C301" w14:textId="77777777" w:rsidR="00E64363" w:rsidRPr="00E64363" w:rsidRDefault="00E64363" w:rsidP="00E64363">
      <w:pPr>
        <w:jc w:val="center"/>
        <w:rPr>
          <w:rFonts w:ascii="Century Gothic" w:hAnsi="Century Gothic" w:cs="Times New Roman"/>
          <w:b/>
          <w:color w:val="000000" w:themeColor="text1"/>
        </w:rPr>
      </w:pPr>
      <w:r w:rsidRPr="00E64363">
        <w:rPr>
          <w:rFonts w:ascii="Century Gothic" w:hAnsi="Century Gothic" w:cs="Times New Roman"/>
          <w:b/>
          <w:color w:val="000000" w:themeColor="text1"/>
        </w:rPr>
        <w:t>МОРФОЛОГИЧНИЯ СЪСТАВ НА БИТОВИТЕ ОТПАДЪЦИ</w:t>
      </w:r>
    </w:p>
    <w:p w14:paraId="31128714" w14:textId="77777777" w:rsidR="00472618" w:rsidRDefault="00472618" w:rsidP="00553A3C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A1EBCC9" w14:textId="2632C286" w:rsidR="00D16F88" w:rsidRPr="00ED781E" w:rsidRDefault="00AD3734" w:rsidP="00553A3C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lastRenderedPageBreak/>
        <w:t>T</w:t>
      </w:r>
      <w:proofErr w:type="spellStart"/>
      <w:r w:rsidR="00ED781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ози</w:t>
      </w:r>
      <w:proofErr w:type="spellEnd"/>
      <w:r w:rsidR="00ED781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документ</w:t>
      </w:r>
      <w:r w:rsidR="00680A11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51381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е създаден</w:t>
      </w:r>
      <w:r w:rsidR="00B9563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 „Еко-Морфология“</w:t>
      </w:r>
      <w:r w:rsidR="0051381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B9563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ДЗЗД </w:t>
      </w:r>
      <w:r w:rsidR="00553A3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във връзка с изпълнение на Договор за „</w:t>
      </w:r>
      <w:r w:rsidR="00553A3C" w:rsidRPr="00ED781E">
        <w:rPr>
          <w:rFonts w:ascii="Century Gothic" w:hAnsi="Century Gothic" w:cs="Times New Roman"/>
          <w:i/>
          <w:color w:val="000000" w:themeColor="text1"/>
          <w:sz w:val="20"/>
          <w:szCs w:val="20"/>
        </w:rPr>
        <w:t>Определяне на морфологич</w:t>
      </w:r>
      <w:r w:rsidR="00523606">
        <w:rPr>
          <w:rFonts w:ascii="Century Gothic" w:hAnsi="Century Gothic" w:cs="Times New Roman"/>
          <w:i/>
          <w:color w:val="000000" w:themeColor="text1"/>
          <w:sz w:val="20"/>
          <w:szCs w:val="20"/>
        </w:rPr>
        <w:t>ния</w:t>
      </w:r>
      <w:r w:rsidR="00553A3C" w:rsidRPr="00ED781E">
        <w:rPr>
          <w:rFonts w:ascii="Century Gothic" w:hAnsi="Century Gothic" w:cs="Times New Roman"/>
          <w:i/>
          <w:color w:val="000000" w:themeColor="text1"/>
          <w:sz w:val="20"/>
          <w:szCs w:val="20"/>
        </w:rPr>
        <w:t xml:space="preserve"> състав на битовите отпадъци в България</w:t>
      </w:r>
      <w:r w:rsidR="00553A3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“</w:t>
      </w:r>
      <w:r w:rsidR="00680A11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, изпълняващ се съгласно Българо-Швейцарската програма за сътрудничество</w:t>
      </w:r>
      <w:r w:rsidR="00F743D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. </w:t>
      </w:r>
    </w:p>
    <w:p w14:paraId="683D5DBC" w14:textId="045D52DE" w:rsidR="004A2D98" w:rsidRDefault="00F743DB" w:rsidP="00553A3C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Наръчника има за </w:t>
      </w:r>
      <w:r w:rsidR="0075658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цел </w:t>
      </w:r>
      <w:r w:rsidR="00FC549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да улесни </w:t>
      </w:r>
      <w:r w:rsidR="00A55882">
        <w:rPr>
          <w:rFonts w:ascii="Century Gothic" w:hAnsi="Century Gothic" w:cs="Times New Roman"/>
          <w:color w:val="000000" w:themeColor="text1"/>
          <w:sz w:val="20"/>
          <w:szCs w:val="20"/>
        </w:rPr>
        <w:t>заинтересованите страни и експертите</w:t>
      </w:r>
      <w:r w:rsidR="0051381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извършващи </w:t>
      </w:r>
      <w:r w:rsidR="00FC549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практическото </w:t>
      </w:r>
      <w:r w:rsidR="0051381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провеждане на морфологичния </w:t>
      </w:r>
      <w:r w:rsidR="0075658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анализ </w:t>
      </w:r>
      <w:r w:rsidR="002472C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з</w:t>
      </w:r>
      <w:r w:rsidR="00553A3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а</w:t>
      </w:r>
      <w:r w:rsidR="00D973F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състава на</w:t>
      </w:r>
      <w:r w:rsidR="00553A3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75658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битовите отпадъци</w:t>
      </w:r>
      <w:r w:rsidR="008A16C9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. </w:t>
      </w:r>
    </w:p>
    <w:p w14:paraId="006965B4" w14:textId="77777777" w:rsidR="009B46C0" w:rsidRDefault="009B46C0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B7DDB86" w14:textId="77777777" w:rsidR="005F32A8" w:rsidRDefault="005F32A8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65B70DC" w14:textId="77777777" w:rsidR="005F32A8" w:rsidRDefault="005F32A8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4D055ED8" w14:textId="77777777" w:rsidR="005F32A8" w:rsidRDefault="005F32A8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21463C7" w14:textId="77777777" w:rsidR="005F32A8" w:rsidRDefault="005F32A8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66F6415" w14:textId="77777777" w:rsidR="009B46C0" w:rsidRDefault="009B46C0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A5F7496" w14:textId="77777777" w:rsidR="009B46C0" w:rsidRPr="00ED781E" w:rsidRDefault="009B46C0" w:rsidP="009B46C0">
      <w:pPr>
        <w:spacing w:after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ACD099D" w14:textId="77777777" w:rsidR="008C58F2" w:rsidRPr="00472618" w:rsidRDefault="008C58F2" w:rsidP="008C58F2">
      <w:pPr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472618">
        <w:rPr>
          <w:rFonts w:ascii="Century Gothic" w:hAnsi="Century Gothic" w:cs="Times New Roman"/>
          <w:b/>
          <w:color w:val="000000" w:themeColor="text1"/>
          <w:sz w:val="20"/>
          <w:szCs w:val="20"/>
        </w:rPr>
        <w:lastRenderedPageBreak/>
        <w:t>Необходимо оборудване за извършване на анализа:</w:t>
      </w:r>
    </w:p>
    <w:p w14:paraId="5C0BBCEC" w14:textId="77777777" w:rsidR="0017060A" w:rsidRPr="00ED781E" w:rsidRDefault="0017060A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6F6B502" w14:textId="77777777" w:rsidR="008C58F2" w:rsidRPr="00ED781E" w:rsidRDefault="008C58F2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Кантар – с възможности за измерване с точност до 0.1 кг</w:t>
      </w:r>
    </w:p>
    <w:p w14:paraId="518AF9FF" w14:textId="77777777" w:rsidR="008C58F2" w:rsidRDefault="008C58F2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Съд(чували, контейнери и т.н.) за събиране на отпадъците </w:t>
      </w:r>
    </w:p>
    <w:p w14:paraId="5DB7F52E" w14:textId="7CD62E93" w:rsidR="00CA1351" w:rsidRPr="00ED781E" w:rsidRDefault="00CA1351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A1351">
        <w:rPr>
          <w:rFonts w:ascii="Century Gothic" w:hAnsi="Century Gothic" w:cs="Times New Roman"/>
          <w:color w:val="000000" w:themeColor="text1"/>
          <w:sz w:val="20"/>
          <w:szCs w:val="20"/>
        </w:rPr>
        <w:t>Два контейнера за опасни отпадъци (един контейнер за течни опасни отпадъци и един за твърди</w:t>
      </w:r>
      <w:r w:rsidR="00E64363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опасни отпадъци</w:t>
      </w:r>
      <w:r w:rsidRPr="00CA1351">
        <w:rPr>
          <w:rFonts w:ascii="Century Gothic" w:hAnsi="Century Gothic" w:cs="Times New Roman"/>
          <w:color w:val="000000" w:themeColor="text1"/>
          <w:sz w:val="20"/>
          <w:szCs w:val="20"/>
        </w:rPr>
        <w:t>)</w:t>
      </w:r>
    </w:p>
    <w:p w14:paraId="5BA59788" w14:textId="77777777" w:rsidR="008C58F2" w:rsidRPr="00ED781E" w:rsidRDefault="008C58F2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Лопати, вили, работно облекло и лични предпазни средства.</w:t>
      </w:r>
    </w:p>
    <w:p w14:paraId="7AB32BD2" w14:textId="1E360A02" w:rsidR="00DF628A" w:rsidRDefault="00D16F88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П</w:t>
      </w:r>
      <w:r w:rsidR="00ED781E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риложенията към наръчника</w:t>
      </w:r>
      <w:r w:rsidR="009B46C0"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t xml:space="preserve"> </w:t>
      </w:r>
      <w:r w:rsidR="009B46C0">
        <w:rPr>
          <w:rFonts w:ascii="Century Gothic" w:hAnsi="Century Gothic" w:cs="Times New Roman"/>
          <w:color w:val="000000" w:themeColor="text1"/>
          <w:sz w:val="20"/>
          <w:szCs w:val="20"/>
        </w:rPr>
        <w:t>на хартиен носител</w:t>
      </w:r>
      <w:r w:rsidR="00E64363">
        <w:rPr>
          <w:rFonts w:ascii="Century Gothic" w:hAnsi="Century Gothic" w:cs="Times New Roman"/>
          <w:color w:val="000000" w:themeColor="text1"/>
          <w:sz w:val="20"/>
          <w:szCs w:val="20"/>
        </w:rPr>
        <w:t>:</w:t>
      </w:r>
    </w:p>
    <w:p w14:paraId="3FC5B177" w14:textId="7B01E601" w:rsidR="00E64363" w:rsidRDefault="00E64363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Приложение 4.1 – Основна информация;</w:t>
      </w:r>
    </w:p>
    <w:p w14:paraId="0EEED22E" w14:textId="6D309998" w:rsidR="00E64363" w:rsidRPr="009B46C0" w:rsidRDefault="00E64363" w:rsidP="008C58F2">
      <w:pPr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Приложение 4.2 – Описание на фракциите.</w:t>
      </w:r>
    </w:p>
    <w:p w14:paraId="46A51B50" w14:textId="77777777" w:rsidR="008C58F2" w:rsidRPr="00ED781E" w:rsidRDefault="008C58F2" w:rsidP="008C58F2">
      <w:pPr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</w:pPr>
    </w:p>
    <w:p w14:paraId="10F3B6CB" w14:textId="77777777" w:rsidR="00BB686B" w:rsidRPr="00ED781E" w:rsidRDefault="00E60AF4" w:rsidP="007207E8">
      <w:pPr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b/>
          <w:color w:val="000000" w:themeColor="text1"/>
          <w:sz w:val="20"/>
          <w:szCs w:val="20"/>
        </w:rPr>
        <w:t>СТЪПКА 1: ОБЩ ЗАПИС ЗА ВСЯКА ПРОБА</w:t>
      </w:r>
    </w:p>
    <w:p w14:paraId="58743D52" w14:textId="77777777" w:rsidR="0017060A" w:rsidRDefault="0017060A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0B83F9E" w14:textId="77777777" w:rsidR="00CF322D" w:rsidRPr="00ED781E" w:rsidRDefault="00D16F88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523606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При пристигане на камиона за разтоварване, е необходима текуща информация </w:t>
      </w:r>
      <w:r w:rsidR="00027B6C" w:rsidRPr="00523606">
        <w:rPr>
          <w:rFonts w:ascii="Century Gothic" w:hAnsi="Century Gothic" w:cs="Times New Roman"/>
          <w:color w:val="000000" w:themeColor="text1"/>
          <w:sz w:val="20"/>
          <w:szCs w:val="20"/>
        </w:rPr>
        <w:t>(дата, час),</w:t>
      </w:r>
      <w:r w:rsidR="00027B6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8B21C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информация </w:t>
      </w:r>
      <w:r w:rsidR="00CF322D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за </w:t>
      </w:r>
      <w:proofErr w:type="spellStart"/>
      <w:r w:rsidR="00CF322D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сметоизвозващата</w:t>
      </w:r>
      <w:proofErr w:type="spellEnd"/>
      <w:r w:rsidR="00CF322D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кола</w:t>
      </w:r>
      <w:r w:rsidR="00BF2551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, метеорологичните условия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, зона</w:t>
      </w:r>
      <w:r w:rsidR="00A209E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 обследване</w:t>
      </w:r>
      <w:r w:rsidR="00027B6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и др.</w:t>
      </w:r>
    </w:p>
    <w:p w14:paraId="676D813D" w14:textId="0B40CD5E" w:rsidR="001E319E" w:rsidRPr="00ED781E" w:rsidRDefault="001E319E" w:rsidP="001E319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Моля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,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попълнете гор</w:t>
      </w:r>
      <w:r w:rsid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епосочените данни в Приложение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4.1.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 </w:t>
      </w:r>
      <w:r w:rsidR="00ED781E">
        <w:rPr>
          <w:rFonts w:ascii="Century Gothic" w:hAnsi="Century Gothic" w:cs="Times New Roman"/>
          <w:color w:val="000000" w:themeColor="text1"/>
          <w:sz w:val="20"/>
          <w:szCs w:val="20"/>
        </w:rPr>
        <w:t>гърба на тази страница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  <w:r w:rsid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Попълнената бланка следва</w:t>
      </w:r>
      <w:r w:rsidR="00327A7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да бъде предоставена сканирана.</w:t>
      </w:r>
    </w:p>
    <w:p w14:paraId="6F03F047" w14:textId="77777777" w:rsidR="00027B6C" w:rsidRDefault="00027B6C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525BBF2" w14:textId="77777777" w:rsidR="00ED781E" w:rsidRDefault="00ED781E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3A7F8FA" w14:textId="77777777" w:rsidR="00ED781E" w:rsidRPr="00ED781E" w:rsidRDefault="00ED781E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692DA46" w14:textId="77777777" w:rsidR="00AA757B" w:rsidRPr="0017060A" w:rsidRDefault="00E60AF4" w:rsidP="007207E8">
      <w:pPr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17060A">
        <w:rPr>
          <w:rFonts w:ascii="Century Gothic" w:hAnsi="Century Gothic" w:cs="Times New Roman"/>
          <w:b/>
          <w:color w:val="000000" w:themeColor="text1"/>
          <w:sz w:val="20"/>
          <w:szCs w:val="20"/>
        </w:rPr>
        <w:t>СТЪПКА 2: ОПРЕДЕЛЯНЕ НА СРЕДНА ПРОБА</w:t>
      </w:r>
    </w:p>
    <w:p w14:paraId="495B8E70" w14:textId="77777777" w:rsidR="0017060A" w:rsidRDefault="0017060A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46A45DA" w14:textId="1AF4DB4B" w:rsidR="00CC58B3" w:rsidRPr="00ED781E" w:rsidRDefault="00002B7E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За</w:t>
      </w:r>
      <w:r w:rsidR="00B1364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да се определи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CA032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т.нар.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„средна проба“</w:t>
      </w:r>
      <w:r w:rsidR="00CC58B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 този отпадък,</w:t>
      </w:r>
      <w:r w:rsidR="00B1364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е необходимо да </w:t>
      </w:r>
      <w:r w:rsidR="0017060A">
        <w:rPr>
          <w:rFonts w:ascii="Century Gothic" w:hAnsi="Century Gothic" w:cs="Times New Roman"/>
          <w:color w:val="000000" w:themeColor="text1"/>
          <w:sz w:val="20"/>
          <w:szCs w:val="20"/>
        </w:rPr>
        <w:t>бъдат изпълнени няколко стъпки</w:t>
      </w:r>
      <w:r w:rsidR="00CC58B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7C068060" w14:textId="501343E6" w:rsidR="00002B7E" w:rsidRDefault="00CC58B3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Разглеждаме ги </w:t>
      </w:r>
      <w:r w:rsidR="00A209E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поетапно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в</w:t>
      </w:r>
      <w:r w:rsidR="00A209E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следващите няколко страници от наръчника.</w:t>
      </w:r>
    </w:p>
    <w:p w14:paraId="4564E8E4" w14:textId="77777777" w:rsidR="00C86EAF" w:rsidRPr="00ED781E" w:rsidRDefault="00C86EAF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077EE52" w14:textId="77777777" w:rsidR="008E7A9C" w:rsidRDefault="008E7A9C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3039790" w14:textId="77777777" w:rsidR="00E6542F" w:rsidRPr="00ED781E" w:rsidRDefault="00E6542F" w:rsidP="008A16C9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D93C4F9" w14:textId="589F1FF6" w:rsidR="008E7A9C" w:rsidRPr="00ED781E" w:rsidRDefault="00002B7E" w:rsidP="00C86EAF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lastRenderedPageBreak/>
        <w:t>Задача 1</w:t>
      </w:r>
      <w:r w:rsidR="0017060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: </w:t>
      </w:r>
      <w:proofErr w:type="spellStart"/>
      <w:r w:rsidR="0017060A">
        <w:rPr>
          <w:rFonts w:ascii="Century Gothic" w:hAnsi="Century Gothic" w:cs="Times New Roman"/>
          <w:color w:val="000000" w:themeColor="text1"/>
          <w:sz w:val="20"/>
          <w:szCs w:val="20"/>
        </w:rPr>
        <w:t>Сметоизвозващия</w:t>
      </w:r>
      <w:r w:rsidR="00512051">
        <w:rPr>
          <w:rFonts w:ascii="Century Gothic" w:hAnsi="Century Gothic" w:cs="Times New Roman"/>
          <w:color w:val="000000" w:themeColor="text1"/>
          <w:sz w:val="20"/>
          <w:szCs w:val="20"/>
        </w:rPr>
        <w:t>т</w:t>
      </w:r>
      <w:proofErr w:type="spellEnd"/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автомобил,</w:t>
      </w:r>
      <w:r w:rsidR="0017060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набелязан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за </w:t>
      </w:r>
      <w:proofErr w:type="spellStart"/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пробовземане</w:t>
      </w:r>
      <w:proofErr w:type="spellEnd"/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, е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необходимо</w:t>
      </w:r>
      <w:r w:rsidR="00B1364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да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разтовари</w:t>
      </w:r>
      <w:r w:rsidR="00E71CDF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част от превозвания отпадък </w:t>
      </w:r>
      <w:r w:rsidR="00BA255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на определена площадка на регионалното депо</w:t>
      </w:r>
      <w:r w:rsidR="00E900CA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,</w:t>
      </w:r>
      <w:r w:rsidR="00BA255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 която ще се извърши анализа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  <w:r w:rsidR="00BA255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Достатъчно е разтоварения</w:t>
      </w:r>
      <w:r w:rsidR="00C86EAF">
        <w:rPr>
          <w:rFonts w:ascii="Century Gothic" w:hAnsi="Century Gothic" w:cs="Times New Roman"/>
          <w:color w:val="000000" w:themeColor="text1"/>
          <w:sz w:val="20"/>
          <w:szCs w:val="20"/>
        </w:rPr>
        <w:t>т</w:t>
      </w:r>
      <w:r w:rsidR="00BA255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отпадък да </w:t>
      </w:r>
      <w:r w:rsidR="00F44FC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бъде </w:t>
      </w:r>
      <w:r w:rsidR="00BA255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около </w:t>
      </w:r>
      <w:r w:rsidR="00027B6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300</w:t>
      </w:r>
      <w:r w:rsidR="00F44FC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кг.</w:t>
      </w:r>
    </w:p>
    <w:p w14:paraId="1E71DE92" w14:textId="51D41521" w:rsidR="00AD3734" w:rsidRPr="00ED781E" w:rsidRDefault="00B13642" w:rsidP="00D973FE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>Задача 2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: Изсипания</w:t>
      </w:r>
      <w:r w:rsidR="008C58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т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отпадък</w:t>
      </w:r>
      <w:r w:rsidR="00512051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се</w:t>
      </w:r>
      <w:r w:rsidR="006147D7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разбърква и се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разстила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върху площадката в кръгла, правоъгълна или квадратна форма (с помощта на гребла, лопати, вили и др.) на слой с височина</w:t>
      </w:r>
      <w:r w:rsidR="00370AD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приблизително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30-40 см.</w:t>
      </w:r>
    </w:p>
    <w:p w14:paraId="11743E44" w14:textId="08E87362" w:rsidR="006B1909" w:rsidRDefault="00B13642" w:rsidP="00D973FE">
      <w:pPr>
        <w:jc w:val="both"/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>Задача 3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: </w:t>
      </w:r>
      <w:r w:rsidR="00512051">
        <w:rPr>
          <w:rFonts w:ascii="Century Gothic" w:eastAsia="Tahoma" w:hAnsi="Century Gothic" w:cs="Tahoma"/>
          <w:color w:val="000000" w:themeColor="text1"/>
          <w:sz w:val="20"/>
          <w:szCs w:val="20"/>
        </w:rPr>
        <w:t>Оформеният по този начин отпадък,</w:t>
      </w:r>
      <w:r w:rsidR="000A3F0B" w:rsidRPr="00ED781E">
        <w:rPr>
          <w:rFonts w:ascii="Century Gothic" w:eastAsia="Tahoma" w:hAnsi="Century Gothic" w:cs="Tahoma"/>
          <w:color w:val="000000" w:themeColor="text1"/>
          <w:spacing w:val="4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6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з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д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е</w:t>
      </w:r>
      <w:r w:rsidR="008C58F2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ля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на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6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чет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ри</w:t>
      </w:r>
      <w:r w:rsidR="000A3F0B" w:rsidRPr="00ED781E">
        <w:rPr>
          <w:rFonts w:ascii="Century Gothic" w:eastAsia="Tahoma" w:hAnsi="Century Gothic" w:cs="Tahoma"/>
          <w:color w:val="000000" w:themeColor="text1"/>
          <w:spacing w:val="2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3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в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ни</w:t>
      </w:r>
      <w:r w:rsidR="000A3F0B" w:rsidRPr="00ED781E">
        <w:rPr>
          <w:rFonts w:ascii="Century Gothic" w:eastAsia="Tahoma" w:hAnsi="Century Gothic" w:cs="Tahoma"/>
          <w:color w:val="000000" w:themeColor="text1"/>
          <w:spacing w:val="2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ч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и</w:t>
      </w:r>
      <w:r w:rsidR="006147D7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.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4"/>
          <w:sz w:val="20"/>
          <w:szCs w:val="20"/>
        </w:rPr>
        <w:t xml:space="preserve"> </w:t>
      </w:r>
      <w:r w:rsidR="006147D7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О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па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д</w:t>
      </w:r>
      <w:r w:rsidR="000A3F0B" w:rsidRPr="00ED781E">
        <w:rPr>
          <w:rFonts w:ascii="Century Gothic" w:eastAsia="Tahoma" w:hAnsi="Century Gothic" w:cs="Tahoma"/>
          <w:color w:val="000000" w:themeColor="text1"/>
          <w:spacing w:val="2"/>
          <w:sz w:val="20"/>
          <w:szCs w:val="20"/>
        </w:rPr>
        <w:t>ъ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ц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ите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9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от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7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д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в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7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ещ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у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полож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н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pacing w:val="5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ч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pacing w:val="6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7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8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ъб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 (</w:t>
      </w:r>
      <w:r w:rsidR="006B1909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те няма да</w:t>
      </w:r>
      <w:r w:rsidR="006147D7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представляват обект на анализ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),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1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д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ру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2"/>
          <w:sz w:val="20"/>
          <w:szCs w:val="20"/>
        </w:rPr>
        <w:t>г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ите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3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дв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7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ч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ти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е</w:t>
      </w:r>
      <w:r w:rsidR="000A3F0B" w:rsidRPr="00ED781E">
        <w:rPr>
          <w:rFonts w:ascii="Century Gothic" w:eastAsia="Tahoma" w:hAnsi="Century Gothic" w:cs="Tahoma"/>
          <w:color w:val="000000" w:themeColor="text1"/>
          <w:spacing w:val="3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з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б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ър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к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ва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5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pacing w:val="4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р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з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с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и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л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4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4"/>
          <w:sz w:val="20"/>
          <w:szCs w:val="20"/>
        </w:rPr>
        <w:t>о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н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о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в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о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в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ърху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2"/>
          <w:sz w:val="20"/>
          <w:szCs w:val="20"/>
        </w:rPr>
        <w:t xml:space="preserve"> 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пло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щ</w:t>
      </w:r>
      <w:r w:rsidR="000A3F0B" w:rsidRPr="00ED781E">
        <w:rPr>
          <w:rFonts w:ascii="Century Gothic" w:eastAsia="Tahoma" w:hAnsi="Century Gothic" w:cs="Tahoma"/>
          <w:color w:val="000000" w:themeColor="text1"/>
          <w:spacing w:val="3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pacing w:val="-1"/>
          <w:sz w:val="20"/>
          <w:szCs w:val="20"/>
        </w:rPr>
        <w:t>дк</w:t>
      </w:r>
      <w:r w:rsidR="000A3F0B" w:rsidRPr="00ED781E">
        <w:rPr>
          <w:rFonts w:ascii="Century Gothic" w:eastAsia="Tahoma" w:hAnsi="Century Gothic" w:cs="Tahoma"/>
          <w:color w:val="000000" w:themeColor="text1"/>
          <w:spacing w:val="3"/>
          <w:sz w:val="20"/>
          <w:szCs w:val="20"/>
        </w:rPr>
        <w:t>а</w:t>
      </w:r>
      <w:r w:rsidR="000A3F0B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0A3F0B" w:rsidRPr="00ED781E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а</w:t>
      </w:r>
      <w:r w:rsidR="00512051">
        <w:rPr>
          <w:rFonts w:ascii="Century Gothic" w:eastAsia="Tahoma" w:hAnsi="Century Gothic" w:cs="Tahoma"/>
          <w:color w:val="000000" w:themeColor="text1"/>
          <w:spacing w:val="1"/>
          <w:sz w:val="20"/>
          <w:szCs w:val="20"/>
        </w:rPr>
        <w:t>.</w:t>
      </w:r>
    </w:p>
    <w:p w14:paraId="54BD9ACC" w14:textId="77777777" w:rsidR="00512051" w:rsidRPr="00ED781E" w:rsidRDefault="00512051" w:rsidP="00D973FE">
      <w:pPr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35580952" w14:textId="549228E0" w:rsidR="008E7A9C" w:rsidRPr="00ED781E" w:rsidRDefault="008C58F2" w:rsidP="00C86EAF">
      <w:pPr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lastRenderedPageBreak/>
        <w:t>Това се</w:t>
      </w:r>
      <w:r w:rsidR="006147D7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прави с цел анализирания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т</w:t>
      </w:r>
      <w:r w:rsidR="006147D7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отпадък да бъде максимално еднороден.</w:t>
      </w:r>
      <w:r w:rsidR="00F44FC3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Процесът</w:t>
      </w:r>
      <w:r w:rsidR="00F44FC3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продължава до получаване на проба около 125 кг.</w:t>
      </w:r>
      <w:r w:rsidR="00760516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или т.нар „средна проба“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(може да се извърши </w:t>
      </w:r>
      <w:r w:rsidR="00D66FD5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 само веднъж, стига отпадъка да бъде достатъчно х</w:t>
      </w:r>
      <w:r w:rsidR="00027B6C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омогенен и с подходящо тегло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).</w:t>
      </w:r>
    </w:p>
    <w:p w14:paraId="43851975" w14:textId="2386BB41" w:rsidR="006B1909" w:rsidRPr="00ED781E" w:rsidRDefault="008C58F2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Следва </w:t>
      </w:r>
      <w:r w:rsidR="003C20FD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визуален оглед</w:t>
      </w:r>
      <w:r w:rsidR="00146B01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. 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Ако</w:t>
      </w:r>
      <w:r w:rsidR="00305393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в </w:t>
      </w:r>
      <w:r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пробата</w:t>
      </w:r>
      <w:r w:rsidR="00146B01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</w:t>
      </w:r>
      <w:r w:rsidR="00305393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се установи наличието на боеприпаси, трупове на умрели животни </w:t>
      </w:r>
      <w:r w:rsidR="003C20FD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или повече от </w:t>
      </w:r>
      <w:r w:rsidR="00512051">
        <w:rPr>
          <w:rFonts w:ascii="Century Gothic" w:eastAsia="Tahoma" w:hAnsi="Century Gothic" w:cs="Tahoma"/>
          <w:color w:val="000000" w:themeColor="text1"/>
          <w:sz w:val="20"/>
          <w:szCs w:val="20"/>
        </w:rPr>
        <w:t>10</w:t>
      </w:r>
      <w:r w:rsidR="003C20FD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% </w:t>
      </w:r>
      <w:r w:rsidR="00512051">
        <w:rPr>
          <w:rFonts w:ascii="Century Gothic" w:eastAsia="Tahoma" w:hAnsi="Century Gothic" w:cs="Tahoma"/>
          <w:color w:val="000000" w:themeColor="text1"/>
          <w:sz w:val="20"/>
          <w:szCs w:val="20"/>
        </w:rPr>
        <w:t>„други“</w:t>
      </w:r>
      <w:r w:rsidR="003C20FD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отпадъци, </w:t>
      </w:r>
      <w:r w:rsidR="00305393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тя се класифицира като </w:t>
      </w:r>
      <w:r w:rsidR="00D66FD5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недопустима</w:t>
      </w:r>
      <w:r w:rsidR="003C20FD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 xml:space="preserve"> </w:t>
      </w:r>
      <w:r w:rsidR="00D66FD5" w:rsidRPr="00ED781E">
        <w:rPr>
          <w:rFonts w:ascii="Century Gothic" w:eastAsia="Tahoma" w:hAnsi="Century Gothic" w:cs="Tahoma"/>
          <w:color w:val="000000" w:themeColor="text1"/>
          <w:sz w:val="20"/>
          <w:szCs w:val="20"/>
        </w:rPr>
        <w:t>и следва да бъде взета нова проба.</w:t>
      </w:r>
    </w:p>
    <w:p w14:paraId="642E76BE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658E3DAC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1CE0E9D8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7B77CEB2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3E416A97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6EA2FA4B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7D690E79" w14:textId="77777777" w:rsidR="00027B6C" w:rsidRPr="00ED781E" w:rsidRDefault="00027B6C" w:rsidP="00D66FD5">
      <w:pPr>
        <w:spacing w:after="0"/>
        <w:jc w:val="both"/>
        <w:rPr>
          <w:rFonts w:ascii="Century Gothic" w:eastAsia="Tahoma" w:hAnsi="Century Gothic" w:cs="Tahoma"/>
          <w:color w:val="000000" w:themeColor="text1"/>
          <w:sz w:val="20"/>
          <w:szCs w:val="20"/>
        </w:rPr>
      </w:pPr>
    </w:p>
    <w:p w14:paraId="5ABAFA87" w14:textId="77777777" w:rsidR="005420C2" w:rsidRDefault="005420C2" w:rsidP="007207E8">
      <w:pPr>
        <w:pStyle w:val="ListParagraph"/>
        <w:ind w:left="0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</w:p>
    <w:p w14:paraId="357E4FA1" w14:textId="7ABCD5D6" w:rsidR="00F44FC3" w:rsidRDefault="00E60AF4" w:rsidP="007207E8">
      <w:pPr>
        <w:pStyle w:val="ListParagraph"/>
        <w:ind w:left="0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СТЪПКА 3: СОРТИРАНЕ НА ЦЯЛОТО КОЛИЧЕСТВО </w:t>
      </w:r>
      <w:r w:rsidR="00C7404B">
        <w:rPr>
          <w:rFonts w:ascii="Century Gothic" w:hAnsi="Century Gothic" w:cs="Times New Roman"/>
          <w:b/>
          <w:color w:val="000000" w:themeColor="text1"/>
          <w:sz w:val="20"/>
          <w:szCs w:val="20"/>
        </w:rPr>
        <w:t>ОТПАДЪК ПО</w:t>
      </w: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 ФРАКЦИИ/ ГРУПИ.</w:t>
      </w:r>
    </w:p>
    <w:p w14:paraId="02CA840F" w14:textId="77777777" w:rsidR="00512051" w:rsidRPr="00C86EAF" w:rsidRDefault="00512051" w:rsidP="007207E8">
      <w:pPr>
        <w:pStyle w:val="ListParagraph"/>
        <w:ind w:left="0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</w:p>
    <w:p w14:paraId="49C195A6" w14:textId="6579D2D1" w:rsidR="00AE3902" w:rsidRPr="00ED781E" w:rsidRDefault="00512051" w:rsidP="00E15B07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Полученото </w:t>
      </w:r>
      <w:r w:rsidR="00760516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количество се претегля</w:t>
      </w:r>
      <w:r w:rsidR="00D66FD5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 везна с точност до 0,1 кг</w:t>
      </w:r>
      <w:r w:rsidR="00027B6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и се записва отчетената 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нетна </w:t>
      </w:r>
      <w:r w:rsidR="00027B6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стойност.</w:t>
      </w:r>
    </w:p>
    <w:p w14:paraId="2296EA0E" w14:textId="77777777" w:rsidR="00027B6C" w:rsidRPr="00ED781E" w:rsidRDefault="00027B6C" w:rsidP="00E15B07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29DF261" w14:textId="27FB7CE1" w:rsidR="00760516" w:rsidRPr="0056439B" w:rsidRDefault="001D5204" w:rsidP="00E15B07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</w:t>
      </w:r>
      <w:r w:rsidR="00760516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ледва да бъде из</w:t>
      </w:r>
      <w:r w:rsidR="00991DBC">
        <w:rPr>
          <w:rFonts w:ascii="Century Gothic" w:hAnsi="Century Gothic" w:cs="Times New Roman"/>
          <w:color w:val="000000" w:themeColor="text1"/>
          <w:sz w:val="20"/>
          <w:szCs w:val="20"/>
        </w:rPr>
        <w:t>вършено отделянето на отпадъци по видове</w:t>
      </w:r>
      <w:r w:rsidR="00760516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т.е. сортирането на отпадъците от пластмаса, хартия, картон, текстил, стъкло и др. </w:t>
      </w:r>
    </w:p>
    <w:p w14:paraId="50683E2A" w14:textId="77777777" w:rsidR="008C58F2" w:rsidRPr="00ED781E" w:rsidRDefault="008C58F2" w:rsidP="00E15B07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4A25C3AC" w14:textId="0E20A39A" w:rsidR="00CF41A5" w:rsidRPr="00ED781E" w:rsidRDefault="00CF41A5" w:rsidP="0076051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За успешното изпълнение на тази стъпка е</w:t>
      </w:r>
      <w:r w:rsidR="00512051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нужно да бъдат изпълнени 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2 задачи, разписани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в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следващите страници от наръчника.</w:t>
      </w:r>
    </w:p>
    <w:p w14:paraId="25D08556" w14:textId="77777777" w:rsidR="00CF41A5" w:rsidRPr="00ED781E" w:rsidRDefault="00CF41A5" w:rsidP="0076051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4B9804A4" w14:textId="77777777" w:rsidR="008E7A9C" w:rsidRPr="00ED781E" w:rsidRDefault="008E7A9C" w:rsidP="0076051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1F6DD99" w14:textId="77777777" w:rsidR="008E7A9C" w:rsidRPr="00ED781E" w:rsidRDefault="008E7A9C" w:rsidP="0076051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2E57077" w14:textId="73B46C0E" w:rsidR="00760516" w:rsidRPr="00ED781E" w:rsidRDefault="0076051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>Задача 1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: </w:t>
      </w:r>
      <w:r w:rsidR="00C86EAF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Сортиране на </w:t>
      </w:r>
      <w:r w:rsidR="007207E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отпадъци</w:t>
      </w:r>
      <w:r w:rsidR="00991DBC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по видове</w:t>
      </w:r>
      <w:r w:rsidR="00CF41A5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0718405A" w14:textId="77777777" w:rsidR="00D66FD5" w:rsidRPr="00ED781E" w:rsidRDefault="00D66FD5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1CFE4D7" w14:textId="153104A5" w:rsidR="00A270C3" w:rsidRDefault="00D66FD5" w:rsidP="008C58F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В предварително подготвен</w:t>
      </w:r>
      <w:r w:rsidR="008C58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и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чувал</w:t>
      </w:r>
      <w:r w:rsidR="008C58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и</w:t>
      </w:r>
      <w:r w:rsidR="00146B01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или контейнери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8C58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се сортират поотделно видовете отпадъци, които трябва да се о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тчетат по време на </w:t>
      </w:r>
      <w:proofErr w:type="spellStart"/>
      <w:r w:rsidR="005D5A7A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пробонабирането</w:t>
      </w:r>
      <w:proofErr w:type="spellEnd"/>
      <w:r w:rsidR="0056439B" w:rsidRPr="005D5A7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(за </w:t>
      </w:r>
      <w:r w:rsidR="00D947C5" w:rsidRPr="005D5A7A">
        <w:rPr>
          <w:rFonts w:ascii="Century Gothic" w:hAnsi="Century Gothic" w:cs="Times New Roman"/>
          <w:color w:val="000000" w:themeColor="text1"/>
          <w:sz w:val="20"/>
          <w:szCs w:val="20"/>
        </w:rPr>
        <w:t>опасните отпадъци трябва да бъдат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предвиден</w:t>
      </w:r>
      <w:r w:rsidR="00D947C5">
        <w:rPr>
          <w:rFonts w:ascii="Century Gothic" w:hAnsi="Century Gothic" w:cs="Times New Roman"/>
          <w:color w:val="000000" w:themeColor="text1"/>
          <w:sz w:val="20"/>
          <w:szCs w:val="20"/>
        </w:rPr>
        <w:t>и два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контейнер</w:t>
      </w:r>
      <w:r w:rsidR="00D947C5">
        <w:rPr>
          <w:rFonts w:ascii="Century Gothic" w:hAnsi="Century Gothic" w:cs="Times New Roman"/>
          <w:color w:val="000000" w:themeColor="text1"/>
          <w:sz w:val="20"/>
          <w:szCs w:val="20"/>
        </w:rPr>
        <w:t>а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за опасни отпадъци).</w:t>
      </w:r>
    </w:p>
    <w:p w14:paraId="70AAD9FE" w14:textId="77777777" w:rsidR="0056439B" w:rsidRPr="00ED781E" w:rsidRDefault="0056439B" w:rsidP="008C58F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F8AB3D1" w14:textId="6561189C" w:rsidR="008C58F2" w:rsidRPr="00ED781E" w:rsidRDefault="00C86EAF" w:rsidP="008C58F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Приложение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2 </w:t>
      </w:r>
      <w:r w:rsidR="00A270C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21568A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предоставя</w:t>
      </w:r>
      <w:r w:rsidR="00A270C3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подробно описание на фракциите.</w:t>
      </w:r>
    </w:p>
    <w:p w14:paraId="37213D1B" w14:textId="77777777" w:rsidR="008C58F2" w:rsidRPr="00ED781E" w:rsidRDefault="008C58F2" w:rsidP="008C58F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132091B" w14:textId="5132522E" w:rsidR="004A2D98" w:rsidRPr="00ED781E" w:rsidRDefault="008C58F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Пример: В един чувал </w:t>
      </w:r>
      <w:r w:rsidR="00D66FD5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се сортират всички храните</w:t>
      </w:r>
      <w:r w:rsidR="00CE47CA">
        <w:rPr>
          <w:rFonts w:ascii="Century Gothic" w:hAnsi="Century Gothic" w:cs="Times New Roman"/>
          <w:color w:val="000000" w:themeColor="text1"/>
          <w:sz w:val="20"/>
          <w:szCs w:val="20"/>
        </w:rPr>
        <w:t>лни отпадъци, в</w:t>
      </w:r>
      <w:r w:rsidR="00965DF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друг чувал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965DF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се сорти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рат всички пластмасови изделия</w:t>
      </w:r>
      <w:r w:rsidR="00CE47C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и.т.н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. </w:t>
      </w:r>
      <w:r w:rsidR="00903235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Този подход се прилага </w:t>
      </w:r>
      <w:r w:rsidR="00965DF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за всички групи отпа</w:t>
      </w:r>
      <w:r w:rsidR="007829C3">
        <w:rPr>
          <w:rFonts w:ascii="Century Gothic" w:hAnsi="Century Gothic" w:cs="Times New Roman"/>
          <w:color w:val="000000" w:themeColor="text1"/>
          <w:sz w:val="20"/>
          <w:szCs w:val="20"/>
        </w:rPr>
        <w:t>дъци в Част 1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(Видове отпадъци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)</w:t>
      </w:r>
      <w:r w:rsidR="007829C3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на Приложение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 w:rsidR="007829C3">
        <w:rPr>
          <w:rFonts w:ascii="Century Gothic" w:hAnsi="Century Gothic" w:cs="Times New Roman"/>
          <w:color w:val="000000" w:themeColor="text1"/>
          <w:sz w:val="20"/>
          <w:szCs w:val="20"/>
        </w:rPr>
        <w:t>2.</w:t>
      </w:r>
    </w:p>
    <w:p w14:paraId="4794118C" w14:textId="77777777" w:rsidR="008C58F2" w:rsidRPr="00ED781E" w:rsidRDefault="008C58F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671FF4E" w14:textId="77777777" w:rsidR="002472C2" w:rsidRPr="00ED781E" w:rsidRDefault="002472C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E5C05D7" w14:textId="0FB6D847" w:rsidR="00DF628A" w:rsidRDefault="00AD3734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</w:t>
      </w:r>
      <w:r w:rsidR="002E6458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лед като </w:t>
      </w:r>
      <w:r w:rsidR="00D32A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отпадъците от средната проба се класифицират по групи в отделни чували</w:t>
      </w:r>
      <w:r w:rsidR="00FB2060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</w:t>
      </w:r>
      <w:r w:rsidR="00D32A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е необходимо </w:t>
      </w:r>
      <w:r w:rsidR="0056439B">
        <w:rPr>
          <w:rFonts w:ascii="Century Gothic" w:hAnsi="Century Gothic" w:cs="Times New Roman"/>
          <w:color w:val="000000" w:themeColor="text1"/>
          <w:sz w:val="20"/>
          <w:szCs w:val="20"/>
        </w:rPr>
        <w:t>отделните стойности по фракции да</w:t>
      </w:r>
      <w:r w:rsidR="00D32AF2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бъдат премерени на кантар с точност до 0,1 кг. </w:t>
      </w:r>
    </w:p>
    <w:p w14:paraId="354C553B" w14:textId="77777777" w:rsidR="00A673C6" w:rsidRPr="00ED781E" w:rsidRDefault="00A673C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38BA159C" w14:textId="50690C23" w:rsidR="002E6458" w:rsidRDefault="00A673C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</w:t>
      </w:r>
      <w:r w:rsidR="0021568A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олучените резултати в к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илограми се въвеждат в релевантните полета в Част 1, Приложение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="008E7A9C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5305E230" w14:textId="77777777" w:rsidR="00A673C6" w:rsidRPr="00ED781E" w:rsidRDefault="00A673C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5DBCB07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C089EB6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1BD9DC9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25AF0A1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5CE0456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B894BC1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D2C2D43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2D150D0" w14:textId="77777777" w:rsidR="008E7A9C" w:rsidRPr="00ED781E" w:rsidRDefault="008E7A9C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3315FD80" w14:textId="77777777" w:rsidR="00FB2060" w:rsidRPr="00ED781E" w:rsidRDefault="00FB2060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>Задача 2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: 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Сортиране на опасните отпадъци по фракции/групи</w:t>
      </w:r>
    </w:p>
    <w:p w14:paraId="6DAAEB58" w14:textId="77777777" w:rsidR="00FB2060" w:rsidRPr="00ED781E" w:rsidRDefault="00FB2060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42D3BB2" w14:textId="690378AC" w:rsidR="00C86EAF" w:rsidRDefault="00C86EAF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Сепарираните вече</w:t>
      </w:r>
      <w:r w:rsidR="00134725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като общо количество </w:t>
      </w:r>
      <w:r w:rsidR="00E95E63">
        <w:rPr>
          <w:rFonts w:ascii="Century Gothic" w:hAnsi="Century Gothic" w:cs="Times New Roman"/>
          <w:color w:val="000000" w:themeColor="text1"/>
          <w:sz w:val="20"/>
          <w:szCs w:val="20"/>
        </w:rPr>
        <w:t>опасни отпадъци, се разпределят по под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-</w:t>
      </w:r>
      <w:r w:rsidR="00E95E63">
        <w:rPr>
          <w:rFonts w:ascii="Century Gothic" w:hAnsi="Century Gothic" w:cs="Times New Roman"/>
          <w:color w:val="000000" w:themeColor="text1"/>
          <w:sz w:val="20"/>
          <w:szCs w:val="20"/>
        </w:rPr>
        <w:t>видове.</w:t>
      </w:r>
    </w:p>
    <w:p w14:paraId="14C5197F" w14:textId="77777777" w:rsidR="00E95E63" w:rsidRDefault="00E95E63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9C80B65" w14:textId="1BE2C19F" w:rsidR="009F5F12" w:rsidRDefault="00A673C6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 w:cs="Times New Roman"/>
          <w:color w:val="000000" w:themeColor="text1"/>
          <w:sz w:val="20"/>
          <w:szCs w:val="20"/>
        </w:rPr>
        <w:t>Приложениe</w:t>
      </w:r>
      <w:proofErr w:type="spellEnd"/>
      <w:r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t xml:space="preserve"> 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t xml:space="preserve">2, 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Част 2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Опасен отпадък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</w:t>
      </w:r>
      <w:r w:rsidR="00DD645D">
        <w:rPr>
          <w:rFonts w:ascii="Century Gothic" w:hAnsi="Century Gothic" w:cs="Times New Roman"/>
          <w:color w:val="000000" w:themeColor="text1"/>
          <w:sz w:val="20"/>
          <w:szCs w:val="20"/>
        </w:rPr>
        <w:t>редставя подробно описание на под</w:t>
      </w:r>
      <w:r w:rsidR="00523606">
        <w:rPr>
          <w:rFonts w:ascii="Century Gothic" w:hAnsi="Century Gothic" w:cs="Times New Roman"/>
          <w:color w:val="000000" w:themeColor="text1"/>
          <w:sz w:val="20"/>
          <w:szCs w:val="20"/>
        </w:rPr>
        <w:t>-</w:t>
      </w:r>
      <w:r w:rsidR="00DD645D">
        <w:rPr>
          <w:rFonts w:ascii="Century Gothic" w:hAnsi="Century Gothic" w:cs="Times New Roman"/>
          <w:color w:val="000000" w:themeColor="text1"/>
          <w:sz w:val="20"/>
          <w:szCs w:val="20"/>
        </w:rPr>
        <w:t>видовете опасни отпадъци.</w:t>
      </w:r>
    </w:p>
    <w:p w14:paraId="5A597312" w14:textId="77777777" w:rsidR="00C7404B" w:rsidRDefault="00C7404B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</w:pPr>
    </w:p>
    <w:p w14:paraId="042E4484" w14:textId="6318129B" w:rsidR="00C7404B" w:rsidRDefault="00A673C6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*</w:t>
      </w:r>
      <w:r w:rsidR="00DD645D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За </w:t>
      </w:r>
      <w:r w:rsidR="000F7BD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идентифицирането на опасните битови отпадъци</w:t>
      </w:r>
      <w:r w:rsidR="00DD645D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които попадат в категория </w:t>
      </w:r>
      <w:r w:rsidR="00DD645D"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>„Зам</w:t>
      </w:r>
      <w:r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ърсени Опаковки“, в Приложение </w:t>
      </w:r>
      <w:r w:rsidR="00523606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="00DD645D"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са предоставени т.нар Пиктограми (з</w:t>
      </w:r>
      <w:r w:rsidR="000F7BDB"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>наци за опасност на продуктите</w:t>
      </w:r>
      <w:r w:rsidR="00DD645D" w:rsidRPr="00E51392">
        <w:rPr>
          <w:rFonts w:ascii="Century Gothic" w:hAnsi="Century Gothic" w:cs="Times New Roman"/>
          <w:color w:val="000000" w:themeColor="text1"/>
          <w:sz w:val="20"/>
          <w:szCs w:val="20"/>
        </w:rPr>
        <w:t>)</w:t>
      </w:r>
      <w:r w:rsidR="00DD645D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</w:p>
    <w:p w14:paraId="3248342C" w14:textId="280B7377" w:rsidR="00DD5F02" w:rsidRPr="00ED781E" w:rsidRDefault="000F7BDB" w:rsidP="00DD5F0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bg-BG"/>
        </w:rPr>
        <w:t>Например:</w:t>
      </w:r>
    </w:p>
    <w:p w14:paraId="17063EC0" w14:textId="77777777" w:rsidR="00DD5F02" w:rsidRPr="00ED781E" w:rsidRDefault="000F7BDB" w:rsidP="00DD5F0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/>
          <w:noProof/>
          <w:lang w:eastAsia="bg-BG"/>
        </w:rPr>
        <w:drawing>
          <wp:inline distT="0" distB="0" distL="0" distR="0" wp14:anchorId="37685D02" wp14:editId="011828E5">
            <wp:extent cx="425302" cy="425302"/>
            <wp:effectExtent l="0" t="0" r="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5" cy="4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1E">
        <w:rPr>
          <w:rFonts w:ascii="Century Gothic" w:hAnsi="Century Gothic"/>
          <w:noProof/>
          <w:lang w:eastAsia="bg-BG"/>
        </w:rPr>
        <w:drawing>
          <wp:inline distT="0" distB="0" distL="0" distR="0" wp14:anchorId="50643F29" wp14:editId="3844B0AB">
            <wp:extent cx="424992" cy="424992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7" cy="4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1E">
        <w:rPr>
          <w:rFonts w:ascii="Century Gothic" w:hAnsi="Century Gothic"/>
          <w:noProof/>
          <w:lang w:eastAsia="bg-BG"/>
        </w:rPr>
        <w:drawing>
          <wp:inline distT="0" distB="0" distL="0" distR="0" wp14:anchorId="675D1F8D" wp14:editId="2956DB78">
            <wp:extent cx="413562" cy="413562"/>
            <wp:effectExtent l="0" t="0" r="5715" b="571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9" cy="4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F928" w14:textId="77777777" w:rsidR="00DD5F02" w:rsidRPr="00ED781E" w:rsidRDefault="00DD5F02" w:rsidP="00DD5F0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0A934C7" w14:textId="77777777" w:rsidR="000F7BDB" w:rsidRPr="00ED781E" w:rsidRDefault="000F7BDB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След като опасните отпадъци се сортират по групи, е необходимо те да бъдат премерени на кантар с точност до 0,1 кг. </w:t>
      </w:r>
    </w:p>
    <w:p w14:paraId="065A87F8" w14:textId="77777777" w:rsidR="000F7BDB" w:rsidRPr="00ED781E" w:rsidRDefault="000F7BDB" w:rsidP="000F7BD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4423B123" w14:textId="743308A1" w:rsidR="00A673C6" w:rsidRDefault="00A673C6" w:rsidP="00A673C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олучените резултати в к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илограми се въвеждат в релевантните полета в Част 2, Приложение 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6EBBBB7C" w14:textId="77777777" w:rsidR="00FD4461" w:rsidRDefault="00FD4461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84F56B8" w14:textId="77777777" w:rsidR="00A673C6" w:rsidRPr="00ED781E" w:rsidRDefault="00A673C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3314762A" w14:textId="77777777" w:rsidR="00FD4461" w:rsidRPr="00ED781E" w:rsidRDefault="00FD4461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3305F550" w14:textId="77777777" w:rsidR="00FD4461" w:rsidRPr="00ED781E" w:rsidRDefault="00FD4461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6A0BF8E" w14:textId="77777777" w:rsidR="00FD4461" w:rsidRDefault="00FD4461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AE01C41" w14:textId="77777777" w:rsidR="00913856" w:rsidRPr="00ED781E" w:rsidRDefault="00913856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FE1549E" w14:textId="77777777" w:rsidR="00FD4461" w:rsidRPr="00ED781E" w:rsidRDefault="00FD4461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2782DC7" w14:textId="77777777" w:rsidR="007305E2" w:rsidRPr="00ED781E" w:rsidRDefault="007305E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37811937" w14:textId="77777777" w:rsidR="007305E2" w:rsidRPr="00ED781E" w:rsidRDefault="007305E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EB1185D" w14:textId="77777777" w:rsidR="007305E2" w:rsidRDefault="007305E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08468B3" w14:textId="0394FA52" w:rsidR="008A40C2" w:rsidRPr="00ED781E" w:rsidRDefault="008A40C2" w:rsidP="008A40C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C86EAF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Задача </w:t>
      </w:r>
      <w:r>
        <w:rPr>
          <w:rFonts w:ascii="Century Gothic" w:hAnsi="Century Gothic" w:cs="Times New Roman"/>
          <w:b/>
          <w:color w:val="000000" w:themeColor="text1"/>
          <w:sz w:val="20"/>
          <w:szCs w:val="20"/>
        </w:rPr>
        <w:t>3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: </w:t>
      </w:r>
      <w:r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Сортиране на „други“</w:t>
      </w:r>
      <w:r w:rsidR="00913856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 отпадъци по 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групи</w:t>
      </w:r>
    </w:p>
    <w:p w14:paraId="02B18B63" w14:textId="77777777" w:rsidR="008A40C2" w:rsidRPr="00ED781E" w:rsidRDefault="008A40C2" w:rsidP="008A40C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03D036B" w14:textId="73095D74" w:rsidR="008A40C2" w:rsidRDefault="00A86C78" w:rsidP="008A40C2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Сепарираните вече като общо количество „</w:t>
      </w:r>
      <w:r w:rsidR="008A40C2">
        <w:rPr>
          <w:rFonts w:ascii="Century Gothic" w:hAnsi="Century Gothic" w:cs="Times New Roman"/>
          <w:color w:val="000000" w:themeColor="text1"/>
          <w:sz w:val="20"/>
          <w:szCs w:val="20"/>
        </w:rPr>
        <w:t>други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“</w:t>
      </w:r>
      <w:r w:rsidR="008A40C2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отпадъци, се разпределят по подвидове.</w:t>
      </w:r>
    </w:p>
    <w:p w14:paraId="1F865F87" w14:textId="77777777" w:rsidR="008A40C2" w:rsidRDefault="008A40C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0E1C1E4" w14:textId="1E14B7FA" w:rsidR="008A40C2" w:rsidRDefault="008A40C2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Приложение</w:t>
      </w:r>
      <w:r w:rsidR="00A673C6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E51392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 w:rsidR="00A673C6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="00E51392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част 3 Други </w:t>
      </w:r>
      <w:proofErr w:type="spellStart"/>
      <w:r w:rsidR="00E51392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неопределими</w:t>
      </w:r>
      <w:proofErr w:type="spellEnd"/>
      <w:r w:rsidR="00A673C6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</w:t>
      </w:r>
      <w:r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редставя </w:t>
      </w:r>
      <w:r w:rsidR="00E441A9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индикативно </w:t>
      </w:r>
      <w:r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описание на подвидовете </w:t>
      </w:r>
      <w:r w:rsidR="00AA2626"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>„други“</w:t>
      </w:r>
      <w:r w:rsidRPr="00472618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отпадъци.</w:t>
      </w:r>
    </w:p>
    <w:p w14:paraId="5520109B" w14:textId="77777777" w:rsidR="00E441A9" w:rsidRDefault="00E441A9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68F6FF3B" w14:textId="706F5113" w:rsidR="00E441A9" w:rsidRPr="00ED781E" w:rsidRDefault="00E441A9" w:rsidP="00E441A9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След като 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„другите“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отпадъци се сортират по групи, е необходимо те да бъдат премерени на кантар с точност до 0,1 кг. </w:t>
      </w:r>
    </w:p>
    <w:p w14:paraId="66AA5ACA" w14:textId="77777777" w:rsidR="00E441A9" w:rsidRPr="00ED781E" w:rsidRDefault="00E441A9" w:rsidP="00E441A9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169EC3F" w14:textId="7F18BC9D" w:rsidR="00A673C6" w:rsidRDefault="00A673C6" w:rsidP="00A673C6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олучените резултати в к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илограми се въвеждат в релевантните полета в Ч</w:t>
      </w:r>
      <w:r w:rsidR="00CC7FD7">
        <w:rPr>
          <w:rFonts w:ascii="Century Gothic" w:hAnsi="Century Gothic" w:cs="Times New Roman"/>
          <w:color w:val="000000" w:themeColor="text1"/>
          <w:sz w:val="20"/>
          <w:szCs w:val="20"/>
        </w:rPr>
        <w:t>аст 3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, Приложение 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685D93AB" w14:textId="77777777" w:rsidR="00E441A9" w:rsidRPr="00ED781E" w:rsidRDefault="00E441A9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B008945" w14:textId="77777777" w:rsidR="000F7BDB" w:rsidRPr="00ED781E" w:rsidRDefault="000F7BDB" w:rsidP="00CF41A5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7E9EDBAD" w14:textId="4DC33976" w:rsidR="005F150A" w:rsidRPr="00ED781E" w:rsidRDefault="00B90D1F" w:rsidP="004146B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Останалите дребни</w:t>
      </w:r>
      <w:r w:rsidR="004146B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отпадъци</w:t>
      </w:r>
      <w:r w:rsidR="00E441A9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(</w:t>
      </w:r>
      <w:r w:rsidR="004146B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след сортиране по фрак</w:t>
      </w:r>
      <w:r w:rsidR="00E441A9">
        <w:rPr>
          <w:rFonts w:ascii="Century Gothic" w:hAnsi="Century Gothic" w:cs="Times New Roman"/>
          <w:color w:val="000000" w:themeColor="text1"/>
          <w:sz w:val="20"/>
          <w:szCs w:val="20"/>
        </w:rPr>
        <w:t>ции) се класифицират като „Ситна фракция</w:t>
      </w:r>
      <w:r w:rsidR="00E441A9">
        <w:rPr>
          <w:rFonts w:ascii="Century Gothic" w:eastAsia="Times New Roman" w:hAnsi="Century Gothic" w:cs="Times New Roman"/>
          <w:color w:val="000000"/>
          <w:sz w:val="20"/>
          <w:szCs w:val="20"/>
          <w:lang w:eastAsia="bg-BG"/>
        </w:rPr>
        <w:t>&lt;4</w:t>
      </w:r>
      <w:r w:rsidR="00E441A9" w:rsidRPr="00F57BA9">
        <w:rPr>
          <w:rFonts w:ascii="Century Gothic" w:eastAsia="Times New Roman" w:hAnsi="Century Gothic" w:cs="Times New Roman"/>
          <w:color w:val="000000"/>
          <w:sz w:val="20"/>
          <w:szCs w:val="20"/>
          <w:lang w:eastAsia="bg-BG"/>
        </w:rPr>
        <w:t>см.</w:t>
      </w:r>
      <w:r w:rsidR="00E441A9">
        <w:rPr>
          <w:rFonts w:ascii="Century Gothic" w:eastAsia="Times New Roman" w:hAnsi="Century Gothic" w:cs="Times New Roman"/>
          <w:color w:val="000000"/>
          <w:sz w:val="20"/>
          <w:szCs w:val="20"/>
          <w:lang w:eastAsia="bg-BG"/>
        </w:rPr>
        <w:t>“.</w:t>
      </w:r>
      <w:r w:rsidR="00E441A9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Това са </w:t>
      </w:r>
      <w:r w:rsidR="00913856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отпадъци </w:t>
      </w:r>
      <w:r w:rsidR="004146BB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>с</w:t>
      </w:r>
      <w:r w:rsidR="00E441A9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приблизителен размер под 4 см.</w:t>
      </w:r>
    </w:p>
    <w:p w14:paraId="2F5E8438" w14:textId="77777777" w:rsidR="005F150A" w:rsidRPr="00ED781E" w:rsidRDefault="005F150A" w:rsidP="004146BB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5803224C" w14:textId="397735AB" w:rsidR="005F150A" w:rsidRDefault="00E441A9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Не е необходимо те да бъдат </w:t>
      </w:r>
      <w:r w:rsidR="005F150A" w:rsidRPr="00ED781E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мерени на кантар. 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Количеството „ситна фракция&lt;4см“ се изчислява като извадим от общото количество отпадък, останалите вече измерени отпадъчни подвидове.</w:t>
      </w:r>
    </w:p>
    <w:p w14:paraId="5CA710CD" w14:textId="77777777" w:rsidR="00CC7FD7" w:rsidRDefault="00CC7FD7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03C6829" w14:textId="7308C0BA" w:rsidR="00CC7FD7" w:rsidRDefault="00CC7FD7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Стойността се въвежда в релевантната гр</w:t>
      </w:r>
      <w:r w:rsidR="00B95589">
        <w:rPr>
          <w:rFonts w:ascii="Century Gothic" w:hAnsi="Century Gothic" w:cs="Times New Roman"/>
          <w:color w:val="000000" w:themeColor="text1"/>
          <w:sz w:val="20"/>
          <w:szCs w:val="20"/>
        </w:rPr>
        <w:t>а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фа на Част 1, Приложение 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>2.</w:t>
      </w:r>
    </w:p>
    <w:p w14:paraId="1D5A170E" w14:textId="77777777" w:rsidR="00CC7FD7" w:rsidRDefault="00CC7FD7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C403736" w14:textId="148BDC2D" w:rsidR="00E441A9" w:rsidRDefault="00CC7FD7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Попълнените вече Приложени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я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1 и 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>4.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2 следва да бъдат </w:t>
      </w:r>
      <w:r w:rsidR="00342B1E">
        <w:rPr>
          <w:rFonts w:ascii="Century Gothic" w:hAnsi="Century Gothic" w:cs="Times New Roman"/>
          <w:color w:val="000000" w:themeColor="text1"/>
          <w:sz w:val="20"/>
          <w:szCs w:val="20"/>
        </w:rPr>
        <w:t>предоставени сканирани</w:t>
      </w:r>
      <w:r w:rsidR="00E51392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като неотменна част от морфологичния анализ</w:t>
      </w:r>
      <w:r w:rsidR="00342B1E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</w:p>
    <w:p w14:paraId="6692C15F" w14:textId="77777777" w:rsidR="00E441A9" w:rsidRDefault="00E441A9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711408A" w14:textId="77777777" w:rsidR="00E441A9" w:rsidRDefault="00E441A9" w:rsidP="005F150A">
      <w:pPr>
        <w:pStyle w:val="ListParagraph"/>
        <w:ind w:left="0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sectPr w:rsidR="00E441A9" w:rsidSect="005F32A8">
      <w:headerReference w:type="default" r:id="rId12"/>
      <w:headerReference w:type="first" r:id="rId13"/>
      <w:pgSz w:w="10319" w:h="7258" w:orient="landscape" w:code="8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24B80" w14:textId="77777777" w:rsidR="00B653D4" w:rsidRDefault="00B653D4" w:rsidP="004F1546">
      <w:pPr>
        <w:spacing w:after="0" w:line="240" w:lineRule="auto"/>
      </w:pPr>
      <w:r>
        <w:separator/>
      </w:r>
    </w:p>
  </w:endnote>
  <w:endnote w:type="continuationSeparator" w:id="0">
    <w:p w14:paraId="239823E6" w14:textId="77777777" w:rsidR="00B653D4" w:rsidRDefault="00B653D4" w:rsidP="004F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62DEA" w14:textId="77777777" w:rsidR="00B653D4" w:rsidRDefault="00B653D4" w:rsidP="004F1546">
      <w:pPr>
        <w:spacing w:after="0" w:line="240" w:lineRule="auto"/>
      </w:pPr>
      <w:r>
        <w:separator/>
      </w:r>
    </w:p>
  </w:footnote>
  <w:footnote w:type="continuationSeparator" w:id="0">
    <w:p w14:paraId="1535CA88" w14:textId="77777777" w:rsidR="00B653D4" w:rsidRDefault="00B653D4" w:rsidP="004F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5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626C90" w14:textId="77777777" w:rsidR="004F1546" w:rsidRDefault="004F154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0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BEBAC1A" w14:textId="77777777" w:rsidR="004F1546" w:rsidRPr="004F1546" w:rsidRDefault="004F1546">
    <w:pPr>
      <w:pStyle w:val="Header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BB1A7" w14:textId="254D594C" w:rsidR="004F1546" w:rsidRPr="004F1546" w:rsidRDefault="004F1546" w:rsidP="005F150A">
    <w:pPr>
      <w:pStyle w:val="Header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F71"/>
    <w:multiLevelType w:val="hybridMultilevel"/>
    <w:tmpl w:val="EA0A3356"/>
    <w:lvl w:ilvl="0" w:tplc="D1D8D06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1F497D" w:themeColor="text2"/>
        <w:sz w:val="56"/>
        <w:szCs w:val="5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B3E"/>
    <w:multiLevelType w:val="hybridMultilevel"/>
    <w:tmpl w:val="788631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1DE"/>
    <w:multiLevelType w:val="hybridMultilevel"/>
    <w:tmpl w:val="F51E2E46"/>
    <w:lvl w:ilvl="0" w:tplc="AFF034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11D9"/>
    <w:multiLevelType w:val="hybridMultilevel"/>
    <w:tmpl w:val="C8261874"/>
    <w:lvl w:ilvl="0" w:tplc="BE16CE2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1F497D" w:themeColor="text2"/>
        <w:sz w:val="56"/>
        <w:szCs w:val="5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E2279"/>
    <w:multiLevelType w:val="hybridMultilevel"/>
    <w:tmpl w:val="8FE272EE"/>
    <w:lvl w:ilvl="0" w:tplc="7A4297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D0756"/>
    <w:multiLevelType w:val="hybridMultilevel"/>
    <w:tmpl w:val="9634CD9C"/>
    <w:lvl w:ilvl="0" w:tplc="89948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0B03"/>
    <w:multiLevelType w:val="hybridMultilevel"/>
    <w:tmpl w:val="712053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211A8"/>
    <w:multiLevelType w:val="hybridMultilevel"/>
    <w:tmpl w:val="D06069F4"/>
    <w:lvl w:ilvl="0" w:tplc="65DC2B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01237"/>
    <w:multiLevelType w:val="hybridMultilevel"/>
    <w:tmpl w:val="DEAC0300"/>
    <w:lvl w:ilvl="0" w:tplc="71287E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17365D" w:themeColor="text2" w:themeShade="BF"/>
        <w:sz w:val="56"/>
        <w:szCs w:val="5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13"/>
    <w:rsid w:val="00002B7E"/>
    <w:rsid w:val="00027B6C"/>
    <w:rsid w:val="000527AD"/>
    <w:rsid w:val="000A19AC"/>
    <w:rsid w:val="000A3F0B"/>
    <w:rsid w:val="000A5DB1"/>
    <w:rsid w:val="000B719B"/>
    <w:rsid w:val="000C0B55"/>
    <w:rsid w:val="000D0817"/>
    <w:rsid w:val="000E1126"/>
    <w:rsid w:val="000E5ACE"/>
    <w:rsid w:val="000F7BDB"/>
    <w:rsid w:val="001034C7"/>
    <w:rsid w:val="00123AF9"/>
    <w:rsid w:val="00134725"/>
    <w:rsid w:val="00146B01"/>
    <w:rsid w:val="00154415"/>
    <w:rsid w:val="0017060A"/>
    <w:rsid w:val="00177F5E"/>
    <w:rsid w:val="001D324B"/>
    <w:rsid w:val="001D5204"/>
    <w:rsid w:val="001E319E"/>
    <w:rsid w:val="0021568A"/>
    <w:rsid w:val="00224660"/>
    <w:rsid w:val="00240761"/>
    <w:rsid w:val="002472C2"/>
    <w:rsid w:val="00286799"/>
    <w:rsid w:val="002A601D"/>
    <w:rsid w:val="002D496F"/>
    <w:rsid w:val="002E6458"/>
    <w:rsid w:val="00305393"/>
    <w:rsid w:val="00327A77"/>
    <w:rsid w:val="00342B1E"/>
    <w:rsid w:val="00344C7E"/>
    <w:rsid w:val="003538CE"/>
    <w:rsid w:val="00355EB3"/>
    <w:rsid w:val="003635C4"/>
    <w:rsid w:val="00366A0B"/>
    <w:rsid w:val="00370ADC"/>
    <w:rsid w:val="00381F90"/>
    <w:rsid w:val="003C20FD"/>
    <w:rsid w:val="003E1C4E"/>
    <w:rsid w:val="003F74FE"/>
    <w:rsid w:val="004021A8"/>
    <w:rsid w:val="004146BB"/>
    <w:rsid w:val="00443AB7"/>
    <w:rsid w:val="00472618"/>
    <w:rsid w:val="00480D15"/>
    <w:rsid w:val="004A2D98"/>
    <w:rsid w:val="004B047E"/>
    <w:rsid w:val="004D1607"/>
    <w:rsid w:val="004F1546"/>
    <w:rsid w:val="00512051"/>
    <w:rsid w:val="00513810"/>
    <w:rsid w:val="00523606"/>
    <w:rsid w:val="005252B5"/>
    <w:rsid w:val="005420C2"/>
    <w:rsid w:val="00546F48"/>
    <w:rsid w:val="0055108D"/>
    <w:rsid w:val="00553A3C"/>
    <w:rsid w:val="0056439B"/>
    <w:rsid w:val="005854FF"/>
    <w:rsid w:val="00593754"/>
    <w:rsid w:val="00595122"/>
    <w:rsid w:val="005D5A7A"/>
    <w:rsid w:val="005F150A"/>
    <w:rsid w:val="005F32A8"/>
    <w:rsid w:val="00600AB9"/>
    <w:rsid w:val="006066B7"/>
    <w:rsid w:val="006147D7"/>
    <w:rsid w:val="00634152"/>
    <w:rsid w:val="0064439D"/>
    <w:rsid w:val="0064756B"/>
    <w:rsid w:val="00654365"/>
    <w:rsid w:val="006725A8"/>
    <w:rsid w:val="00680A11"/>
    <w:rsid w:val="006932DB"/>
    <w:rsid w:val="00697CC5"/>
    <w:rsid w:val="006B1909"/>
    <w:rsid w:val="006E15FF"/>
    <w:rsid w:val="006E21EB"/>
    <w:rsid w:val="006E7F40"/>
    <w:rsid w:val="007207E8"/>
    <w:rsid w:val="00723121"/>
    <w:rsid w:val="007305E2"/>
    <w:rsid w:val="00756580"/>
    <w:rsid w:val="00760329"/>
    <w:rsid w:val="007604CE"/>
    <w:rsid w:val="00760516"/>
    <w:rsid w:val="007829C3"/>
    <w:rsid w:val="007A4C72"/>
    <w:rsid w:val="007D149C"/>
    <w:rsid w:val="00800E33"/>
    <w:rsid w:val="0081304F"/>
    <w:rsid w:val="00863BB1"/>
    <w:rsid w:val="00880CCA"/>
    <w:rsid w:val="00897094"/>
    <w:rsid w:val="008A16C9"/>
    <w:rsid w:val="008A40C2"/>
    <w:rsid w:val="008B21C0"/>
    <w:rsid w:val="008B4D2D"/>
    <w:rsid w:val="008C58F2"/>
    <w:rsid w:val="008E11C1"/>
    <w:rsid w:val="008E7A9C"/>
    <w:rsid w:val="00903235"/>
    <w:rsid w:val="00903D4A"/>
    <w:rsid w:val="00904ACF"/>
    <w:rsid w:val="00913856"/>
    <w:rsid w:val="00915D61"/>
    <w:rsid w:val="009274E5"/>
    <w:rsid w:val="00932500"/>
    <w:rsid w:val="009328E9"/>
    <w:rsid w:val="009442FB"/>
    <w:rsid w:val="0096217B"/>
    <w:rsid w:val="00965DFC"/>
    <w:rsid w:val="00987721"/>
    <w:rsid w:val="00991DBC"/>
    <w:rsid w:val="00993973"/>
    <w:rsid w:val="009B2A26"/>
    <w:rsid w:val="009B46C0"/>
    <w:rsid w:val="009C3204"/>
    <w:rsid w:val="009C49F4"/>
    <w:rsid w:val="009C4E7A"/>
    <w:rsid w:val="009E636C"/>
    <w:rsid w:val="009F5F12"/>
    <w:rsid w:val="00A04FB8"/>
    <w:rsid w:val="00A209EB"/>
    <w:rsid w:val="00A270C3"/>
    <w:rsid w:val="00A40842"/>
    <w:rsid w:val="00A55882"/>
    <w:rsid w:val="00A6641A"/>
    <w:rsid w:val="00A673C6"/>
    <w:rsid w:val="00A86C78"/>
    <w:rsid w:val="00A940C8"/>
    <w:rsid w:val="00AA2626"/>
    <w:rsid w:val="00AA757B"/>
    <w:rsid w:val="00AB272D"/>
    <w:rsid w:val="00AB30EB"/>
    <w:rsid w:val="00AC44D2"/>
    <w:rsid w:val="00AD3734"/>
    <w:rsid w:val="00AE3902"/>
    <w:rsid w:val="00AF28FD"/>
    <w:rsid w:val="00AF341A"/>
    <w:rsid w:val="00AF6A30"/>
    <w:rsid w:val="00B13642"/>
    <w:rsid w:val="00B44E0C"/>
    <w:rsid w:val="00B60D11"/>
    <w:rsid w:val="00B653D4"/>
    <w:rsid w:val="00B90D1F"/>
    <w:rsid w:val="00B95589"/>
    <w:rsid w:val="00B9563E"/>
    <w:rsid w:val="00B97F53"/>
    <w:rsid w:val="00BA2557"/>
    <w:rsid w:val="00BB686B"/>
    <w:rsid w:val="00BE529A"/>
    <w:rsid w:val="00BF2551"/>
    <w:rsid w:val="00BF3A43"/>
    <w:rsid w:val="00C0150E"/>
    <w:rsid w:val="00C26272"/>
    <w:rsid w:val="00C559A8"/>
    <w:rsid w:val="00C55BDD"/>
    <w:rsid w:val="00C732DC"/>
    <w:rsid w:val="00C7404B"/>
    <w:rsid w:val="00C86EAF"/>
    <w:rsid w:val="00C90FC8"/>
    <w:rsid w:val="00CA0057"/>
    <w:rsid w:val="00CA02A3"/>
    <w:rsid w:val="00CA032B"/>
    <w:rsid w:val="00CA1351"/>
    <w:rsid w:val="00CB4A5D"/>
    <w:rsid w:val="00CC110F"/>
    <w:rsid w:val="00CC58B3"/>
    <w:rsid w:val="00CC7FD7"/>
    <w:rsid w:val="00CD1B6A"/>
    <w:rsid w:val="00CE47CA"/>
    <w:rsid w:val="00CF322D"/>
    <w:rsid w:val="00CF41A5"/>
    <w:rsid w:val="00D0564C"/>
    <w:rsid w:val="00D16F88"/>
    <w:rsid w:val="00D25513"/>
    <w:rsid w:val="00D30FD3"/>
    <w:rsid w:val="00D32AF2"/>
    <w:rsid w:val="00D44E92"/>
    <w:rsid w:val="00D66FD5"/>
    <w:rsid w:val="00D93AAC"/>
    <w:rsid w:val="00D947C5"/>
    <w:rsid w:val="00D973FE"/>
    <w:rsid w:val="00DB5FE7"/>
    <w:rsid w:val="00DB7ABB"/>
    <w:rsid w:val="00DD5F02"/>
    <w:rsid w:val="00DD645D"/>
    <w:rsid w:val="00DF3857"/>
    <w:rsid w:val="00DF628A"/>
    <w:rsid w:val="00E13A79"/>
    <w:rsid w:val="00E14C5F"/>
    <w:rsid w:val="00E15B07"/>
    <w:rsid w:val="00E441A9"/>
    <w:rsid w:val="00E44585"/>
    <w:rsid w:val="00E51392"/>
    <w:rsid w:val="00E60AF4"/>
    <w:rsid w:val="00E64363"/>
    <w:rsid w:val="00E6542F"/>
    <w:rsid w:val="00E71CDF"/>
    <w:rsid w:val="00E773C6"/>
    <w:rsid w:val="00E900CA"/>
    <w:rsid w:val="00E95E63"/>
    <w:rsid w:val="00EA3F42"/>
    <w:rsid w:val="00EA74B8"/>
    <w:rsid w:val="00EB34EB"/>
    <w:rsid w:val="00ED781E"/>
    <w:rsid w:val="00EF2426"/>
    <w:rsid w:val="00EF7E65"/>
    <w:rsid w:val="00F00BB0"/>
    <w:rsid w:val="00F06EE5"/>
    <w:rsid w:val="00F44FC3"/>
    <w:rsid w:val="00F743DB"/>
    <w:rsid w:val="00FB1CF9"/>
    <w:rsid w:val="00FB2060"/>
    <w:rsid w:val="00FC5490"/>
    <w:rsid w:val="00FC62EA"/>
    <w:rsid w:val="00FD4461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46"/>
  </w:style>
  <w:style w:type="paragraph" w:styleId="Footer">
    <w:name w:val="footer"/>
    <w:basedOn w:val="Normal"/>
    <w:link w:val="FooterChar"/>
    <w:uiPriority w:val="99"/>
    <w:unhideWhenUsed/>
    <w:rsid w:val="004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46"/>
  </w:style>
  <w:style w:type="paragraph" w:styleId="Footer">
    <w:name w:val="footer"/>
    <w:basedOn w:val="Normal"/>
    <w:link w:val="FooterChar"/>
    <w:uiPriority w:val="99"/>
    <w:unhideWhenUsed/>
    <w:rsid w:val="004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6B2B-344F-4593-A265-A8BECD2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user</cp:lastModifiedBy>
  <cp:revision>69</cp:revision>
  <cp:lastPrinted>2018-11-26T11:54:00Z</cp:lastPrinted>
  <dcterms:created xsi:type="dcterms:W3CDTF">2018-09-07T14:32:00Z</dcterms:created>
  <dcterms:modified xsi:type="dcterms:W3CDTF">2019-02-06T13:18:00Z</dcterms:modified>
</cp:coreProperties>
</file>