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6008" w:type="dxa"/>
        <w:tblCellMar>
          <w:left w:w="70" w:type="dxa"/>
          <w:right w:w="70" w:type="dxa"/>
        </w:tblCellMar>
        <w:tblLook w:val="04A0" w:firstRow="1" w:lastRow="0" w:firstColumn="1" w:lastColumn="0" w:noHBand="0" w:noVBand="1"/>
      </w:tblPr>
      <w:tblGrid>
        <w:gridCol w:w="382"/>
        <w:gridCol w:w="2160"/>
        <w:gridCol w:w="3827"/>
        <w:gridCol w:w="9639"/>
      </w:tblGrid>
      <w:tr w:rsidR="00B053E1" w:rsidRPr="00B053E1" w:rsidTr="00B053E1">
        <w:trPr>
          <w:trHeight w:val="962"/>
        </w:trPr>
        <w:tc>
          <w:tcPr>
            <w:tcW w:w="16008"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B053E1" w:rsidRPr="00B053E1" w:rsidRDefault="0015576F" w:rsidP="00310DEB">
            <w:pPr>
              <w:spacing w:after="0" w:line="240" w:lineRule="auto"/>
              <w:jc w:val="center"/>
              <w:rPr>
                <w:rFonts w:ascii="Times New Roman" w:eastAsia="Times New Roman" w:hAnsi="Times New Roman" w:cs="Times New Roman"/>
                <w:b/>
                <w:bCs/>
                <w:color w:val="000000"/>
                <w:sz w:val="24"/>
                <w:szCs w:val="24"/>
                <w:lang w:val="bg-BG" w:eastAsia="bg-BG"/>
              </w:rPr>
            </w:pPr>
            <w:r>
              <w:rPr>
                <w:rFonts w:ascii="Times New Roman" w:eastAsia="Times New Roman" w:hAnsi="Times New Roman" w:cs="Times New Roman"/>
                <w:b/>
                <w:bCs/>
                <w:color w:val="000000"/>
                <w:sz w:val="24"/>
                <w:szCs w:val="24"/>
                <w:lang w:val="bg-BG" w:eastAsia="bg-BG"/>
              </w:rPr>
              <w:t xml:space="preserve">Указания за обхвата и съдържанието </w:t>
            </w:r>
            <w:r w:rsidR="00310DEB">
              <w:rPr>
                <w:rFonts w:ascii="Times New Roman" w:eastAsia="Times New Roman" w:hAnsi="Times New Roman" w:cs="Times New Roman"/>
                <w:b/>
                <w:bCs/>
                <w:color w:val="000000"/>
                <w:sz w:val="24"/>
                <w:szCs w:val="24"/>
                <w:lang w:val="bg-BG" w:eastAsia="bg-BG"/>
              </w:rPr>
              <w:t>на</w:t>
            </w:r>
            <w:r w:rsidR="00B053E1" w:rsidRPr="00B053E1">
              <w:rPr>
                <w:rFonts w:ascii="Times New Roman" w:eastAsia="Times New Roman" w:hAnsi="Times New Roman" w:cs="Times New Roman"/>
                <w:b/>
                <w:bCs/>
                <w:color w:val="000000"/>
                <w:sz w:val="24"/>
                <w:szCs w:val="24"/>
                <w:lang w:val="bg-BG" w:eastAsia="bg-BG"/>
              </w:rPr>
              <w:t xml:space="preserve"> програм</w:t>
            </w:r>
            <w:r w:rsidR="00310DEB">
              <w:rPr>
                <w:rFonts w:ascii="Times New Roman" w:eastAsia="Times New Roman" w:hAnsi="Times New Roman" w:cs="Times New Roman"/>
                <w:b/>
                <w:bCs/>
                <w:color w:val="000000"/>
                <w:sz w:val="24"/>
                <w:szCs w:val="24"/>
                <w:lang w:val="bg-BG" w:eastAsia="bg-BG"/>
              </w:rPr>
              <w:t>ите</w:t>
            </w:r>
            <w:r w:rsidR="00B053E1" w:rsidRPr="00B053E1">
              <w:rPr>
                <w:rFonts w:ascii="Times New Roman" w:eastAsia="Times New Roman" w:hAnsi="Times New Roman" w:cs="Times New Roman"/>
                <w:b/>
                <w:bCs/>
                <w:color w:val="000000"/>
                <w:sz w:val="24"/>
                <w:szCs w:val="24"/>
                <w:lang w:val="bg-BG" w:eastAsia="bg-BG"/>
              </w:rPr>
              <w:t xml:space="preserve"> по чл. 53, ал. 1 от Закона за управление на отпадъците за негодни за употреба батерии и акумулатори</w:t>
            </w:r>
          </w:p>
        </w:tc>
      </w:tr>
      <w:tr w:rsidR="00B053E1" w:rsidRPr="00B053E1" w:rsidTr="00B053E1">
        <w:trPr>
          <w:trHeight w:val="551"/>
        </w:trPr>
        <w:tc>
          <w:tcPr>
            <w:tcW w:w="382" w:type="dxa"/>
            <w:tcBorders>
              <w:top w:val="nil"/>
              <w:left w:val="single" w:sz="8" w:space="0" w:color="auto"/>
              <w:bottom w:val="single" w:sz="8" w:space="0" w:color="auto"/>
              <w:right w:val="single" w:sz="8" w:space="0" w:color="auto"/>
            </w:tcBorders>
            <w:shd w:val="clear" w:color="auto" w:fill="auto"/>
            <w:noWrap/>
            <w:vAlign w:val="center"/>
            <w:hideMark/>
          </w:tcPr>
          <w:p w:rsidR="00B053E1" w:rsidRPr="00B053E1" w:rsidRDefault="00B053E1" w:rsidP="00B053E1">
            <w:pPr>
              <w:spacing w:after="0" w:line="240" w:lineRule="auto"/>
              <w:jc w:val="center"/>
              <w:rPr>
                <w:rFonts w:ascii="Times New Roman" w:eastAsia="Times New Roman" w:hAnsi="Times New Roman" w:cs="Times New Roman"/>
                <w:b/>
                <w:bCs/>
                <w:color w:val="000000"/>
                <w:sz w:val="24"/>
                <w:szCs w:val="24"/>
                <w:lang w:val="bg-BG" w:eastAsia="bg-BG"/>
              </w:rPr>
            </w:pPr>
            <w:r w:rsidRPr="00B053E1">
              <w:rPr>
                <w:rFonts w:ascii="Times New Roman" w:eastAsia="Times New Roman" w:hAnsi="Times New Roman" w:cs="Times New Roman"/>
                <w:b/>
                <w:bCs/>
                <w:color w:val="000000"/>
                <w:sz w:val="24"/>
                <w:szCs w:val="24"/>
                <w:lang w:val="bg-BG" w:eastAsia="bg-BG"/>
              </w:rPr>
              <w:t>№</w:t>
            </w:r>
          </w:p>
        </w:tc>
        <w:tc>
          <w:tcPr>
            <w:tcW w:w="2160" w:type="dxa"/>
            <w:tcBorders>
              <w:top w:val="nil"/>
              <w:left w:val="nil"/>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jc w:val="center"/>
              <w:rPr>
                <w:rFonts w:ascii="Times New Roman" w:eastAsia="Times New Roman" w:hAnsi="Times New Roman" w:cs="Times New Roman"/>
                <w:b/>
                <w:bCs/>
                <w:color w:val="000000"/>
                <w:sz w:val="24"/>
                <w:szCs w:val="24"/>
                <w:lang w:val="bg-BG" w:eastAsia="bg-BG"/>
              </w:rPr>
            </w:pPr>
            <w:r w:rsidRPr="00B053E1">
              <w:rPr>
                <w:rFonts w:ascii="Times New Roman" w:eastAsia="Times New Roman" w:hAnsi="Times New Roman" w:cs="Times New Roman"/>
                <w:b/>
                <w:bCs/>
                <w:color w:val="000000"/>
                <w:sz w:val="24"/>
                <w:szCs w:val="24"/>
                <w:lang w:val="bg-BG" w:eastAsia="bg-BG"/>
              </w:rPr>
              <w:t>Правно основание НБАНУБА</w:t>
            </w:r>
          </w:p>
        </w:tc>
        <w:tc>
          <w:tcPr>
            <w:tcW w:w="3827" w:type="dxa"/>
            <w:tcBorders>
              <w:top w:val="nil"/>
              <w:left w:val="nil"/>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jc w:val="center"/>
              <w:rPr>
                <w:rFonts w:ascii="Times New Roman" w:eastAsia="Times New Roman" w:hAnsi="Times New Roman" w:cs="Times New Roman"/>
                <w:b/>
                <w:bCs/>
                <w:color w:val="000000"/>
                <w:sz w:val="24"/>
                <w:szCs w:val="24"/>
                <w:lang w:val="bg-BG" w:eastAsia="bg-BG"/>
              </w:rPr>
            </w:pPr>
            <w:r w:rsidRPr="00B053E1">
              <w:rPr>
                <w:rFonts w:ascii="Times New Roman" w:eastAsia="Times New Roman" w:hAnsi="Times New Roman" w:cs="Times New Roman"/>
                <w:b/>
                <w:bCs/>
                <w:color w:val="000000"/>
                <w:sz w:val="24"/>
                <w:szCs w:val="24"/>
                <w:lang w:val="bg-BG" w:eastAsia="bg-BG"/>
              </w:rPr>
              <w:t>Критерий</w:t>
            </w:r>
          </w:p>
        </w:tc>
        <w:tc>
          <w:tcPr>
            <w:tcW w:w="9639" w:type="dxa"/>
            <w:tcBorders>
              <w:top w:val="nil"/>
              <w:left w:val="nil"/>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jc w:val="center"/>
              <w:rPr>
                <w:rFonts w:ascii="Times New Roman" w:eastAsia="Times New Roman" w:hAnsi="Times New Roman" w:cs="Times New Roman"/>
                <w:b/>
                <w:bCs/>
                <w:color w:val="000000"/>
                <w:sz w:val="24"/>
                <w:szCs w:val="24"/>
                <w:lang w:val="bg-BG" w:eastAsia="bg-BG"/>
              </w:rPr>
            </w:pPr>
            <w:r w:rsidRPr="00B053E1">
              <w:rPr>
                <w:rFonts w:ascii="Times New Roman" w:eastAsia="Times New Roman" w:hAnsi="Times New Roman" w:cs="Times New Roman"/>
                <w:b/>
                <w:bCs/>
                <w:color w:val="000000"/>
                <w:sz w:val="24"/>
                <w:szCs w:val="24"/>
                <w:lang w:val="bg-BG" w:eastAsia="bg-BG"/>
              </w:rPr>
              <w:t>Минимално изискване</w:t>
            </w:r>
          </w:p>
        </w:tc>
      </w:tr>
      <w:tr w:rsidR="00B053E1" w:rsidRPr="00B053E1" w:rsidTr="00B053E1">
        <w:trPr>
          <w:trHeight w:val="4297"/>
        </w:trPr>
        <w:tc>
          <w:tcPr>
            <w:tcW w:w="382" w:type="dxa"/>
            <w:tcBorders>
              <w:top w:val="nil"/>
              <w:left w:val="single" w:sz="8" w:space="0" w:color="auto"/>
              <w:bottom w:val="single" w:sz="8" w:space="0" w:color="auto"/>
              <w:right w:val="single" w:sz="8" w:space="0" w:color="auto"/>
            </w:tcBorders>
            <w:shd w:val="clear" w:color="auto" w:fill="auto"/>
            <w:noWrap/>
            <w:vAlign w:val="center"/>
            <w:hideMark/>
          </w:tcPr>
          <w:p w:rsidR="00B053E1" w:rsidRPr="00B053E1" w:rsidRDefault="00B053E1" w:rsidP="00B053E1">
            <w:pPr>
              <w:spacing w:after="0" w:line="240" w:lineRule="auto"/>
              <w:jc w:val="center"/>
              <w:rPr>
                <w:rFonts w:ascii="Times New Roman" w:eastAsia="Times New Roman" w:hAnsi="Times New Roman" w:cs="Times New Roman"/>
                <w:b/>
                <w:bCs/>
                <w:color w:val="000000"/>
                <w:sz w:val="24"/>
                <w:szCs w:val="24"/>
                <w:lang w:val="bg-BG" w:eastAsia="bg-BG"/>
              </w:rPr>
            </w:pPr>
            <w:r w:rsidRPr="00B053E1">
              <w:rPr>
                <w:rFonts w:ascii="Times New Roman" w:eastAsia="Times New Roman" w:hAnsi="Times New Roman" w:cs="Times New Roman"/>
                <w:b/>
                <w:bCs/>
                <w:color w:val="000000"/>
                <w:sz w:val="24"/>
                <w:szCs w:val="24"/>
                <w:lang w:val="bg-BG" w:eastAsia="bg-BG"/>
              </w:rPr>
              <w:t>1</w:t>
            </w:r>
          </w:p>
        </w:tc>
        <w:tc>
          <w:tcPr>
            <w:tcW w:w="2160" w:type="dxa"/>
            <w:tcBorders>
              <w:top w:val="nil"/>
              <w:left w:val="nil"/>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jc w:val="center"/>
              <w:rPr>
                <w:rFonts w:ascii="Times New Roman" w:eastAsia="Times New Roman" w:hAnsi="Times New Roman" w:cs="Times New Roman"/>
                <w:b/>
                <w:bCs/>
                <w:color w:val="000000"/>
                <w:sz w:val="24"/>
                <w:szCs w:val="24"/>
                <w:lang w:val="bg-BG" w:eastAsia="bg-BG"/>
              </w:rPr>
            </w:pPr>
            <w:r w:rsidRPr="00B053E1">
              <w:rPr>
                <w:rFonts w:ascii="Times New Roman" w:eastAsia="Times New Roman" w:hAnsi="Times New Roman" w:cs="Times New Roman"/>
                <w:b/>
                <w:bCs/>
                <w:color w:val="000000"/>
                <w:sz w:val="24"/>
                <w:szCs w:val="24"/>
                <w:lang w:val="bg-BG" w:eastAsia="bg-BG"/>
              </w:rPr>
              <w:t xml:space="preserve">чл. 22, ал. 1, т.1, </w:t>
            </w:r>
            <w:r w:rsidRPr="00B053E1">
              <w:rPr>
                <w:rFonts w:ascii="Times New Roman" w:eastAsia="Times New Roman" w:hAnsi="Times New Roman" w:cs="Times New Roman"/>
                <w:b/>
                <w:bCs/>
                <w:color w:val="000000"/>
                <w:sz w:val="24"/>
                <w:szCs w:val="24"/>
                <w:lang w:val="bg-BG" w:eastAsia="bg-BG"/>
              </w:rPr>
              <w:br/>
              <w:t>и</w:t>
            </w:r>
            <w:r w:rsidRPr="00B053E1">
              <w:rPr>
                <w:rFonts w:ascii="Times New Roman" w:eastAsia="Times New Roman" w:hAnsi="Times New Roman" w:cs="Times New Roman"/>
                <w:b/>
                <w:bCs/>
                <w:color w:val="000000"/>
                <w:sz w:val="24"/>
                <w:szCs w:val="24"/>
                <w:lang w:val="bg-BG" w:eastAsia="bg-BG"/>
              </w:rPr>
              <w:br/>
              <w:t>чл. 26, ал. 1, т.2 Наредба за НУБА</w:t>
            </w:r>
          </w:p>
        </w:tc>
        <w:tc>
          <w:tcPr>
            <w:tcW w:w="3827" w:type="dxa"/>
            <w:tcBorders>
              <w:top w:val="nil"/>
              <w:left w:val="nil"/>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rPr>
                <w:rFonts w:ascii="Times New Roman" w:eastAsia="Times New Roman" w:hAnsi="Times New Roman" w:cs="Times New Roman"/>
                <w:color w:val="000000"/>
                <w:sz w:val="24"/>
                <w:szCs w:val="24"/>
                <w:lang w:val="bg-BG" w:eastAsia="bg-BG"/>
              </w:rPr>
            </w:pPr>
            <w:r w:rsidRPr="00B053E1">
              <w:rPr>
                <w:rFonts w:ascii="Times New Roman" w:eastAsia="Times New Roman" w:hAnsi="Times New Roman" w:cs="Times New Roman"/>
                <w:color w:val="000000"/>
                <w:sz w:val="24"/>
                <w:szCs w:val="24"/>
                <w:lang w:val="bg-BG" w:eastAsia="bg-BG"/>
              </w:rPr>
              <w:t>предварителен финансов разчет на избраната система за изпълнение на целите за събиране и рециклиране на НУБА и доказателства за финансово обезпечаване на първоначалните инвестиционни и експлоатационни разходи</w:t>
            </w:r>
          </w:p>
        </w:tc>
        <w:tc>
          <w:tcPr>
            <w:tcW w:w="9639" w:type="dxa"/>
            <w:tcBorders>
              <w:top w:val="nil"/>
              <w:left w:val="nil"/>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rPr>
                <w:rFonts w:ascii="Times New Roman" w:eastAsia="Times New Roman" w:hAnsi="Times New Roman" w:cs="Times New Roman"/>
                <w:color w:val="000000"/>
                <w:sz w:val="24"/>
                <w:szCs w:val="24"/>
                <w:lang w:val="bg-BG" w:eastAsia="bg-BG"/>
              </w:rPr>
            </w:pPr>
            <w:r w:rsidRPr="00B053E1">
              <w:rPr>
                <w:rFonts w:ascii="Times New Roman" w:eastAsia="Times New Roman" w:hAnsi="Times New Roman" w:cs="Times New Roman"/>
                <w:color w:val="000000"/>
                <w:sz w:val="24"/>
                <w:szCs w:val="24"/>
                <w:lang w:val="bg-BG" w:eastAsia="bg-BG"/>
              </w:rPr>
              <w:t>Програмата трябва да съдържа подробен финансов модел за целия срок на действие на разрешението, включващ прогнозни приходи и разходи по години и по видове батерии.</w:t>
            </w:r>
            <w:r w:rsidRPr="00B053E1">
              <w:rPr>
                <w:rFonts w:ascii="Times New Roman" w:eastAsia="Times New Roman" w:hAnsi="Times New Roman" w:cs="Times New Roman"/>
                <w:color w:val="000000"/>
                <w:sz w:val="24"/>
                <w:szCs w:val="24"/>
                <w:lang w:val="bg-BG" w:eastAsia="bg-BG"/>
              </w:rPr>
              <w:br/>
              <w:t>- Следва да бъдат представени доказателства за наличието на достатъчен финансов ресурс за покриване на всички дейности по управление на НУБА, включително събиране, транспортиране, съхраняване, предварително третиране, рециклиране, оползотворяване, обезвреждане, информационни кампании, резерв за кризисни ситуации и административно управление на системата.</w:t>
            </w:r>
            <w:r w:rsidRPr="00B053E1">
              <w:rPr>
                <w:rFonts w:ascii="Times New Roman" w:eastAsia="Times New Roman" w:hAnsi="Times New Roman" w:cs="Times New Roman"/>
                <w:color w:val="000000"/>
                <w:sz w:val="24"/>
                <w:szCs w:val="24"/>
                <w:lang w:val="bg-BG" w:eastAsia="bg-BG"/>
              </w:rPr>
              <w:br/>
              <w:t>- Приходната част следва да бъде обоснована чрез прогнозни постъпления от лицензионни възнаграждения, членски вноски, собствени средства, банкови гаранции или други допустими финансови инструменти.</w:t>
            </w:r>
            <w:r w:rsidRPr="00B053E1">
              <w:rPr>
                <w:rFonts w:ascii="Times New Roman" w:eastAsia="Times New Roman" w:hAnsi="Times New Roman" w:cs="Times New Roman"/>
                <w:color w:val="000000"/>
                <w:sz w:val="24"/>
                <w:szCs w:val="24"/>
                <w:lang w:val="bg-BG" w:eastAsia="bg-BG"/>
              </w:rPr>
              <w:br/>
              <w:t>- Разходната част трябва да включва всички преки и непреки разходи по функционирането на системата, както и резерв за управление на финансови и пазарни рискове.</w:t>
            </w:r>
            <w:r w:rsidRPr="00B053E1">
              <w:rPr>
                <w:rFonts w:ascii="Times New Roman" w:eastAsia="Times New Roman" w:hAnsi="Times New Roman" w:cs="Times New Roman"/>
                <w:color w:val="000000"/>
                <w:sz w:val="24"/>
                <w:szCs w:val="24"/>
                <w:lang w:val="bg-BG" w:eastAsia="bg-BG"/>
              </w:rPr>
              <w:br/>
              <w:t>- Третиране на НУБА, извършвано от лица притежаващи необходимия капацитет и съответната дейност с отпадъци за постигане на целите по рециклиране.</w:t>
            </w:r>
          </w:p>
        </w:tc>
      </w:tr>
      <w:tr w:rsidR="00B053E1" w:rsidRPr="00B053E1" w:rsidTr="00B053E1">
        <w:trPr>
          <w:trHeight w:val="2963"/>
        </w:trPr>
        <w:tc>
          <w:tcPr>
            <w:tcW w:w="382" w:type="dxa"/>
            <w:tcBorders>
              <w:top w:val="nil"/>
              <w:left w:val="single" w:sz="8" w:space="0" w:color="auto"/>
              <w:bottom w:val="single" w:sz="8" w:space="0" w:color="auto"/>
              <w:right w:val="single" w:sz="8" w:space="0" w:color="auto"/>
            </w:tcBorders>
            <w:shd w:val="clear" w:color="auto" w:fill="auto"/>
            <w:noWrap/>
            <w:vAlign w:val="center"/>
            <w:hideMark/>
          </w:tcPr>
          <w:p w:rsidR="00B053E1" w:rsidRPr="00B053E1" w:rsidRDefault="00B053E1" w:rsidP="00B053E1">
            <w:pPr>
              <w:spacing w:after="0" w:line="240" w:lineRule="auto"/>
              <w:jc w:val="center"/>
              <w:rPr>
                <w:rFonts w:ascii="Times New Roman" w:eastAsia="Times New Roman" w:hAnsi="Times New Roman" w:cs="Times New Roman"/>
                <w:b/>
                <w:bCs/>
                <w:color w:val="000000"/>
                <w:sz w:val="24"/>
                <w:szCs w:val="24"/>
                <w:lang w:val="bg-BG" w:eastAsia="bg-BG"/>
              </w:rPr>
            </w:pPr>
            <w:r w:rsidRPr="00B053E1">
              <w:rPr>
                <w:rFonts w:ascii="Times New Roman" w:eastAsia="Times New Roman" w:hAnsi="Times New Roman" w:cs="Times New Roman"/>
                <w:b/>
                <w:bCs/>
                <w:color w:val="000000"/>
                <w:sz w:val="24"/>
                <w:szCs w:val="24"/>
                <w:lang w:val="bg-BG" w:eastAsia="bg-BG"/>
              </w:rPr>
              <w:t>2</w:t>
            </w:r>
          </w:p>
        </w:tc>
        <w:tc>
          <w:tcPr>
            <w:tcW w:w="2160" w:type="dxa"/>
            <w:tcBorders>
              <w:top w:val="nil"/>
              <w:left w:val="nil"/>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jc w:val="center"/>
              <w:rPr>
                <w:rFonts w:ascii="Times New Roman" w:eastAsia="Times New Roman" w:hAnsi="Times New Roman" w:cs="Times New Roman"/>
                <w:b/>
                <w:bCs/>
                <w:color w:val="000000"/>
                <w:sz w:val="24"/>
                <w:szCs w:val="24"/>
                <w:lang w:val="bg-BG" w:eastAsia="bg-BG"/>
              </w:rPr>
            </w:pPr>
            <w:r w:rsidRPr="00B053E1">
              <w:rPr>
                <w:rFonts w:ascii="Times New Roman" w:eastAsia="Times New Roman" w:hAnsi="Times New Roman" w:cs="Times New Roman"/>
                <w:b/>
                <w:bCs/>
                <w:color w:val="000000"/>
                <w:sz w:val="24"/>
                <w:szCs w:val="24"/>
                <w:lang w:val="bg-BG" w:eastAsia="bg-BG"/>
              </w:rPr>
              <w:t xml:space="preserve">чл. 22, ал. 1, т.2 </w:t>
            </w:r>
            <w:r w:rsidRPr="00B053E1">
              <w:rPr>
                <w:rFonts w:ascii="Times New Roman" w:eastAsia="Times New Roman" w:hAnsi="Times New Roman" w:cs="Times New Roman"/>
                <w:b/>
                <w:bCs/>
                <w:color w:val="000000"/>
                <w:sz w:val="24"/>
                <w:szCs w:val="24"/>
                <w:lang w:val="bg-BG" w:eastAsia="bg-BG"/>
              </w:rPr>
              <w:br/>
              <w:t>и</w:t>
            </w:r>
            <w:r w:rsidRPr="00B053E1">
              <w:rPr>
                <w:rFonts w:ascii="Times New Roman" w:eastAsia="Times New Roman" w:hAnsi="Times New Roman" w:cs="Times New Roman"/>
                <w:b/>
                <w:bCs/>
                <w:color w:val="000000"/>
                <w:sz w:val="24"/>
                <w:szCs w:val="24"/>
                <w:lang w:val="bg-BG" w:eastAsia="bg-BG"/>
              </w:rPr>
              <w:br/>
              <w:t>чл. 26, ал. 1, т.5</w:t>
            </w:r>
            <w:r w:rsidRPr="00B053E1">
              <w:rPr>
                <w:rFonts w:ascii="Times New Roman" w:eastAsia="Times New Roman" w:hAnsi="Times New Roman" w:cs="Times New Roman"/>
                <w:b/>
                <w:bCs/>
                <w:color w:val="000000"/>
                <w:sz w:val="24"/>
                <w:szCs w:val="24"/>
                <w:lang w:val="bg-BG" w:eastAsia="bg-BG"/>
              </w:rPr>
              <w:br/>
              <w:t>Наредба за НУБА</w:t>
            </w:r>
          </w:p>
        </w:tc>
        <w:tc>
          <w:tcPr>
            <w:tcW w:w="3827" w:type="dxa"/>
            <w:tcBorders>
              <w:top w:val="nil"/>
              <w:left w:val="nil"/>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rPr>
                <w:rFonts w:ascii="Times New Roman" w:eastAsia="Times New Roman" w:hAnsi="Times New Roman" w:cs="Times New Roman"/>
                <w:color w:val="000000"/>
                <w:sz w:val="24"/>
                <w:szCs w:val="24"/>
                <w:lang w:val="bg-BG" w:eastAsia="bg-BG"/>
              </w:rPr>
            </w:pPr>
            <w:r w:rsidRPr="00B053E1">
              <w:rPr>
                <w:rFonts w:ascii="Times New Roman" w:eastAsia="Times New Roman" w:hAnsi="Times New Roman" w:cs="Times New Roman"/>
                <w:color w:val="000000"/>
                <w:sz w:val="24"/>
                <w:szCs w:val="24"/>
                <w:lang w:val="bg-BG" w:eastAsia="bg-BG"/>
              </w:rPr>
              <w:t>план, посочващ сроковете за сключване на договори за разделно събиране на портативни и/или автомобилни НУБА и минималния брой жители, които ще бъдат обслужвани от системи за организирано разделно събиране на портативни и/или автомобилни НУБА, по години в съответствие с целите по чл. 17 и за ПБА в сроковете по § 3 от преходните и заключителните разпоредби;</w:t>
            </w:r>
          </w:p>
        </w:tc>
        <w:tc>
          <w:tcPr>
            <w:tcW w:w="9639" w:type="dxa"/>
            <w:tcBorders>
              <w:top w:val="nil"/>
              <w:left w:val="nil"/>
              <w:bottom w:val="single" w:sz="8" w:space="0" w:color="auto"/>
              <w:right w:val="single" w:sz="8" w:space="0" w:color="auto"/>
            </w:tcBorders>
            <w:shd w:val="clear" w:color="auto" w:fill="auto"/>
            <w:vAlign w:val="center"/>
            <w:hideMark/>
          </w:tcPr>
          <w:p w:rsidR="00B053E1" w:rsidRPr="00B053E1" w:rsidRDefault="00B053E1" w:rsidP="00525BDF">
            <w:pPr>
              <w:spacing w:after="0" w:line="240" w:lineRule="auto"/>
              <w:rPr>
                <w:rFonts w:ascii="Times New Roman" w:eastAsia="Times New Roman" w:hAnsi="Times New Roman" w:cs="Times New Roman"/>
                <w:color w:val="000000"/>
                <w:sz w:val="24"/>
                <w:szCs w:val="24"/>
                <w:lang w:val="bg-BG" w:eastAsia="bg-BG"/>
              </w:rPr>
            </w:pPr>
            <w:r w:rsidRPr="00B053E1">
              <w:rPr>
                <w:rFonts w:ascii="Times New Roman" w:eastAsia="Times New Roman" w:hAnsi="Times New Roman" w:cs="Times New Roman"/>
                <w:color w:val="000000"/>
                <w:sz w:val="24"/>
                <w:szCs w:val="24"/>
                <w:lang w:val="bg-BG" w:eastAsia="bg-BG"/>
              </w:rPr>
              <w:t xml:space="preserve">Програмата трябва да съдържа подробен график с конкретни срокове за сключване на договори със:  </w:t>
            </w:r>
            <w:r w:rsidRPr="00B053E1">
              <w:rPr>
                <w:rFonts w:ascii="Times New Roman" w:eastAsia="Times New Roman" w:hAnsi="Times New Roman" w:cs="Times New Roman"/>
                <w:color w:val="000000"/>
                <w:sz w:val="24"/>
                <w:szCs w:val="24"/>
                <w:lang w:val="bg-BG" w:eastAsia="bg-BG"/>
              </w:rPr>
              <w:br/>
              <w:t xml:space="preserve">- общини като се съобразят изискванията на т.12 за </w:t>
            </w:r>
            <w:proofErr w:type="spellStart"/>
            <w:r w:rsidRPr="00B053E1">
              <w:rPr>
                <w:rFonts w:ascii="Times New Roman" w:eastAsia="Times New Roman" w:hAnsi="Times New Roman" w:cs="Times New Roman"/>
                <w:color w:val="000000"/>
                <w:sz w:val="24"/>
                <w:szCs w:val="24"/>
                <w:lang w:val="bg-BG" w:eastAsia="bg-BG"/>
              </w:rPr>
              <w:t>ООп</w:t>
            </w:r>
            <w:proofErr w:type="spellEnd"/>
            <w:r w:rsidRPr="00B053E1">
              <w:rPr>
                <w:rFonts w:ascii="Times New Roman" w:eastAsia="Times New Roman" w:hAnsi="Times New Roman" w:cs="Times New Roman"/>
                <w:color w:val="000000"/>
                <w:sz w:val="24"/>
                <w:szCs w:val="24"/>
                <w:lang w:val="bg-BG" w:eastAsia="bg-BG"/>
              </w:rPr>
              <w:t xml:space="preserve"> и реципрочната т. 11 за индивидуал</w:t>
            </w:r>
            <w:r w:rsidR="00525BDF">
              <w:rPr>
                <w:rFonts w:ascii="Times New Roman" w:eastAsia="Times New Roman" w:hAnsi="Times New Roman" w:cs="Times New Roman"/>
                <w:color w:val="000000"/>
                <w:sz w:val="24"/>
                <w:szCs w:val="24"/>
                <w:lang w:val="bg-BG" w:eastAsia="bg-BG"/>
              </w:rPr>
              <w:t>и</w:t>
            </w:r>
            <w:r w:rsidRPr="00B053E1">
              <w:rPr>
                <w:rFonts w:ascii="Times New Roman" w:eastAsia="Times New Roman" w:hAnsi="Times New Roman" w:cs="Times New Roman"/>
                <w:color w:val="000000"/>
                <w:sz w:val="24"/>
                <w:szCs w:val="24"/>
                <w:lang w:val="bg-BG" w:eastAsia="bg-BG"/>
              </w:rPr>
              <w:t>ст;</w:t>
            </w:r>
            <w:r w:rsidRPr="00B053E1">
              <w:rPr>
                <w:rFonts w:ascii="Times New Roman" w:eastAsia="Times New Roman" w:hAnsi="Times New Roman" w:cs="Times New Roman"/>
                <w:color w:val="000000"/>
                <w:sz w:val="24"/>
                <w:szCs w:val="24"/>
                <w:lang w:val="bg-BG" w:eastAsia="bg-BG"/>
              </w:rPr>
              <w:br/>
              <w:t>- оператори на площадки за събиране;</w:t>
            </w:r>
            <w:r w:rsidRPr="00B053E1">
              <w:rPr>
                <w:rFonts w:ascii="Times New Roman" w:eastAsia="Times New Roman" w:hAnsi="Times New Roman" w:cs="Times New Roman"/>
                <w:color w:val="000000"/>
                <w:sz w:val="24"/>
                <w:szCs w:val="24"/>
                <w:lang w:val="bg-BG" w:eastAsia="bg-BG"/>
              </w:rPr>
              <w:br/>
              <w:t>- търговски обекти;</w:t>
            </w:r>
            <w:r w:rsidRPr="00B053E1">
              <w:rPr>
                <w:rFonts w:ascii="Times New Roman" w:eastAsia="Times New Roman" w:hAnsi="Times New Roman" w:cs="Times New Roman"/>
                <w:color w:val="000000"/>
                <w:sz w:val="24"/>
                <w:szCs w:val="24"/>
                <w:lang w:val="bg-BG" w:eastAsia="bg-BG"/>
              </w:rPr>
              <w:br/>
              <w:t>- лица, извършващи транспортиране и третиране на отпадъци;</w:t>
            </w:r>
            <w:r w:rsidRPr="00B053E1">
              <w:rPr>
                <w:rFonts w:ascii="Times New Roman" w:eastAsia="Times New Roman" w:hAnsi="Times New Roman" w:cs="Times New Roman"/>
                <w:color w:val="000000"/>
                <w:sz w:val="24"/>
                <w:szCs w:val="24"/>
                <w:lang w:val="bg-BG" w:eastAsia="bg-BG"/>
              </w:rPr>
              <w:br/>
              <w:t xml:space="preserve">- други участници в системата. </w:t>
            </w:r>
            <w:r w:rsidRPr="00B053E1">
              <w:rPr>
                <w:rFonts w:ascii="Times New Roman" w:eastAsia="Times New Roman" w:hAnsi="Times New Roman" w:cs="Times New Roman"/>
                <w:color w:val="000000"/>
                <w:sz w:val="24"/>
                <w:szCs w:val="24"/>
                <w:lang w:val="bg-BG" w:eastAsia="bg-BG"/>
              </w:rPr>
              <w:br/>
              <w:t>Следва да бъдат посочени минималният брой жители, които ще бъдат обслужвани по години, планираният териториален обхват и мерките за поетапно разширяване на системата до достигане на нормативно определените цели за събиране.</w:t>
            </w:r>
          </w:p>
        </w:tc>
      </w:tr>
      <w:tr w:rsidR="00B053E1" w:rsidRPr="00B053E1" w:rsidTr="00B053E1">
        <w:trPr>
          <w:trHeight w:val="2219"/>
        </w:trPr>
        <w:tc>
          <w:tcPr>
            <w:tcW w:w="382" w:type="dxa"/>
            <w:tcBorders>
              <w:top w:val="nil"/>
              <w:left w:val="single" w:sz="8" w:space="0" w:color="auto"/>
              <w:bottom w:val="single" w:sz="8" w:space="0" w:color="auto"/>
              <w:right w:val="single" w:sz="8" w:space="0" w:color="auto"/>
            </w:tcBorders>
            <w:shd w:val="clear" w:color="auto" w:fill="auto"/>
            <w:noWrap/>
            <w:vAlign w:val="center"/>
            <w:hideMark/>
          </w:tcPr>
          <w:p w:rsidR="00B053E1" w:rsidRPr="00B053E1" w:rsidRDefault="00B053E1" w:rsidP="00B053E1">
            <w:pPr>
              <w:spacing w:after="0" w:line="240" w:lineRule="auto"/>
              <w:jc w:val="center"/>
              <w:rPr>
                <w:rFonts w:ascii="Times New Roman" w:eastAsia="Times New Roman" w:hAnsi="Times New Roman" w:cs="Times New Roman"/>
                <w:b/>
                <w:bCs/>
                <w:color w:val="000000"/>
                <w:sz w:val="24"/>
                <w:szCs w:val="24"/>
                <w:lang w:val="bg-BG" w:eastAsia="bg-BG"/>
              </w:rPr>
            </w:pPr>
            <w:r w:rsidRPr="00B053E1">
              <w:rPr>
                <w:rFonts w:ascii="Times New Roman" w:eastAsia="Times New Roman" w:hAnsi="Times New Roman" w:cs="Times New Roman"/>
                <w:b/>
                <w:bCs/>
                <w:color w:val="000000"/>
                <w:sz w:val="24"/>
                <w:szCs w:val="24"/>
                <w:lang w:val="bg-BG" w:eastAsia="bg-BG"/>
              </w:rPr>
              <w:lastRenderedPageBreak/>
              <w:t>3</w:t>
            </w:r>
          </w:p>
        </w:tc>
        <w:tc>
          <w:tcPr>
            <w:tcW w:w="2160" w:type="dxa"/>
            <w:tcBorders>
              <w:top w:val="nil"/>
              <w:left w:val="nil"/>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jc w:val="center"/>
              <w:rPr>
                <w:rFonts w:ascii="Times New Roman" w:eastAsia="Times New Roman" w:hAnsi="Times New Roman" w:cs="Times New Roman"/>
                <w:b/>
                <w:bCs/>
                <w:color w:val="000000"/>
                <w:sz w:val="24"/>
                <w:szCs w:val="24"/>
                <w:lang w:val="bg-BG" w:eastAsia="bg-BG"/>
              </w:rPr>
            </w:pPr>
            <w:r w:rsidRPr="00B053E1">
              <w:rPr>
                <w:rFonts w:ascii="Times New Roman" w:eastAsia="Times New Roman" w:hAnsi="Times New Roman" w:cs="Times New Roman"/>
                <w:b/>
                <w:bCs/>
                <w:color w:val="000000"/>
                <w:sz w:val="24"/>
                <w:szCs w:val="24"/>
                <w:lang w:val="bg-BG" w:eastAsia="bg-BG"/>
              </w:rPr>
              <w:t>чл. 22, ал. 1, т.3</w:t>
            </w:r>
            <w:r w:rsidRPr="00B053E1">
              <w:rPr>
                <w:rFonts w:ascii="Times New Roman" w:eastAsia="Times New Roman" w:hAnsi="Times New Roman" w:cs="Times New Roman"/>
                <w:b/>
                <w:bCs/>
                <w:color w:val="000000"/>
                <w:sz w:val="24"/>
                <w:szCs w:val="24"/>
                <w:lang w:val="bg-BG" w:eastAsia="bg-BG"/>
              </w:rPr>
              <w:br/>
              <w:t>и</w:t>
            </w:r>
            <w:r w:rsidRPr="00B053E1">
              <w:rPr>
                <w:rFonts w:ascii="Times New Roman" w:eastAsia="Times New Roman" w:hAnsi="Times New Roman" w:cs="Times New Roman"/>
                <w:b/>
                <w:bCs/>
                <w:color w:val="000000"/>
                <w:sz w:val="24"/>
                <w:szCs w:val="24"/>
                <w:lang w:val="bg-BG" w:eastAsia="bg-BG"/>
              </w:rPr>
              <w:br/>
              <w:t>чл. 26, ал. 1, т.6</w:t>
            </w:r>
            <w:r w:rsidRPr="00B053E1">
              <w:rPr>
                <w:rFonts w:ascii="Times New Roman" w:eastAsia="Times New Roman" w:hAnsi="Times New Roman" w:cs="Times New Roman"/>
                <w:b/>
                <w:bCs/>
                <w:color w:val="000000"/>
                <w:sz w:val="24"/>
                <w:szCs w:val="24"/>
                <w:lang w:val="bg-BG" w:eastAsia="bg-BG"/>
              </w:rPr>
              <w:br/>
              <w:t xml:space="preserve"> Наредба за НУБА</w:t>
            </w:r>
          </w:p>
        </w:tc>
        <w:tc>
          <w:tcPr>
            <w:tcW w:w="3827" w:type="dxa"/>
            <w:tcBorders>
              <w:top w:val="nil"/>
              <w:left w:val="nil"/>
              <w:bottom w:val="nil"/>
              <w:right w:val="nil"/>
            </w:tcBorders>
            <w:shd w:val="clear" w:color="auto" w:fill="auto"/>
            <w:vAlign w:val="center"/>
            <w:hideMark/>
          </w:tcPr>
          <w:p w:rsidR="00B053E1" w:rsidRPr="00B053E1" w:rsidRDefault="00B053E1" w:rsidP="00B053E1">
            <w:pPr>
              <w:spacing w:after="0" w:line="240" w:lineRule="auto"/>
              <w:rPr>
                <w:rFonts w:ascii="Times New Roman" w:eastAsia="Times New Roman" w:hAnsi="Times New Roman" w:cs="Times New Roman"/>
                <w:color w:val="000000"/>
                <w:sz w:val="24"/>
                <w:szCs w:val="24"/>
                <w:lang w:val="bg-BG" w:eastAsia="bg-BG"/>
              </w:rPr>
            </w:pPr>
            <w:r w:rsidRPr="00B053E1">
              <w:rPr>
                <w:rFonts w:ascii="Times New Roman" w:eastAsia="Times New Roman" w:hAnsi="Times New Roman" w:cs="Times New Roman"/>
                <w:color w:val="000000"/>
                <w:sz w:val="24"/>
                <w:szCs w:val="24"/>
                <w:lang w:val="bg-BG" w:eastAsia="bg-BG"/>
              </w:rPr>
              <w:t>план, посочващ срокове за сключване на договори с крайни потребители на индустриални батерии и акумулатори, в съответствие с целите по чл. 17</w:t>
            </w:r>
          </w:p>
        </w:tc>
        <w:tc>
          <w:tcPr>
            <w:tcW w:w="9639" w:type="dxa"/>
            <w:tcBorders>
              <w:top w:val="nil"/>
              <w:left w:val="single" w:sz="8" w:space="0" w:color="auto"/>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rPr>
                <w:rFonts w:ascii="Times New Roman" w:eastAsia="Times New Roman" w:hAnsi="Times New Roman" w:cs="Times New Roman"/>
                <w:color w:val="000000"/>
                <w:sz w:val="24"/>
                <w:szCs w:val="24"/>
                <w:lang w:val="bg-BG" w:eastAsia="bg-BG"/>
              </w:rPr>
            </w:pPr>
            <w:r w:rsidRPr="00B053E1">
              <w:rPr>
                <w:rFonts w:ascii="Times New Roman" w:eastAsia="Times New Roman" w:hAnsi="Times New Roman" w:cs="Times New Roman"/>
                <w:color w:val="000000"/>
                <w:sz w:val="24"/>
                <w:szCs w:val="24"/>
                <w:lang w:val="bg-BG" w:eastAsia="bg-BG"/>
              </w:rPr>
              <w:t> Програмата следва да съдържа подробен план с конкретни срокове и етапи за идентифициране на крайните потребители на индустриални батерии и акумулатори, както и за сключване на договори с тях.</w:t>
            </w:r>
            <w:r w:rsidRPr="00B053E1">
              <w:rPr>
                <w:rFonts w:ascii="Times New Roman" w:eastAsia="Times New Roman" w:hAnsi="Times New Roman" w:cs="Times New Roman"/>
                <w:color w:val="000000"/>
                <w:sz w:val="24"/>
                <w:szCs w:val="24"/>
                <w:lang w:val="bg-BG" w:eastAsia="bg-BG"/>
              </w:rPr>
              <w:br/>
              <w:t xml:space="preserve">Следва да бъдат описани механизмите за заявяване, събиране и транспортиране на образуваните НУБА, включително организацията за безплатно приемане от мястото на образуването им. </w:t>
            </w:r>
            <w:r w:rsidRPr="00B053E1">
              <w:rPr>
                <w:rFonts w:ascii="Times New Roman" w:eastAsia="Times New Roman" w:hAnsi="Times New Roman" w:cs="Times New Roman"/>
                <w:color w:val="000000"/>
                <w:sz w:val="24"/>
                <w:szCs w:val="24"/>
                <w:lang w:val="bg-BG" w:eastAsia="bg-BG"/>
              </w:rPr>
              <w:br/>
              <w:t xml:space="preserve">Необходимо е да бъдат определени </w:t>
            </w:r>
            <w:r w:rsidRPr="00B053E1">
              <w:rPr>
                <w:rFonts w:ascii="Times New Roman" w:eastAsia="Times New Roman" w:hAnsi="Times New Roman" w:cs="Times New Roman"/>
                <w:b/>
                <w:bCs/>
                <w:color w:val="000000"/>
                <w:sz w:val="24"/>
                <w:szCs w:val="24"/>
                <w:lang w:val="bg-BG" w:eastAsia="bg-BG"/>
              </w:rPr>
              <w:t>прогнозни количества</w:t>
            </w:r>
            <w:r w:rsidRPr="00B053E1">
              <w:rPr>
                <w:rFonts w:ascii="Times New Roman" w:eastAsia="Times New Roman" w:hAnsi="Times New Roman" w:cs="Times New Roman"/>
                <w:color w:val="000000"/>
                <w:sz w:val="24"/>
                <w:szCs w:val="24"/>
                <w:lang w:val="bg-BG" w:eastAsia="bg-BG"/>
              </w:rPr>
              <w:t xml:space="preserve"> по години и мерки за постигане на целите по чл. 17 от наредбата.</w:t>
            </w:r>
          </w:p>
        </w:tc>
      </w:tr>
      <w:tr w:rsidR="00B053E1" w:rsidRPr="00B053E1" w:rsidTr="00B053E1">
        <w:trPr>
          <w:trHeight w:val="1898"/>
        </w:trPr>
        <w:tc>
          <w:tcPr>
            <w:tcW w:w="382" w:type="dxa"/>
            <w:tcBorders>
              <w:top w:val="nil"/>
              <w:left w:val="single" w:sz="8" w:space="0" w:color="auto"/>
              <w:bottom w:val="single" w:sz="8" w:space="0" w:color="auto"/>
              <w:right w:val="single" w:sz="8" w:space="0" w:color="auto"/>
            </w:tcBorders>
            <w:shd w:val="clear" w:color="auto" w:fill="auto"/>
            <w:noWrap/>
            <w:vAlign w:val="center"/>
            <w:hideMark/>
          </w:tcPr>
          <w:p w:rsidR="00B053E1" w:rsidRPr="00B053E1" w:rsidRDefault="00B053E1" w:rsidP="00B053E1">
            <w:pPr>
              <w:spacing w:after="0" w:line="240" w:lineRule="auto"/>
              <w:jc w:val="center"/>
              <w:rPr>
                <w:rFonts w:ascii="Times New Roman" w:eastAsia="Times New Roman" w:hAnsi="Times New Roman" w:cs="Times New Roman"/>
                <w:b/>
                <w:bCs/>
                <w:color w:val="000000"/>
                <w:sz w:val="24"/>
                <w:szCs w:val="24"/>
                <w:lang w:val="bg-BG" w:eastAsia="bg-BG"/>
              </w:rPr>
            </w:pPr>
            <w:r w:rsidRPr="00B053E1">
              <w:rPr>
                <w:rFonts w:ascii="Times New Roman" w:eastAsia="Times New Roman" w:hAnsi="Times New Roman" w:cs="Times New Roman"/>
                <w:b/>
                <w:bCs/>
                <w:color w:val="000000"/>
                <w:sz w:val="24"/>
                <w:szCs w:val="24"/>
                <w:lang w:val="bg-BG" w:eastAsia="bg-BG"/>
              </w:rPr>
              <w:t>4</w:t>
            </w:r>
          </w:p>
        </w:tc>
        <w:tc>
          <w:tcPr>
            <w:tcW w:w="2160" w:type="dxa"/>
            <w:tcBorders>
              <w:top w:val="nil"/>
              <w:left w:val="nil"/>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jc w:val="center"/>
              <w:rPr>
                <w:rFonts w:ascii="Times New Roman" w:eastAsia="Times New Roman" w:hAnsi="Times New Roman" w:cs="Times New Roman"/>
                <w:b/>
                <w:bCs/>
                <w:color w:val="000000"/>
                <w:sz w:val="24"/>
                <w:szCs w:val="24"/>
                <w:lang w:val="bg-BG" w:eastAsia="bg-BG"/>
              </w:rPr>
            </w:pPr>
            <w:r w:rsidRPr="00B053E1">
              <w:rPr>
                <w:rFonts w:ascii="Times New Roman" w:eastAsia="Times New Roman" w:hAnsi="Times New Roman" w:cs="Times New Roman"/>
                <w:b/>
                <w:bCs/>
                <w:color w:val="000000"/>
                <w:sz w:val="24"/>
                <w:szCs w:val="24"/>
                <w:lang w:val="bg-BG" w:eastAsia="bg-BG"/>
              </w:rPr>
              <w:t>чл. 22, ал. 1, т.4 Наредба за НУБА</w:t>
            </w:r>
          </w:p>
        </w:tc>
        <w:tc>
          <w:tcPr>
            <w:tcW w:w="3827" w:type="dxa"/>
            <w:tcBorders>
              <w:top w:val="single" w:sz="8" w:space="0" w:color="auto"/>
              <w:left w:val="nil"/>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rPr>
                <w:rFonts w:ascii="Times New Roman" w:eastAsia="Times New Roman" w:hAnsi="Times New Roman" w:cs="Times New Roman"/>
                <w:color w:val="000000"/>
                <w:sz w:val="24"/>
                <w:szCs w:val="24"/>
                <w:lang w:val="bg-BG" w:eastAsia="bg-BG"/>
              </w:rPr>
            </w:pPr>
            <w:r w:rsidRPr="00B053E1">
              <w:rPr>
                <w:rFonts w:ascii="Times New Roman" w:eastAsia="Times New Roman" w:hAnsi="Times New Roman" w:cs="Times New Roman"/>
                <w:color w:val="000000"/>
                <w:sz w:val="24"/>
                <w:szCs w:val="24"/>
                <w:lang w:val="bg-BG" w:eastAsia="bg-BG"/>
              </w:rPr>
              <w:t>мерки за привличане на лицата, които пускат на пазара батерии и акумулатори, в предлаганите от организациите по оползотворяване колективни системи за събиране и рециклиране на НУБА;</w:t>
            </w:r>
          </w:p>
        </w:tc>
        <w:tc>
          <w:tcPr>
            <w:tcW w:w="9639" w:type="dxa"/>
            <w:tcBorders>
              <w:top w:val="nil"/>
              <w:left w:val="nil"/>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rPr>
                <w:rFonts w:ascii="Times New Roman" w:eastAsia="Times New Roman" w:hAnsi="Times New Roman" w:cs="Times New Roman"/>
                <w:color w:val="000000"/>
                <w:sz w:val="24"/>
                <w:szCs w:val="24"/>
                <w:lang w:val="bg-BG" w:eastAsia="bg-BG"/>
              </w:rPr>
            </w:pPr>
            <w:r w:rsidRPr="00B053E1">
              <w:rPr>
                <w:rFonts w:ascii="Times New Roman" w:eastAsia="Times New Roman" w:hAnsi="Times New Roman" w:cs="Times New Roman"/>
                <w:color w:val="000000"/>
                <w:sz w:val="24"/>
                <w:szCs w:val="24"/>
                <w:lang w:val="bg-BG" w:eastAsia="bg-BG"/>
              </w:rPr>
              <w:t>Програмата трябва да включва мерки за разширяване на членската база и привличане на производители, вносители и лица, пускащи на пазара батерии и акумулатори.</w:t>
            </w:r>
            <w:r w:rsidRPr="00B053E1">
              <w:rPr>
                <w:rFonts w:ascii="Times New Roman" w:eastAsia="Times New Roman" w:hAnsi="Times New Roman" w:cs="Times New Roman"/>
                <w:color w:val="000000"/>
                <w:sz w:val="24"/>
                <w:szCs w:val="24"/>
                <w:lang w:val="bg-BG" w:eastAsia="bg-BG"/>
              </w:rPr>
              <w:br/>
              <w:t>Следва да бъдат описани условията за участие в колективната система, начинът на формиране на възнагражденията, предоставяните услуги и ползи за членовете, както и мерките за популяризиране на системата чрез информационни кампании, обучения, консултации и публични събития. </w:t>
            </w:r>
          </w:p>
        </w:tc>
      </w:tr>
      <w:tr w:rsidR="00B053E1" w:rsidRPr="00B053E1" w:rsidTr="00B053E1">
        <w:trPr>
          <w:trHeight w:val="2514"/>
        </w:trPr>
        <w:tc>
          <w:tcPr>
            <w:tcW w:w="382" w:type="dxa"/>
            <w:tcBorders>
              <w:top w:val="nil"/>
              <w:left w:val="single" w:sz="8" w:space="0" w:color="auto"/>
              <w:bottom w:val="single" w:sz="8" w:space="0" w:color="auto"/>
              <w:right w:val="single" w:sz="8" w:space="0" w:color="auto"/>
            </w:tcBorders>
            <w:shd w:val="clear" w:color="auto" w:fill="auto"/>
            <w:noWrap/>
            <w:vAlign w:val="center"/>
            <w:hideMark/>
          </w:tcPr>
          <w:p w:rsidR="00B053E1" w:rsidRPr="00B053E1" w:rsidRDefault="00B053E1" w:rsidP="00B053E1">
            <w:pPr>
              <w:spacing w:after="0" w:line="240" w:lineRule="auto"/>
              <w:jc w:val="center"/>
              <w:rPr>
                <w:rFonts w:ascii="Times New Roman" w:eastAsia="Times New Roman" w:hAnsi="Times New Roman" w:cs="Times New Roman"/>
                <w:b/>
                <w:bCs/>
                <w:color w:val="000000"/>
                <w:sz w:val="24"/>
                <w:szCs w:val="24"/>
                <w:lang w:val="bg-BG" w:eastAsia="bg-BG"/>
              </w:rPr>
            </w:pPr>
            <w:r w:rsidRPr="00B053E1">
              <w:rPr>
                <w:rFonts w:ascii="Times New Roman" w:eastAsia="Times New Roman" w:hAnsi="Times New Roman" w:cs="Times New Roman"/>
                <w:b/>
                <w:bCs/>
                <w:color w:val="000000"/>
                <w:sz w:val="24"/>
                <w:szCs w:val="24"/>
                <w:lang w:val="bg-BG" w:eastAsia="bg-BG"/>
              </w:rPr>
              <w:t>5</w:t>
            </w:r>
          </w:p>
        </w:tc>
        <w:tc>
          <w:tcPr>
            <w:tcW w:w="2160" w:type="dxa"/>
            <w:tcBorders>
              <w:top w:val="nil"/>
              <w:left w:val="nil"/>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jc w:val="center"/>
              <w:rPr>
                <w:rFonts w:ascii="Times New Roman" w:eastAsia="Times New Roman" w:hAnsi="Times New Roman" w:cs="Times New Roman"/>
                <w:b/>
                <w:bCs/>
                <w:color w:val="000000"/>
                <w:sz w:val="24"/>
                <w:szCs w:val="24"/>
                <w:lang w:val="bg-BG" w:eastAsia="bg-BG"/>
              </w:rPr>
            </w:pPr>
            <w:r w:rsidRPr="00B053E1">
              <w:rPr>
                <w:rFonts w:ascii="Times New Roman" w:eastAsia="Times New Roman" w:hAnsi="Times New Roman" w:cs="Times New Roman"/>
                <w:b/>
                <w:bCs/>
                <w:color w:val="000000"/>
                <w:sz w:val="24"/>
                <w:szCs w:val="24"/>
                <w:lang w:val="bg-BG" w:eastAsia="bg-BG"/>
              </w:rPr>
              <w:t xml:space="preserve">чл. 22, ал. 1, т.5 </w:t>
            </w:r>
            <w:r w:rsidRPr="00B053E1">
              <w:rPr>
                <w:rFonts w:ascii="Times New Roman" w:eastAsia="Times New Roman" w:hAnsi="Times New Roman" w:cs="Times New Roman"/>
                <w:b/>
                <w:bCs/>
                <w:color w:val="000000"/>
                <w:sz w:val="24"/>
                <w:szCs w:val="24"/>
                <w:lang w:val="bg-BG" w:eastAsia="bg-BG"/>
              </w:rPr>
              <w:br/>
              <w:t>и</w:t>
            </w:r>
            <w:r w:rsidRPr="00B053E1">
              <w:rPr>
                <w:rFonts w:ascii="Times New Roman" w:eastAsia="Times New Roman" w:hAnsi="Times New Roman" w:cs="Times New Roman"/>
                <w:b/>
                <w:bCs/>
                <w:color w:val="000000"/>
                <w:sz w:val="24"/>
                <w:szCs w:val="24"/>
                <w:lang w:val="bg-BG" w:eastAsia="bg-BG"/>
              </w:rPr>
              <w:br/>
              <w:t>чл. 26, ал. 1, т.3 Наредба за НУБА</w:t>
            </w:r>
          </w:p>
        </w:tc>
        <w:tc>
          <w:tcPr>
            <w:tcW w:w="3827" w:type="dxa"/>
            <w:tcBorders>
              <w:top w:val="nil"/>
              <w:left w:val="nil"/>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rPr>
                <w:rFonts w:ascii="Times New Roman" w:eastAsia="Times New Roman" w:hAnsi="Times New Roman" w:cs="Times New Roman"/>
                <w:color w:val="000000"/>
                <w:sz w:val="24"/>
                <w:szCs w:val="24"/>
                <w:lang w:val="bg-BG" w:eastAsia="bg-BG"/>
              </w:rPr>
            </w:pPr>
            <w:r w:rsidRPr="00B053E1">
              <w:rPr>
                <w:rFonts w:ascii="Times New Roman" w:eastAsia="Times New Roman" w:hAnsi="Times New Roman" w:cs="Times New Roman"/>
                <w:color w:val="000000"/>
                <w:sz w:val="24"/>
                <w:szCs w:val="24"/>
                <w:lang w:val="bg-BG" w:eastAsia="bg-BG"/>
              </w:rPr>
              <w:t>мерки за изпълнение на целите по чл. 17 и 18 в сроковете по § 3 от преходните и заключителните разпоредби</w:t>
            </w:r>
          </w:p>
        </w:tc>
        <w:tc>
          <w:tcPr>
            <w:tcW w:w="9639" w:type="dxa"/>
            <w:tcBorders>
              <w:top w:val="nil"/>
              <w:left w:val="nil"/>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rPr>
                <w:rFonts w:ascii="Times New Roman" w:eastAsia="Times New Roman" w:hAnsi="Times New Roman" w:cs="Times New Roman"/>
                <w:color w:val="000000"/>
                <w:sz w:val="24"/>
                <w:szCs w:val="24"/>
                <w:lang w:val="bg-BG" w:eastAsia="bg-BG"/>
              </w:rPr>
            </w:pPr>
            <w:r w:rsidRPr="00B053E1">
              <w:rPr>
                <w:rFonts w:ascii="Times New Roman" w:eastAsia="Times New Roman" w:hAnsi="Times New Roman" w:cs="Times New Roman"/>
                <w:color w:val="000000"/>
                <w:sz w:val="24"/>
                <w:szCs w:val="24"/>
                <w:lang w:val="bg-BG" w:eastAsia="bg-BG"/>
              </w:rPr>
              <w:t>Програмата трябва да съдържа конкретни количествени цели по години за събиране, рециклиране и оползотворяване на НУБА, като целите следва да обхващат целия период на действие на програмата.</w:t>
            </w:r>
            <w:r w:rsidRPr="00B053E1">
              <w:rPr>
                <w:rFonts w:ascii="Times New Roman" w:eastAsia="Times New Roman" w:hAnsi="Times New Roman" w:cs="Times New Roman"/>
                <w:color w:val="000000"/>
                <w:sz w:val="24"/>
                <w:szCs w:val="24"/>
                <w:lang w:val="bg-BG" w:eastAsia="bg-BG"/>
              </w:rPr>
              <w:br/>
              <w:t>Следва да бъдат описани необходимите организационни, технически и финансови мерки за постигане на целите по чл. 17 и чл. 18, включително:</w:t>
            </w:r>
            <w:r w:rsidRPr="00B053E1">
              <w:rPr>
                <w:rFonts w:ascii="Times New Roman" w:eastAsia="Times New Roman" w:hAnsi="Times New Roman" w:cs="Times New Roman"/>
                <w:color w:val="000000"/>
                <w:sz w:val="24"/>
                <w:szCs w:val="24"/>
                <w:lang w:val="bg-BG" w:eastAsia="bg-BG"/>
              </w:rPr>
              <w:br/>
              <w:t xml:space="preserve">- разширяване на системите за събиране; </w:t>
            </w:r>
            <w:r w:rsidRPr="00B053E1">
              <w:rPr>
                <w:rFonts w:ascii="Times New Roman" w:eastAsia="Times New Roman" w:hAnsi="Times New Roman" w:cs="Times New Roman"/>
                <w:color w:val="000000"/>
                <w:sz w:val="24"/>
                <w:szCs w:val="24"/>
                <w:lang w:val="bg-BG" w:eastAsia="bg-BG"/>
              </w:rPr>
              <w:br/>
              <w:t>- развитие на договорната мрежа;</w:t>
            </w:r>
            <w:r w:rsidRPr="00B053E1">
              <w:rPr>
                <w:rFonts w:ascii="Times New Roman" w:eastAsia="Times New Roman" w:hAnsi="Times New Roman" w:cs="Times New Roman"/>
                <w:color w:val="000000"/>
                <w:sz w:val="24"/>
                <w:szCs w:val="24"/>
                <w:lang w:val="bg-BG" w:eastAsia="bg-BG"/>
              </w:rPr>
              <w:br/>
              <w:t>- осигуряване на капацитет за третиране;</w:t>
            </w:r>
            <w:r w:rsidRPr="00B053E1">
              <w:rPr>
                <w:rFonts w:ascii="Times New Roman" w:eastAsia="Times New Roman" w:hAnsi="Times New Roman" w:cs="Times New Roman"/>
                <w:color w:val="000000"/>
                <w:sz w:val="24"/>
                <w:szCs w:val="24"/>
                <w:lang w:val="bg-BG" w:eastAsia="bg-BG"/>
              </w:rPr>
              <w:br/>
              <w:t>- механизми за текущ контрол и оценка на резултатите.</w:t>
            </w:r>
          </w:p>
        </w:tc>
      </w:tr>
      <w:tr w:rsidR="00B053E1" w:rsidRPr="00B053E1" w:rsidTr="00B053E1">
        <w:trPr>
          <w:trHeight w:val="3887"/>
        </w:trPr>
        <w:tc>
          <w:tcPr>
            <w:tcW w:w="382" w:type="dxa"/>
            <w:tcBorders>
              <w:top w:val="nil"/>
              <w:left w:val="single" w:sz="8" w:space="0" w:color="auto"/>
              <w:bottom w:val="single" w:sz="8" w:space="0" w:color="auto"/>
              <w:right w:val="single" w:sz="8" w:space="0" w:color="auto"/>
            </w:tcBorders>
            <w:shd w:val="clear" w:color="auto" w:fill="auto"/>
            <w:noWrap/>
            <w:vAlign w:val="center"/>
            <w:hideMark/>
          </w:tcPr>
          <w:p w:rsidR="00B053E1" w:rsidRPr="00B053E1" w:rsidRDefault="00B053E1" w:rsidP="00B053E1">
            <w:pPr>
              <w:spacing w:after="0" w:line="240" w:lineRule="auto"/>
              <w:jc w:val="center"/>
              <w:rPr>
                <w:rFonts w:ascii="Times New Roman" w:eastAsia="Times New Roman" w:hAnsi="Times New Roman" w:cs="Times New Roman"/>
                <w:b/>
                <w:bCs/>
                <w:color w:val="000000"/>
                <w:sz w:val="24"/>
                <w:szCs w:val="24"/>
                <w:lang w:val="bg-BG" w:eastAsia="bg-BG"/>
              </w:rPr>
            </w:pPr>
            <w:r w:rsidRPr="00B053E1">
              <w:rPr>
                <w:rFonts w:ascii="Times New Roman" w:eastAsia="Times New Roman" w:hAnsi="Times New Roman" w:cs="Times New Roman"/>
                <w:b/>
                <w:bCs/>
                <w:color w:val="000000"/>
                <w:sz w:val="24"/>
                <w:szCs w:val="24"/>
                <w:lang w:val="bg-BG" w:eastAsia="bg-BG"/>
              </w:rPr>
              <w:lastRenderedPageBreak/>
              <w:t>6</w:t>
            </w:r>
          </w:p>
        </w:tc>
        <w:tc>
          <w:tcPr>
            <w:tcW w:w="2160" w:type="dxa"/>
            <w:tcBorders>
              <w:top w:val="nil"/>
              <w:left w:val="nil"/>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jc w:val="center"/>
              <w:rPr>
                <w:rFonts w:ascii="Times New Roman" w:eastAsia="Times New Roman" w:hAnsi="Times New Roman" w:cs="Times New Roman"/>
                <w:b/>
                <w:bCs/>
                <w:color w:val="000000"/>
                <w:sz w:val="24"/>
                <w:szCs w:val="24"/>
                <w:lang w:val="bg-BG" w:eastAsia="bg-BG"/>
              </w:rPr>
            </w:pPr>
            <w:r w:rsidRPr="00B053E1">
              <w:rPr>
                <w:rFonts w:ascii="Times New Roman" w:eastAsia="Times New Roman" w:hAnsi="Times New Roman" w:cs="Times New Roman"/>
                <w:b/>
                <w:bCs/>
                <w:color w:val="000000"/>
                <w:sz w:val="24"/>
                <w:szCs w:val="24"/>
                <w:lang w:val="bg-BG" w:eastAsia="bg-BG"/>
              </w:rPr>
              <w:t xml:space="preserve">чл. 22, ал. 1, т.6 </w:t>
            </w:r>
            <w:r w:rsidRPr="00B053E1">
              <w:rPr>
                <w:rFonts w:ascii="Times New Roman" w:eastAsia="Times New Roman" w:hAnsi="Times New Roman" w:cs="Times New Roman"/>
                <w:b/>
                <w:bCs/>
                <w:color w:val="000000"/>
                <w:sz w:val="24"/>
                <w:szCs w:val="24"/>
                <w:lang w:val="bg-BG" w:eastAsia="bg-BG"/>
              </w:rPr>
              <w:br/>
              <w:t>и</w:t>
            </w:r>
            <w:r w:rsidRPr="00B053E1">
              <w:rPr>
                <w:rFonts w:ascii="Times New Roman" w:eastAsia="Times New Roman" w:hAnsi="Times New Roman" w:cs="Times New Roman"/>
                <w:b/>
                <w:bCs/>
                <w:color w:val="000000"/>
                <w:sz w:val="24"/>
                <w:szCs w:val="24"/>
                <w:lang w:val="bg-BG" w:eastAsia="bg-BG"/>
              </w:rPr>
              <w:br/>
              <w:t>чл. 26, ал. 1, т.4</w:t>
            </w:r>
            <w:r w:rsidRPr="00B053E1">
              <w:rPr>
                <w:rFonts w:ascii="Times New Roman" w:eastAsia="Times New Roman" w:hAnsi="Times New Roman" w:cs="Times New Roman"/>
                <w:b/>
                <w:bCs/>
                <w:color w:val="000000"/>
                <w:sz w:val="24"/>
                <w:szCs w:val="24"/>
                <w:lang w:val="bg-BG" w:eastAsia="bg-BG"/>
              </w:rPr>
              <w:br/>
              <w:t>Наредба за НУБА</w:t>
            </w:r>
          </w:p>
        </w:tc>
        <w:tc>
          <w:tcPr>
            <w:tcW w:w="3827" w:type="dxa"/>
            <w:tcBorders>
              <w:top w:val="nil"/>
              <w:left w:val="nil"/>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rPr>
                <w:rFonts w:ascii="Times New Roman" w:eastAsia="Times New Roman" w:hAnsi="Times New Roman" w:cs="Times New Roman"/>
                <w:color w:val="000000"/>
                <w:sz w:val="24"/>
                <w:szCs w:val="24"/>
                <w:lang w:val="bg-BG" w:eastAsia="bg-BG"/>
              </w:rPr>
            </w:pPr>
            <w:r w:rsidRPr="00B053E1">
              <w:rPr>
                <w:rFonts w:ascii="Times New Roman" w:eastAsia="Times New Roman" w:hAnsi="Times New Roman" w:cs="Times New Roman"/>
                <w:color w:val="000000"/>
                <w:sz w:val="24"/>
                <w:szCs w:val="24"/>
                <w:lang w:val="bg-BG" w:eastAsia="bg-BG"/>
              </w:rPr>
              <w:t>план за увеличаване на количеството разделно събрани и рециклирани батерии и акумулатори, включващ мерки за оптимизиране на дейностите по събирането, съхраняването, транспортирането и предварителното им третиране, както и предаването им за рециклиране;</w:t>
            </w:r>
          </w:p>
        </w:tc>
        <w:tc>
          <w:tcPr>
            <w:tcW w:w="9639" w:type="dxa"/>
            <w:tcBorders>
              <w:top w:val="nil"/>
              <w:left w:val="nil"/>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rPr>
                <w:rFonts w:ascii="Times New Roman" w:eastAsia="Times New Roman" w:hAnsi="Times New Roman" w:cs="Times New Roman"/>
                <w:color w:val="000000"/>
                <w:sz w:val="24"/>
                <w:szCs w:val="24"/>
                <w:lang w:val="bg-BG" w:eastAsia="bg-BG"/>
              </w:rPr>
            </w:pPr>
            <w:r w:rsidRPr="00B053E1">
              <w:rPr>
                <w:rFonts w:ascii="Times New Roman" w:eastAsia="Times New Roman" w:hAnsi="Times New Roman" w:cs="Times New Roman"/>
                <w:color w:val="000000"/>
                <w:sz w:val="24"/>
                <w:szCs w:val="24"/>
                <w:lang w:val="bg-BG" w:eastAsia="bg-BG"/>
              </w:rPr>
              <w:t xml:space="preserve">Програмата трябва да съдържа подробен план за увеличаване на количествата разделно събрани и рециклирани НУБА чрез следните действия: </w:t>
            </w:r>
            <w:r w:rsidRPr="00B053E1">
              <w:rPr>
                <w:rFonts w:ascii="Times New Roman" w:eastAsia="Times New Roman" w:hAnsi="Times New Roman" w:cs="Times New Roman"/>
                <w:color w:val="000000"/>
                <w:sz w:val="24"/>
                <w:szCs w:val="24"/>
                <w:lang w:val="bg-BG" w:eastAsia="bg-BG"/>
              </w:rPr>
              <w:br/>
              <w:t>- разширяване на мрежата от места за събиране;</w:t>
            </w:r>
            <w:r w:rsidRPr="00B053E1">
              <w:rPr>
                <w:rFonts w:ascii="Times New Roman" w:eastAsia="Times New Roman" w:hAnsi="Times New Roman" w:cs="Times New Roman"/>
                <w:color w:val="000000"/>
                <w:sz w:val="24"/>
                <w:szCs w:val="24"/>
                <w:lang w:val="bg-BG" w:eastAsia="bg-BG"/>
              </w:rPr>
              <w:br/>
              <w:t>- подобряване на логистиката;</w:t>
            </w:r>
            <w:r w:rsidRPr="00B053E1">
              <w:rPr>
                <w:rFonts w:ascii="Times New Roman" w:eastAsia="Times New Roman" w:hAnsi="Times New Roman" w:cs="Times New Roman"/>
                <w:color w:val="000000"/>
                <w:sz w:val="24"/>
                <w:szCs w:val="24"/>
                <w:lang w:val="bg-BG" w:eastAsia="bg-BG"/>
              </w:rPr>
              <w:br/>
              <w:t>- повишаване ефективността на предварителното третиране.</w:t>
            </w:r>
            <w:r w:rsidRPr="00B053E1">
              <w:rPr>
                <w:rFonts w:ascii="Times New Roman" w:eastAsia="Times New Roman" w:hAnsi="Times New Roman" w:cs="Times New Roman"/>
                <w:color w:val="000000"/>
                <w:sz w:val="24"/>
                <w:szCs w:val="24"/>
                <w:lang w:val="bg-BG" w:eastAsia="bg-BG"/>
              </w:rPr>
              <w:br/>
              <w:t>- прогнозно нарастващи количества за разделно събиране на НУБА по видове;</w:t>
            </w:r>
            <w:r w:rsidRPr="00B053E1">
              <w:rPr>
                <w:rFonts w:ascii="Times New Roman" w:eastAsia="Times New Roman" w:hAnsi="Times New Roman" w:cs="Times New Roman"/>
                <w:color w:val="000000"/>
                <w:sz w:val="24"/>
                <w:szCs w:val="24"/>
                <w:lang w:val="bg-BG" w:eastAsia="bg-BG"/>
              </w:rPr>
              <w:br/>
              <w:t>- прогнозно нарастващи количества за рециклиране и оползотворяване на НУБА по видове;</w:t>
            </w:r>
            <w:r w:rsidRPr="00B053E1">
              <w:rPr>
                <w:rFonts w:ascii="Times New Roman" w:eastAsia="Times New Roman" w:hAnsi="Times New Roman" w:cs="Times New Roman"/>
                <w:color w:val="000000"/>
                <w:sz w:val="24"/>
                <w:szCs w:val="24"/>
                <w:lang w:val="bg-BG" w:eastAsia="bg-BG"/>
              </w:rPr>
              <w:br/>
              <w:t>- мерки с за сключване на нови договори с общини;</w:t>
            </w:r>
            <w:r w:rsidRPr="00B053E1">
              <w:rPr>
                <w:rFonts w:ascii="Times New Roman" w:eastAsia="Times New Roman" w:hAnsi="Times New Roman" w:cs="Times New Roman"/>
                <w:color w:val="000000"/>
                <w:sz w:val="24"/>
                <w:szCs w:val="24"/>
                <w:lang w:val="bg-BG" w:eastAsia="bg-BG"/>
              </w:rPr>
              <w:br/>
              <w:t>- мерки за организиране на информационни кампании, за повишаване информираността на населението;</w:t>
            </w:r>
            <w:r w:rsidRPr="00B053E1">
              <w:rPr>
                <w:rFonts w:ascii="Times New Roman" w:eastAsia="Times New Roman" w:hAnsi="Times New Roman" w:cs="Times New Roman"/>
                <w:color w:val="000000"/>
                <w:sz w:val="24"/>
                <w:szCs w:val="24"/>
                <w:lang w:val="bg-BG" w:eastAsia="bg-BG"/>
              </w:rPr>
              <w:br/>
              <w:t>Следва да бъдат описани конкретни мерки за обслужване на домакинства, търговски обекти, административни и обществени сгради, както и механизми за безплатно събиране на индустриални НУБА от мястото на тяхното образуване.</w:t>
            </w:r>
          </w:p>
        </w:tc>
      </w:tr>
      <w:tr w:rsidR="00B053E1" w:rsidRPr="00B053E1" w:rsidTr="00B053E1">
        <w:trPr>
          <w:trHeight w:val="2848"/>
        </w:trPr>
        <w:tc>
          <w:tcPr>
            <w:tcW w:w="382" w:type="dxa"/>
            <w:tcBorders>
              <w:top w:val="nil"/>
              <w:left w:val="single" w:sz="8" w:space="0" w:color="auto"/>
              <w:bottom w:val="single" w:sz="8" w:space="0" w:color="auto"/>
              <w:right w:val="single" w:sz="8" w:space="0" w:color="auto"/>
            </w:tcBorders>
            <w:shd w:val="clear" w:color="auto" w:fill="auto"/>
            <w:noWrap/>
            <w:vAlign w:val="center"/>
            <w:hideMark/>
          </w:tcPr>
          <w:p w:rsidR="00B053E1" w:rsidRPr="00B053E1" w:rsidRDefault="00B053E1" w:rsidP="00B053E1">
            <w:pPr>
              <w:spacing w:after="0" w:line="240" w:lineRule="auto"/>
              <w:jc w:val="center"/>
              <w:rPr>
                <w:rFonts w:ascii="Times New Roman" w:eastAsia="Times New Roman" w:hAnsi="Times New Roman" w:cs="Times New Roman"/>
                <w:b/>
                <w:bCs/>
                <w:color w:val="000000"/>
                <w:sz w:val="24"/>
                <w:szCs w:val="24"/>
                <w:lang w:val="bg-BG" w:eastAsia="bg-BG"/>
              </w:rPr>
            </w:pPr>
            <w:r w:rsidRPr="00B053E1">
              <w:rPr>
                <w:rFonts w:ascii="Times New Roman" w:eastAsia="Times New Roman" w:hAnsi="Times New Roman" w:cs="Times New Roman"/>
                <w:b/>
                <w:bCs/>
                <w:color w:val="000000"/>
                <w:sz w:val="24"/>
                <w:szCs w:val="24"/>
                <w:lang w:val="bg-BG" w:eastAsia="bg-BG"/>
              </w:rPr>
              <w:t>7</w:t>
            </w:r>
          </w:p>
        </w:tc>
        <w:tc>
          <w:tcPr>
            <w:tcW w:w="2160" w:type="dxa"/>
            <w:tcBorders>
              <w:top w:val="nil"/>
              <w:left w:val="nil"/>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jc w:val="center"/>
              <w:rPr>
                <w:rFonts w:ascii="Times New Roman" w:eastAsia="Times New Roman" w:hAnsi="Times New Roman" w:cs="Times New Roman"/>
                <w:b/>
                <w:bCs/>
                <w:color w:val="000000"/>
                <w:sz w:val="24"/>
                <w:szCs w:val="24"/>
                <w:lang w:val="bg-BG" w:eastAsia="bg-BG"/>
              </w:rPr>
            </w:pPr>
            <w:r w:rsidRPr="00B053E1">
              <w:rPr>
                <w:rFonts w:ascii="Times New Roman" w:eastAsia="Times New Roman" w:hAnsi="Times New Roman" w:cs="Times New Roman"/>
                <w:b/>
                <w:bCs/>
                <w:color w:val="000000"/>
                <w:sz w:val="24"/>
                <w:szCs w:val="24"/>
                <w:lang w:val="bg-BG" w:eastAsia="bg-BG"/>
              </w:rPr>
              <w:t xml:space="preserve">чл. 22, ал. 1, т.7 </w:t>
            </w:r>
            <w:r w:rsidRPr="00B053E1">
              <w:rPr>
                <w:rFonts w:ascii="Times New Roman" w:eastAsia="Times New Roman" w:hAnsi="Times New Roman" w:cs="Times New Roman"/>
                <w:b/>
                <w:bCs/>
                <w:color w:val="000000"/>
                <w:sz w:val="24"/>
                <w:szCs w:val="24"/>
                <w:lang w:val="bg-BG" w:eastAsia="bg-BG"/>
              </w:rPr>
              <w:br/>
              <w:t>и</w:t>
            </w:r>
            <w:r w:rsidRPr="00B053E1">
              <w:rPr>
                <w:rFonts w:ascii="Times New Roman" w:eastAsia="Times New Roman" w:hAnsi="Times New Roman" w:cs="Times New Roman"/>
                <w:b/>
                <w:bCs/>
                <w:color w:val="000000"/>
                <w:sz w:val="24"/>
                <w:szCs w:val="24"/>
                <w:lang w:val="bg-BG" w:eastAsia="bg-BG"/>
              </w:rPr>
              <w:br/>
              <w:t>чл. 26, ал. 1, т.9</w:t>
            </w:r>
            <w:r w:rsidRPr="00B053E1">
              <w:rPr>
                <w:rFonts w:ascii="Times New Roman" w:eastAsia="Times New Roman" w:hAnsi="Times New Roman" w:cs="Times New Roman"/>
                <w:b/>
                <w:bCs/>
                <w:color w:val="000000"/>
                <w:sz w:val="24"/>
                <w:szCs w:val="24"/>
                <w:lang w:val="bg-BG" w:eastAsia="bg-BG"/>
              </w:rPr>
              <w:br/>
              <w:t>Наредба за НУБА</w:t>
            </w:r>
          </w:p>
        </w:tc>
        <w:tc>
          <w:tcPr>
            <w:tcW w:w="3827" w:type="dxa"/>
            <w:tcBorders>
              <w:top w:val="nil"/>
              <w:left w:val="nil"/>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rPr>
                <w:rFonts w:ascii="Times New Roman" w:eastAsia="Times New Roman" w:hAnsi="Times New Roman" w:cs="Times New Roman"/>
                <w:color w:val="000000"/>
                <w:sz w:val="24"/>
                <w:szCs w:val="24"/>
                <w:lang w:val="bg-BG" w:eastAsia="bg-BG"/>
              </w:rPr>
            </w:pPr>
            <w:r w:rsidRPr="00B053E1">
              <w:rPr>
                <w:rFonts w:ascii="Times New Roman" w:eastAsia="Times New Roman" w:hAnsi="Times New Roman" w:cs="Times New Roman"/>
                <w:color w:val="000000"/>
                <w:sz w:val="24"/>
                <w:szCs w:val="24"/>
                <w:lang w:val="bg-BG" w:eastAsia="bg-BG"/>
              </w:rPr>
              <w:t>мерки, които ще бъдат взети в случай на временно прекъсване на събирането или намаляване на количеството на събраните НУБА и тяхното последващо рециклиране и/или оползотворяване;</w:t>
            </w:r>
          </w:p>
        </w:tc>
        <w:tc>
          <w:tcPr>
            <w:tcW w:w="9639" w:type="dxa"/>
            <w:tcBorders>
              <w:top w:val="nil"/>
              <w:left w:val="nil"/>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rPr>
                <w:rFonts w:ascii="Times New Roman" w:eastAsia="Times New Roman" w:hAnsi="Times New Roman" w:cs="Times New Roman"/>
                <w:color w:val="000000"/>
                <w:sz w:val="24"/>
                <w:szCs w:val="24"/>
                <w:lang w:val="bg-BG" w:eastAsia="bg-BG"/>
              </w:rPr>
            </w:pPr>
            <w:r w:rsidRPr="00B053E1">
              <w:rPr>
                <w:rFonts w:ascii="Times New Roman" w:eastAsia="Times New Roman" w:hAnsi="Times New Roman" w:cs="Times New Roman"/>
                <w:color w:val="000000"/>
                <w:sz w:val="24"/>
                <w:szCs w:val="24"/>
                <w:lang w:val="bg-BG" w:eastAsia="bg-BG"/>
              </w:rPr>
              <w:t xml:space="preserve">Програмата трябва да предвижда система за управление на риска и непрекъсваемост на дейността (прекъсването на дейността води до отнемане на разрешителното). </w:t>
            </w:r>
            <w:r w:rsidRPr="00B053E1">
              <w:rPr>
                <w:rFonts w:ascii="Times New Roman" w:eastAsia="Times New Roman" w:hAnsi="Times New Roman" w:cs="Times New Roman"/>
                <w:color w:val="000000"/>
                <w:sz w:val="24"/>
                <w:szCs w:val="24"/>
                <w:lang w:val="bg-BG" w:eastAsia="bg-BG"/>
              </w:rPr>
              <w:br/>
              <w:t>Следва да бъдат определени:</w:t>
            </w:r>
            <w:r w:rsidRPr="00B053E1">
              <w:rPr>
                <w:rFonts w:ascii="Times New Roman" w:eastAsia="Times New Roman" w:hAnsi="Times New Roman" w:cs="Times New Roman"/>
                <w:color w:val="000000"/>
                <w:sz w:val="24"/>
                <w:szCs w:val="24"/>
                <w:lang w:val="bg-BG" w:eastAsia="bg-BG"/>
              </w:rPr>
              <w:br/>
              <w:t>- алтернативни оператори;</w:t>
            </w:r>
            <w:r w:rsidRPr="00B053E1">
              <w:rPr>
                <w:rFonts w:ascii="Times New Roman" w:eastAsia="Times New Roman" w:hAnsi="Times New Roman" w:cs="Times New Roman"/>
                <w:color w:val="000000"/>
                <w:sz w:val="24"/>
                <w:szCs w:val="24"/>
                <w:lang w:val="bg-BG" w:eastAsia="bg-BG"/>
              </w:rPr>
              <w:br/>
              <w:t>- резервни логистични схеми;</w:t>
            </w:r>
            <w:r w:rsidRPr="00B053E1">
              <w:rPr>
                <w:rFonts w:ascii="Times New Roman" w:eastAsia="Times New Roman" w:hAnsi="Times New Roman" w:cs="Times New Roman"/>
                <w:color w:val="000000"/>
                <w:sz w:val="24"/>
                <w:szCs w:val="24"/>
                <w:lang w:val="bg-BG" w:eastAsia="bg-BG"/>
              </w:rPr>
              <w:br/>
              <w:t>- механизми за временно съхраняване на отпадъците;</w:t>
            </w:r>
            <w:r w:rsidRPr="00B053E1">
              <w:rPr>
                <w:rFonts w:ascii="Times New Roman" w:eastAsia="Times New Roman" w:hAnsi="Times New Roman" w:cs="Times New Roman"/>
                <w:color w:val="000000"/>
                <w:sz w:val="24"/>
                <w:szCs w:val="24"/>
                <w:lang w:val="bg-BG" w:eastAsia="bg-BG"/>
              </w:rPr>
              <w:br/>
              <w:t xml:space="preserve">- финансови резерви за преодоляване на затруднения в системата. </w:t>
            </w:r>
            <w:r w:rsidRPr="00B053E1">
              <w:rPr>
                <w:rFonts w:ascii="Times New Roman" w:eastAsia="Times New Roman" w:hAnsi="Times New Roman" w:cs="Times New Roman"/>
                <w:color w:val="000000"/>
                <w:sz w:val="24"/>
                <w:szCs w:val="24"/>
                <w:lang w:val="bg-BG" w:eastAsia="bg-BG"/>
              </w:rPr>
              <w:br/>
              <w:t>Необходимо е да бъдат предвидени компенсаторни мерки за гарантиране изпълнението на целите при намалени количества събрани отпадъци или затруднения в процесите на рециклиране и оползотворяване.</w:t>
            </w:r>
          </w:p>
        </w:tc>
      </w:tr>
      <w:tr w:rsidR="00B053E1" w:rsidRPr="00B053E1" w:rsidTr="00B053E1">
        <w:trPr>
          <w:trHeight w:val="4772"/>
        </w:trPr>
        <w:tc>
          <w:tcPr>
            <w:tcW w:w="382" w:type="dxa"/>
            <w:tcBorders>
              <w:top w:val="nil"/>
              <w:left w:val="single" w:sz="8" w:space="0" w:color="auto"/>
              <w:bottom w:val="single" w:sz="8" w:space="0" w:color="auto"/>
              <w:right w:val="single" w:sz="8" w:space="0" w:color="auto"/>
            </w:tcBorders>
            <w:shd w:val="clear" w:color="auto" w:fill="auto"/>
            <w:noWrap/>
            <w:vAlign w:val="center"/>
            <w:hideMark/>
          </w:tcPr>
          <w:p w:rsidR="00B053E1" w:rsidRPr="00B053E1" w:rsidRDefault="00B053E1" w:rsidP="00B053E1">
            <w:pPr>
              <w:spacing w:after="0" w:line="240" w:lineRule="auto"/>
              <w:jc w:val="center"/>
              <w:rPr>
                <w:rFonts w:ascii="Times New Roman" w:eastAsia="Times New Roman" w:hAnsi="Times New Roman" w:cs="Times New Roman"/>
                <w:b/>
                <w:bCs/>
                <w:color w:val="000000"/>
                <w:sz w:val="24"/>
                <w:szCs w:val="24"/>
                <w:lang w:val="bg-BG" w:eastAsia="bg-BG"/>
              </w:rPr>
            </w:pPr>
            <w:r w:rsidRPr="00B053E1">
              <w:rPr>
                <w:rFonts w:ascii="Times New Roman" w:eastAsia="Times New Roman" w:hAnsi="Times New Roman" w:cs="Times New Roman"/>
                <w:b/>
                <w:bCs/>
                <w:color w:val="000000"/>
                <w:sz w:val="24"/>
                <w:szCs w:val="24"/>
                <w:lang w:val="bg-BG" w:eastAsia="bg-BG"/>
              </w:rPr>
              <w:lastRenderedPageBreak/>
              <w:t>8</w:t>
            </w:r>
          </w:p>
        </w:tc>
        <w:tc>
          <w:tcPr>
            <w:tcW w:w="2160" w:type="dxa"/>
            <w:tcBorders>
              <w:top w:val="nil"/>
              <w:left w:val="nil"/>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jc w:val="center"/>
              <w:rPr>
                <w:rFonts w:ascii="Times New Roman" w:eastAsia="Times New Roman" w:hAnsi="Times New Roman" w:cs="Times New Roman"/>
                <w:b/>
                <w:bCs/>
                <w:color w:val="000000"/>
                <w:sz w:val="24"/>
                <w:szCs w:val="24"/>
                <w:lang w:val="bg-BG" w:eastAsia="bg-BG"/>
              </w:rPr>
            </w:pPr>
            <w:r w:rsidRPr="00B053E1">
              <w:rPr>
                <w:rFonts w:ascii="Times New Roman" w:eastAsia="Times New Roman" w:hAnsi="Times New Roman" w:cs="Times New Roman"/>
                <w:b/>
                <w:bCs/>
                <w:color w:val="000000"/>
                <w:sz w:val="24"/>
                <w:szCs w:val="24"/>
                <w:lang w:val="bg-BG" w:eastAsia="bg-BG"/>
              </w:rPr>
              <w:t xml:space="preserve">чл. 22, ал. 1, т.8 </w:t>
            </w:r>
            <w:r w:rsidRPr="00B053E1">
              <w:rPr>
                <w:rFonts w:ascii="Times New Roman" w:eastAsia="Times New Roman" w:hAnsi="Times New Roman" w:cs="Times New Roman"/>
                <w:b/>
                <w:bCs/>
                <w:color w:val="000000"/>
                <w:sz w:val="24"/>
                <w:szCs w:val="24"/>
                <w:lang w:val="bg-BG" w:eastAsia="bg-BG"/>
              </w:rPr>
              <w:br w:type="page"/>
              <w:t>и</w:t>
            </w:r>
            <w:r w:rsidRPr="00B053E1">
              <w:rPr>
                <w:rFonts w:ascii="Times New Roman" w:eastAsia="Times New Roman" w:hAnsi="Times New Roman" w:cs="Times New Roman"/>
                <w:b/>
                <w:bCs/>
                <w:color w:val="000000"/>
                <w:sz w:val="24"/>
                <w:szCs w:val="24"/>
                <w:lang w:val="bg-BG" w:eastAsia="bg-BG"/>
              </w:rPr>
              <w:br w:type="page"/>
              <w:t>чл. 26, ал. 1, т.8</w:t>
            </w:r>
            <w:r w:rsidRPr="00B053E1">
              <w:rPr>
                <w:rFonts w:ascii="Times New Roman" w:eastAsia="Times New Roman" w:hAnsi="Times New Roman" w:cs="Times New Roman"/>
                <w:b/>
                <w:bCs/>
                <w:color w:val="000000"/>
                <w:sz w:val="24"/>
                <w:szCs w:val="24"/>
                <w:lang w:val="bg-BG" w:eastAsia="bg-BG"/>
              </w:rPr>
              <w:br w:type="page"/>
            </w:r>
            <w:r w:rsidR="00525BDF">
              <w:rPr>
                <w:rFonts w:ascii="Times New Roman" w:eastAsia="Times New Roman" w:hAnsi="Times New Roman" w:cs="Times New Roman"/>
                <w:b/>
                <w:bCs/>
                <w:color w:val="000000"/>
                <w:sz w:val="24"/>
                <w:szCs w:val="24"/>
                <w:lang w:val="bg-BG" w:eastAsia="bg-BG"/>
              </w:rPr>
              <w:t xml:space="preserve"> </w:t>
            </w:r>
            <w:bookmarkStart w:id="0" w:name="_GoBack"/>
            <w:bookmarkEnd w:id="0"/>
            <w:r w:rsidRPr="00B053E1">
              <w:rPr>
                <w:rFonts w:ascii="Times New Roman" w:eastAsia="Times New Roman" w:hAnsi="Times New Roman" w:cs="Times New Roman"/>
                <w:b/>
                <w:bCs/>
                <w:color w:val="000000"/>
                <w:sz w:val="24"/>
                <w:szCs w:val="24"/>
                <w:lang w:val="bg-BG" w:eastAsia="bg-BG"/>
              </w:rPr>
              <w:t>Наредба за НУБА</w:t>
            </w:r>
          </w:p>
        </w:tc>
        <w:tc>
          <w:tcPr>
            <w:tcW w:w="3827" w:type="dxa"/>
            <w:tcBorders>
              <w:top w:val="nil"/>
              <w:left w:val="nil"/>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rPr>
                <w:rFonts w:ascii="Times New Roman" w:eastAsia="Times New Roman" w:hAnsi="Times New Roman" w:cs="Times New Roman"/>
                <w:color w:val="000000"/>
                <w:sz w:val="24"/>
                <w:szCs w:val="24"/>
                <w:lang w:val="bg-BG" w:eastAsia="bg-BG"/>
              </w:rPr>
            </w:pPr>
            <w:r w:rsidRPr="00B053E1">
              <w:rPr>
                <w:rFonts w:ascii="Times New Roman" w:eastAsia="Times New Roman" w:hAnsi="Times New Roman" w:cs="Times New Roman"/>
                <w:color w:val="000000"/>
                <w:sz w:val="24"/>
                <w:szCs w:val="24"/>
                <w:lang w:val="bg-BG" w:eastAsia="bg-BG"/>
              </w:rPr>
              <w:t>план за информиране и привличане на потребителите за прилагането на разделно събиране на НУБА, включващ провеждане на информационни кампании, разработване на образователни програми, насочени към учебните заведения, и други дейности;</w:t>
            </w:r>
          </w:p>
        </w:tc>
        <w:tc>
          <w:tcPr>
            <w:tcW w:w="9639" w:type="dxa"/>
            <w:tcBorders>
              <w:top w:val="nil"/>
              <w:left w:val="nil"/>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rPr>
                <w:rFonts w:ascii="Times New Roman" w:eastAsia="Times New Roman" w:hAnsi="Times New Roman" w:cs="Times New Roman"/>
                <w:color w:val="000000"/>
                <w:sz w:val="24"/>
                <w:szCs w:val="24"/>
                <w:lang w:val="bg-BG" w:eastAsia="bg-BG"/>
              </w:rPr>
            </w:pPr>
            <w:r w:rsidRPr="00B053E1">
              <w:rPr>
                <w:rFonts w:ascii="Times New Roman" w:eastAsia="Times New Roman" w:hAnsi="Times New Roman" w:cs="Times New Roman"/>
                <w:color w:val="000000"/>
                <w:sz w:val="24"/>
                <w:szCs w:val="24"/>
                <w:lang w:val="bg-BG" w:eastAsia="bg-BG"/>
              </w:rPr>
              <w:t>Програмата трябва да съдържа многогодишен план за информиране и ангажиране на обществеността чрез:</w:t>
            </w:r>
            <w:r w:rsidRPr="00B053E1">
              <w:rPr>
                <w:rFonts w:ascii="Times New Roman" w:eastAsia="Times New Roman" w:hAnsi="Times New Roman" w:cs="Times New Roman"/>
                <w:color w:val="000000"/>
                <w:sz w:val="24"/>
                <w:szCs w:val="24"/>
                <w:lang w:val="bg-BG" w:eastAsia="bg-BG"/>
              </w:rPr>
              <w:br w:type="page"/>
              <w:t>- информационни кампании на основните дейности, целеви групи и използваните комуникационни канали;</w:t>
            </w:r>
            <w:r w:rsidRPr="00B053E1">
              <w:rPr>
                <w:rFonts w:ascii="Times New Roman" w:eastAsia="Times New Roman" w:hAnsi="Times New Roman" w:cs="Times New Roman"/>
                <w:color w:val="000000"/>
                <w:sz w:val="24"/>
                <w:szCs w:val="24"/>
                <w:lang w:val="bg-BG" w:eastAsia="bg-BG"/>
              </w:rPr>
              <w:br w:type="page"/>
              <w:t>- информационните кампании да са с национален или регионален обхват, съобразен с територията, обслужвана от организацията;</w:t>
            </w:r>
            <w:r w:rsidRPr="00B053E1">
              <w:rPr>
                <w:rFonts w:ascii="Times New Roman" w:eastAsia="Times New Roman" w:hAnsi="Times New Roman" w:cs="Times New Roman"/>
                <w:color w:val="000000"/>
                <w:sz w:val="24"/>
                <w:szCs w:val="24"/>
                <w:lang w:val="bg-BG" w:eastAsia="bg-BG"/>
              </w:rPr>
              <w:br w:type="page"/>
              <w:t>- предвидено използване на повече от един комуникационен канал (електронни медии, интернет платформи, социални мрежи, образователни инициативи и др.), като:</w:t>
            </w:r>
            <w:r w:rsidRPr="00B053E1">
              <w:rPr>
                <w:rFonts w:ascii="Times New Roman" w:eastAsia="Times New Roman" w:hAnsi="Times New Roman" w:cs="Times New Roman"/>
                <w:color w:val="000000"/>
                <w:sz w:val="24"/>
                <w:szCs w:val="24"/>
                <w:lang w:val="bg-BG" w:eastAsia="bg-BG"/>
              </w:rPr>
              <w:br w:type="page"/>
              <w:t xml:space="preserve">- образователни инициативи; </w:t>
            </w:r>
            <w:r w:rsidRPr="00B053E1">
              <w:rPr>
                <w:rFonts w:ascii="Times New Roman" w:eastAsia="Times New Roman" w:hAnsi="Times New Roman" w:cs="Times New Roman"/>
                <w:color w:val="000000"/>
                <w:sz w:val="24"/>
                <w:szCs w:val="24"/>
                <w:lang w:val="bg-BG" w:eastAsia="bg-BG"/>
              </w:rPr>
              <w:br w:type="page"/>
              <w:t>- обучения;</w:t>
            </w:r>
            <w:r w:rsidRPr="00B053E1">
              <w:rPr>
                <w:rFonts w:ascii="Times New Roman" w:eastAsia="Times New Roman" w:hAnsi="Times New Roman" w:cs="Times New Roman"/>
                <w:color w:val="000000"/>
                <w:sz w:val="24"/>
                <w:szCs w:val="24"/>
                <w:lang w:val="bg-BG" w:eastAsia="bg-BG"/>
              </w:rPr>
              <w:br w:type="page"/>
              <w:t>- публични събития;</w:t>
            </w:r>
            <w:r w:rsidRPr="00B053E1">
              <w:rPr>
                <w:rFonts w:ascii="Times New Roman" w:eastAsia="Times New Roman" w:hAnsi="Times New Roman" w:cs="Times New Roman"/>
                <w:color w:val="000000"/>
                <w:sz w:val="24"/>
                <w:szCs w:val="24"/>
                <w:lang w:val="bg-BG" w:eastAsia="bg-BG"/>
              </w:rPr>
              <w:br w:type="page"/>
              <w:t>- медийни публикации;</w:t>
            </w:r>
            <w:r w:rsidRPr="00B053E1">
              <w:rPr>
                <w:rFonts w:ascii="Times New Roman" w:eastAsia="Times New Roman" w:hAnsi="Times New Roman" w:cs="Times New Roman"/>
                <w:color w:val="000000"/>
                <w:sz w:val="24"/>
                <w:szCs w:val="24"/>
                <w:lang w:val="bg-BG" w:eastAsia="bg-BG"/>
              </w:rPr>
              <w:br w:type="page"/>
              <w:t>- електронни комуникационни канали.</w:t>
            </w:r>
            <w:r w:rsidRPr="00B053E1">
              <w:rPr>
                <w:rFonts w:ascii="Times New Roman" w:eastAsia="Times New Roman" w:hAnsi="Times New Roman" w:cs="Times New Roman"/>
                <w:color w:val="000000"/>
                <w:sz w:val="24"/>
                <w:szCs w:val="24"/>
                <w:lang w:val="bg-BG" w:eastAsia="bg-BG"/>
              </w:rPr>
              <w:br w:type="page"/>
              <w:t xml:space="preserve">Дейностите следва да бъдат насочени към предотвратяване образуването на отпадъци, насърчаване на повторната употреба и правилното разделно събиране на НУБА. Предвидените средства за информационни кампании </w:t>
            </w:r>
            <w:r w:rsidRPr="00B053E1">
              <w:rPr>
                <w:rFonts w:ascii="Times New Roman" w:eastAsia="Times New Roman" w:hAnsi="Times New Roman" w:cs="Times New Roman"/>
                <w:b/>
                <w:bCs/>
                <w:color w:val="000000"/>
                <w:sz w:val="24"/>
                <w:szCs w:val="24"/>
                <w:lang w:val="bg-BG" w:eastAsia="bg-BG"/>
              </w:rPr>
              <w:t>не могат да бъдат по-малко от 3%</w:t>
            </w:r>
            <w:r w:rsidRPr="00B053E1">
              <w:rPr>
                <w:rFonts w:ascii="Times New Roman" w:eastAsia="Times New Roman" w:hAnsi="Times New Roman" w:cs="Times New Roman"/>
                <w:color w:val="000000"/>
                <w:sz w:val="24"/>
                <w:szCs w:val="24"/>
                <w:lang w:val="bg-BG" w:eastAsia="bg-BG"/>
              </w:rPr>
              <w:t xml:space="preserve"> от годишните постъпления на организацията.</w:t>
            </w:r>
          </w:p>
        </w:tc>
      </w:tr>
      <w:tr w:rsidR="00B053E1" w:rsidRPr="00B053E1" w:rsidTr="00B053E1">
        <w:trPr>
          <w:trHeight w:val="2809"/>
        </w:trPr>
        <w:tc>
          <w:tcPr>
            <w:tcW w:w="382" w:type="dxa"/>
            <w:tcBorders>
              <w:top w:val="nil"/>
              <w:left w:val="single" w:sz="8" w:space="0" w:color="auto"/>
              <w:bottom w:val="single" w:sz="8" w:space="0" w:color="auto"/>
              <w:right w:val="single" w:sz="8" w:space="0" w:color="auto"/>
            </w:tcBorders>
            <w:shd w:val="clear" w:color="auto" w:fill="auto"/>
            <w:noWrap/>
            <w:vAlign w:val="center"/>
            <w:hideMark/>
          </w:tcPr>
          <w:p w:rsidR="00B053E1" w:rsidRPr="00B053E1" w:rsidRDefault="00B053E1" w:rsidP="00B053E1">
            <w:pPr>
              <w:spacing w:after="0" w:line="240" w:lineRule="auto"/>
              <w:jc w:val="center"/>
              <w:rPr>
                <w:rFonts w:ascii="Times New Roman" w:eastAsia="Times New Roman" w:hAnsi="Times New Roman" w:cs="Times New Roman"/>
                <w:b/>
                <w:bCs/>
                <w:color w:val="000000"/>
                <w:sz w:val="24"/>
                <w:szCs w:val="24"/>
                <w:lang w:val="bg-BG" w:eastAsia="bg-BG"/>
              </w:rPr>
            </w:pPr>
            <w:r w:rsidRPr="00B053E1">
              <w:rPr>
                <w:rFonts w:ascii="Times New Roman" w:eastAsia="Times New Roman" w:hAnsi="Times New Roman" w:cs="Times New Roman"/>
                <w:b/>
                <w:bCs/>
                <w:color w:val="000000"/>
                <w:sz w:val="24"/>
                <w:szCs w:val="24"/>
                <w:lang w:val="bg-BG" w:eastAsia="bg-BG"/>
              </w:rPr>
              <w:t>9</w:t>
            </w:r>
          </w:p>
        </w:tc>
        <w:tc>
          <w:tcPr>
            <w:tcW w:w="2160" w:type="dxa"/>
            <w:tcBorders>
              <w:top w:val="nil"/>
              <w:left w:val="nil"/>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jc w:val="center"/>
              <w:rPr>
                <w:rFonts w:ascii="Times New Roman" w:eastAsia="Times New Roman" w:hAnsi="Times New Roman" w:cs="Times New Roman"/>
                <w:b/>
                <w:bCs/>
                <w:color w:val="000000"/>
                <w:sz w:val="24"/>
                <w:szCs w:val="24"/>
                <w:lang w:val="bg-BG" w:eastAsia="bg-BG"/>
              </w:rPr>
            </w:pPr>
            <w:r w:rsidRPr="00B053E1">
              <w:rPr>
                <w:rFonts w:ascii="Times New Roman" w:eastAsia="Times New Roman" w:hAnsi="Times New Roman" w:cs="Times New Roman"/>
                <w:b/>
                <w:bCs/>
                <w:color w:val="000000"/>
                <w:sz w:val="24"/>
                <w:szCs w:val="24"/>
                <w:lang w:val="bg-BG" w:eastAsia="bg-BG"/>
              </w:rPr>
              <w:t xml:space="preserve">чл. 22, ал. 1, т.9 </w:t>
            </w:r>
            <w:r w:rsidRPr="00B053E1">
              <w:rPr>
                <w:rFonts w:ascii="Times New Roman" w:eastAsia="Times New Roman" w:hAnsi="Times New Roman" w:cs="Times New Roman"/>
                <w:b/>
                <w:bCs/>
                <w:color w:val="000000"/>
                <w:sz w:val="24"/>
                <w:szCs w:val="24"/>
                <w:lang w:val="bg-BG" w:eastAsia="bg-BG"/>
              </w:rPr>
              <w:br/>
              <w:t>и</w:t>
            </w:r>
            <w:r w:rsidRPr="00B053E1">
              <w:rPr>
                <w:rFonts w:ascii="Times New Roman" w:eastAsia="Times New Roman" w:hAnsi="Times New Roman" w:cs="Times New Roman"/>
                <w:b/>
                <w:bCs/>
                <w:color w:val="000000"/>
                <w:sz w:val="24"/>
                <w:szCs w:val="24"/>
                <w:lang w:val="bg-BG" w:eastAsia="bg-BG"/>
              </w:rPr>
              <w:br/>
              <w:t>чл. 26, ал. 1, т.7</w:t>
            </w:r>
            <w:r w:rsidRPr="00B053E1">
              <w:rPr>
                <w:rFonts w:ascii="Times New Roman" w:eastAsia="Times New Roman" w:hAnsi="Times New Roman" w:cs="Times New Roman"/>
                <w:b/>
                <w:bCs/>
                <w:color w:val="000000"/>
                <w:sz w:val="24"/>
                <w:szCs w:val="24"/>
                <w:lang w:val="bg-BG" w:eastAsia="bg-BG"/>
              </w:rPr>
              <w:br/>
              <w:t>Наредба за НУБА</w:t>
            </w:r>
          </w:p>
        </w:tc>
        <w:tc>
          <w:tcPr>
            <w:tcW w:w="3827" w:type="dxa"/>
            <w:tcBorders>
              <w:top w:val="nil"/>
              <w:left w:val="nil"/>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rPr>
                <w:rFonts w:ascii="Times New Roman" w:eastAsia="Times New Roman" w:hAnsi="Times New Roman" w:cs="Times New Roman"/>
                <w:color w:val="000000"/>
                <w:sz w:val="24"/>
                <w:szCs w:val="24"/>
                <w:lang w:val="bg-BG" w:eastAsia="bg-BG"/>
              </w:rPr>
            </w:pPr>
            <w:r w:rsidRPr="00B053E1">
              <w:rPr>
                <w:rFonts w:ascii="Times New Roman" w:eastAsia="Times New Roman" w:hAnsi="Times New Roman" w:cs="Times New Roman"/>
                <w:color w:val="000000"/>
                <w:sz w:val="24"/>
                <w:szCs w:val="24"/>
                <w:lang w:val="bg-BG" w:eastAsia="bg-BG"/>
              </w:rPr>
              <w:t>мерки за събиране на портативни НУБА от домакинствата, административните, социалните и обществените сгради, търговските обекти и обектите за отдих, забавления и туризъм и план, посочващ сроковете за обхващане на жителите, които ще бъдат обслужвани от системи за организирано разделно събиране на НУБА, по години в съответствие с целите по чл. 17 в сроковете по § 3 от преходните и заключителните разпоредби;</w:t>
            </w:r>
          </w:p>
        </w:tc>
        <w:tc>
          <w:tcPr>
            <w:tcW w:w="9639" w:type="dxa"/>
            <w:tcBorders>
              <w:top w:val="nil"/>
              <w:left w:val="nil"/>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rPr>
                <w:rFonts w:ascii="Times New Roman" w:eastAsia="Times New Roman" w:hAnsi="Times New Roman" w:cs="Times New Roman"/>
                <w:color w:val="000000"/>
                <w:sz w:val="24"/>
                <w:szCs w:val="24"/>
                <w:lang w:val="bg-BG" w:eastAsia="bg-BG"/>
              </w:rPr>
            </w:pPr>
            <w:r w:rsidRPr="00B053E1">
              <w:rPr>
                <w:rFonts w:ascii="Times New Roman" w:eastAsia="Times New Roman" w:hAnsi="Times New Roman" w:cs="Times New Roman"/>
                <w:color w:val="000000"/>
                <w:sz w:val="24"/>
                <w:szCs w:val="24"/>
                <w:lang w:val="bg-BG" w:eastAsia="bg-BG"/>
              </w:rPr>
              <w:t xml:space="preserve">Програмата трябва да предвижда изграждане и поддържане на достъпна национална мрежа за разделно събиране на портативни НУБА от домакинства, обществени и административни сгради, учебни заведения, търговски обекти и туристически обекти. Следва да бъдат определени срокове за разширяване на системата по години, конкретен брой точки за събиране и прогнозен брой обслужвани жители. </w:t>
            </w:r>
            <w:r w:rsidRPr="00B053E1">
              <w:rPr>
                <w:rFonts w:ascii="Times New Roman" w:eastAsia="Times New Roman" w:hAnsi="Times New Roman" w:cs="Times New Roman"/>
                <w:color w:val="000000"/>
                <w:sz w:val="24"/>
                <w:szCs w:val="24"/>
                <w:lang w:val="bg-BG" w:eastAsia="bg-BG"/>
              </w:rPr>
              <w:br/>
              <w:t xml:space="preserve">Необходимо е да се гарантира изпълнение на нормативните изисквания за достъпност и териториално покритие, като се съобразят изискванията на т.12 за </w:t>
            </w:r>
            <w:proofErr w:type="spellStart"/>
            <w:r w:rsidRPr="00B053E1">
              <w:rPr>
                <w:rFonts w:ascii="Times New Roman" w:eastAsia="Times New Roman" w:hAnsi="Times New Roman" w:cs="Times New Roman"/>
                <w:color w:val="000000"/>
                <w:sz w:val="24"/>
                <w:szCs w:val="24"/>
                <w:lang w:val="bg-BG" w:eastAsia="bg-BG"/>
              </w:rPr>
              <w:t>ООп</w:t>
            </w:r>
            <w:proofErr w:type="spellEnd"/>
            <w:r w:rsidRPr="00B053E1">
              <w:rPr>
                <w:rFonts w:ascii="Times New Roman" w:eastAsia="Times New Roman" w:hAnsi="Times New Roman" w:cs="Times New Roman"/>
                <w:color w:val="000000"/>
                <w:sz w:val="24"/>
                <w:szCs w:val="24"/>
                <w:lang w:val="bg-BG" w:eastAsia="bg-BG"/>
              </w:rPr>
              <w:t xml:space="preserve"> и реципрочната т. 11 за индивидуали</w:t>
            </w:r>
            <w:r>
              <w:rPr>
                <w:rFonts w:ascii="Times New Roman" w:eastAsia="Times New Roman" w:hAnsi="Times New Roman" w:cs="Times New Roman"/>
                <w:color w:val="000000"/>
                <w:sz w:val="24"/>
                <w:szCs w:val="24"/>
                <w:lang w:val="bg-BG" w:eastAsia="bg-BG"/>
              </w:rPr>
              <w:t>с</w:t>
            </w:r>
            <w:r w:rsidRPr="00B053E1">
              <w:rPr>
                <w:rFonts w:ascii="Times New Roman" w:eastAsia="Times New Roman" w:hAnsi="Times New Roman" w:cs="Times New Roman"/>
                <w:color w:val="000000"/>
                <w:sz w:val="24"/>
                <w:szCs w:val="24"/>
                <w:lang w:val="bg-BG" w:eastAsia="bg-BG"/>
              </w:rPr>
              <w:t>т;</w:t>
            </w:r>
            <w:r w:rsidRPr="00B053E1">
              <w:rPr>
                <w:rFonts w:ascii="Times New Roman" w:eastAsia="Times New Roman" w:hAnsi="Times New Roman" w:cs="Times New Roman"/>
                <w:color w:val="000000"/>
                <w:sz w:val="24"/>
                <w:szCs w:val="24"/>
                <w:lang w:val="bg-BG" w:eastAsia="bg-BG"/>
              </w:rPr>
              <w:br/>
              <w:t>Предвидени информационни кампании към домакинствата за разделно събиране на портативни НУБА.</w:t>
            </w:r>
          </w:p>
        </w:tc>
      </w:tr>
      <w:tr w:rsidR="00B053E1" w:rsidRPr="00B053E1" w:rsidTr="00B053E1">
        <w:trPr>
          <w:trHeight w:val="3079"/>
        </w:trPr>
        <w:tc>
          <w:tcPr>
            <w:tcW w:w="382" w:type="dxa"/>
            <w:tcBorders>
              <w:top w:val="nil"/>
              <w:left w:val="single" w:sz="8" w:space="0" w:color="auto"/>
              <w:bottom w:val="nil"/>
              <w:right w:val="single" w:sz="8" w:space="0" w:color="auto"/>
            </w:tcBorders>
            <w:shd w:val="clear" w:color="auto" w:fill="auto"/>
            <w:noWrap/>
            <w:vAlign w:val="center"/>
            <w:hideMark/>
          </w:tcPr>
          <w:p w:rsidR="00B053E1" w:rsidRPr="00B053E1" w:rsidRDefault="00B053E1" w:rsidP="00B053E1">
            <w:pPr>
              <w:spacing w:after="0" w:line="240" w:lineRule="auto"/>
              <w:jc w:val="center"/>
              <w:rPr>
                <w:rFonts w:ascii="Times New Roman" w:eastAsia="Times New Roman" w:hAnsi="Times New Roman" w:cs="Times New Roman"/>
                <w:b/>
                <w:bCs/>
                <w:color w:val="000000"/>
                <w:sz w:val="24"/>
                <w:szCs w:val="24"/>
                <w:lang w:val="bg-BG" w:eastAsia="bg-BG"/>
              </w:rPr>
            </w:pPr>
            <w:r w:rsidRPr="00B053E1">
              <w:rPr>
                <w:rFonts w:ascii="Times New Roman" w:eastAsia="Times New Roman" w:hAnsi="Times New Roman" w:cs="Times New Roman"/>
                <w:b/>
                <w:bCs/>
                <w:color w:val="000000"/>
                <w:sz w:val="24"/>
                <w:szCs w:val="24"/>
                <w:lang w:val="bg-BG" w:eastAsia="bg-BG"/>
              </w:rPr>
              <w:lastRenderedPageBreak/>
              <w:t>10</w:t>
            </w:r>
          </w:p>
        </w:tc>
        <w:tc>
          <w:tcPr>
            <w:tcW w:w="2160" w:type="dxa"/>
            <w:tcBorders>
              <w:top w:val="nil"/>
              <w:left w:val="nil"/>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jc w:val="center"/>
              <w:rPr>
                <w:rFonts w:ascii="Times New Roman" w:eastAsia="Times New Roman" w:hAnsi="Times New Roman" w:cs="Times New Roman"/>
                <w:b/>
                <w:bCs/>
                <w:color w:val="000000"/>
                <w:sz w:val="24"/>
                <w:szCs w:val="24"/>
                <w:lang w:val="bg-BG" w:eastAsia="bg-BG"/>
              </w:rPr>
            </w:pPr>
            <w:r w:rsidRPr="00B053E1">
              <w:rPr>
                <w:rFonts w:ascii="Times New Roman" w:eastAsia="Times New Roman" w:hAnsi="Times New Roman" w:cs="Times New Roman"/>
                <w:b/>
                <w:bCs/>
                <w:color w:val="000000"/>
                <w:sz w:val="24"/>
                <w:szCs w:val="24"/>
                <w:lang w:val="bg-BG" w:eastAsia="bg-BG"/>
              </w:rPr>
              <w:t xml:space="preserve">чл. 22, ал. 1, т.10 </w:t>
            </w:r>
            <w:r w:rsidRPr="00B053E1">
              <w:rPr>
                <w:rFonts w:ascii="Times New Roman" w:eastAsia="Times New Roman" w:hAnsi="Times New Roman" w:cs="Times New Roman"/>
                <w:b/>
                <w:bCs/>
                <w:color w:val="000000"/>
                <w:sz w:val="24"/>
                <w:szCs w:val="24"/>
                <w:lang w:val="bg-BG" w:eastAsia="bg-BG"/>
              </w:rPr>
              <w:br/>
              <w:t>и</w:t>
            </w:r>
            <w:r w:rsidRPr="00B053E1">
              <w:rPr>
                <w:rFonts w:ascii="Times New Roman" w:eastAsia="Times New Roman" w:hAnsi="Times New Roman" w:cs="Times New Roman"/>
                <w:b/>
                <w:bCs/>
                <w:color w:val="000000"/>
                <w:sz w:val="24"/>
                <w:szCs w:val="24"/>
                <w:lang w:val="bg-BG" w:eastAsia="bg-BG"/>
              </w:rPr>
              <w:br/>
              <w:t>чл. 26, ал. 1, т.10</w:t>
            </w:r>
            <w:r w:rsidRPr="00B053E1">
              <w:rPr>
                <w:rFonts w:ascii="Times New Roman" w:eastAsia="Times New Roman" w:hAnsi="Times New Roman" w:cs="Times New Roman"/>
                <w:b/>
                <w:bCs/>
                <w:color w:val="000000"/>
                <w:sz w:val="24"/>
                <w:szCs w:val="24"/>
                <w:lang w:val="bg-BG" w:eastAsia="bg-BG"/>
              </w:rPr>
              <w:br/>
              <w:t>Наредба за НУБА</w:t>
            </w:r>
          </w:p>
        </w:tc>
        <w:tc>
          <w:tcPr>
            <w:tcW w:w="3827" w:type="dxa"/>
            <w:tcBorders>
              <w:top w:val="nil"/>
              <w:left w:val="nil"/>
              <w:bottom w:val="nil"/>
              <w:right w:val="single" w:sz="8" w:space="0" w:color="auto"/>
            </w:tcBorders>
            <w:shd w:val="clear" w:color="000000" w:fill="FFFFFF"/>
            <w:vAlign w:val="center"/>
            <w:hideMark/>
          </w:tcPr>
          <w:p w:rsidR="00B053E1" w:rsidRPr="00B053E1" w:rsidRDefault="00B053E1" w:rsidP="00B053E1">
            <w:pPr>
              <w:spacing w:after="0" w:line="240" w:lineRule="auto"/>
              <w:rPr>
                <w:rFonts w:ascii="Times New Roman" w:eastAsia="Times New Roman" w:hAnsi="Times New Roman" w:cs="Times New Roman"/>
                <w:color w:val="000000"/>
                <w:sz w:val="24"/>
                <w:szCs w:val="24"/>
                <w:lang w:val="bg-BG" w:eastAsia="bg-BG"/>
              </w:rPr>
            </w:pPr>
            <w:r w:rsidRPr="00B053E1">
              <w:rPr>
                <w:rFonts w:ascii="Times New Roman" w:eastAsia="Times New Roman" w:hAnsi="Times New Roman" w:cs="Times New Roman"/>
                <w:color w:val="000000"/>
                <w:sz w:val="24"/>
                <w:szCs w:val="24"/>
                <w:lang w:val="bg-BG" w:eastAsia="bg-BG"/>
              </w:rPr>
              <w:t>мерки за компенсиране на евентуални негативни влияния върху пазарната цена на рециклираните материали</w:t>
            </w:r>
          </w:p>
        </w:tc>
        <w:tc>
          <w:tcPr>
            <w:tcW w:w="9639" w:type="dxa"/>
            <w:tcBorders>
              <w:top w:val="nil"/>
              <w:left w:val="nil"/>
              <w:bottom w:val="nil"/>
              <w:right w:val="single" w:sz="8" w:space="0" w:color="auto"/>
            </w:tcBorders>
            <w:shd w:val="clear" w:color="000000" w:fill="FFFFFF"/>
            <w:vAlign w:val="center"/>
            <w:hideMark/>
          </w:tcPr>
          <w:p w:rsidR="00B053E1" w:rsidRPr="00B053E1" w:rsidRDefault="00B053E1" w:rsidP="00B053E1">
            <w:pPr>
              <w:spacing w:after="0" w:line="240" w:lineRule="auto"/>
              <w:rPr>
                <w:rFonts w:ascii="Times New Roman" w:eastAsia="Times New Roman" w:hAnsi="Times New Roman" w:cs="Times New Roman"/>
                <w:color w:val="000000"/>
                <w:sz w:val="24"/>
                <w:szCs w:val="24"/>
                <w:lang w:val="bg-BG" w:eastAsia="bg-BG"/>
              </w:rPr>
            </w:pPr>
            <w:r w:rsidRPr="00B053E1">
              <w:rPr>
                <w:rFonts w:ascii="Times New Roman" w:eastAsia="Times New Roman" w:hAnsi="Times New Roman" w:cs="Times New Roman"/>
                <w:color w:val="000000"/>
                <w:sz w:val="24"/>
                <w:szCs w:val="24"/>
                <w:lang w:val="bg-BG" w:eastAsia="bg-BG"/>
              </w:rPr>
              <w:t xml:space="preserve">Програмата трябва да съдържа механизми за ограничаване на риска от неблагоприятни пазарни промени, а именно: </w:t>
            </w:r>
            <w:r w:rsidRPr="00B053E1">
              <w:rPr>
                <w:rFonts w:ascii="Times New Roman" w:eastAsia="Times New Roman" w:hAnsi="Times New Roman" w:cs="Times New Roman"/>
                <w:color w:val="000000"/>
                <w:sz w:val="24"/>
                <w:szCs w:val="24"/>
                <w:lang w:val="bg-BG" w:eastAsia="bg-BG"/>
              </w:rPr>
              <w:br/>
              <w:t>- поддържане на финансови резерви;</w:t>
            </w:r>
            <w:r w:rsidRPr="00B053E1">
              <w:rPr>
                <w:rFonts w:ascii="Times New Roman" w:eastAsia="Times New Roman" w:hAnsi="Times New Roman" w:cs="Times New Roman"/>
                <w:color w:val="000000"/>
                <w:sz w:val="24"/>
                <w:szCs w:val="24"/>
                <w:lang w:val="bg-BG" w:eastAsia="bg-BG"/>
              </w:rPr>
              <w:br/>
              <w:t>- сключване на дългосрочни договори с рециклиращи предприятия;</w:t>
            </w:r>
            <w:r w:rsidRPr="00B053E1">
              <w:rPr>
                <w:rFonts w:ascii="Times New Roman" w:eastAsia="Times New Roman" w:hAnsi="Times New Roman" w:cs="Times New Roman"/>
                <w:color w:val="000000"/>
                <w:sz w:val="24"/>
                <w:szCs w:val="24"/>
                <w:lang w:val="bg-BG" w:eastAsia="bg-BG"/>
              </w:rPr>
              <w:br/>
              <w:t>- използване на алтернативни площадки за събиране и третиране на НУБА при временно преустановяване на дейността на основните изпълнители;</w:t>
            </w:r>
            <w:r w:rsidRPr="00B053E1">
              <w:rPr>
                <w:rFonts w:ascii="Times New Roman" w:eastAsia="Times New Roman" w:hAnsi="Times New Roman" w:cs="Times New Roman"/>
                <w:color w:val="000000"/>
                <w:sz w:val="24"/>
                <w:szCs w:val="24"/>
                <w:lang w:val="bg-BG" w:eastAsia="bg-BG"/>
              </w:rPr>
              <w:br/>
              <w:t>- диверсификация на партньорите;</w:t>
            </w:r>
            <w:r w:rsidRPr="00B053E1">
              <w:rPr>
                <w:rFonts w:ascii="Times New Roman" w:eastAsia="Times New Roman" w:hAnsi="Times New Roman" w:cs="Times New Roman"/>
                <w:color w:val="000000"/>
                <w:sz w:val="24"/>
                <w:szCs w:val="24"/>
                <w:lang w:val="bg-BG" w:eastAsia="bg-BG"/>
              </w:rPr>
              <w:br/>
              <w:t>- планиране на буферни средства за покриване на повишени разходи.</w:t>
            </w:r>
            <w:r w:rsidRPr="00B053E1">
              <w:rPr>
                <w:rFonts w:ascii="Times New Roman" w:eastAsia="Times New Roman" w:hAnsi="Times New Roman" w:cs="Times New Roman"/>
                <w:color w:val="000000"/>
                <w:sz w:val="24"/>
                <w:szCs w:val="24"/>
                <w:lang w:val="bg-BG" w:eastAsia="bg-BG"/>
              </w:rPr>
              <w:br/>
              <w:t>Следва да бъде доказано, че постигането на нормативните цели няма да бъде застрашено при временни спадове в стойността на вторичните суровини.</w:t>
            </w:r>
          </w:p>
        </w:tc>
      </w:tr>
      <w:tr w:rsidR="00B053E1" w:rsidRPr="00B053E1" w:rsidTr="00B053E1">
        <w:trPr>
          <w:trHeight w:val="2091"/>
        </w:trPr>
        <w:tc>
          <w:tcPr>
            <w:tcW w:w="38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053E1" w:rsidRPr="00B053E1" w:rsidRDefault="00B053E1" w:rsidP="00B053E1">
            <w:pPr>
              <w:spacing w:after="0" w:line="240" w:lineRule="auto"/>
              <w:jc w:val="center"/>
              <w:rPr>
                <w:rFonts w:ascii="Times New Roman" w:eastAsia="Times New Roman" w:hAnsi="Times New Roman" w:cs="Times New Roman"/>
                <w:b/>
                <w:bCs/>
                <w:color w:val="000000"/>
                <w:sz w:val="24"/>
                <w:szCs w:val="24"/>
                <w:lang w:val="bg-BG" w:eastAsia="bg-BG"/>
              </w:rPr>
            </w:pPr>
            <w:r w:rsidRPr="00B053E1">
              <w:rPr>
                <w:rFonts w:ascii="Times New Roman" w:eastAsia="Times New Roman" w:hAnsi="Times New Roman" w:cs="Times New Roman"/>
                <w:b/>
                <w:bCs/>
                <w:color w:val="000000"/>
                <w:sz w:val="24"/>
                <w:szCs w:val="24"/>
                <w:lang w:val="bg-BG" w:eastAsia="bg-BG"/>
              </w:rPr>
              <w:t>11</w:t>
            </w:r>
          </w:p>
        </w:tc>
        <w:tc>
          <w:tcPr>
            <w:tcW w:w="2160" w:type="dxa"/>
            <w:tcBorders>
              <w:top w:val="nil"/>
              <w:left w:val="nil"/>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jc w:val="center"/>
              <w:rPr>
                <w:rFonts w:ascii="Times New Roman" w:eastAsia="Times New Roman" w:hAnsi="Times New Roman" w:cs="Times New Roman"/>
                <w:b/>
                <w:bCs/>
                <w:color w:val="000000"/>
                <w:sz w:val="24"/>
                <w:szCs w:val="24"/>
                <w:lang w:val="bg-BG" w:eastAsia="bg-BG"/>
              </w:rPr>
            </w:pPr>
            <w:r w:rsidRPr="00B053E1">
              <w:rPr>
                <w:rFonts w:ascii="Times New Roman" w:eastAsia="Times New Roman" w:hAnsi="Times New Roman" w:cs="Times New Roman"/>
                <w:b/>
                <w:bCs/>
                <w:color w:val="000000"/>
                <w:sz w:val="24"/>
                <w:szCs w:val="24"/>
                <w:lang w:val="bg-BG" w:eastAsia="bg-BG"/>
              </w:rPr>
              <w:t>чл. 22, ал. 1, т.11</w:t>
            </w:r>
            <w:r w:rsidRPr="00B053E1">
              <w:rPr>
                <w:rFonts w:ascii="Times New Roman" w:eastAsia="Times New Roman" w:hAnsi="Times New Roman" w:cs="Times New Roman"/>
                <w:b/>
                <w:bCs/>
                <w:color w:val="000000"/>
                <w:sz w:val="24"/>
                <w:szCs w:val="24"/>
                <w:lang w:val="bg-BG" w:eastAsia="bg-BG"/>
              </w:rPr>
              <w:br/>
              <w:t>и</w:t>
            </w:r>
            <w:r w:rsidRPr="00B053E1">
              <w:rPr>
                <w:rFonts w:ascii="Times New Roman" w:eastAsia="Times New Roman" w:hAnsi="Times New Roman" w:cs="Times New Roman"/>
                <w:b/>
                <w:bCs/>
                <w:color w:val="000000"/>
                <w:sz w:val="24"/>
                <w:szCs w:val="24"/>
                <w:lang w:val="bg-BG" w:eastAsia="bg-BG"/>
              </w:rPr>
              <w:br/>
              <w:t>чл. 26, ал. 1, т.1 Наредба за НУБА</w:t>
            </w:r>
          </w:p>
        </w:tc>
        <w:tc>
          <w:tcPr>
            <w:tcW w:w="3827" w:type="dxa"/>
            <w:tcBorders>
              <w:top w:val="single" w:sz="8" w:space="0" w:color="auto"/>
              <w:left w:val="nil"/>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rPr>
                <w:rFonts w:ascii="Times New Roman" w:eastAsia="Times New Roman" w:hAnsi="Times New Roman" w:cs="Times New Roman"/>
                <w:color w:val="000000"/>
                <w:sz w:val="24"/>
                <w:szCs w:val="24"/>
                <w:lang w:val="bg-BG" w:eastAsia="bg-BG"/>
              </w:rPr>
            </w:pPr>
            <w:r w:rsidRPr="00B053E1">
              <w:rPr>
                <w:rFonts w:ascii="Times New Roman" w:eastAsia="Times New Roman" w:hAnsi="Times New Roman" w:cs="Times New Roman"/>
                <w:color w:val="000000"/>
                <w:sz w:val="24"/>
                <w:szCs w:val="24"/>
                <w:lang w:val="bg-BG" w:eastAsia="bg-BG"/>
              </w:rPr>
              <w:t>мерки за намаляване съдържанието на тежки метали, вложени в производството на батерии и акумулатори, разработени от производителите</w:t>
            </w:r>
          </w:p>
        </w:tc>
        <w:tc>
          <w:tcPr>
            <w:tcW w:w="9639" w:type="dxa"/>
            <w:tcBorders>
              <w:top w:val="single" w:sz="8" w:space="0" w:color="auto"/>
              <w:left w:val="nil"/>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rPr>
                <w:rFonts w:ascii="Times New Roman" w:eastAsia="Times New Roman" w:hAnsi="Times New Roman" w:cs="Times New Roman"/>
                <w:color w:val="000000"/>
                <w:sz w:val="24"/>
                <w:szCs w:val="24"/>
                <w:lang w:val="bg-BG" w:eastAsia="bg-BG"/>
              </w:rPr>
            </w:pPr>
            <w:r w:rsidRPr="00B053E1">
              <w:rPr>
                <w:rFonts w:ascii="Times New Roman" w:eastAsia="Times New Roman" w:hAnsi="Times New Roman" w:cs="Times New Roman"/>
                <w:color w:val="000000"/>
                <w:sz w:val="24"/>
                <w:szCs w:val="24"/>
                <w:lang w:val="bg-BG" w:eastAsia="bg-BG"/>
              </w:rPr>
              <w:t xml:space="preserve">Програмата следва да включва мерки за сътрудничество с производителите и вносителите за ограничаване употребата на опасни вещества и тежки метали при производството на батерии и акумулатори. </w:t>
            </w:r>
            <w:r w:rsidRPr="00B053E1">
              <w:rPr>
                <w:rFonts w:ascii="Times New Roman" w:eastAsia="Times New Roman" w:hAnsi="Times New Roman" w:cs="Times New Roman"/>
                <w:color w:val="000000"/>
                <w:sz w:val="24"/>
                <w:szCs w:val="24"/>
                <w:lang w:val="bg-BG" w:eastAsia="bg-BG"/>
              </w:rPr>
              <w:br/>
              <w:t xml:space="preserve">Следва да бъдат предвидени дейности по обмен на информация, проследяване на продуктовите характеристики, насърчаване на </w:t>
            </w:r>
            <w:proofErr w:type="spellStart"/>
            <w:r w:rsidRPr="00B053E1">
              <w:rPr>
                <w:rFonts w:ascii="Times New Roman" w:eastAsia="Times New Roman" w:hAnsi="Times New Roman" w:cs="Times New Roman"/>
                <w:color w:val="000000"/>
                <w:sz w:val="24"/>
                <w:szCs w:val="24"/>
                <w:lang w:val="bg-BG" w:eastAsia="bg-BG"/>
              </w:rPr>
              <w:t>екодизайна</w:t>
            </w:r>
            <w:proofErr w:type="spellEnd"/>
            <w:r w:rsidRPr="00B053E1">
              <w:rPr>
                <w:rFonts w:ascii="Times New Roman" w:eastAsia="Times New Roman" w:hAnsi="Times New Roman" w:cs="Times New Roman"/>
                <w:color w:val="000000"/>
                <w:sz w:val="24"/>
                <w:szCs w:val="24"/>
                <w:lang w:val="bg-BG" w:eastAsia="bg-BG"/>
              </w:rPr>
              <w:t xml:space="preserve"> и използването на алтернативни материали с по-ниско въздействие върху околната среда.</w:t>
            </w:r>
          </w:p>
        </w:tc>
      </w:tr>
      <w:tr w:rsidR="00B053E1" w:rsidRPr="00B053E1" w:rsidTr="00B053E1">
        <w:trPr>
          <w:trHeight w:val="2976"/>
        </w:trPr>
        <w:tc>
          <w:tcPr>
            <w:tcW w:w="382" w:type="dxa"/>
            <w:tcBorders>
              <w:top w:val="nil"/>
              <w:left w:val="single" w:sz="8" w:space="0" w:color="auto"/>
              <w:bottom w:val="single" w:sz="8" w:space="0" w:color="auto"/>
              <w:right w:val="single" w:sz="8" w:space="0" w:color="auto"/>
            </w:tcBorders>
            <w:shd w:val="clear" w:color="auto" w:fill="auto"/>
            <w:noWrap/>
            <w:vAlign w:val="center"/>
            <w:hideMark/>
          </w:tcPr>
          <w:p w:rsidR="00B053E1" w:rsidRPr="00B053E1" w:rsidRDefault="00B053E1" w:rsidP="00B053E1">
            <w:pPr>
              <w:spacing w:after="0" w:line="240" w:lineRule="auto"/>
              <w:jc w:val="center"/>
              <w:rPr>
                <w:rFonts w:ascii="Times New Roman" w:eastAsia="Times New Roman" w:hAnsi="Times New Roman" w:cs="Times New Roman"/>
                <w:b/>
                <w:bCs/>
                <w:color w:val="000000"/>
                <w:sz w:val="24"/>
                <w:szCs w:val="24"/>
                <w:lang w:val="bg-BG" w:eastAsia="bg-BG"/>
              </w:rPr>
            </w:pPr>
            <w:r w:rsidRPr="00B053E1">
              <w:rPr>
                <w:rFonts w:ascii="Times New Roman" w:eastAsia="Times New Roman" w:hAnsi="Times New Roman" w:cs="Times New Roman"/>
                <w:b/>
                <w:bCs/>
                <w:color w:val="000000"/>
                <w:sz w:val="24"/>
                <w:szCs w:val="24"/>
                <w:lang w:val="bg-BG" w:eastAsia="bg-BG"/>
              </w:rPr>
              <w:t>12</w:t>
            </w:r>
          </w:p>
        </w:tc>
        <w:tc>
          <w:tcPr>
            <w:tcW w:w="2160" w:type="dxa"/>
            <w:tcBorders>
              <w:top w:val="nil"/>
              <w:left w:val="nil"/>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jc w:val="center"/>
              <w:rPr>
                <w:rFonts w:ascii="Times New Roman" w:eastAsia="Times New Roman" w:hAnsi="Times New Roman" w:cs="Times New Roman"/>
                <w:b/>
                <w:bCs/>
                <w:color w:val="000000"/>
                <w:sz w:val="24"/>
                <w:szCs w:val="24"/>
                <w:lang w:val="bg-BG" w:eastAsia="bg-BG"/>
              </w:rPr>
            </w:pPr>
            <w:r w:rsidRPr="00B053E1">
              <w:rPr>
                <w:rFonts w:ascii="Times New Roman" w:eastAsia="Times New Roman" w:hAnsi="Times New Roman" w:cs="Times New Roman"/>
                <w:b/>
                <w:bCs/>
                <w:color w:val="000000"/>
                <w:sz w:val="24"/>
                <w:szCs w:val="24"/>
                <w:lang w:val="bg-BG" w:eastAsia="bg-BG"/>
              </w:rPr>
              <w:t>чл. 22, ал. 1, т.12</w:t>
            </w:r>
            <w:r w:rsidRPr="00B053E1">
              <w:rPr>
                <w:rFonts w:ascii="Times New Roman" w:eastAsia="Times New Roman" w:hAnsi="Times New Roman" w:cs="Times New Roman"/>
                <w:b/>
                <w:bCs/>
                <w:color w:val="000000"/>
                <w:sz w:val="24"/>
                <w:szCs w:val="24"/>
                <w:lang w:val="bg-BG" w:eastAsia="bg-BG"/>
              </w:rPr>
              <w:br/>
              <w:t>и</w:t>
            </w:r>
            <w:r w:rsidRPr="00B053E1">
              <w:rPr>
                <w:rFonts w:ascii="Times New Roman" w:eastAsia="Times New Roman" w:hAnsi="Times New Roman" w:cs="Times New Roman"/>
                <w:b/>
                <w:bCs/>
                <w:color w:val="000000"/>
                <w:sz w:val="24"/>
                <w:szCs w:val="24"/>
                <w:lang w:val="bg-BG" w:eastAsia="bg-BG"/>
              </w:rPr>
              <w:br/>
              <w:t>чл. 26, ал. 1, т.11</w:t>
            </w:r>
            <w:r w:rsidRPr="00B053E1">
              <w:rPr>
                <w:rFonts w:ascii="Times New Roman" w:eastAsia="Times New Roman" w:hAnsi="Times New Roman" w:cs="Times New Roman"/>
                <w:b/>
                <w:bCs/>
                <w:color w:val="000000"/>
                <w:sz w:val="24"/>
                <w:szCs w:val="24"/>
                <w:lang w:val="bg-BG" w:eastAsia="bg-BG"/>
              </w:rPr>
              <w:br/>
              <w:t xml:space="preserve"> Наредба за НУБА</w:t>
            </w:r>
          </w:p>
        </w:tc>
        <w:tc>
          <w:tcPr>
            <w:tcW w:w="3827" w:type="dxa"/>
            <w:tcBorders>
              <w:top w:val="nil"/>
              <w:left w:val="nil"/>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rPr>
                <w:rFonts w:ascii="Times New Roman" w:eastAsia="Times New Roman" w:hAnsi="Times New Roman" w:cs="Times New Roman"/>
                <w:color w:val="000000"/>
                <w:sz w:val="24"/>
                <w:szCs w:val="24"/>
                <w:lang w:val="bg-BG" w:eastAsia="bg-BG"/>
              </w:rPr>
            </w:pPr>
            <w:r w:rsidRPr="00B053E1">
              <w:rPr>
                <w:rFonts w:ascii="Times New Roman" w:eastAsia="Times New Roman" w:hAnsi="Times New Roman" w:cs="Times New Roman"/>
                <w:color w:val="000000"/>
                <w:sz w:val="24"/>
                <w:szCs w:val="24"/>
                <w:lang w:val="bg-BG" w:eastAsia="bg-BG"/>
              </w:rPr>
              <w:t>ясно дефиниран обхват на дейността на организацията от географска гледна точка и от гледна точка на продуктите и материалите, като гарантира, че посочените области (географски и продуктови) не се ограничават до тези, в които събирането и управлението на НУБА е най-рентабилно, като осигурява подходяща наличност на системите за събиране на НУБА.</w:t>
            </w:r>
          </w:p>
        </w:tc>
        <w:tc>
          <w:tcPr>
            <w:tcW w:w="9639" w:type="dxa"/>
            <w:tcBorders>
              <w:top w:val="nil"/>
              <w:left w:val="nil"/>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rPr>
                <w:rFonts w:ascii="Times New Roman" w:eastAsia="Times New Roman" w:hAnsi="Times New Roman" w:cs="Times New Roman"/>
                <w:color w:val="000000"/>
                <w:sz w:val="24"/>
                <w:szCs w:val="24"/>
                <w:lang w:val="bg-BG" w:eastAsia="bg-BG"/>
              </w:rPr>
            </w:pPr>
            <w:r w:rsidRPr="00B053E1">
              <w:rPr>
                <w:rFonts w:ascii="Times New Roman" w:eastAsia="Times New Roman" w:hAnsi="Times New Roman" w:cs="Times New Roman"/>
                <w:color w:val="000000"/>
                <w:sz w:val="24"/>
                <w:szCs w:val="24"/>
                <w:lang w:val="bg-BG" w:eastAsia="bg-BG"/>
              </w:rPr>
              <w:t xml:space="preserve">Програмата трябва ясно да дефинира географския (текстово описание на териториалният обхват) и продуктовия обхват на системата за управление на НУБА. </w:t>
            </w:r>
            <w:r w:rsidRPr="00B053E1">
              <w:rPr>
                <w:rFonts w:ascii="Times New Roman" w:eastAsia="Times New Roman" w:hAnsi="Times New Roman" w:cs="Times New Roman"/>
                <w:color w:val="000000"/>
                <w:sz w:val="24"/>
                <w:szCs w:val="24"/>
                <w:lang w:val="bg-BG" w:eastAsia="bg-BG"/>
              </w:rPr>
              <w:br/>
              <w:t>Следва да бъдат посочени всички области и населени места, които ще бъдат обслужвани, както и видовете батерии и акумулатори, включени в системата.</w:t>
            </w:r>
            <w:r w:rsidRPr="00B053E1">
              <w:rPr>
                <w:rFonts w:ascii="Times New Roman" w:eastAsia="Times New Roman" w:hAnsi="Times New Roman" w:cs="Times New Roman"/>
                <w:color w:val="000000"/>
                <w:sz w:val="24"/>
                <w:szCs w:val="24"/>
                <w:lang w:val="bg-BG" w:eastAsia="bg-BG"/>
              </w:rPr>
              <w:br/>
              <w:t>Необходимо е да бъде доказано, че организацията ще осигурява равнопоставен достъп до услугите по събиране и няма да ограничава дейността си единствено до икономически изгодни райони или потоци отпадъци.</w:t>
            </w:r>
            <w:r w:rsidRPr="00B053E1">
              <w:rPr>
                <w:rFonts w:ascii="Times New Roman" w:eastAsia="Times New Roman" w:hAnsi="Times New Roman" w:cs="Times New Roman"/>
                <w:color w:val="000000"/>
                <w:sz w:val="24"/>
                <w:szCs w:val="24"/>
                <w:lang w:val="bg-BG" w:eastAsia="bg-BG"/>
              </w:rPr>
              <w:br/>
              <w:t>Осигурено покритие, което не е ограничено единствено до районите с най-висока икономическа ефективност - представени мерки за обхващане на населението извън големите населени места.</w:t>
            </w:r>
          </w:p>
        </w:tc>
      </w:tr>
      <w:tr w:rsidR="00B053E1" w:rsidRPr="00B053E1" w:rsidTr="00B053E1">
        <w:trPr>
          <w:trHeight w:val="3502"/>
        </w:trPr>
        <w:tc>
          <w:tcPr>
            <w:tcW w:w="382" w:type="dxa"/>
            <w:tcBorders>
              <w:top w:val="nil"/>
              <w:left w:val="single" w:sz="8" w:space="0" w:color="auto"/>
              <w:bottom w:val="single" w:sz="8" w:space="0" w:color="auto"/>
              <w:right w:val="single" w:sz="8" w:space="0" w:color="auto"/>
            </w:tcBorders>
            <w:shd w:val="clear" w:color="auto" w:fill="auto"/>
            <w:noWrap/>
            <w:vAlign w:val="center"/>
            <w:hideMark/>
          </w:tcPr>
          <w:p w:rsidR="00B053E1" w:rsidRPr="00B053E1" w:rsidRDefault="00B053E1" w:rsidP="00B053E1">
            <w:pPr>
              <w:spacing w:after="0" w:line="240" w:lineRule="auto"/>
              <w:jc w:val="center"/>
              <w:rPr>
                <w:rFonts w:ascii="Times New Roman" w:eastAsia="Times New Roman" w:hAnsi="Times New Roman" w:cs="Times New Roman"/>
                <w:b/>
                <w:bCs/>
                <w:color w:val="000000"/>
                <w:sz w:val="24"/>
                <w:szCs w:val="24"/>
                <w:lang w:val="bg-BG" w:eastAsia="bg-BG"/>
              </w:rPr>
            </w:pPr>
            <w:r w:rsidRPr="00B053E1">
              <w:rPr>
                <w:rFonts w:ascii="Times New Roman" w:eastAsia="Times New Roman" w:hAnsi="Times New Roman" w:cs="Times New Roman"/>
                <w:b/>
                <w:bCs/>
                <w:color w:val="000000"/>
                <w:sz w:val="24"/>
                <w:szCs w:val="24"/>
                <w:lang w:val="bg-BG" w:eastAsia="bg-BG"/>
              </w:rPr>
              <w:lastRenderedPageBreak/>
              <w:t>13</w:t>
            </w:r>
          </w:p>
        </w:tc>
        <w:tc>
          <w:tcPr>
            <w:tcW w:w="2160" w:type="dxa"/>
            <w:tcBorders>
              <w:top w:val="nil"/>
              <w:left w:val="nil"/>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jc w:val="center"/>
              <w:rPr>
                <w:rFonts w:ascii="Times New Roman" w:eastAsia="Times New Roman" w:hAnsi="Times New Roman" w:cs="Times New Roman"/>
                <w:b/>
                <w:bCs/>
                <w:color w:val="000000"/>
                <w:sz w:val="24"/>
                <w:szCs w:val="24"/>
                <w:lang w:val="bg-BG" w:eastAsia="bg-BG"/>
              </w:rPr>
            </w:pPr>
            <w:r w:rsidRPr="00B053E1">
              <w:rPr>
                <w:rFonts w:ascii="Times New Roman" w:eastAsia="Times New Roman" w:hAnsi="Times New Roman" w:cs="Times New Roman"/>
                <w:b/>
                <w:bCs/>
                <w:color w:val="000000"/>
                <w:sz w:val="24"/>
                <w:szCs w:val="24"/>
                <w:lang w:val="bg-BG" w:eastAsia="bg-BG"/>
              </w:rPr>
              <w:t>чл. 22, ал. 1, т.13 Наредба за НУБА</w:t>
            </w:r>
          </w:p>
        </w:tc>
        <w:tc>
          <w:tcPr>
            <w:tcW w:w="3827" w:type="dxa"/>
            <w:tcBorders>
              <w:top w:val="nil"/>
              <w:left w:val="nil"/>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rPr>
                <w:rFonts w:ascii="Times New Roman" w:eastAsia="Times New Roman" w:hAnsi="Times New Roman" w:cs="Times New Roman"/>
                <w:color w:val="000000"/>
                <w:sz w:val="24"/>
                <w:szCs w:val="24"/>
                <w:lang w:val="bg-BG" w:eastAsia="bg-BG"/>
              </w:rPr>
            </w:pPr>
            <w:r w:rsidRPr="00B053E1">
              <w:rPr>
                <w:rFonts w:ascii="Times New Roman" w:eastAsia="Times New Roman" w:hAnsi="Times New Roman" w:cs="Times New Roman"/>
                <w:color w:val="000000"/>
                <w:sz w:val="24"/>
                <w:szCs w:val="24"/>
                <w:lang w:val="bg-BG" w:eastAsia="bg-BG"/>
              </w:rPr>
              <w:t>възнаграждения по чл. 22а, модулирани по отношение на отделните продукти или групи от сходни продукти и отчитащи устойчивостта на продуктите, пригодността на рециклиране, както и наличието на опасни вещества в тях, като същевременно размерът на възнаграждението не надвишава разходите, необходими за предоставяне на услугите по управление на отпадъците по разходно-ефективен начин.</w:t>
            </w:r>
          </w:p>
        </w:tc>
        <w:tc>
          <w:tcPr>
            <w:tcW w:w="9639" w:type="dxa"/>
            <w:tcBorders>
              <w:top w:val="nil"/>
              <w:left w:val="nil"/>
              <w:bottom w:val="single" w:sz="8" w:space="0" w:color="auto"/>
              <w:right w:val="single" w:sz="8" w:space="0" w:color="auto"/>
            </w:tcBorders>
            <w:shd w:val="clear" w:color="auto" w:fill="auto"/>
            <w:vAlign w:val="center"/>
            <w:hideMark/>
          </w:tcPr>
          <w:p w:rsidR="00B053E1" w:rsidRPr="00B053E1" w:rsidRDefault="00B053E1" w:rsidP="00B053E1">
            <w:pPr>
              <w:spacing w:after="0" w:line="240" w:lineRule="auto"/>
              <w:rPr>
                <w:rFonts w:ascii="Times New Roman" w:eastAsia="Times New Roman" w:hAnsi="Times New Roman" w:cs="Times New Roman"/>
                <w:color w:val="000000"/>
                <w:sz w:val="24"/>
                <w:szCs w:val="24"/>
                <w:lang w:val="bg-BG" w:eastAsia="bg-BG"/>
              </w:rPr>
            </w:pPr>
            <w:r w:rsidRPr="00B053E1">
              <w:rPr>
                <w:rFonts w:ascii="Times New Roman" w:eastAsia="Times New Roman" w:hAnsi="Times New Roman" w:cs="Times New Roman"/>
                <w:color w:val="000000"/>
                <w:sz w:val="24"/>
                <w:szCs w:val="24"/>
                <w:lang w:val="bg-BG" w:eastAsia="bg-BG"/>
              </w:rPr>
              <w:t>Програмата трябва да съдържа подробна методика за определяне на възнагражденията, дължими от членовете на организацията, основана на принципа на разширената отговорност на производителя.</w:t>
            </w:r>
            <w:r w:rsidRPr="00B053E1">
              <w:rPr>
                <w:rFonts w:ascii="Times New Roman" w:eastAsia="Times New Roman" w:hAnsi="Times New Roman" w:cs="Times New Roman"/>
                <w:color w:val="000000"/>
                <w:sz w:val="24"/>
                <w:szCs w:val="24"/>
                <w:lang w:val="bg-BG" w:eastAsia="bg-BG"/>
              </w:rPr>
              <w:br/>
              <w:t>Методиката следва да отчита устойчивостта на продуктите, възможностите за повторна употреба, ремонт и рециклиране, съдържанието на опасни вещества и очакваните разходи за управление на отпадъците.</w:t>
            </w:r>
            <w:r w:rsidRPr="00B053E1">
              <w:rPr>
                <w:rFonts w:ascii="Times New Roman" w:eastAsia="Times New Roman" w:hAnsi="Times New Roman" w:cs="Times New Roman"/>
                <w:color w:val="000000"/>
                <w:sz w:val="24"/>
                <w:szCs w:val="24"/>
                <w:lang w:val="bg-BG" w:eastAsia="bg-BG"/>
              </w:rPr>
              <w:br/>
              <w:t>Необходимо е да се докаже, че възнагражденията са прозрачни, недискриминационни, икономически обосновани и съответстват на реално необходимите разходи за изпълнение на законовите задължения.</w:t>
            </w:r>
            <w:r w:rsidRPr="00B053E1">
              <w:rPr>
                <w:rFonts w:ascii="Times New Roman" w:eastAsia="Times New Roman" w:hAnsi="Times New Roman" w:cs="Times New Roman"/>
                <w:color w:val="000000"/>
                <w:sz w:val="24"/>
                <w:szCs w:val="24"/>
                <w:lang w:val="bg-BG" w:eastAsia="bg-BG"/>
              </w:rPr>
              <w:br/>
              <w:t>Необходимо е да се вземе в предвид всеки един вид отпадък генериран при третирането на НУБА, и коректно да се оцени потенциалът му за приход или съответно необходим разход за неговото оползотворяване.</w:t>
            </w:r>
          </w:p>
        </w:tc>
      </w:tr>
      <w:tr w:rsidR="00B053E1" w:rsidRPr="00B053E1" w:rsidTr="00B053E1">
        <w:trPr>
          <w:trHeight w:val="1270"/>
        </w:trPr>
        <w:tc>
          <w:tcPr>
            <w:tcW w:w="16008"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B053E1" w:rsidRPr="00B053E1" w:rsidRDefault="00B053E1" w:rsidP="00B053E1">
            <w:pPr>
              <w:spacing w:after="0" w:line="240" w:lineRule="auto"/>
              <w:jc w:val="center"/>
              <w:rPr>
                <w:rFonts w:ascii="Times New Roman" w:eastAsia="Times New Roman" w:hAnsi="Times New Roman" w:cs="Times New Roman"/>
                <w:b/>
                <w:bCs/>
                <w:color w:val="000000"/>
                <w:lang w:val="bg-BG" w:eastAsia="bg-BG"/>
              </w:rPr>
            </w:pPr>
            <w:r w:rsidRPr="00B053E1">
              <w:rPr>
                <w:rFonts w:ascii="Times New Roman" w:eastAsia="Times New Roman" w:hAnsi="Times New Roman" w:cs="Times New Roman"/>
                <w:b/>
                <w:bCs/>
                <w:color w:val="000000"/>
                <w:lang w:val="bg-BG" w:eastAsia="bg-BG"/>
              </w:rPr>
              <w:t>С чл. 22, ал. 1 от Наредбата на НУБА се определят минима</w:t>
            </w:r>
            <w:r>
              <w:rPr>
                <w:rFonts w:ascii="Times New Roman" w:eastAsia="Times New Roman" w:hAnsi="Times New Roman" w:cs="Times New Roman"/>
                <w:b/>
                <w:bCs/>
                <w:color w:val="000000"/>
                <w:lang w:val="bg-BG" w:eastAsia="bg-BG"/>
              </w:rPr>
              <w:t>л</w:t>
            </w:r>
            <w:r w:rsidRPr="00B053E1">
              <w:rPr>
                <w:rFonts w:ascii="Times New Roman" w:eastAsia="Times New Roman" w:hAnsi="Times New Roman" w:cs="Times New Roman"/>
                <w:b/>
                <w:bCs/>
                <w:color w:val="000000"/>
                <w:lang w:val="bg-BG" w:eastAsia="bg-BG"/>
              </w:rPr>
              <w:t>ните изисквания за обхват на програмата за изготвена по реда на чл. 53, ал. 1 от ЗУО за организация по оползотворяване на НУБА.</w:t>
            </w:r>
            <w:r w:rsidRPr="00B053E1">
              <w:rPr>
                <w:rFonts w:ascii="Times New Roman" w:eastAsia="Times New Roman" w:hAnsi="Times New Roman" w:cs="Times New Roman"/>
                <w:b/>
                <w:bCs/>
                <w:color w:val="000000"/>
                <w:lang w:val="bg-BG" w:eastAsia="bg-BG"/>
              </w:rPr>
              <w:br/>
            </w:r>
            <w:r w:rsidRPr="00B053E1">
              <w:rPr>
                <w:rFonts w:ascii="Times New Roman" w:eastAsia="Times New Roman" w:hAnsi="Times New Roman" w:cs="Times New Roman"/>
                <w:b/>
                <w:bCs/>
                <w:color w:val="000000"/>
                <w:lang w:val="bg-BG" w:eastAsia="bg-BG"/>
              </w:rPr>
              <w:br/>
              <w:t>С чл. 26, ал. 1</w:t>
            </w:r>
            <w:r w:rsidR="0015576F">
              <w:rPr>
                <w:rFonts w:ascii="Times New Roman" w:eastAsia="Times New Roman" w:hAnsi="Times New Roman" w:cs="Times New Roman"/>
                <w:b/>
                <w:bCs/>
                <w:color w:val="000000"/>
                <w:lang w:val="bg-BG" w:eastAsia="bg-BG"/>
              </w:rPr>
              <w:t xml:space="preserve"> </w:t>
            </w:r>
            <w:r w:rsidRPr="00B053E1">
              <w:rPr>
                <w:rFonts w:ascii="Times New Roman" w:eastAsia="Times New Roman" w:hAnsi="Times New Roman" w:cs="Times New Roman"/>
                <w:b/>
                <w:bCs/>
                <w:color w:val="000000"/>
                <w:lang w:val="bg-BG" w:eastAsia="bg-BG"/>
              </w:rPr>
              <w:t>от Наредбата на НУБА се определят минима</w:t>
            </w:r>
            <w:r>
              <w:rPr>
                <w:rFonts w:ascii="Times New Roman" w:eastAsia="Times New Roman" w:hAnsi="Times New Roman" w:cs="Times New Roman"/>
                <w:b/>
                <w:bCs/>
                <w:color w:val="000000"/>
                <w:lang w:val="bg-BG" w:eastAsia="bg-BG"/>
              </w:rPr>
              <w:t>л</w:t>
            </w:r>
            <w:r w:rsidRPr="00B053E1">
              <w:rPr>
                <w:rFonts w:ascii="Times New Roman" w:eastAsia="Times New Roman" w:hAnsi="Times New Roman" w:cs="Times New Roman"/>
                <w:b/>
                <w:bCs/>
                <w:color w:val="000000"/>
                <w:lang w:val="bg-BG" w:eastAsia="bg-BG"/>
              </w:rPr>
              <w:t>ните изисквания за обхват на програмата изготвена по реда на чл. 53, ал. 1 от ЗУО за лице пускащо на пазара батерии и акумулатори и изпълняващо задълженията си индивидуално.</w:t>
            </w:r>
          </w:p>
        </w:tc>
      </w:tr>
    </w:tbl>
    <w:p w:rsidR="001D0A23" w:rsidRDefault="001D0A23"/>
    <w:sectPr w:rsidR="001D0A23" w:rsidSect="00B053E1">
      <w:footerReference w:type="default" r:id="rId6"/>
      <w:pgSz w:w="16838" w:h="11906" w:orient="landscape"/>
      <w:pgMar w:top="1417" w:right="395" w:bottom="851" w:left="284" w:header="708" w:footer="17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4A45" w:rsidRDefault="00444A45" w:rsidP="00B053E1">
      <w:pPr>
        <w:spacing w:after="0" w:line="240" w:lineRule="auto"/>
      </w:pPr>
      <w:r>
        <w:separator/>
      </w:r>
    </w:p>
  </w:endnote>
  <w:endnote w:type="continuationSeparator" w:id="0">
    <w:p w:rsidR="00444A45" w:rsidRDefault="00444A45" w:rsidP="00B05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5690637"/>
      <w:docPartObj>
        <w:docPartGallery w:val="Page Numbers (Bottom of Page)"/>
        <w:docPartUnique/>
      </w:docPartObj>
    </w:sdtPr>
    <w:sdtEndPr>
      <w:rPr>
        <w:noProof/>
      </w:rPr>
    </w:sdtEndPr>
    <w:sdtContent>
      <w:p w:rsidR="00B053E1" w:rsidRDefault="00B053E1">
        <w:pPr>
          <w:pStyle w:val="Footer"/>
          <w:jc w:val="right"/>
        </w:pPr>
        <w:r>
          <w:fldChar w:fldCharType="begin"/>
        </w:r>
        <w:r>
          <w:instrText xml:space="preserve"> PAGE   \* MERGEFORMAT </w:instrText>
        </w:r>
        <w:r>
          <w:fldChar w:fldCharType="separate"/>
        </w:r>
        <w:r w:rsidR="00525BDF">
          <w:rPr>
            <w:noProof/>
          </w:rPr>
          <w:t>6</w:t>
        </w:r>
        <w:r>
          <w:rPr>
            <w:noProof/>
          </w:rPr>
          <w:fldChar w:fldCharType="end"/>
        </w:r>
      </w:p>
    </w:sdtContent>
  </w:sdt>
  <w:p w:rsidR="00B053E1" w:rsidRDefault="00B053E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4A45" w:rsidRDefault="00444A45" w:rsidP="00B053E1">
      <w:pPr>
        <w:spacing w:after="0" w:line="240" w:lineRule="auto"/>
      </w:pPr>
      <w:r>
        <w:separator/>
      </w:r>
    </w:p>
  </w:footnote>
  <w:footnote w:type="continuationSeparator" w:id="0">
    <w:p w:rsidR="00444A45" w:rsidRDefault="00444A45" w:rsidP="00B053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653"/>
    <w:rsid w:val="0015576F"/>
    <w:rsid w:val="001D0A23"/>
    <w:rsid w:val="00310DEB"/>
    <w:rsid w:val="00444A45"/>
    <w:rsid w:val="00525BDF"/>
    <w:rsid w:val="00A45653"/>
    <w:rsid w:val="00B053E1"/>
    <w:rsid w:val="00BE1D4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D4521"/>
  <w15:chartTrackingRefBased/>
  <w15:docId w15:val="{3A9A51B4-A170-44FC-9583-7B2C333AD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53E1"/>
    <w:pPr>
      <w:tabs>
        <w:tab w:val="center" w:pos="4536"/>
        <w:tab w:val="right" w:pos="9072"/>
      </w:tabs>
      <w:spacing w:after="0" w:line="240" w:lineRule="auto"/>
    </w:pPr>
  </w:style>
  <w:style w:type="character" w:customStyle="1" w:styleId="HeaderChar">
    <w:name w:val="Header Char"/>
    <w:basedOn w:val="DefaultParagraphFont"/>
    <w:link w:val="Header"/>
    <w:uiPriority w:val="99"/>
    <w:rsid w:val="00B053E1"/>
    <w:rPr>
      <w:lang w:val="en-US"/>
    </w:rPr>
  </w:style>
  <w:style w:type="paragraph" w:styleId="Footer">
    <w:name w:val="footer"/>
    <w:basedOn w:val="Normal"/>
    <w:link w:val="FooterChar"/>
    <w:uiPriority w:val="99"/>
    <w:unhideWhenUsed/>
    <w:rsid w:val="00B053E1"/>
    <w:pPr>
      <w:tabs>
        <w:tab w:val="center" w:pos="4536"/>
        <w:tab w:val="right" w:pos="9072"/>
      </w:tabs>
      <w:spacing w:after="0" w:line="240" w:lineRule="auto"/>
    </w:pPr>
  </w:style>
  <w:style w:type="character" w:customStyle="1" w:styleId="FooterChar">
    <w:name w:val="Footer Char"/>
    <w:basedOn w:val="DefaultParagraphFont"/>
    <w:link w:val="Footer"/>
    <w:uiPriority w:val="99"/>
    <w:rsid w:val="00B053E1"/>
    <w:rPr>
      <w:lang w:val="en-US"/>
    </w:rPr>
  </w:style>
  <w:style w:type="paragraph" w:styleId="BalloonText">
    <w:name w:val="Balloon Text"/>
    <w:basedOn w:val="Normal"/>
    <w:link w:val="BalloonTextChar"/>
    <w:uiPriority w:val="99"/>
    <w:semiHidden/>
    <w:unhideWhenUsed/>
    <w:rsid w:val="001557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76F"/>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3728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1903</Words>
  <Characters>10853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Baleva</dc:creator>
  <cp:keywords/>
  <dc:description/>
  <cp:lastModifiedBy>Diana Baleva</cp:lastModifiedBy>
  <cp:revision>4</cp:revision>
  <cp:lastPrinted>2026-07-21T13:51:00Z</cp:lastPrinted>
  <dcterms:created xsi:type="dcterms:W3CDTF">2026-07-21T13:47:00Z</dcterms:created>
  <dcterms:modified xsi:type="dcterms:W3CDTF">2026-07-21T14:00:00Z</dcterms:modified>
</cp:coreProperties>
</file>