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5708"/>
      </w:tblGrid>
      <w:tr w:rsidR="00070C33" w:rsidRPr="0098232A" w:rsidTr="00035EE9">
        <w:tc>
          <w:tcPr>
            <w:tcW w:w="10314" w:type="dxa"/>
            <w:gridSpan w:val="2"/>
            <w:shd w:val="clear" w:color="auto" w:fill="D9D9D9" w:themeFill="background1" w:themeFillShade="D9"/>
          </w:tcPr>
          <w:p w:rsidR="00070C33" w:rsidRPr="0098232A" w:rsidRDefault="00070C33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Формуляр за частична предварителна оценка на въздействието*</w:t>
            </w:r>
          </w:p>
          <w:p w:rsidR="00070C33" w:rsidRPr="0098232A" w:rsidRDefault="00070C33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(Приложете към формуляра допълнителна информация/документи)</w:t>
            </w:r>
          </w:p>
        </w:tc>
      </w:tr>
      <w:tr w:rsidR="00070C33" w:rsidRPr="0098232A" w:rsidTr="00035EE9">
        <w:trPr>
          <w:trHeight w:val="285"/>
        </w:trPr>
        <w:tc>
          <w:tcPr>
            <w:tcW w:w="4606" w:type="dxa"/>
          </w:tcPr>
          <w:p w:rsidR="00070C33" w:rsidRPr="0098232A" w:rsidRDefault="00E2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Институция: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на околната среда и водите</w:t>
            </w:r>
          </w:p>
        </w:tc>
        <w:tc>
          <w:tcPr>
            <w:tcW w:w="5708" w:type="dxa"/>
          </w:tcPr>
          <w:p w:rsidR="00070C33" w:rsidRPr="0098232A" w:rsidRDefault="00E254A2" w:rsidP="0041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Нормативен акт:</w:t>
            </w:r>
            <w:r w:rsidR="00A34F15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B4B" w:rsidRPr="0098232A">
              <w:rPr>
                <w:rFonts w:ascii="Times New Roman" w:hAnsi="Times New Roman" w:cs="Times New Roman"/>
                <w:sz w:val="24"/>
                <w:szCs w:val="24"/>
              </w:rPr>
              <w:t>Проект на Постановление на Министерския съвет за  изменение и допълнение на нормативни актове</w:t>
            </w:r>
          </w:p>
        </w:tc>
      </w:tr>
      <w:tr w:rsidR="00070C33" w:rsidRPr="0098232A" w:rsidTr="00035EE9">
        <w:trPr>
          <w:trHeight w:val="285"/>
        </w:trPr>
        <w:tc>
          <w:tcPr>
            <w:tcW w:w="4606" w:type="dxa"/>
          </w:tcPr>
          <w:p w:rsidR="00070C33" w:rsidRPr="0098232A" w:rsidRDefault="00AA2DCB" w:rsidP="0080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За включване в законодателната/оперативната програма на Министерския съвет за периода: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6554" w:rsidRPr="0098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554" w:rsidRPr="0098232A">
              <w:rPr>
                <w:rFonts w:ascii="Times New Roman" w:hAnsi="Times New Roman" w:cs="Times New Roman"/>
                <w:sz w:val="24"/>
                <w:szCs w:val="24"/>
              </w:rPr>
              <w:t>2018 – 30.06.2018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708" w:type="dxa"/>
          </w:tcPr>
          <w:p w:rsidR="00070C33" w:rsidRPr="0098232A" w:rsidRDefault="001A30E5" w:rsidP="00232B4B">
            <w:pPr>
              <w:tabs>
                <w:tab w:val="left" w:pos="127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  <w:r w:rsidR="00100B71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2B4B" w:rsidRPr="009823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7572F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32B4B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32B4B" w:rsidRPr="00982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C82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="00806554" w:rsidRPr="00982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7C82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7C8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070C33" w:rsidRPr="0098232A" w:rsidTr="00035EE9">
        <w:trPr>
          <w:trHeight w:val="285"/>
        </w:trPr>
        <w:tc>
          <w:tcPr>
            <w:tcW w:w="4606" w:type="dxa"/>
          </w:tcPr>
          <w:p w:rsidR="00035EE9" w:rsidRPr="00AB3A03" w:rsidRDefault="001A30E5" w:rsidP="00035E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за въпроси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2C1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8" w:type="dxa"/>
          </w:tcPr>
          <w:p w:rsidR="00035EE9" w:rsidRPr="0098232A" w:rsidRDefault="001A30E5" w:rsidP="008065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="0076795E"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864B1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EE9" w:rsidRPr="0098232A" w:rsidRDefault="00035EE9" w:rsidP="0003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33" w:rsidRPr="0098232A" w:rsidTr="00035EE9">
        <w:tc>
          <w:tcPr>
            <w:tcW w:w="10314" w:type="dxa"/>
            <w:gridSpan w:val="2"/>
          </w:tcPr>
          <w:p w:rsidR="00674E71" w:rsidRPr="0098232A" w:rsidRDefault="001A30E5" w:rsidP="004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1.  Дефиниране на проблема:</w:t>
            </w:r>
          </w:p>
          <w:p w:rsidR="00137131" w:rsidRPr="0098232A" w:rsidRDefault="00137131" w:rsidP="0013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31" w:rsidRPr="0098232A" w:rsidRDefault="00137131" w:rsidP="001371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proofErr w:type="spellStart"/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spellEnd"/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. Кратко опишете проблема и причините за неговото възникване. Посочете аргументите, които обосновават нормативната промяна</w:t>
            </w:r>
          </w:p>
          <w:p w:rsidR="00232B4B" w:rsidRPr="0098232A" w:rsidRDefault="00232B4B" w:rsidP="001371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B4B" w:rsidRPr="0098232A" w:rsidRDefault="00232B4B" w:rsidP="00232B4B">
            <w:pPr>
              <w:pStyle w:val="ListParagraph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С проекта на ПМС за изменение и допълнение на нормативни актове се изменят следните наредби:</w:t>
            </w:r>
          </w:p>
          <w:p w:rsidR="00232B4B" w:rsidRPr="0098232A" w:rsidRDefault="00232B4B" w:rsidP="00232B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Наредба за разделно събиране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биоотпадъците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третиране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отпадъци;</w:t>
            </w:r>
          </w:p>
          <w:p w:rsidR="00232B4B" w:rsidRPr="0098232A" w:rsidRDefault="00232B4B" w:rsidP="00232B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23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Наредбата за излязлото от употреба електрическо и електронно оборудване (НИУЕЕО);</w:t>
            </w:r>
          </w:p>
          <w:p w:rsidR="00232B4B" w:rsidRPr="0098232A" w:rsidRDefault="00232B4B" w:rsidP="00232B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23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Наредбата за излезлите от употреба моторни превозни средства (НИУМПС);</w:t>
            </w:r>
          </w:p>
          <w:p w:rsidR="00232B4B" w:rsidRPr="0098232A" w:rsidRDefault="00232B4B" w:rsidP="00232B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Наредба за реда и начина за изчисляване на размера на финансовата гаранция или еквивалентна застраховка и за предоставяне на годишни справки-декларации при трансграничен превоз на отпадъци.</w:t>
            </w:r>
          </w:p>
          <w:p w:rsidR="00674E71" w:rsidRPr="0098232A" w:rsidRDefault="00674E71" w:rsidP="001371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663EA" w:rsidRPr="0098232A" w:rsidRDefault="00674E71" w:rsidP="004D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B549A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Проблемите </w:t>
            </w:r>
            <w:r w:rsidR="009663EA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може да </w:t>
            </w:r>
            <w:r w:rsidR="004B549A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бъдат </w:t>
            </w:r>
            <w:r w:rsidR="009663EA" w:rsidRPr="0098232A">
              <w:rPr>
                <w:rFonts w:ascii="Times New Roman" w:hAnsi="Times New Roman" w:cs="Times New Roman"/>
                <w:sz w:val="24"/>
                <w:szCs w:val="24"/>
              </w:rPr>
              <w:t>разгледан</w:t>
            </w:r>
            <w:r w:rsidR="004B549A" w:rsidRPr="009823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63EA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най-общо чрез следните показатели:</w:t>
            </w:r>
          </w:p>
          <w:p w:rsidR="0094729D" w:rsidRPr="0098232A" w:rsidRDefault="0094729D" w:rsidP="004D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71" w:rsidRPr="0098232A" w:rsidRDefault="009013A0" w:rsidP="009B63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ехнически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663EA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ропуски в </w:t>
            </w:r>
            <w:r w:rsidR="0080655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Наредба за разделно събиране на </w:t>
            </w:r>
            <w:proofErr w:type="spellStart"/>
            <w:r w:rsidR="00806554" w:rsidRPr="0098232A">
              <w:rPr>
                <w:rFonts w:ascii="Times New Roman" w:hAnsi="Times New Roman" w:cs="Times New Roman"/>
                <w:sz w:val="24"/>
                <w:szCs w:val="24"/>
              </w:rPr>
              <w:t>биоотпадъците</w:t>
            </w:r>
            <w:proofErr w:type="spellEnd"/>
            <w:r w:rsidR="0080655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третиране на </w:t>
            </w:r>
            <w:proofErr w:type="spellStart"/>
            <w:r w:rsidR="00806554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="0080655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</w:t>
            </w:r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001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и необходимост от подобряване </w:t>
            </w:r>
            <w:proofErr w:type="spellStart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съдържанието</w:t>
            </w:r>
            <w:proofErr w:type="spellEnd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0014" w:rsidRPr="0098232A">
              <w:rPr>
                <w:rFonts w:ascii="Times New Roman" w:hAnsi="Times New Roman" w:cs="Times New Roman"/>
                <w:sz w:val="24"/>
                <w:szCs w:val="24"/>
              </w:rPr>
              <w:t>текстовете в наредбата с</w:t>
            </w:r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</w:t>
            </w:r>
            <w:proofErr w:type="spellEnd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ефективно</w:t>
            </w:r>
            <w:proofErr w:type="spellEnd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01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приложение</w:t>
            </w:r>
            <w:proofErr w:type="spellEnd"/>
            <w:r w:rsidR="009663EA" w:rsidRPr="009823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58C2" w:rsidRPr="0098232A" w:rsidRDefault="00772161" w:rsidP="009B63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  <w:r w:rsidR="00D87FF3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FF3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D87FF3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FF3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</w:t>
            </w:r>
            <w:proofErr w:type="spellEnd"/>
            <w:r w:rsidR="00D87FF3" w:rsidRPr="0098232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Start"/>
            <w:r w:rsidR="00086ED6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ение</w:t>
            </w:r>
            <w:proofErr w:type="spellEnd"/>
            <w:r w:rsidR="00086ED6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115D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обхвата </w:t>
            </w:r>
            <w:proofErr w:type="spellStart"/>
            <w:r w:rsidR="00086ED6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086ED6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B4F" w:rsidRPr="0098232A">
              <w:rPr>
                <w:rFonts w:ascii="Times New Roman" w:hAnsi="Times New Roman" w:cs="Times New Roman"/>
                <w:sz w:val="24"/>
                <w:szCs w:val="24"/>
              </w:rPr>
              <w:t>допустимите</w:t>
            </w:r>
            <w:r w:rsidR="00086ED6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употреба</w:t>
            </w:r>
            <w:r w:rsidR="002C58C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на стабилизираната органична фракция от процеса на</w:t>
            </w:r>
            <w:r w:rsidR="0094729D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механично-биологично третиране и ферментационния продукт, получен в резултат на анаеробно третиране на </w:t>
            </w:r>
            <w:proofErr w:type="spellStart"/>
            <w:r w:rsidR="0094729D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</w:t>
            </w:r>
            <w:r w:rsidR="009D4A17" w:rsidRPr="0098232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="009D4A1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</w:t>
            </w:r>
            <w:r w:rsidR="00D15AEA" w:rsidRPr="009823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64CD" w:rsidRPr="0098232A">
              <w:rPr>
                <w:rFonts w:ascii="Times New Roman" w:hAnsi="Times New Roman" w:cs="Times New Roman"/>
                <w:sz w:val="24"/>
                <w:szCs w:val="24"/>
              </w:rPr>
              <w:t>дъци</w:t>
            </w:r>
            <w:r w:rsidR="00232B4B" w:rsidRPr="009823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422D" w:rsidRPr="0098232A" w:rsidRDefault="00D7422D" w:rsidP="009B63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Непълно в съответствие на НИУЕЕО с Директива 2012/19/ЕC на Европейския парламент и на Съвета от 4 юли 2012 година относно отпадъци от електрическо и електронно оборудване;</w:t>
            </w:r>
          </w:p>
          <w:p w:rsidR="00D7422D" w:rsidRPr="0098232A" w:rsidRDefault="00D7422D" w:rsidP="009B63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Зачестили </w:t>
            </w:r>
            <w:proofErr w:type="spellStart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>случаи</w:t>
            </w:r>
            <w:proofErr w:type="spellEnd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>на</w:t>
            </w:r>
            <w:proofErr w:type="spellEnd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>умишлено</w:t>
            </w:r>
            <w:proofErr w:type="spellEnd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>премахване</w:t>
            </w:r>
            <w:proofErr w:type="spellEnd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, </w:t>
            </w:r>
            <w:proofErr w:type="spellStart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>както</w:t>
            </w:r>
            <w:proofErr w:type="spellEnd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 и </w:t>
            </w:r>
            <w:proofErr w:type="spellStart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>кражб</w:t>
            </w:r>
            <w:proofErr w:type="spellEnd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и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>на</w:t>
            </w:r>
            <w:proofErr w:type="spellEnd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>катализатори</w:t>
            </w:r>
            <w:proofErr w:type="spellEnd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 от МПС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, 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които се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>предава</w:t>
            </w:r>
            <w:proofErr w:type="spellEnd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т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>като</w:t>
            </w:r>
            <w:proofErr w:type="spellEnd"/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 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отпадъци поради високата им цена, дължаща се на съдържащите се в тях ценни метали</w:t>
            </w:r>
            <w:r w:rsidR="006C1F76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;</w:t>
            </w:r>
          </w:p>
          <w:p w:rsidR="006C1F76" w:rsidRPr="0098232A" w:rsidRDefault="006C1F76" w:rsidP="006C1F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Изключение от забраната за използване на олово в акумулаторни батерии в системи с високо напрежение (системи, които имат  постоянно напрежение по-голямо от  75 V, както е определено в Директива 2006/95/ЕО на Европейския парламент и на Съвета от 12 декември 2006 г. за сближаване на законодателствата на държавите членки относно електрически съоръжения, предназначени за използване при някои ограничения на напрежението (ОВ L 374, 27.12.2006 г., стр. 10), които се използват само за задвижване на моторни превозни средства (МПС) от категории 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M1 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и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bg-BG"/>
              </w:rPr>
              <w:t xml:space="preserve"> N1</w:t>
            </w:r>
            <w:r w:rsidR="00414242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;</w:t>
            </w:r>
          </w:p>
          <w:p w:rsidR="009851B9" w:rsidRPr="0098232A" w:rsidRDefault="00520014" w:rsidP="009851B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Липса</w:t>
            </w:r>
            <w:r w:rsidR="009851B9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на възможност </w:t>
            </w:r>
            <w:r w:rsidR="009851B9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за предоставяне на финансова гаранция в по-нисък размер в случаите на превози на неопасни </w:t>
            </w:r>
            <w:proofErr w:type="spellStart"/>
            <w:r w:rsidR="009851B9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рециклируеми</w:t>
            </w:r>
            <w:proofErr w:type="spellEnd"/>
            <w:r w:rsidR="009851B9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 отпадъци, когато за тях се изисква процедура на предварителна писмена нотификация и съгласие.</w:t>
            </w:r>
          </w:p>
          <w:p w:rsidR="00414242" w:rsidRPr="0098232A" w:rsidRDefault="00414242" w:rsidP="00F22F57">
            <w:pPr>
              <w:pStyle w:val="ListParagraph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7131" w:rsidRPr="0098232A" w:rsidRDefault="00137131" w:rsidP="001371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 Опишете какви са проблемите в прилагането на съществуващото законодателство или </w:t>
            </w: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възникналите обстоятелства, които налагат приемането на ново законодателство.</w:t>
            </w:r>
            <w:r w:rsidR="00277FEB"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Посочете възможно ли е проблемът да се реши в рамките на съществуващото законодателство чрез промяна в организацията на работа и/или въвеждане на нови технологични възможности (например съвместни инспекции между няколко органа и др.)</w:t>
            </w:r>
          </w:p>
          <w:p w:rsidR="005E6EA5" w:rsidRPr="0098232A" w:rsidRDefault="005E6EA5" w:rsidP="001A30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6E89" w:rsidRPr="0098232A" w:rsidRDefault="003C2173" w:rsidP="000F6E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</w:rPr>
              <w:t xml:space="preserve">Съгласно разпоредбите на настоящата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Наредба за разделно събиране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биоотпадъците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третиране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</w:t>
            </w:r>
            <w:r w:rsidR="00587378" w:rsidRPr="009823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 xml:space="preserve"> стабилизирана органична фракция от МБТ може да се използва за </w:t>
            </w:r>
            <w:proofErr w:type="spellStart"/>
            <w:r w:rsidRPr="0098232A">
              <w:rPr>
                <w:rFonts w:ascii="Times New Roman" w:hAnsi="Times New Roman"/>
                <w:sz w:val="24"/>
                <w:szCs w:val="24"/>
              </w:rPr>
              <w:t>рекултивация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0F6E89" w:rsidRPr="0098232A">
              <w:rPr>
                <w:rFonts w:ascii="Times New Roman" w:hAnsi="Times New Roman"/>
                <w:sz w:val="24"/>
                <w:szCs w:val="24"/>
              </w:rPr>
              <w:t xml:space="preserve">депа и минни </w:t>
            </w:r>
            <w:proofErr w:type="spellStart"/>
            <w:r w:rsidR="000F6E89" w:rsidRPr="0098232A">
              <w:rPr>
                <w:rFonts w:ascii="Times New Roman" w:hAnsi="Times New Roman"/>
                <w:sz w:val="24"/>
                <w:szCs w:val="24"/>
              </w:rPr>
              <w:t>разкривки</w:t>
            </w:r>
            <w:proofErr w:type="spellEnd"/>
            <w:r w:rsidR="000F6E89" w:rsidRPr="009823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F6E89" w:rsidRPr="0098232A">
              <w:rPr>
                <w:rFonts w:ascii="Times New Roman" w:hAnsi="Times New Roman"/>
                <w:sz w:val="24"/>
                <w:szCs w:val="24"/>
              </w:rPr>
              <w:t>ландшафт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</w:rPr>
              <w:t xml:space="preserve"> дейности</w:t>
            </w:r>
            <w:r w:rsidR="00B504F8" w:rsidRPr="0098232A">
              <w:rPr>
                <w:rFonts w:ascii="Times New Roman" w:hAnsi="Times New Roman"/>
                <w:sz w:val="24"/>
                <w:szCs w:val="24"/>
              </w:rPr>
              <w:t>,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 xml:space="preserve"> при строителството на пътища или да се</w:t>
            </w:r>
            <w:r w:rsidR="000C4270" w:rsidRPr="0098232A">
              <w:rPr>
                <w:rFonts w:ascii="Times New Roman" w:hAnsi="Times New Roman"/>
                <w:sz w:val="24"/>
                <w:szCs w:val="24"/>
              </w:rPr>
              <w:t xml:space="preserve"> обезвреди чрез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 xml:space="preserve"> депонира</w:t>
            </w:r>
            <w:r w:rsidR="00BB1DB6" w:rsidRPr="0098232A">
              <w:rPr>
                <w:rFonts w:ascii="Times New Roman" w:hAnsi="Times New Roman"/>
                <w:sz w:val="24"/>
                <w:szCs w:val="24"/>
              </w:rPr>
              <w:t>не.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6E89" w:rsidRPr="0098232A" w:rsidRDefault="00CD0EFB" w:rsidP="000F6E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</w:rPr>
              <w:t>Към момента п</w:t>
            </w:r>
            <w:r w:rsidR="000F6E89" w:rsidRPr="0098232A">
              <w:rPr>
                <w:rFonts w:ascii="Times New Roman" w:hAnsi="Times New Roman"/>
                <w:sz w:val="24"/>
                <w:szCs w:val="24"/>
              </w:rPr>
              <w:t xml:space="preserve">рактиката показва, че </w:t>
            </w:r>
            <w:r w:rsidR="001E1256" w:rsidRPr="0098232A">
              <w:rPr>
                <w:rFonts w:ascii="Times New Roman" w:hAnsi="Times New Roman"/>
                <w:sz w:val="24"/>
                <w:szCs w:val="24"/>
              </w:rPr>
              <w:t>на териториите на регионалните системи за управление на отпадъците няма достатъчно обекти</w:t>
            </w:r>
            <w:r w:rsidR="00007EAF" w:rsidRPr="0098232A">
              <w:rPr>
                <w:rFonts w:ascii="Times New Roman" w:hAnsi="Times New Roman"/>
                <w:sz w:val="24"/>
                <w:szCs w:val="24"/>
              </w:rPr>
              <w:t xml:space="preserve">, подходящи за </w:t>
            </w:r>
            <w:proofErr w:type="spellStart"/>
            <w:r w:rsidR="00007EAF" w:rsidRPr="0098232A">
              <w:rPr>
                <w:rFonts w:ascii="Times New Roman" w:hAnsi="Times New Roman"/>
                <w:sz w:val="24"/>
                <w:szCs w:val="24"/>
              </w:rPr>
              <w:t>рекултивация</w:t>
            </w:r>
            <w:proofErr w:type="spellEnd"/>
            <w:r w:rsidR="00007EAF" w:rsidRPr="0098232A">
              <w:rPr>
                <w:rFonts w:ascii="Times New Roman" w:hAnsi="Times New Roman"/>
                <w:sz w:val="24"/>
                <w:szCs w:val="24"/>
              </w:rPr>
              <w:t xml:space="preserve"> или за извършване на </w:t>
            </w:r>
            <w:proofErr w:type="spellStart"/>
            <w:r w:rsidR="00007EAF" w:rsidRPr="0098232A">
              <w:rPr>
                <w:rFonts w:ascii="Times New Roman" w:hAnsi="Times New Roman"/>
                <w:sz w:val="24"/>
                <w:szCs w:val="24"/>
              </w:rPr>
              <w:t>ландшафтни</w:t>
            </w:r>
            <w:proofErr w:type="spellEnd"/>
            <w:r w:rsidR="00007EAF" w:rsidRPr="0098232A">
              <w:rPr>
                <w:rFonts w:ascii="Times New Roman" w:hAnsi="Times New Roman"/>
                <w:sz w:val="24"/>
                <w:szCs w:val="24"/>
              </w:rPr>
              <w:t xml:space="preserve"> дейности със стабилизирана органична фракция от МБТ</w:t>
            </w:r>
            <w:r w:rsidR="000F60DD" w:rsidRPr="0098232A">
              <w:rPr>
                <w:rFonts w:ascii="Times New Roman" w:hAnsi="Times New Roman"/>
                <w:sz w:val="24"/>
                <w:szCs w:val="24"/>
              </w:rPr>
              <w:t>, при което същата се предава за депониране. Следвайки йерархията за управление на отпадъците, депонирането се счита за най-крайния и икономически неизгоден вариант за обезвреждане на отпадъците.</w:t>
            </w:r>
            <w:r w:rsidR="00974F5C" w:rsidRPr="00982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1F90" w:rsidRPr="0098232A" w:rsidRDefault="00C56BAC" w:rsidP="00EB4B5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/>
                <w:sz w:val="24"/>
                <w:szCs w:val="24"/>
              </w:rPr>
              <w:t>Стабилизираната органична фракция от МБТ представлява отпадък, който се характеризира с ниско съдържание на сухо органично вещество</w:t>
            </w:r>
            <w:r w:rsidR="00A34F90" w:rsidRPr="0098232A">
              <w:rPr>
                <w:rFonts w:ascii="Times New Roman" w:hAnsi="Times New Roman"/>
                <w:sz w:val="24"/>
                <w:szCs w:val="24"/>
              </w:rPr>
              <w:t xml:space="preserve"> (до 15%) и може да се използва като алтернативен заместител на масово използваните в практиката до момента земни почви, които се явяват природен ресурс при „ежедневно </w:t>
            </w:r>
            <w:proofErr w:type="spellStart"/>
            <w:r w:rsidR="00A34F90" w:rsidRPr="0098232A">
              <w:rPr>
                <w:rFonts w:ascii="Times New Roman" w:hAnsi="Times New Roman"/>
                <w:sz w:val="24"/>
                <w:szCs w:val="24"/>
              </w:rPr>
              <w:t>запръстяване</w:t>
            </w:r>
            <w:proofErr w:type="spellEnd"/>
            <w:r w:rsidR="00A34F90" w:rsidRPr="0098232A">
              <w:rPr>
                <w:rFonts w:ascii="Times New Roman" w:hAnsi="Times New Roman"/>
                <w:sz w:val="24"/>
                <w:szCs w:val="24"/>
              </w:rPr>
              <w:t>“ на депонирани отпадъци</w:t>
            </w:r>
            <w:r w:rsidR="00974F5C" w:rsidRPr="0098232A">
              <w:rPr>
                <w:rFonts w:ascii="Times New Roman" w:hAnsi="Times New Roman"/>
                <w:sz w:val="24"/>
                <w:szCs w:val="24"/>
              </w:rPr>
              <w:t xml:space="preserve"> по работни участъци</w:t>
            </w:r>
            <w:r w:rsidR="005B3532" w:rsidRPr="0098232A">
              <w:rPr>
                <w:rFonts w:ascii="Times New Roman" w:hAnsi="Times New Roman"/>
                <w:sz w:val="24"/>
                <w:szCs w:val="24"/>
              </w:rPr>
              <w:t xml:space="preserve"> на депото.</w:t>
            </w:r>
          </w:p>
          <w:p w:rsidR="00F56C58" w:rsidRPr="0098232A" w:rsidRDefault="00EB4B5E" w:rsidP="00EB4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</w:rPr>
              <w:t>Наредбата</w:t>
            </w:r>
            <w:r w:rsidR="003C2173" w:rsidRPr="00982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52CA" w:rsidRPr="0098232A">
              <w:rPr>
                <w:rFonts w:ascii="Times New Roman" w:hAnsi="Times New Roman"/>
                <w:sz w:val="24"/>
                <w:szCs w:val="24"/>
              </w:rPr>
              <w:t xml:space="preserve">не урежда възможността използването на стабилизираната органична </w:t>
            </w:r>
            <w:r w:rsidR="006F30FB" w:rsidRPr="0098232A">
              <w:rPr>
                <w:rFonts w:ascii="Times New Roman" w:hAnsi="Times New Roman"/>
                <w:sz w:val="24"/>
                <w:szCs w:val="24"/>
              </w:rPr>
              <w:t>фракция от МБТ да бъде използвана за</w:t>
            </w:r>
            <w:r w:rsidR="004A7C1F" w:rsidRPr="00982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4BB" w:rsidRPr="0098232A">
              <w:rPr>
                <w:rFonts w:ascii="Times New Roman" w:hAnsi="Times New Roman"/>
                <w:sz w:val="24"/>
                <w:szCs w:val="24"/>
              </w:rPr>
              <w:t>“насипни дейности“</w:t>
            </w:r>
            <w:r w:rsidR="002B5DB7" w:rsidRPr="0098232A">
              <w:rPr>
                <w:rFonts w:ascii="Times New Roman" w:hAnsi="Times New Roman"/>
                <w:sz w:val="24"/>
                <w:szCs w:val="24"/>
              </w:rPr>
              <w:t xml:space="preserve"> по смисъла на ЗУО, а именно </w:t>
            </w:r>
            <w:r w:rsidR="000804BB" w:rsidRPr="0098232A">
              <w:rPr>
                <w:rFonts w:ascii="Times New Roman" w:hAnsi="Times New Roman"/>
                <w:sz w:val="24"/>
                <w:szCs w:val="24"/>
              </w:rPr>
              <w:t>дейност</w:t>
            </w:r>
            <w:r w:rsidR="002B5DB7" w:rsidRPr="0098232A">
              <w:rPr>
                <w:rFonts w:ascii="Times New Roman" w:hAnsi="Times New Roman"/>
                <w:sz w:val="24"/>
                <w:szCs w:val="24"/>
              </w:rPr>
              <w:t>и  по оползотворяване, при кои</w:t>
            </w:r>
            <w:r w:rsidR="000804BB" w:rsidRPr="0098232A">
              <w:rPr>
                <w:rFonts w:ascii="Times New Roman" w:hAnsi="Times New Roman"/>
                <w:sz w:val="24"/>
                <w:szCs w:val="24"/>
              </w:rPr>
              <w:t>то подходящи отпадъци се използват за инженерни цели в строителството на депа и където отпадъкът е заместител на неотпадъчни материали.</w:t>
            </w:r>
            <w:r w:rsidR="00AC6A14" w:rsidRPr="00982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DCC" w:rsidRPr="0098232A" w:rsidRDefault="00D30DCC" w:rsidP="00E41F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0DCC" w:rsidRPr="0098232A" w:rsidRDefault="00D30DCC" w:rsidP="00F22F5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С </w:t>
            </w:r>
            <w:r w:rsidR="00A844F2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прилагането на действащата </w:t>
            </w:r>
            <w:r w:rsidR="001333B4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НИУЕЕО </w:t>
            </w:r>
            <w:r w:rsidR="00A844F2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липсва пълно 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хармонизирано прилагане на </w:t>
            </w: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Директива 2012/19/ЕC на Европейския парламент и на Съвета от 4 юли 2012 година относно отпадъци от електрическо и електронно оборудване</w:t>
            </w:r>
            <w:r w:rsidR="00A844F2" w:rsidRPr="009823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което може да доведе и до </w:t>
            </w: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наказателна процедура</w:t>
            </w:r>
            <w:r w:rsidR="00A844F2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.</w:t>
            </w:r>
          </w:p>
          <w:p w:rsidR="009851B9" w:rsidRPr="0098232A" w:rsidRDefault="009851B9" w:rsidP="00F2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B9" w:rsidRPr="0098232A" w:rsidRDefault="009851B9" w:rsidP="00F22F57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Като държава-членка на Европейския съюз сме задължени да въвеждаме европейското законодателство в националното, поради което до 6 юни 2018 г. следва да сме транспонирали </w:t>
            </w:r>
            <w:r w:rsidRPr="0098232A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bg-BG"/>
              </w:rPr>
              <w:t xml:space="preserve">Директива (ЕС) 2017/2096. </w:t>
            </w:r>
          </w:p>
          <w:p w:rsidR="009851B9" w:rsidRPr="0098232A" w:rsidRDefault="009851B9" w:rsidP="00F22F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Член 4, параграф 2, буква а) от Директива 2000/53/ЕО забранява използването на олово, живак, кадмий или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шествалентен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хром в материали и компоненти на превозни средства, пуснати на пазара след 1 юли 2003 г.  В приложение II към Директива 2000/53/ЕО се изброяват материалите и компонентите на превозните средства, освободени от забраната, постановена в член 4, параграф 2, буква а) от същата директива. Превозните средства, пуснати на пазара преди датата на изтичане на дадено освобождаване, както и резервните части за тях, могат да съдържат олово, живак, кадмий или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шествалентен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хром в материалите и компонентите, изброени в приложение II към Директива 2000/53/ЕО. Посоченото приложение се изменя редовно в съответствие с научно-техническия напредък.</w:t>
            </w:r>
          </w:p>
          <w:p w:rsidR="009851B9" w:rsidRPr="0098232A" w:rsidRDefault="009851B9" w:rsidP="00F22F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С Директива (ЕС) 2017/2096 се извършва осмото изменение на приложение II, с което е определена дата за изтичане на освобождаване от забраната за използване на олово в системи с високо напрежение, които се използват само за задвижване в превозни средства от категории M1 и N1, а за другите разгледани употреби на оловото като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легиращ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елемент в алуминий с тегловно съдържание на олово до 0,4 %, като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легиращ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елемент в медна сплав с тегловно съдържание на олово до 4 %  и олово и оловни съединения в акумулаторни батерии за всички други превозни средства са определени дати за преразглеждане в зависимост от това какво е показала оценката на научно-техническия напредък за наличието на алтернативи</w:t>
            </w:r>
            <w:r w:rsidR="00960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1B9" w:rsidRPr="0098232A" w:rsidRDefault="009851B9" w:rsidP="00F22F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В нормативната уредба липсват конкретни разпоредби, с които могат да се ограничат случаите на умишлено премахване, както и кражбите на катализатори от МПС, които се  предават като отпадък поради високата им цена, дължаща се на съдържащите се в тях ценни метали.</w:t>
            </w:r>
          </w:p>
          <w:p w:rsidR="001333B4" w:rsidRPr="0098232A" w:rsidRDefault="001333B4" w:rsidP="00F22F57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Съгласно сега действащата </w:t>
            </w:r>
            <w:r w:rsidRPr="009823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Наредба за реда и начина за изчисляване на размера на финансовата гаранция или еквивалентна застраховка и за предоставяне на годишни справки-декларации при трансграничен превоз на отпадъци, дължимата финансова гаранция е в размер на 2000 лв./тон </w:t>
            </w:r>
            <w:r w:rsidRPr="009823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както за превозите на опасни отпадъци, така за износа на неопасни отпадъци от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Зеления списък на </w:t>
            </w: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Регламент (ЕО) №1013/2006 относно превози на отпадъци,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за които се изисква предварителна писмена нотификация и съгласие. </w:t>
            </w:r>
          </w:p>
          <w:p w:rsidR="001333B4" w:rsidRPr="0098232A" w:rsidRDefault="001333B4" w:rsidP="00133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33B4" w:rsidRPr="0098232A" w:rsidRDefault="001333B4" w:rsidP="00F22F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</w:rPr>
              <w:t>Всички тези проблеми не могат да бъдат решени в рамките на сега действащата нормативна уредба, поради което се правят необходимите промени в по-горе цитираните наредби.</w:t>
            </w:r>
          </w:p>
          <w:p w:rsidR="001A30E5" w:rsidRPr="0098232A" w:rsidRDefault="001A30E5" w:rsidP="001A30E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D6C1B" w:rsidRPr="0098232A" w:rsidRDefault="00137131" w:rsidP="00642FF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1.3. Посочете дали са изготвени </w:t>
            </w:r>
            <w:proofErr w:type="spellStart"/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последващи</w:t>
            </w:r>
            <w:proofErr w:type="spellEnd"/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оценки на нормативния акт или анализи за изпълнението на политиката и какви са резултатите от тях?</w:t>
            </w:r>
          </w:p>
          <w:p w:rsidR="00642FFF" w:rsidRPr="0098232A" w:rsidRDefault="0006347C" w:rsidP="00E41F1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Не са извършвани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последващи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оценки на нормативния акт.</w:t>
            </w:r>
          </w:p>
          <w:p w:rsidR="00642FFF" w:rsidRPr="0098232A" w:rsidRDefault="00642FFF" w:rsidP="0064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33" w:rsidRPr="0098232A" w:rsidTr="00035EE9">
        <w:tc>
          <w:tcPr>
            <w:tcW w:w="10314" w:type="dxa"/>
            <w:gridSpan w:val="2"/>
          </w:tcPr>
          <w:p w:rsidR="00E41F1C" w:rsidRPr="0098232A" w:rsidRDefault="00642FFF" w:rsidP="00487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Цели:</w:t>
            </w:r>
            <w:r w:rsidR="001E0089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7131" w:rsidRPr="0098232A" w:rsidRDefault="00137131" w:rsidP="00487F8B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Посочете целите, които си поставя нормативната промяна по конкретен и измерим начин и график за тяхното постигане. Съответстват ли целите на действащата стратегическа рамка?</w:t>
            </w:r>
          </w:p>
          <w:p w:rsidR="00455585" w:rsidRPr="0098232A" w:rsidRDefault="00455585" w:rsidP="00F22F5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Наредба за разделно събиране на </w:t>
            </w:r>
            <w:proofErr w:type="spellStart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биоотпадъците</w:t>
            </w:r>
            <w:proofErr w:type="spellEnd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 и третиране на </w:t>
            </w:r>
            <w:proofErr w:type="spellStart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биоразградимите</w:t>
            </w:r>
            <w:proofErr w:type="spellEnd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 отпадъци</w:t>
            </w:r>
          </w:p>
          <w:p w:rsidR="003B4ED1" w:rsidRPr="0098232A" w:rsidRDefault="003B4ED1" w:rsidP="00487F8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      Основни цели на </w:t>
            </w:r>
            <w:r w:rsidR="00E84AB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455585" w:rsidRPr="0098232A">
              <w:rPr>
                <w:rFonts w:ascii="Times New Roman" w:hAnsi="Times New Roman" w:cs="Times New Roman"/>
                <w:sz w:val="24"/>
                <w:szCs w:val="24"/>
              </w:rPr>
              <w:t>за изменение и допълнение</w:t>
            </w:r>
            <w:r w:rsidR="00E84AB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на Наредба</w:t>
            </w:r>
            <w:r w:rsidR="00455585" w:rsidRPr="0098232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E84AB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за разделно събиране на </w:t>
            </w:r>
            <w:proofErr w:type="spellStart"/>
            <w:r w:rsidR="00E84AB4" w:rsidRPr="0098232A">
              <w:rPr>
                <w:rFonts w:ascii="Times New Roman" w:hAnsi="Times New Roman" w:cs="Times New Roman"/>
                <w:sz w:val="24"/>
                <w:szCs w:val="24"/>
              </w:rPr>
              <w:t>биоотпадъците</w:t>
            </w:r>
            <w:proofErr w:type="spellEnd"/>
            <w:r w:rsidR="00E84AB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третиране на </w:t>
            </w:r>
            <w:proofErr w:type="spellStart"/>
            <w:r w:rsidR="00E84AB4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="00E84AB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са:</w:t>
            </w:r>
          </w:p>
          <w:p w:rsidR="007C3CA8" w:rsidRPr="0098232A" w:rsidRDefault="003B4ED1" w:rsidP="009B63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Подобряване на нормативната уредба по управление на </w:t>
            </w:r>
            <w:proofErr w:type="spellStart"/>
            <w:r w:rsidR="008C4D47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="008C4D4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с цел по-ефективното </w:t>
            </w:r>
            <w:r w:rsidR="007C3CA8" w:rsidRPr="0098232A">
              <w:rPr>
                <w:rFonts w:ascii="Times New Roman" w:hAnsi="Times New Roman" w:cs="Times New Roman"/>
                <w:sz w:val="24"/>
                <w:szCs w:val="24"/>
              </w:rPr>
              <w:t>ѝ прилагане и постигане на целите на национално и европейско ниво;</w:t>
            </w:r>
          </w:p>
          <w:p w:rsidR="003B4ED1" w:rsidRPr="0098232A" w:rsidRDefault="003D1DD8" w:rsidP="009B63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Подобряване</w:t>
            </w:r>
            <w:r w:rsidR="000D24F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съдържанието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4D47" w:rsidRPr="0098232A">
              <w:rPr>
                <w:rFonts w:ascii="Times New Roman" w:hAnsi="Times New Roman" w:cs="Times New Roman"/>
                <w:sz w:val="24"/>
                <w:szCs w:val="24"/>
              </w:rPr>
              <w:t>текстовете</w:t>
            </w:r>
            <w:r w:rsidR="00D2336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04CDE" w:rsidRPr="009823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3362" w:rsidRPr="0098232A">
              <w:rPr>
                <w:rFonts w:ascii="Times New Roman" w:hAnsi="Times New Roman" w:cs="Times New Roman"/>
                <w:sz w:val="24"/>
                <w:szCs w:val="24"/>
              </w:rPr>
              <w:t>аредбата с</w:t>
            </w:r>
            <w:r w:rsidR="008C4D47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ефективно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приложение</w:t>
            </w:r>
            <w:proofErr w:type="spellEnd"/>
            <w:r w:rsidR="003A64F7" w:rsidRPr="00982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4F7" w:rsidRPr="0098232A" w:rsidRDefault="003A64F7" w:rsidP="009B635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37B" w:rsidRPr="0098232A" w:rsidRDefault="001E0089" w:rsidP="0090637B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504F8" w:rsidRPr="0098232A">
              <w:rPr>
                <w:rFonts w:ascii="Times New Roman" w:hAnsi="Times New Roman" w:cs="Times New Roman"/>
                <w:sz w:val="24"/>
                <w:szCs w:val="24"/>
              </w:rPr>
              <w:t>изменението</w:t>
            </w:r>
            <w:r w:rsidR="008C4D4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на Наредба за разделно събиране на </w:t>
            </w:r>
            <w:proofErr w:type="spellStart"/>
            <w:r w:rsidR="008C4D47" w:rsidRPr="0098232A">
              <w:rPr>
                <w:rFonts w:ascii="Times New Roman" w:hAnsi="Times New Roman" w:cs="Times New Roman"/>
                <w:sz w:val="24"/>
                <w:szCs w:val="24"/>
              </w:rPr>
              <w:t>биоотпадъците</w:t>
            </w:r>
            <w:proofErr w:type="spellEnd"/>
            <w:r w:rsidR="008C4D4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третиране на </w:t>
            </w:r>
            <w:proofErr w:type="spellStart"/>
            <w:r w:rsidR="008C4D47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="008C4D4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се цели подобряване на нормативната уредба, свързана с управл</w:t>
            </w:r>
            <w:r w:rsidR="00C5023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ението на </w:t>
            </w:r>
            <w:proofErr w:type="spellStart"/>
            <w:r w:rsidR="008C4D47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="008C4D4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</w:t>
            </w:r>
            <w:r w:rsidR="00C5023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. Като резултат това ще доведе до по-ефективно управление на </w:t>
            </w:r>
            <w:proofErr w:type="spellStart"/>
            <w:r w:rsidR="0090637B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="0090637B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</w:t>
            </w:r>
            <w:r w:rsidR="00C50232" w:rsidRPr="0098232A">
              <w:rPr>
                <w:rFonts w:ascii="Times New Roman" w:hAnsi="Times New Roman" w:cs="Times New Roman"/>
                <w:sz w:val="24"/>
                <w:szCs w:val="24"/>
              </w:rPr>
              <w:t>, както и достигане на целите, заложени в Закона за управление на отпадъците и Рамковата директива за отпадъците</w:t>
            </w:r>
            <w:r w:rsidR="005C44C5" w:rsidRPr="00982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1BE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Съгласно Рамковата директива за отпадъците, </w:t>
            </w:r>
            <w:r w:rsidR="0090637B" w:rsidRPr="0098232A">
              <w:rPr>
                <w:rFonts w:ascii="Times New Roman" w:hAnsi="Times New Roman"/>
                <w:sz w:val="24"/>
                <w:szCs w:val="24"/>
              </w:rPr>
              <w:t xml:space="preserve">трябва да се предприемат мерки за насърчаване на разделното събиране и третиране на </w:t>
            </w:r>
            <w:proofErr w:type="spellStart"/>
            <w:r w:rsidR="0090637B" w:rsidRPr="0098232A">
              <w:rPr>
                <w:rFonts w:ascii="Times New Roman" w:hAnsi="Times New Roman"/>
                <w:sz w:val="24"/>
                <w:szCs w:val="24"/>
              </w:rPr>
              <w:t>биоотпадъците</w:t>
            </w:r>
            <w:proofErr w:type="spellEnd"/>
            <w:r w:rsidR="0090637B" w:rsidRPr="0098232A">
              <w:rPr>
                <w:rFonts w:ascii="Times New Roman" w:hAnsi="Times New Roman"/>
                <w:sz w:val="24"/>
                <w:szCs w:val="24"/>
              </w:rPr>
              <w:t xml:space="preserve">, чрез </w:t>
            </w:r>
            <w:proofErr w:type="spellStart"/>
            <w:r w:rsidR="0090637B" w:rsidRPr="0098232A">
              <w:rPr>
                <w:rFonts w:ascii="Times New Roman" w:hAnsi="Times New Roman"/>
                <w:sz w:val="24"/>
                <w:szCs w:val="24"/>
              </w:rPr>
              <w:t>компостиране</w:t>
            </w:r>
            <w:proofErr w:type="spellEnd"/>
            <w:r w:rsidR="0090637B" w:rsidRPr="0098232A">
              <w:rPr>
                <w:rFonts w:ascii="Times New Roman" w:hAnsi="Times New Roman"/>
                <w:sz w:val="24"/>
                <w:szCs w:val="24"/>
              </w:rPr>
              <w:t xml:space="preserve"> и анаеробно разграждане, с което да се постигне изпълнението на целите по чл. 31, ал. 1 от ЗУО а именно:</w:t>
            </w:r>
          </w:p>
          <w:p w:rsidR="0090637B" w:rsidRPr="0098232A" w:rsidRDefault="0090637B" w:rsidP="0090637B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ab/>
              <w:t>най-късно до 1 януари 2020 г. подготовка за повторна употреба и рециклиране на отпадъчни материали, включващи хартия и картон, метал, пластмаса и стъкло от домакинствата и подобни отпадъци от други източници на не по-малко от 50 на сто от общото тегло на тези отпадъци;</w:t>
            </w:r>
          </w:p>
          <w:p w:rsidR="0090637B" w:rsidRPr="0098232A" w:rsidRDefault="0090637B" w:rsidP="0090637B">
            <w:pPr>
              <w:ind w:firstLine="720"/>
              <w:jc w:val="both"/>
            </w:pPr>
            <w:r w:rsidRPr="0098232A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ab/>
              <w:t xml:space="preserve">най-късно до 31 декември 2020 г. ограничаване на количеството депонирани </w:t>
            </w:r>
            <w:proofErr w:type="spellStart"/>
            <w:r w:rsidRPr="0098232A">
              <w:rPr>
                <w:rFonts w:ascii="Times New Roman" w:hAnsi="Times New Roman"/>
                <w:sz w:val="24"/>
                <w:szCs w:val="24"/>
              </w:rPr>
              <w:t>биоразградими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</w:rPr>
              <w:t xml:space="preserve"> битови отпадъци до 35 на сто от общото количество на същите отпадъци, образувани в Република България през 1995 г.</w:t>
            </w:r>
            <w:r w:rsidRPr="0098232A">
              <w:t xml:space="preserve"> </w:t>
            </w:r>
          </w:p>
          <w:p w:rsidR="00C54E2B" w:rsidRPr="0098232A" w:rsidRDefault="00C54E2B" w:rsidP="0090637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E2B" w:rsidRPr="0098232A" w:rsidRDefault="0073616D" w:rsidP="000A026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Подобренията в </w:t>
            </w:r>
            <w:r w:rsidR="00A04CDE" w:rsidRPr="009823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аредбата са в синхрон с </w:t>
            </w:r>
            <w:r w:rsidR="001427B4" w:rsidRPr="0098232A">
              <w:rPr>
                <w:rFonts w:ascii="Times New Roman" w:hAnsi="Times New Roman" w:cs="Times New Roman"/>
                <w:sz w:val="24"/>
                <w:szCs w:val="24"/>
              </w:rPr>
              <w:t>главната стратегическа цел на страната  в сферата</w:t>
            </w:r>
            <w:r w:rsidR="00732C1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на управлението на отпадъците </w:t>
            </w:r>
            <w:r w:rsidR="001427B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27B4"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„Общество и бизнес, които не депонират отпадъци“</w:t>
            </w:r>
            <w:r w:rsidR="001427B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заложена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в Националния план за управление на отпадъците 2014-2020 г.</w:t>
            </w:r>
            <w:r w:rsidR="00732C1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по специално по отношение на </w:t>
            </w:r>
            <w:r w:rsidR="00390FB9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изпълнение на Програмата за достигане на целите и изискванията за </w:t>
            </w:r>
            <w:proofErr w:type="spellStart"/>
            <w:r w:rsidR="00390FB9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="00390FB9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 в т.ч. за </w:t>
            </w:r>
            <w:proofErr w:type="spellStart"/>
            <w:r w:rsidR="00390FB9" w:rsidRPr="0098232A">
              <w:rPr>
                <w:rFonts w:ascii="Times New Roman" w:hAnsi="Times New Roman" w:cs="Times New Roman"/>
                <w:sz w:val="24"/>
                <w:szCs w:val="24"/>
              </w:rPr>
              <w:t>биоотпадъците</w:t>
            </w:r>
            <w:proofErr w:type="spellEnd"/>
            <w:r w:rsidR="0094286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3623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Това от своя страна е стъпка напред по пътя на ресурсната ефективност. </w:t>
            </w:r>
          </w:p>
          <w:p w:rsidR="00455585" w:rsidRPr="0098232A" w:rsidRDefault="00455585" w:rsidP="000A026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585" w:rsidRPr="0098232A" w:rsidRDefault="00455585" w:rsidP="00455585">
            <w:pPr>
              <w:pStyle w:val="ListParagraph"/>
              <w:numPr>
                <w:ilvl w:val="0"/>
                <w:numId w:val="9"/>
              </w:numPr>
              <w:spacing w:line="27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Наредба за излязлото от употреба електрическо и електронно оборудване</w:t>
            </w:r>
          </w:p>
          <w:p w:rsidR="00455585" w:rsidRPr="0098232A" w:rsidRDefault="00455585" w:rsidP="0045558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Целта на промяната в наредбата е </w:t>
            </w: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отстраняване на непълнотата в съответствието на наредбата с Директива 2012/19/ЕC на Европейския парламент и на Съвета от 4 юли 2012 година относно отпадъци от електрическо и електронно оборудване.</w:t>
            </w:r>
          </w:p>
          <w:p w:rsidR="00455585" w:rsidRPr="0098232A" w:rsidRDefault="00455585" w:rsidP="000A026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585" w:rsidRPr="0098232A" w:rsidRDefault="00455585" w:rsidP="000A026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585" w:rsidRPr="0098232A" w:rsidRDefault="00455585" w:rsidP="0045558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Наредба за излезлите от употреба моторни превозни средства</w:t>
            </w:r>
          </w:p>
          <w:p w:rsidR="00455585" w:rsidRPr="0098232A" w:rsidRDefault="00A04CDE" w:rsidP="00455585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lastRenderedPageBreak/>
              <w:t>На</w:t>
            </w:r>
            <w:r w:rsidR="00455585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правените предложения за промени в  НИУМПС са с цел ограничаване на случаите на умишлено премахване и к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ражби на катализатори, които се</w:t>
            </w:r>
            <w:r w:rsidR="00455585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 предават като отпадък, както и </w:t>
            </w:r>
            <w:r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въвеждането на изискванията</w:t>
            </w:r>
            <w:r w:rsidR="00455585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 на </w:t>
            </w:r>
            <w:r w:rsidR="00455585" w:rsidRPr="0098232A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bg-BG"/>
              </w:rPr>
              <w:t>Директива (ЕС) 2017/2096</w:t>
            </w:r>
            <w:r w:rsidR="00AA2AA2" w:rsidRPr="0098232A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bg-BG"/>
              </w:rPr>
              <w:t xml:space="preserve"> </w:t>
            </w:r>
            <w:r w:rsidR="00AA2AA2" w:rsidRPr="0098232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bg-BG"/>
              </w:rPr>
              <w:t>в българската нормативна уредба</w:t>
            </w:r>
            <w:r w:rsidR="00455585" w:rsidRPr="0098232A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bg-BG"/>
              </w:rPr>
              <w:t>.</w:t>
            </w:r>
          </w:p>
          <w:p w:rsidR="00455585" w:rsidRPr="0098232A" w:rsidRDefault="00455585" w:rsidP="00455585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lang w:eastAsia="bg-BG"/>
              </w:rPr>
            </w:pPr>
          </w:p>
          <w:p w:rsidR="00455585" w:rsidRPr="0098232A" w:rsidRDefault="00455585" w:rsidP="00F22F5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Наредба за реда и начина за изчисляване на размера на финансовата гаранция или еквивалентна застраховка и за предоставяне на годишни справки-декларации при трансграничен превоз на отпадъци</w:t>
            </w:r>
          </w:p>
          <w:p w:rsidR="00455585" w:rsidRPr="0098232A" w:rsidRDefault="00455585" w:rsidP="00455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Целта на промяната е намаляване на размера на финансовата гаранция, изискуема от износителите на неопасни отпадъци, включени в Зеления списък на </w:t>
            </w: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Регламент (ЕО) №1013/2006 относно превози на отпадъци,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за държави, за които се изисква процедура на предварителна писмена нотификация и съгласие, посредством въвеждане на възможност за изчисляването й по формула, която взима предвид реалната стойност на очакваните разходи. </w:t>
            </w:r>
          </w:p>
          <w:p w:rsidR="00642FFF" w:rsidRPr="0098232A" w:rsidRDefault="005C44C5" w:rsidP="00D3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821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070C33" w:rsidRPr="0098232A" w:rsidTr="00035EE9">
        <w:tc>
          <w:tcPr>
            <w:tcW w:w="10314" w:type="dxa"/>
            <w:gridSpan w:val="2"/>
          </w:tcPr>
          <w:p w:rsidR="00883522" w:rsidRPr="0098232A" w:rsidRDefault="00883522" w:rsidP="008835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Идентифициране на заинтересованите страни:</w:t>
            </w:r>
          </w:p>
          <w:p w:rsidR="00137131" w:rsidRPr="0098232A" w:rsidRDefault="00137131" w:rsidP="001371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Посочете  всички  потенциални  засегнати  и  заинтересовани  страни,  върху  които </w:t>
            </w:r>
          </w:p>
          <w:p w:rsidR="00137131" w:rsidRPr="0098232A" w:rsidRDefault="00137131" w:rsidP="001371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предложението  ще  окаже  пряко  или  косвено  въздействие  (бизнес  в  дадена </w:t>
            </w:r>
          </w:p>
          <w:p w:rsidR="00137131" w:rsidRPr="0098232A" w:rsidRDefault="00137131" w:rsidP="001371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област/всички  предприемачи,  неправителствени  организации,  граждани/техни </w:t>
            </w:r>
          </w:p>
          <w:p w:rsidR="00137131" w:rsidRPr="0098232A" w:rsidRDefault="00137131" w:rsidP="00137131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представители, държавни органи, др.).</w:t>
            </w:r>
          </w:p>
          <w:p w:rsidR="00F25D18" w:rsidRPr="0098232A" w:rsidRDefault="00F25D18" w:rsidP="00F25D18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Наредба за разделно събиране на </w:t>
            </w:r>
            <w:proofErr w:type="spellStart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биоотпадъците</w:t>
            </w:r>
            <w:proofErr w:type="spellEnd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 и третиране на </w:t>
            </w:r>
            <w:proofErr w:type="spellStart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биоразградимите</w:t>
            </w:r>
            <w:proofErr w:type="spellEnd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 отпадъци</w:t>
            </w:r>
          </w:p>
          <w:p w:rsidR="00FF34B8" w:rsidRPr="0098232A" w:rsidRDefault="00944F9E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Оператори на съоръжения за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компостиране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/анаеробно разграждане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</w:t>
            </w:r>
            <w:r w:rsidR="00FF34B8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01230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A51" w:rsidRPr="0098232A" w:rsidRDefault="002B1F49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Оператори на съоръжения за механично-биологично третиране на смесени битови отпадъци (МБТ)</w:t>
            </w:r>
            <w:r w:rsidR="009B635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C3A51" w:rsidRPr="0098232A" w:rsidRDefault="002B1F49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Регионални инспекции по околна среда и води (16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6354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6BFD" w:rsidRPr="0098232A" w:rsidRDefault="00976BFD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Областни дирекции по </w:t>
            </w:r>
            <w:r w:rsidR="00CA67B6" w:rsidRPr="0098232A">
              <w:rPr>
                <w:rFonts w:ascii="Times New Roman" w:hAnsi="Times New Roman" w:cs="Times New Roman"/>
                <w:sz w:val="24"/>
                <w:szCs w:val="24"/>
              </w:rPr>
              <w:t>безопасност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на храните</w:t>
            </w:r>
            <w:r w:rsidR="00CA67B6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(28 </w:t>
            </w:r>
            <w:proofErr w:type="spellStart"/>
            <w:r w:rsidR="00CA67B6" w:rsidRPr="0098232A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="00CA67B6" w:rsidRPr="00982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A67B6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01230" w:rsidRPr="0098232A" w:rsidRDefault="006C3A51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230" w:rsidRPr="0098232A">
              <w:rPr>
                <w:rFonts w:ascii="Times New Roman" w:hAnsi="Times New Roman" w:cs="Times New Roman"/>
                <w:sz w:val="24"/>
                <w:szCs w:val="24"/>
              </w:rPr>
              <w:t>бщини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 (Брой – 265</w:t>
            </w:r>
            <w:r w:rsidR="00750FC0" w:rsidRPr="0098232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25D18" w:rsidRPr="0098232A" w:rsidRDefault="00F25D18" w:rsidP="00F25D18">
            <w:pPr>
              <w:pStyle w:val="ListParagraph"/>
              <w:spacing w:line="27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Наредба за излязлото от употреба електрическо и електронно оборудване</w:t>
            </w:r>
          </w:p>
          <w:p w:rsidR="00750FC0" w:rsidRPr="0098232A" w:rsidRDefault="00750FC0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Лица, които пускат на пазара ЕЕО;</w:t>
            </w:r>
          </w:p>
          <w:p w:rsidR="00F25D18" w:rsidRPr="0098232A" w:rsidRDefault="00F25D18" w:rsidP="00F25D18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Наредба за излезлите от употреба моторни превозни средства</w:t>
            </w:r>
          </w:p>
          <w:p w:rsidR="00750FC0" w:rsidRPr="0098232A" w:rsidRDefault="00750FC0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Лица, които пускат на пазара автомобили от категории M1 и N1, задвижвани със системи с високо напрежение, съдържащи олово;</w:t>
            </w:r>
          </w:p>
          <w:p w:rsidR="00750FC0" w:rsidRPr="0098232A" w:rsidRDefault="00750FC0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Лица, които използват автомобили от категории M1 и N1, задвижвани със системи с високо напрежение, съдържащи олово;</w:t>
            </w:r>
          </w:p>
          <w:p w:rsidR="002B342A" w:rsidRPr="0098232A" w:rsidRDefault="002B342A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Собственици на МПС;</w:t>
            </w:r>
          </w:p>
          <w:p w:rsidR="00B51FF7" w:rsidRPr="0098232A" w:rsidRDefault="00B51FF7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Автосервизи</w:t>
            </w:r>
            <w:r w:rsidR="00035EE9" w:rsidRPr="009823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42A" w:rsidRPr="0098232A" w:rsidRDefault="00B51FF7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Start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>ператори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>на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>центрове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>за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>разкомплект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>о</w:t>
            </w:r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>ване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</w:t>
            </w:r>
            <w:proofErr w:type="spellStart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>операторите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>на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площадки за събиране и съхраняване на ИУМПС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D18" w:rsidRPr="0098232A" w:rsidRDefault="00F25D18" w:rsidP="00F25D18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Наредба за реда и начина за изчисляване на размера на финансовата гаранция или еквивалентна застраховка и за предоставяне на годишни справки-декларации при трансграничен превоз на отпадъци</w:t>
            </w:r>
          </w:p>
          <w:p w:rsidR="00750FC0" w:rsidRPr="0098232A" w:rsidRDefault="00750FC0" w:rsidP="00F25D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Лица - износителите на неопасни отпадъци, включени в Зеления списък на </w:t>
            </w: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Регламент (ЕО) №1013/2006 относно превози на отпадъци,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за държави, за които се изисква процедура на предварителна писмена нотификация и съгласие – средно 25 бр./год.</w:t>
            </w:r>
          </w:p>
          <w:p w:rsidR="00070C33" w:rsidRPr="0098232A" w:rsidRDefault="00070C33" w:rsidP="0035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33" w:rsidRPr="0098232A" w:rsidTr="00035EE9">
        <w:tc>
          <w:tcPr>
            <w:tcW w:w="10314" w:type="dxa"/>
            <w:gridSpan w:val="2"/>
          </w:tcPr>
          <w:p w:rsidR="00883522" w:rsidRPr="0098232A" w:rsidRDefault="00883522" w:rsidP="008835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8232A">
              <w:t xml:space="preserve">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Варианти на действие:</w:t>
            </w:r>
          </w:p>
          <w:p w:rsidR="00ED0F09" w:rsidRPr="0098232A" w:rsidRDefault="00137131" w:rsidP="00F22F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Идентифицирайте основните регулаторни и нерегулаторни възможни варианти на действие от страна на държавата, включително варианта „без действие“</w:t>
            </w:r>
          </w:p>
          <w:p w:rsidR="00ED0F09" w:rsidRPr="0098232A" w:rsidRDefault="00ED0F09" w:rsidP="00883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1: Без действие </w:t>
            </w:r>
          </w:p>
          <w:p w:rsidR="00366D9E" w:rsidRPr="0098232A" w:rsidRDefault="00366D9E" w:rsidP="00F2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При този вариант не се предвижда изменение и допълнение на наредбите. </w:t>
            </w:r>
          </w:p>
          <w:p w:rsidR="00106417" w:rsidRPr="0098232A" w:rsidRDefault="00106417" w:rsidP="00F2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Няма да </w:t>
            </w:r>
            <w:r w:rsidR="001604A7" w:rsidRPr="0098232A">
              <w:rPr>
                <w:rFonts w:ascii="Times New Roman" w:hAnsi="Times New Roman" w:cs="Times New Roman"/>
                <w:sz w:val="24"/>
                <w:szCs w:val="24"/>
              </w:rPr>
              <w:t>е възможно стаби</w:t>
            </w:r>
            <w:r w:rsidR="00400495" w:rsidRPr="0098232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1604A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зираната органична фракция да се използва за ежедневно </w:t>
            </w:r>
            <w:proofErr w:type="spellStart"/>
            <w:r w:rsidR="001604A7" w:rsidRPr="0098232A">
              <w:rPr>
                <w:rFonts w:ascii="Times New Roman" w:hAnsi="Times New Roman" w:cs="Times New Roman"/>
                <w:sz w:val="24"/>
                <w:szCs w:val="24"/>
              </w:rPr>
              <w:t>запръстяване</w:t>
            </w:r>
            <w:proofErr w:type="spellEnd"/>
            <w:r w:rsidR="001604A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в обратни насипи, а ще се налага операторите на съоръженията да търсят </w:t>
            </w:r>
            <w:r w:rsidR="001604A7" w:rsidRPr="0098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икономически по-неизгодни решения, например депониране.</w:t>
            </w:r>
          </w:p>
          <w:p w:rsidR="00EE2D0F" w:rsidRPr="0098232A" w:rsidRDefault="00EE2D0F" w:rsidP="00F2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Ще продължат да съществ</w:t>
            </w:r>
            <w:r w:rsidR="001604A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уват неяснотите по отношение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4A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прилагане на </w:t>
            </w:r>
            <w:r w:rsidR="00AA2AA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Наредбата за разделно събиране на </w:t>
            </w:r>
            <w:proofErr w:type="spellStart"/>
            <w:r w:rsidR="00AA2AA2" w:rsidRPr="0098232A">
              <w:rPr>
                <w:rFonts w:ascii="Times New Roman" w:hAnsi="Times New Roman" w:cs="Times New Roman"/>
                <w:sz w:val="24"/>
                <w:szCs w:val="24"/>
              </w:rPr>
              <w:t>биоотпадъците</w:t>
            </w:r>
            <w:proofErr w:type="spellEnd"/>
            <w:r w:rsidR="00AA2AA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третиране на </w:t>
            </w:r>
            <w:proofErr w:type="spellStart"/>
            <w:r w:rsidR="00AA2AA2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="00AA2AA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</w:t>
            </w:r>
            <w:r w:rsidR="00125B83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неизпълнение на основната цел на акта и целите по ЗУО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D0F" w:rsidRPr="0098232A" w:rsidRDefault="00EE2D0F" w:rsidP="00F2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Като обобщение може да се посочи, че неяснотите в текстовете на </w:t>
            </w:r>
            <w:r w:rsidR="00AA2AA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Наредбата за разделно събиране на </w:t>
            </w:r>
            <w:proofErr w:type="spellStart"/>
            <w:r w:rsidR="00AA2AA2" w:rsidRPr="0098232A">
              <w:rPr>
                <w:rFonts w:ascii="Times New Roman" w:hAnsi="Times New Roman" w:cs="Times New Roman"/>
                <w:sz w:val="24"/>
                <w:szCs w:val="24"/>
              </w:rPr>
              <w:t>биоотпадъците</w:t>
            </w:r>
            <w:proofErr w:type="spellEnd"/>
            <w:r w:rsidR="00AA2AA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третиране на </w:t>
            </w:r>
            <w:proofErr w:type="spellStart"/>
            <w:r w:rsidR="00AA2AA2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="00AA2AA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ще продължат да съществуват. Това </w:t>
            </w:r>
            <w:r w:rsidR="008947F8" w:rsidRPr="0098232A">
              <w:rPr>
                <w:rFonts w:ascii="Times New Roman" w:hAnsi="Times New Roman" w:cs="Times New Roman"/>
                <w:sz w:val="24"/>
                <w:szCs w:val="24"/>
              </w:rPr>
              <w:t>от своя страна е предпоставка за продължаването на изпитване на затруднения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при прилагането на същата.</w:t>
            </w:r>
            <w:r w:rsidR="008947F8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D9E" w:rsidRPr="0098232A" w:rsidRDefault="00366D9E" w:rsidP="00366D9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Директива (ЕС) 2017/2096 няма да е транспонирана, а Директива 2012/19/ЕC ще е непълно и неточно транспонирана, което може да доведе до наказателни процедури.</w:t>
            </w:r>
          </w:p>
          <w:p w:rsidR="00366D9E" w:rsidRPr="0098232A" w:rsidRDefault="00366D9E" w:rsidP="0036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Няма да се ограничат случаите на умишлено премахване и кражби на катализатори от МПС.</w:t>
            </w:r>
          </w:p>
          <w:p w:rsidR="00366D9E" w:rsidRPr="0098232A" w:rsidRDefault="00366D9E" w:rsidP="0036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Износителите на неопасни отпадъци, включени в Зеления списък на </w:t>
            </w: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Регламент (ЕО) №1013/2006 относно превози на отпадъци,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за държави, за които се изисква процедура на предварителна писмена нотификация и съгласие </w:t>
            </w:r>
            <w:r w:rsidR="00400495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би следвало да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представят финансова гаранция в размер на 2000 лв./тон отпадък подобно на лицата, организиращи трансгранични превози на опасни отпадъци.</w:t>
            </w:r>
          </w:p>
          <w:p w:rsidR="00A13A4B" w:rsidRPr="0098232A" w:rsidRDefault="00A13A4B" w:rsidP="00906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3A4B" w:rsidRPr="0098232A" w:rsidRDefault="00A13A4B" w:rsidP="008835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2: </w:t>
            </w:r>
            <w:r w:rsidR="00366D9E"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Приемане на Постановление на Министерския съвет за  изменение и допълнение на нормативни актове</w:t>
            </w:r>
          </w:p>
          <w:p w:rsidR="00813430" w:rsidRPr="0098232A" w:rsidRDefault="00813430" w:rsidP="008835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13430" w:rsidRPr="0098232A" w:rsidRDefault="00A53C27" w:rsidP="00122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С ПМС за изменение и допълнение на нормативни актове се планира да се извършат сле</w:t>
            </w:r>
            <w:r w:rsidR="00BB6B25" w:rsidRPr="009823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ните промени в четирите нормативни акта:</w:t>
            </w:r>
          </w:p>
          <w:p w:rsidR="005C0705" w:rsidRPr="0098232A" w:rsidRDefault="005C0705" w:rsidP="005C070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Наредба за разделно събиране на </w:t>
            </w:r>
            <w:proofErr w:type="spellStart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биоотпадъците</w:t>
            </w:r>
            <w:proofErr w:type="spellEnd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 и третиране на </w:t>
            </w:r>
            <w:proofErr w:type="spellStart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биоразградимите</w:t>
            </w:r>
            <w:proofErr w:type="spellEnd"/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 отпадъци</w:t>
            </w:r>
          </w:p>
          <w:p w:rsidR="00EA44E2" w:rsidRPr="0098232A" w:rsidRDefault="00EA44E2" w:rsidP="00EA44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98232A">
              <w:rPr>
                <w:rFonts w:ascii="Times New Roman" w:hAnsi="Times New Roman"/>
                <w:sz w:val="24"/>
                <w:szCs w:val="24"/>
              </w:rPr>
              <w:t>Ще се</w:t>
            </w: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разшири обхвата на допустимите области на употреба на стабилизираната органична фракция от процеса на механично-биологично третиране (използване за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запръстяване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на депа) и ферментационния продукт, получен в резултат на анаеробно третиране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 </w:t>
            </w:r>
            <w:r w:rsidR="00595FAB" w:rsidRPr="0098232A">
              <w:rPr>
                <w:rFonts w:ascii="Times New Roman" w:hAnsi="Times New Roman" w:cs="Times New Roman"/>
                <w:sz w:val="24"/>
                <w:szCs w:val="24"/>
              </w:rPr>
              <w:t>(използване за земеделие) с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FAB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цел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спазване на йерархията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 xml:space="preserve"> за управление на отпадъците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изпълнение на целта за намаляване на количеството депонирани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 с 35% до 2020 г.</w:t>
            </w:r>
            <w:r w:rsidR="00595FAB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A8B" w:rsidRPr="0098232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2A6041" w:rsidRPr="0098232A">
              <w:rPr>
                <w:rFonts w:ascii="Times New Roman" w:hAnsi="Times New Roman" w:cs="Times New Roman"/>
                <w:sz w:val="24"/>
                <w:szCs w:val="24"/>
              </w:rPr>
              <w:t>кстовете ще бъдат прецизирани в посока намаляване на административната и регулаторната тежест</w:t>
            </w:r>
            <w:r w:rsidR="0087727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по-ефикасно прилагане на нормативния акт.</w:t>
            </w:r>
          </w:p>
          <w:p w:rsidR="00EA44E2" w:rsidRPr="0098232A" w:rsidRDefault="00EA44E2" w:rsidP="00EA44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0705" w:rsidRPr="0098232A" w:rsidRDefault="005C0705" w:rsidP="005C070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Наредбата за излязлото от употреба електрическо и електронно оборудване </w:t>
            </w:r>
          </w:p>
          <w:p w:rsidR="00E61F6C" w:rsidRPr="0098232A" w:rsidRDefault="00E61F6C" w:rsidP="00E61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Ще бъдат отразени забележките от ЕК от полученото писмо запитване относно транспониране на Директива 2012/19/ЕС, като се премахне алтернатива на изключението, предвидено от националното законодателство, което не е в съответствие с директивата, ще бъде уточнено, че 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 xml:space="preserve">лицата, които пускат на пазара ЕЕО осигуряват на лицата, които извършват събиране, съхраняване, предварително третиране и оползотворяване безплатно информацията за различните компоненти и материали на ЕЕО, както и местоположението на опасните вещества и смеси в него с цел улесняване на повторната употреба и правилното и </w:t>
            </w:r>
            <w:proofErr w:type="spellStart"/>
            <w:r w:rsidRPr="0098232A">
              <w:rPr>
                <w:rFonts w:ascii="Times New Roman" w:hAnsi="Times New Roman"/>
                <w:sz w:val="24"/>
                <w:szCs w:val="24"/>
              </w:rPr>
              <w:t>екологосъобразно</w:t>
            </w:r>
            <w:proofErr w:type="spellEnd"/>
            <w:r w:rsidRPr="0098232A">
              <w:rPr>
                <w:rFonts w:ascii="Times New Roman" w:hAnsi="Times New Roman"/>
                <w:sz w:val="24"/>
                <w:szCs w:val="24"/>
              </w:rPr>
              <w:t xml:space="preserve"> предварително третиране, оползотворяване и обезвреждане на ИУЕЕО, включително поддръжката и ремонта му и ще бъдат </w:t>
            </w:r>
            <w:r w:rsidR="00660C4F" w:rsidRPr="0098232A">
              <w:rPr>
                <w:rFonts w:ascii="Times New Roman" w:hAnsi="Times New Roman"/>
                <w:sz w:val="24"/>
                <w:szCs w:val="24"/>
              </w:rPr>
              <w:t xml:space="preserve">допълнени определенията на „медицинско изделие“ и „диагностично медицинско изделие </w:t>
            </w:r>
            <w:proofErr w:type="spellStart"/>
            <w:r w:rsidR="00660C4F" w:rsidRPr="0098232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="00660C4F" w:rsidRPr="00982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0C4F" w:rsidRPr="0098232A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="00660C4F" w:rsidRPr="0098232A">
              <w:rPr>
                <w:rFonts w:ascii="Times New Roman" w:hAnsi="Times New Roman"/>
                <w:sz w:val="24"/>
                <w:szCs w:val="24"/>
              </w:rPr>
              <w:t>“ в съответствие с изискванията на директивата.</w:t>
            </w:r>
          </w:p>
          <w:p w:rsidR="005C0705" w:rsidRPr="0098232A" w:rsidRDefault="005C0705" w:rsidP="00660C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0705" w:rsidRPr="0098232A" w:rsidRDefault="005C0705" w:rsidP="005C070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 xml:space="preserve">Наредбата за излезлите от употреба моторни превозни средства </w:t>
            </w:r>
          </w:p>
          <w:p w:rsidR="00CA21D5" w:rsidRPr="0098232A" w:rsidRDefault="00DE6D34" w:rsidP="00DE6D3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</w:rPr>
              <w:t xml:space="preserve">Ще бъде изменено приложение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 xml:space="preserve"> 1 от наредбата в съответствие с изискванията на </w:t>
            </w: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Директива (ЕС) 2017/2096</w:t>
            </w:r>
            <w:r w:rsidR="0012243F" w:rsidRPr="0098232A">
              <w:rPr>
                <w:rFonts w:ascii="Times New Roman" w:hAnsi="Times New Roman"/>
                <w:sz w:val="24"/>
                <w:szCs w:val="24"/>
                <w:lang w:val="ru-RU"/>
              </w:rPr>
              <w:t>. Ще се въведе изискване предаването и приемането на отработен катализатор, отделен от МПС или ИУМПС да става само с декларация за произход</w:t>
            </w:r>
            <w:r w:rsidR="001B1023" w:rsidRPr="0098232A">
              <w:rPr>
                <w:rFonts w:ascii="Times New Roman" w:hAnsi="Times New Roman"/>
                <w:sz w:val="24"/>
                <w:szCs w:val="24"/>
                <w:lang w:val="ru-RU"/>
              </w:rPr>
              <w:t>, попълнена от собственика на МПС</w:t>
            </w:r>
            <w:r w:rsidR="0012243F" w:rsidRPr="009823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B1023" w:rsidRPr="0098232A">
              <w:rPr>
                <w:rFonts w:ascii="Times New Roman" w:hAnsi="Times New Roman"/>
                <w:sz w:val="24"/>
                <w:szCs w:val="24"/>
                <w:lang w:val="ru-RU"/>
              </w:rPr>
              <w:t>или ИУМПС.</w:t>
            </w:r>
            <w:r w:rsidR="0012243F" w:rsidRPr="009823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C0705" w:rsidRPr="0098232A" w:rsidRDefault="005C0705" w:rsidP="005C0705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0705" w:rsidRPr="0098232A" w:rsidRDefault="005C0705" w:rsidP="005C070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/>
                <w:b/>
                <w:sz w:val="24"/>
                <w:szCs w:val="24"/>
              </w:rPr>
              <w:t>Наредба за реда и начина за изчисляване на размера на финансовата гаранция или еквивалентна застраховка и за предоставяне на годишни справки-декларации при трансграничен превоз на отпадъци</w:t>
            </w:r>
          </w:p>
          <w:p w:rsidR="00A53C27" w:rsidRPr="0098232A" w:rsidRDefault="00BB6B25" w:rsidP="0088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Ще се въведе възможност за износителите на отпадъци от Зеления списък за оползотворяване в държави извън Европейския съюз в случаи, в които се изисква предварителна писмена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нотификация и съгласие по Регламент (ЕО) 1013/2006, да изчисляват размера на изискуемата финансова гаранция по формула, която взима предвид реалната стойност на очакваните разходи.</w:t>
            </w:r>
          </w:p>
          <w:p w:rsidR="00C01230" w:rsidRPr="0098232A" w:rsidRDefault="00C01230" w:rsidP="0088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10E" w:rsidRPr="0098232A" w:rsidRDefault="00D9510E" w:rsidP="00D9510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Приемането на ПМС за изменение и допълнение на актове ще доведе до:</w:t>
            </w:r>
          </w:p>
          <w:p w:rsidR="00D9510E" w:rsidRPr="0098232A" w:rsidRDefault="00D9510E" w:rsidP="00D9510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остраняване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на пропуските и неяснотите, които съществуват към момента с прилагането на Наредба за разделно събиране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биоотпадъците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третиране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отпадъци; </w:t>
            </w:r>
          </w:p>
          <w:p w:rsidR="00D9510E" w:rsidRPr="0098232A" w:rsidRDefault="00D9510E" w:rsidP="00D9510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допълнение на областите на употреба на стабилизираната органична фракция и ферментационния продукт;</w:t>
            </w:r>
          </w:p>
          <w:p w:rsidR="00D9510E" w:rsidRPr="0098232A" w:rsidRDefault="00964A1A" w:rsidP="00D9510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облекчаване на дейността на операторите на МБТ, инсталациите за анаеробно третиране, както и на депата като се дава възможност за по-икономически  изгодно и ефективно третиране на стабилизираната органична фракция и ферментационния продукт;</w:t>
            </w:r>
          </w:p>
          <w:p w:rsidR="00964A1A" w:rsidRPr="0098232A" w:rsidRDefault="00964A1A" w:rsidP="00D9510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по-ефективното прилагане на разпоредбите по управление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отпадъци, което ще способства за постигане на целите по оползотворяване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отпадъци, както на национално, така и на европейско ниво;</w:t>
            </w:r>
          </w:p>
          <w:p w:rsidR="00D9510E" w:rsidRPr="0098232A" w:rsidRDefault="00D9510E" w:rsidP="00D9510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транспониране на Директива (ЕС) 2017/2096, с което ще се избегне наказателна процедура;</w:t>
            </w:r>
          </w:p>
          <w:p w:rsidR="00D9510E" w:rsidRPr="0098232A" w:rsidRDefault="00D9510E" w:rsidP="00D9510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ограничаване на случаите на умишлено премахване и кражби на катализатори от МПС; </w:t>
            </w:r>
          </w:p>
          <w:p w:rsidR="00D9510E" w:rsidRPr="0098232A" w:rsidRDefault="00D9510E" w:rsidP="00D9510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пълно транспониране на Директива 2012/19/ЕC, с което ще се избегне наказателна процедура;</w:t>
            </w:r>
          </w:p>
          <w:p w:rsidR="00D9510E" w:rsidRPr="0098232A" w:rsidRDefault="00D9510E" w:rsidP="00D9510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намаляване на размера на финансовата гаранция, изискуема за превози на неопасни отпадъци за държави извън ЕС в случаите, когато се изисква предварителна писмена нотификация и съгласие.</w:t>
            </w:r>
          </w:p>
          <w:p w:rsidR="00070C33" w:rsidRPr="0098232A" w:rsidRDefault="00070C33" w:rsidP="00F22F57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3522" w:rsidRPr="0098232A" w:rsidTr="00035EE9">
        <w:tc>
          <w:tcPr>
            <w:tcW w:w="10314" w:type="dxa"/>
            <w:gridSpan w:val="2"/>
          </w:tcPr>
          <w:p w:rsidR="00331F47" w:rsidRPr="0098232A" w:rsidRDefault="00331F47" w:rsidP="00A77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Негативни въздействия:</w:t>
            </w:r>
          </w:p>
          <w:p w:rsidR="00137131" w:rsidRPr="0098232A" w:rsidRDefault="00137131" w:rsidP="00A77026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Опишете  качествено  (при  възможност - и  количествено)  всички  значителни потенциални икономически, социални, екологични и други негативни въздействия за всеки  един  от  вариантите,  в  т.ч.  разходи  (негативни  въздействия)  за идентифицираните  заинтересовани  страни  в  резултат  на  предприемане  на действията.  Пояснете  кои  разходи</w:t>
            </w:r>
            <w:r w:rsidR="00AC3E40"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(негативни  въздействия)  се  очаква  да  бъдат второстепенни и кои да са значителни</w:t>
            </w:r>
          </w:p>
          <w:p w:rsidR="00C565F8" w:rsidRPr="0098232A" w:rsidRDefault="00C565F8" w:rsidP="00A7702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Очакваните негативни въздействия са сходни за заинтересованите страни </w:t>
            </w:r>
            <w:r w:rsidR="00EE3E86" w:rsidRPr="009823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съответн</w:t>
            </w:r>
            <w:r w:rsidR="00EE3E86" w:rsidRPr="0098232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E86" w:rsidRPr="0098232A">
              <w:rPr>
                <w:rFonts w:ascii="Times New Roman" w:hAnsi="Times New Roman" w:cs="Times New Roman"/>
                <w:sz w:val="24"/>
                <w:szCs w:val="24"/>
              </w:rPr>
              <w:t>проблем, поради което въздействията са представени общо за съответната група.</w:t>
            </w:r>
          </w:p>
          <w:p w:rsidR="00E41F1C" w:rsidRPr="0098232A" w:rsidRDefault="00D3072B" w:rsidP="00E41F1C"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1:</w:t>
            </w:r>
            <w:r w:rsidR="00D15C7A"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действие</w:t>
            </w:r>
            <w:r w:rsidR="00E41F1C" w:rsidRPr="0098232A">
              <w:t xml:space="preserve"> </w:t>
            </w:r>
          </w:p>
          <w:p w:rsidR="00E41F1C" w:rsidRPr="0098232A" w:rsidRDefault="00E41F1C" w:rsidP="00E41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Икономически негативни въздействия: </w:t>
            </w:r>
          </w:p>
          <w:p w:rsidR="00E41F1C" w:rsidRPr="0098232A" w:rsidRDefault="001764CB" w:rsidP="000A026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Ще продължи да се </w:t>
            </w:r>
            <w:r w:rsidR="008A3FAB" w:rsidRPr="0098232A">
              <w:rPr>
                <w:rFonts w:ascii="Times New Roman" w:hAnsi="Times New Roman" w:cs="Times New Roman"/>
                <w:sz w:val="24"/>
                <w:szCs w:val="24"/>
              </w:rPr>
              <w:t>налага депонирането на стабилизираната органична фракция, което е икономически неизгодно. Използването на произведената стабилизирана фракция в същата регионална система за друга полезна дейност спестява значителни транспортни разходи</w:t>
            </w:r>
            <w:r w:rsidR="00A120CA" w:rsidRPr="0098232A">
              <w:rPr>
                <w:rFonts w:ascii="Times New Roman" w:hAnsi="Times New Roman" w:cs="Times New Roman"/>
                <w:sz w:val="24"/>
                <w:szCs w:val="24"/>
              </w:rPr>
              <w:t>, както и експлоатационни разходи свързани със закупуването и транспортирането на земни маси.</w:t>
            </w:r>
          </w:p>
          <w:p w:rsidR="00964A1A" w:rsidRPr="0098232A" w:rsidRDefault="00964A1A" w:rsidP="000A026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Износителите на неопасни отпадъци, включени в Зеления списък на </w:t>
            </w: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Регламент (ЕО) №1013/2006 относно превози на отпадъци,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за държави, за които се изисква процедура на предварителна писмена нотификация и съгласие, ще продължат да са в неравностойна позиция спрямо лицата, организиращи превози на опасни отпадъци, тъй като размерът на изискуемата финансова гаранция ще се запази еднакъв и в двата случая.</w:t>
            </w:r>
          </w:p>
          <w:p w:rsidR="003C47F6" w:rsidRPr="0098232A" w:rsidRDefault="003C47F6" w:rsidP="000A026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1C" w:rsidRPr="0098232A" w:rsidRDefault="00E41F1C" w:rsidP="00E41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Социални негативни въздействия:</w:t>
            </w:r>
          </w:p>
          <w:p w:rsidR="00964A1A" w:rsidRPr="0098232A" w:rsidRDefault="00D71DAA" w:rsidP="000A026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В действащата нормативна уредба няма </w:t>
            </w:r>
            <w:r w:rsidR="0042569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да има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текстове, регламентиращи </w:t>
            </w:r>
            <w:r w:rsidR="00EB3E51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изрично възможността </w:t>
            </w:r>
            <w:r w:rsidR="00A120CA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използване на стабилизираната органична фракция за ежедневно </w:t>
            </w:r>
            <w:proofErr w:type="spellStart"/>
            <w:r w:rsidR="00A120CA" w:rsidRPr="0098232A">
              <w:rPr>
                <w:rFonts w:ascii="Times New Roman" w:hAnsi="Times New Roman" w:cs="Times New Roman"/>
                <w:sz w:val="24"/>
                <w:szCs w:val="24"/>
              </w:rPr>
              <w:t>запръстяване</w:t>
            </w:r>
            <w:proofErr w:type="spellEnd"/>
            <w:r w:rsidR="00A120CA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ферментационния продукт за употреба в земеделието</w:t>
            </w:r>
            <w:r w:rsidR="00EB3E51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. Този факт </w:t>
            </w:r>
            <w:r w:rsidR="00053721" w:rsidRPr="0098232A">
              <w:rPr>
                <w:rFonts w:ascii="Times New Roman" w:hAnsi="Times New Roman" w:cs="Times New Roman"/>
                <w:sz w:val="24"/>
                <w:szCs w:val="24"/>
              </w:rPr>
              <w:t>възпира</w:t>
            </w:r>
            <w:r w:rsidR="00EB3E51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CAE" w:rsidRPr="0098232A">
              <w:rPr>
                <w:rFonts w:ascii="Times New Roman" w:hAnsi="Times New Roman" w:cs="Times New Roman"/>
                <w:sz w:val="24"/>
                <w:szCs w:val="24"/>
              </w:rPr>
              <w:t>използването им за горепосочените области на употреба</w:t>
            </w:r>
            <w:r w:rsidR="00EB3E51" w:rsidRPr="00982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4A1A" w:rsidRPr="0098232A" w:rsidRDefault="00964A1A" w:rsidP="00964A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Няма да се ограничат случаите на умишлено премахване и кражби на катализатори от МПС.</w:t>
            </w:r>
          </w:p>
          <w:p w:rsidR="00E41F1C" w:rsidRPr="0098232A" w:rsidRDefault="003C47F6" w:rsidP="005450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2D4" w:rsidRPr="0098232A" w:rsidRDefault="00E41F1C" w:rsidP="00E41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Екологични негативни въздействия:</w:t>
            </w:r>
          </w:p>
          <w:p w:rsidR="008A3FAB" w:rsidRPr="0098232A" w:rsidRDefault="007B7E22" w:rsidP="00AA2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="008A3FAB" w:rsidRPr="0098232A">
              <w:rPr>
                <w:rFonts w:ascii="Times New Roman" w:hAnsi="Times New Roman" w:cs="Times New Roman"/>
                <w:sz w:val="24"/>
                <w:szCs w:val="24"/>
              </w:rPr>
              <w:t>запръстяване</w:t>
            </w:r>
            <w:proofErr w:type="spellEnd"/>
            <w:r w:rsidR="008A3FAB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на депата </w:t>
            </w:r>
            <w:r w:rsidR="00425692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ще </w:t>
            </w:r>
            <w:r w:rsidR="008A3FAB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се използват </w:t>
            </w:r>
            <w:r w:rsidR="008A3FAB" w:rsidRPr="0098232A">
              <w:rPr>
                <w:rFonts w:ascii="Times New Roman" w:hAnsi="Times New Roman"/>
                <w:sz w:val="24"/>
                <w:szCs w:val="24"/>
              </w:rPr>
              <w:t>земни почви, които се явяват природен ресурс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 xml:space="preserve"> и се нарушава ландшафта.</w:t>
            </w:r>
            <w:r w:rsidR="008A3FAB" w:rsidRPr="00982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3FAB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392" w:rsidRPr="0098232A" w:rsidRDefault="007B7E22" w:rsidP="00AA2A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От друга страна, високите цени на депониране са предпоставка за образуване на нерегламентирани площадки за съхранение на стаб</w:t>
            </w:r>
            <w:r w:rsidR="007D427C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илизираната органична фракция </w:t>
            </w:r>
            <w:r w:rsidR="003F02D4" w:rsidRPr="009823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32A">
              <w:t xml:space="preserve">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ферментационния продукт.</w:t>
            </w:r>
            <w:r w:rsidR="003F02D4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AD1" w:rsidRPr="0098232A" w:rsidRDefault="00BF3AD1" w:rsidP="00E966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6665" w:rsidRPr="0098232A" w:rsidRDefault="00E96665" w:rsidP="00E966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Други:</w:t>
            </w:r>
          </w:p>
          <w:p w:rsidR="001C3069" w:rsidRPr="0098232A" w:rsidRDefault="00026240" w:rsidP="00425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Основните негативни</w:t>
            </w:r>
            <w:r w:rsidR="001C3069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въздействия при този вариант </w:t>
            </w:r>
            <w:r w:rsidR="002E4713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относно Наредбата за разделно събиране на </w:t>
            </w:r>
            <w:proofErr w:type="spellStart"/>
            <w:r w:rsidR="002E4713" w:rsidRPr="0098232A">
              <w:rPr>
                <w:rFonts w:ascii="Times New Roman" w:hAnsi="Times New Roman" w:cs="Times New Roman"/>
                <w:sz w:val="24"/>
                <w:szCs w:val="24"/>
              </w:rPr>
              <w:t>биоотпадъците</w:t>
            </w:r>
            <w:proofErr w:type="spellEnd"/>
            <w:r w:rsidR="002E4713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третиране на </w:t>
            </w:r>
            <w:proofErr w:type="spellStart"/>
            <w:r w:rsidR="002E4713"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="002E4713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 </w:t>
            </w:r>
            <w:r w:rsidR="001C3069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могат да бъдат обобщени по </w:t>
            </w:r>
            <w:r w:rsidR="00F07B23" w:rsidRPr="0098232A">
              <w:rPr>
                <w:rFonts w:ascii="Times New Roman" w:hAnsi="Times New Roman" w:cs="Times New Roman"/>
                <w:sz w:val="24"/>
                <w:szCs w:val="24"/>
              </w:rPr>
              <w:t>групи заинтересовани страни, както следва:</w:t>
            </w:r>
          </w:p>
          <w:p w:rsidR="00F07B23" w:rsidRPr="0098232A" w:rsidRDefault="00F07B23" w:rsidP="001F65E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B23" w:rsidRPr="0098232A" w:rsidRDefault="007B7E22" w:rsidP="00D942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Операторите на съоръженията на третиране на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биоразградимите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отпадъци – икономически неизгодни решения за третиране на остатъчната фракция</w:t>
            </w:r>
            <w:r w:rsidR="00C3321E" w:rsidRPr="009823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2835" w:rsidRPr="0098232A" w:rsidRDefault="00642835" w:rsidP="00D942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Общини – </w:t>
            </w:r>
            <w:r w:rsidR="00F023AE" w:rsidRPr="0098232A">
              <w:rPr>
                <w:rFonts w:ascii="Times New Roman" w:hAnsi="Times New Roman" w:cs="Times New Roman"/>
                <w:sz w:val="24"/>
                <w:szCs w:val="24"/>
              </w:rPr>
              <w:t>преждевременно запълване на капацитета депата и необходимост от осигуряване на допълнителни финансови ресурси за изграждане на допълнителни клетки или търсене на нови площадки за изграждане на нови депа</w:t>
            </w:r>
            <w:r w:rsidR="00C3321E" w:rsidRPr="00982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91E" w:rsidRPr="0098232A" w:rsidRDefault="00C5391E" w:rsidP="001F65E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1A" w:rsidRPr="0098232A" w:rsidRDefault="00964A1A" w:rsidP="00425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Директива (ЕС) 2017/2096 няма да е транспонирана, а Директива 2012/19/ЕC ще е непълно и неточно транспонирана, което може да доведе до наказателни процедури.</w:t>
            </w:r>
          </w:p>
          <w:p w:rsidR="00964A1A" w:rsidRPr="0098232A" w:rsidRDefault="00964A1A" w:rsidP="00964A1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5E8" w:rsidRPr="0098232A" w:rsidRDefault="00964A1A" w:rsidP="00E966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В случая този вариант е оценен като неефективен.</w:t>
            </w:r>
          </w:p>
          <w:p w:rsidR="001F65E8" w:rsidRPr="0098232A" w:rsidRDefault="001F65E8" w:rsidP="00E966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C7A" w:rsidRPr="0098232A" w:rsidRDefault="00D15C7A" w:rsidP="00A7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2: </w:t>
            </w:r>
            <w:r w:rsidR="002E4713"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Приемане на Постановление на Министерския съвет за изменение и допълнение на нормативни актове</w:t>
            </w:r>
          </w:p>
          <w:p w:rsidR="00D15C7A" w:rsidRPr="0098232A" w:rsidRDefault="00D15C7A" w:rsidP="00A7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F1C" w:rsidRPr="0098232A" w:rsidRDefault="00E41F1C" w:rsidP="00E41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Икономически негативни въздействия: </w:t>
            </w:r>
          </w:p>
          <w:p w:rsidR="00E41F1C" w:rsidRPr="0098232A" w:rsidRDefault="00E41F1C" w:rsidP="00E41F1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Не са идентифицирани.</w:t>
            </w:r>
          </w:p>
          <w:p w:rsidR="00E41F1C" w:rsidRPr="0098232A" w:rsidRDefault="00E41F1C" w:rsidP="00E41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Социални негативни въздействия:</w:t>
            </w:r>
          </w:p>
          <w:p w:rsidR="00E41F1C" w:rsidRPr="0098232A" w:rsidRDefault="00E41F1C" w:rsidP="00E41F1C">
            <w:pPr>
              <w:tabs>
                <w:tab w:val="left" w:pos="2985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Не са идентифицирани. 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C7A" w:rsidRPr="0098232A" w:rsidRDefault="00E41F1C" w:rsidP="00E4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Екологични негативни въздействия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1F1C" w:rsidRPr="0098232A" w:rsidRDefault="00E41F1C" w:rsidP="00E41F1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Не са идентифицирани.</w:t>
            </w:r>
          </w:p>
          <w:p w:rsidR="00E96665" w:rsidRPr="0098232A" w:rsidRDefault="00E96665" w:rsidP="00E96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Други:</w:t>
            </w:r>
          </w:p>
          <w:p w:rsidR="00E96665" w:rsidRPr="0098232A" w:rsidRDefault="00E96665" w:rsidP="00E9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51B37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Не са идентифицирани.</w:t>
            </w:r>
          </w:p>
          <w:p w:rsidR="00883522" w:rsidRPr="0098232A" w:rsidRDefault="00883522" w:rsidP="003537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3522" w:rsidRPr="0098232A" w:rsidTr="00035EE9">
        <w:tc>
          <w:tcPr>
            <w:tcW w:w="10314" w:type="dxa"/>
            <w:gridSpan w:val="2"/>
          </w:tcPr>
          <w:p w:rsidR="00331F47" w:rsidRPr="0098232A" w:rsidRDefault="00331F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Положителни въздействия: </w:t>
            </w:r>
          </w:p>
          <w:p w:rsidR="00D15C7A" w:rsidRPr="0098232A" w:rsidRDefault="00137131" w:rsidP="00BF3AD1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Опишете качествено (при възможност – и количествено) всички значими потенциални икономически, социални, екологични и други ползи за идентифицираните заинтересовани страни за всеки един от вариантите в резултат на предприемане на действията. Посочете как очакваните ползи кореспондират с формулираните цели.</w:t>
            </w:r>
          </w:p>
          <w:p w:rsidR="00EE3E86" w:rsidRPr="0098232A" w:rsidRDefault="00EE3E86" w:rsidP="0098232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Очакваните </w:t>
            </w:r>
            <w:r w:rsidR="005A766D" w:rsidRPr="0098232A">
              <w:rPr>
                <w:rFonts w:ascii="Times New Roman" w:hAnsi="Times New Roman" w:cs="Times New Roman"/>
                <w:sz w:val="24"/>
                <w:szCs w:val="24"/>
              </w:rPr>
              <w:t>положителни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въздействия са сходни за заинтересованите страни по съответния проблем, поради което въздействията са представени общо за съответната група.</w:t>
            </w:r>
          </w:p>
          <w:p w:rsidR="00D15C7A" w:rsidRPr="0098232A" w:rsidRDefault="00D15C7A" w:rsidP="00D1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1: Без действие</w:t>
            </w:r>
          </w:p>
          <w:p w:rsidR="00C5391E" w:rsidRPr="0098232A" w:rsidRDefault="00C5391E" w:rsidP="00C53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Икономически положителни въздействия: </w:t>
            </w:r>
          </w:p>
          <w:p w:rsidR="00C5391E" w:rsidRPr="0098232A" w:rsidRDefault="00C5391E" w:rsidP="00C53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Не са идентифицирани.</w:t>
            </w:r>
          </w:p>
          <w:p w:rsidR="00C5391E" w:rsidRPr="0098232A" w:rsidRDefault="00C5391E" w:rsidP="00C53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91E" w:rsidRPr="0098232A" w:rsidRDefault="00C5391E" w:rsidP="00C53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Социални положителни въздействия:</w:t>
            </w:r>
          </w:p>
          <w:p w:rsidR="00C5391E" w:rsidRPr="0098232A" w:rsidRDefault="00C5391E" w:rsidP="00035E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Не са идентифицирани.</w:t>
            </w:r>
          </w:p>
          <w:p w:rsidR="00C5391E" w:rsidRPr="0098232A" w:rsidRDefault="00C5391E" w:rsidP="00C53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Екологични положителни въздействия:</w:t>
            </w:r>
          </w:p>
          <w:p w:rsidR="00C5391E" w:rsidRPr="0098232A" w:rsidRDefault="00C5391E" w:rsidP="00C53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Не са идентифицирани.</w:t>
            </w:r>
          </w:p>
          <w:p w:rsidR="00C5391E" w:rsidRPr="0098232A" w:rsidRDefault="00C5391E" w:rsidP="00C53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C7A" w:rsidRPr="0098232A" w:rsidRDefault="00C5391E" w:rsidP="00D1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Други:</w:t>
            </w:r>
          </w:p>
          <w:p w:rsidR="00D15C7A" w:rsidRPr="0098232A" w:rsidRDefault="00D1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Не са идентифицирани</w:t>
            </w:r>
            <w:r w:rsidR="00C5391E" w:rsidRPr="00982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C7A" w:rsidRPr="0098232A" w:rsidRDefault="00D15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7A" w:rsidRPr="0098232A" w:rsidRDefault="00D15C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2: </w:t>
            </w:r>
            <w:r w:rsidR="002E4713"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Приемане на Постановление на Министерския съвет за изменение и допълнение на нормативни актове</w:t>
            </w:r>
          </w:p>
          <w:p w:rsidR="00D44975" w:rsidRPr="0098232A" w:rsidRDefault="00D44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6665" w:rsidRPr="0098232A" w:rsidRDefault="00E96665" w:rsidP="00E96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Икономически положителни въздействия: </w:t>
            </w:r>
          </w:p>
          <w:p w:rsidR="00E60B26" w:rsidRPr="0098232A" w:rsidRDefault="007D427C" w:rsidP="004D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По-ниски разходи за транспортиране и третиране на стабилизираната органична фракция и</w:t>
            </w:r>
            <w:r w:rsidRPr="0098232A">
              <w:t xml:space="preserve"> 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ферментационния продукт и спестяване на разходи за депониране. </w:t>
            </w:r>
          </w:p>
          <w:p w:rsidR="002E4713" w:rsidRPr="0098232A" w:rsidRDefault="002E4713" w:rsidP="002E4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Ще се намали финансовата тежест за износителите на неопасни отпадъци, включени в Зеления списък на </w:t>
            </w: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Регламент (ЕО) №1013/2006 относно превози на отпадъци,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за държави, за които се изисква процедура на предварителна писмена нотификация и съгласие.</w:t>
            </w:r>
          </w:p>
          <w:p w:rsidR="002E4713" w:rsidRPr="0098232A" w:rsidRDefault="002E4713" w:rsidP="004D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B9B" w:rsidRPr="0098232A" w:rsidRDefault="00E96665" w:rsidP="00E96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Социални положителни въздействия:</w:t>
            </w:r>
          </w:p>
          <w:p w:rsidR="00154CD5" w:rsidRPr="0098232A" w:rsidRDefault="007D427C" w:rsidP="00425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Дава се възможност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ферметационният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продукт да се използва в земеделието, а стабилизираната фракция </w:t>
            </w:r>
            <w:r w:rsidR="00107D27" w:rsidRPr="0098232A">
              <w:rPr>
                <w:rFonts w:ascii="Times New Roman" w:hAnsi="Times New Roman" w:cs="Times New Roman"/>
                <w:sz w:val="24"/>
                <w:szCs w:val="24"/>
              </w:rPr>
              <w:t>за оползотворяване, вместо депониране.</w:t>
            </w:r>
          </w:p>
          <w:p w:rsidR="002E4713" w:rsidRPr="0098232A" w:rsidRDefault="002E4713" w:rsidP="002E47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Ще се ограничат случаите на умишлено премахване и кражби на катализатори от МПС.</w:t>
            </w:r>
          </w:p>
          <w:p w:rsidR="00B32B9B" w:rsidRPr="0098232A" w:rsidRDefault="00B32B9B" w:rsidP="00E96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65" w:rsidRPr="0098232A" w:rsidRDefault="00E96665" w:rsidP="00E96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Екологични положителни въздействия:</w:t>
            </w:r>
          </w:p>
          <w:p w:rsidR="00815F18" w:rsidRPr="0098232A" w:rsidRDefault="00107D27" w:rsidP="00425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Спазване на</w:t>
            </w:r>
            <w:r w:rsidR="00D06A60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йерархията по управление на отпадъците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и изпълнение на целите на национално и европейско ниво</w:t>
            </w:r>
            <w:r w:rsidR="008822F8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D3A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за рециклиране на битови отпадъци</w:t>
            </w:r>
            <w:r w:rsidR="00F22F57"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2F57" w:rsidRPr="0098232A" w:rsidDel="00F22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F18" w:rsidRPr="0098232A" w:rsidRDefault="00815F18" w:rsidP="00E96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665" w:rsidRPr="0098232A" w:rsidRDefault="00E96665" w:rsidP="00E9666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b/>
                <w:sz w:val="24"/>
                <w:szCs w:val="24"/>
              </w:rPr>
              <w:t>Други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22F8" w:rsidRPr="0098232A" w:rsidRDefault="008822F8" w:rsidP="008822F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С приемането на ПМС за изменение и допълнение на актове ще се постигне:</w:t>
            </w:r>
          </w:p>
          <w:p w:rsidR="008822F8" w:rsidRPr="0098232A" w:rsidRDefault="008822F8" w:rsidP="00F22F5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F8" w:rsidRPr="0098232A" w:rsidRDefault="008822F8" w:rsidP="008822F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транспониране на Директива (ЕС) 2017/2096,</w:t>
            </w: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което ще се избегне наказ</w:t>
            </w:r>
            <w:r w:rsidR="00CF6C7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телна процедура;</w:t>
            </w:r>
          </w:p>
          <w:p w:rsidR="008822F8" w:rsidRPr="0098232A" w:rsidRDefault="008822F8" w:rsidP="008822F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ограничаване на случаите на умишлено премахване и кражби на катализатори от МПС; </w:t>
            </w:r>
          </w:p>
          <w:p w:rsidR="008822F8" w:rsidRPr="0098232A" w:rsidRDefault="008822F8" w:rsidP="008822F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пълно транспониране на Директива 2012/19/ЕC, с което ще се избегне наказ</w:t>
            </w:r>
            <w:r w:rsidR="00CF6C7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98232A">
              <w:rPr>
                <w:rFonts w:ascii="Times New Roman" w:hAnsi="Times New Roman"/>
                <w:sz w:val="24"/>
                <w:szCs w:val="24"/>
                <w:lang w:val="ru-RU"/>
              </w:rPr>
              <w:t>телна процедура;</w:t>
            </w:r>
          </w:p>
          <w:p w:rsidR="008822F8" w:rsidRPr="0098232A" w:rsidRDefault="008822F8" w:rsidP="008822F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ще бъде дадена възможност, износителите на неопасни отпадъци, включени в Зеления списък на </w:t>
            </w: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Регламент (ЕО) №1013/2006 относно превози на отпадъци,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за държави, за които се изисква процедура на предварителна писмена нотификация и съгласие, да предоставят финансова гаранция, изчислена на база на реални разходи, а не по общия ред приложим за трансгранични превози на опасни отпадъци.  </w:t>
            </w:r>
          </w:p>
          <w:p w:rsidR="00883522" w:rsidRPr="0098232A" w:rsidRDefault="00883522" w:rsidP="00107D2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3522" w:rsidRPr="0098232A" w:rsidTr="00035EE9">
        <w:tc>
          <w:tcPr>
            <w:tcW w:w="10314" w:type="dxa"/>
            <w:gridSpan w:val="2"/>
          </w:tcPr>
          <w:p w:rsidR="00331F47" w:rsidRPr="0098232A" w:rsidRDefault="00331F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Потенциални рискове: </w:t>
            </w:r>
          </w:p>
          <w:p w:rsidR="006D7067" w:rsidRPr="0098232A" w:rsidRDefault="006D706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Посочете възможните рискове от приемането на нормативната промяна, включително възникване на съдебни спорове.</w:t>
            </w:r>
          </w:p>
          <w:p w:rsidR="008822F8" w:rsidRPr="0098232A" w:rsidRDefault="008822F8" w:rsidP="008822F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Не са идентифицирани рискове от приемането на ПМС за изменение и допълнение на нормативни актове.</w:t>
            </w:r>
          </w:p>
          <w:p w:rsidR="00883522" w:rsidRPr="0098232A" w:rsidRDefault="00883522" w:rsidP="00976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22" w:rsidRPr="0098232A" w:rsidTr="00035EE9">
        <w:tc>
          <w:tcPr>
            <w:tcW w:w="10314" w:type="dxa"/>
            <w:gridSpan w:val="2"/>
          </w:tcPr>
          <w:p w:rsidR="00883522" w:rsidRPr="0098232A" w:rsidRDefault="0033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0B0" w:rsidRPr="0098232A">
              <w:rPr>
                <w:rFonts w:ascii="Times New Roman" w:hAnsi="Times New Roman" w:cs="Times New Roman"/>
                <w:sz w:val="24"/>
                <w:szCs w:val="24"/>
              </w:rPr>
              <w:t>8.1. Административната тежест за физическите и юридическите лица:</w:t>
            </w:r>
          </w:p>
          <w:p w:rsidR="008850B0" w:rsidRPr="0098232A" w:rsidRDefault="008850B0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 Ще се повиши</w:t>
            </w:r>
          </w:p>
          <w:p w:rsidR="008850B0" w:rsidRPr="0098232A" w:rsidRDefault="00A32FEF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</w:t>
            </w:r>
            <w:r w:rsidR="008850B0" w:rsidRPr="0098232A">
              <w:rPr>
                <w:rFonts w:ascii="Times New Roman" w:hAnsi="Times New Roman" w:cs="Times New Roman"/>
                <w:sz w:val="24"/>
                <w:szCs w:val="24"/>
              </w:rPr>
              <w:t>Ще се намали</w:t>
            </w:r>
          </w:p>
          <w:p w:rsidR="008850B0" w:rsidRPr="0098232A" w:rsidRDefault="00A32FEF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8850B0" w:rsidRPr="0098232A">
              <w:rPr>
                <w:rFonts w:ascii="Times New Roman" w:hAnsi="Times New Roman" w:cs="Times New Roman"/>
                <w:sz w:val="24"/>
                <w:szCs w:val="24"/>
              </w:rPr>
              <w:t>Няма ефект</w:t>
            </w:r>
          </w:p>
          <w:p w:rsidR="00321F76" w:rsidRPr="0098232A" w:rsidRDefault="00321F76" w:rsidP="00D9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20" w:rsidRPr="0098232A" w:rsidRDefault="008850B0" w:rsidP="000A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8.2. Създават ли се нови регулаторни режими? Засягат ли се съществуващи режими и услуги?</w:t>
            </w:r>
            <w:r w:rsidR="0079398D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950" w:rsidRPr="0098232A" w:rsidRDefault="00A75E4F" w:rsidP="00107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Не се създават нови регулаторни режими и не се засягат съществуващи регулаторни режими.</w:t>
            </w:r>
          </w:p>
          <w:p w:rsidR="008850B0" w:rsidRPr="0098232A" w:rsidRDefault="00A75E4F" w:rsidP="00107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31F47" w:rsidRPr="0098232A" w:rsidTr="00035EE9">
        <w:tc>
          <w:tcPr>
            <w:tcW w:w="10314" w:type="dxa"/>
            <w:gridSpan w:val="2"/>
          </w:tcPr>
          <w:p w:rsidR="008850B0" w:rsidRPr="0098232A" w:rsidRDefault="008850B0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9. Създават ли се нови регистри?</w:t>
            </w:r>
          </w:p>
          <w:p w:rsidR="0079398D" w:rsidRPr="0098232A" w:rsidRDefault="0079398D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331F47" w:rsidRPr="0098232A" w:rsidRDefault="008850B0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Когато отговорът е "да", посочете колко и кои са те</w:t>
            </w:r>
          </w:p>
        </w:tc>
      </w:tr>
      <w:tr w:rsidR="00331F47" w:rsidRPr="0098232A" w:rsidTr="00035EE9">
        <w:tc>
          <w:tcPr>
            <w:tcW w:w="10314" w:type="dxa"/>
            <w:gridSpan w:val="2"/>
          </w:tcPr>
          <w:p w:rsidR="008850B0" w:rsidRPr="0098232A" w:rsidRDefault="008850B0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Как въздейства актът върху </w:t>
            </w:r>
            <w:proofErr w:type="spellStart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микро-</w:t>
            </w:r>
            <w:proofErr w:type="spellEnd"/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, малките и средните предприятия (МСП)?</w:t>
            </w:r>
          </w:p>
          <w:p w:rsidR="008850B0" w:rsidRPr="0098232A" w:rsidRDefault="008822F8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A32FEF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0B0" w:rsidRPr="0098232A">
              <w:rPr>
                <w:rFonts w:ascii="Times New Roman" w:hAnsi="Times New Roman" w:cs="Times New Roman"/>
                <w:sz w:val="24"/>
                <w:szCs w:val="24"/>
              </w:rPr>
              <w:t>Актът засяга пряко МСП</w:t>
            </w:r>
          </w:p>
          <w:p w:rsidR="008850B0" w:rsidRPr="0098232A" w:rsidRDefault="00C62098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 </w:t>
            </w:r>
            <w:r w:rsidR="008850B0" w:rsidRPr="0098232A">
              <w:rPr>
                <w:rFonts w:ascii="Times New Roman" w:hAnsi="Times New Roman" w:cs="Times New Roman"/>
                <w:sz w:val="24"/>
                <w:szCs w:val="24"/>
              </w:rPr>
              <w:t>Актът не засяга МСП</w:t>
            </w:r>
          </w:p>
          <w:p w:rsidR="00331F47" w:rsidRPr="0098232A" w:rsidRDefault="008822F8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</w:t>
            </w:r>
            <w:r w:rsidR="000164D5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0B0" w:rsidRPr="0098232A">
              <w:rPr>
                <w:rFonts w:ascii="Times New Roman" w:hAnsi="Times New Roman" w:cs="Times New Roman"/>
                <w:sz w:val="24"/>
                <w:szCs w:val="24"/>
              </w:rPr>
              <w:t>Няма ефект</w:t>
            </w:r>
          </w:p>
          <w:p w:rsidR="00607E75" w:rsidRPr="0098232A" w:rsidRDefault="008822F8" w:rsidP="000A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Проектът на ПМС за изменение и допълнение на нормативни актове засяга МСП, доколкото те попадат в обхвата на заинтересованите страни по т. 3 от настоящата оценка.</w:t>
            </w:r>
          </w:p>
        </w:tc>
      </w:tr>
      <w:tr w:rsidR="008850B0" w:rsidRPr="0098232A" w:rsidTr="00035EE9">
        <w:tc>
          <w:tcPr>
            <w:tcW w:w="10314" w:type="dxa"/>
            <w:gridSpan w:val="2"/>
          </w:tcPr>
          <w:p w:rsidR="008850B0" w:rsidRPr="0098232A" w:rsidRDefault="008850B0" w:rsidP="0088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11. Проектът на нормативен акт изисква ли цялостна оценка на въздействието?</w:t>
            </w:r>
          </w:p>
          <w:p w:rsidR="00D9421A" w:rsidRPr="0098232A" w:rsidRDefault="008850B0" w:rsidP="00885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 Да</w:t>
            </w:r>
          </w:p>
          <w:p w:rsidR="008850B0" w:rsidRPr="0098232A" w:rsidRDefault="00C01230" w:rsidP="00885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C243D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0B0" w:rsidRPr="0098232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D9421A" w:rsidRPr="0098232A" w:rsidRDefault="00D9421A" w:rsidP="00885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0B0" w:rsidRPr="0098232A" w:rsidTr="00035EE9">
        <w:tc>
          <w:tcPr>
            <w:tcW w:w="10314" w:type="dxa"/>
            <w:gridSpan w:val="2"/>
          </w:tcPr>
          <w:p w:rsidR="008850B0" w:rsidRPr="0098232A" w:rsidRDefault="008850B0" w:rsidP="00885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12. Обществени консултации:</w:t>
            </w:r>
          </w:p>
          <w:p w:rsidR="006D7067" w:rsidRPr="0098232A" w:rsidRDefault="006D7067" w:rsidP="008850B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Обобщете най-важните въпроси за консултации в случай на извършване на цялостна оценка на въздействието или за обществените консултации по чл. 26 от Закона за нормативните актове. Посочете индикативен график за тяхното провеждане и видовете консултационни процедури.</w:t>
            </w:r>
          </w:p>
          <w:p w:rsidR="00A32FEF" w:rsidRPr="0098232A" w:rsidRDefault="00A32FEF" w:rsidP="00CA5FC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32A">
              <w:rPr>
                <w:rFonts w:ascii="Times New Roman" w:hAnsi="Times New Roman"/>
                <w:sz w:val="24"/>
                <w:szCs w:val="24"/>
              </w:rPr>
              <w:t xml:space="preserve">Не се предвижда извършване на цялостна </w:t>
            </w:r>
            <w:r w:rsidR="00B32C59" w:rsidRPr="0098232A"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98232A">
              <w:rPr>
                <w:rFonts w:ascii="Times New Roman" w:hAnsi="Times New Roman"/>
                <w:sz w:val="24"/>
                <w:szCs w:val="24"/>
              </w:rPr>
              <w:t xml:space="preserve"> на въздействието.</w:t>
            </w:r>
          </w:p>
          <w:p w:rsidR="00A75E4F" w:rsidRPr="0098232A" w:rsidRDefault="00A75E4F" w:rsidP="00A75E4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Проектът на ПМС за изменение и допълнение на нормативни актове ще бъде публикуван за обществени консултации за 30 дни на интернет страницата на МОСВ и на Портала за обществени консултации.</w:t>
            </w:r>
          </w:p>
          <w:p w:rsidR="008850B0" w:rsidRPr="0098232A" w:rsidRDefault="008850B0" w:rsidP="008850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F47" w:rsidRPr="0098232A" w:rsidTr="00035EE9">
        <w:tc>
          <w:tcPr>
            <w:tcW w:w="10314" w:type="dxa"/>
            <w:gridSpan w:val="2"/>
          </w:tcPr>
          <w:p w:rsidR="003537BE" w:rsidRPr="0098232A" w:rsidRDefault="003537BE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13. Приемането на нормативния акт произтича ли от правото на Европейския съюз?</w:t>
            </w:r>
          </w:p>
          <w:p w:rsidR="006D7067" w:rsidRPr="0098232A" w:rsidRDefault="006D7067" w:rsidP="00353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32A">
              <w:rPr>
                <w:rFonts w:ascii="Times New Roman" w:hAnsi="Times New Roman" w:cs="Times New Roman"/>
                <w:i/>
                <w:sz w:val="24"/>
                <w:szCs w:val="24"/>
              </w:rPr>
              <w:t>Моля посочете изискванията на правото на Европейския съюз, включително информацията по т. 8.1 и 8.2,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3537BE" w:rsidRPr="0098232A" w:rsidRDefault="00A75E4F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3537BE" w:rsidRPr="0098232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3537BE" w:rsidRPr="0098232A" w:rsidRDefault="00A75E4F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 </w:t>
            </w:r>
            <w:r w:rsidR="003537BE" w:rsidRPr="0098232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A75E4F" w:rsidRPr="0098232A" w:rsidRDefault="00A75E4F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4F" w:rsidRPr="0098232A" w:rsidRDefault="00A75E4F" w:rsidP="00F2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Измененията в </w:t>
            </w:r>
            <w:r w:rsidR="00E20D29" w:rsidRPr="0098232A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1E0F9C" w:rsidRPr="009823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0D29" w:rsidRPr="0098232A">
              <w:rPr>
                <w:rFonts w:ascii="Times New Roman" w:hAnsi="Times New Roman" w:cs="Times New Roman"/>
                <w:sz w:val="24"/>
                <w:szCs w:val="24"/>
              </w:rPr>
              <w:t>ЕЕО</w:t>
            </w: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 оборудване произтичат от правото на Европейския съюз, но поради факта, че са незначителни промени за тях не е правена оценка на въздействие на ниво Европейски съюз.</w:t>
            </w:r>
          </w:p>
          <w:p w:rsidR="005528FB" w:rsidRPr="0098232A" w:rsidRDefault="00E20D29" w:rsidP="00F2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Част от измененията в НИУМПС произтичат от правото на Европейския съюз</w:t>
            </w:r>
            <w:r w:rsidR="007436F7" w:rsidRPr="0098232A">
              <w:rPr>
                <w:rFonts w:ascii="Times New Roman" w:hAnsi="Times New Roman" w:cs="Times New Roman"/>
                <w:sz w:val="24"/>
                <w:szCs w:val="24"/>
              </w:rPr>
              <w:t>, за които са правени обществени консултации на европейско ниво:</w:t>
            </w:r>
          </w:p>
          <w:p w:rsidR="00331F47" w:rsidRPr="0098232A" w:rsidRDefault="007436F7" w:rsidP="003537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http://elv.exemptions.oeko.info/index.php?id=58</w:t>
            </w:r>
            <w:r w:rsidRPr="0098232A" w:rsidDel="0074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522" w:rsidRPr="00C82736" w:rsidTr="00035EE9">
        <w:tc>
          <w:tcPr>
            <w:tcW w:w="10314" w:type="dxa"/>
            <w:gridSpan w:val="2"/>
          </w:tcPr>
          <w:p w:rsidR="003537BE" w:rsidRPr="0098232A" w:rsidRDefault="003537BE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14. Име, длъжност, дата и подпис на директора на дирекцията, отговорна за изработването на нормативния акт:</w:t>
            </w:r>
          </w:p>
          <w:p w:rsidR="009864B1" w:rsidRPr="0098232A" w:rsidRDefault="009864B1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098" w:rsidRPr="0098232A" w:rsidRDefault="003537BE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Име и длъжност: </w:t>
            </w:r>
            <w:bookmarkStart w:id="0" w:name="_GoBack"/>
            <w:bookmarkEnd w:id="0"/>
            <w:r w:rsidR="00CA5FCC"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на дирекция „Управление на отпадъците и  опазване на почвите“ </w:t>
            </w:r>
          </w:p>
          <w:p w:rsidR="003537BE" w:rsidRPr="0098232A" w:rsidRDefault="003537BE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</w:p>
          <w:p w:rsidR="00C62098" w:rsidRPr="0098232A" w:rsidRDefault="00C62098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22" w:rsidRDefault="003537BE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2A">
              <w:rPr>
                <w:rFonts w:ascii="Times New Roman" w:hAnsi="Times New Roman" w:cs="Times New Roman"/>
                <w:sz w:val="24"/>
                <w:szCs w:val="24"/>
              </w:rPr>
              <w:t>Подпис:</w:t>
            </w:r>
          </w:p>
          <w:p w:rsidR="00C62098" w:rsidRPr="00C82736" w:rsidRDefault="00C62098" w:rsidP="00353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996" w:rsidRPr="00C82736" w:rsidRDefault="00A55996"/>
    <w:sectPr w:rsidR="00A55996" w:rsidRPr="00C82736" w:rsidSect="00035EE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4B" w:rsidRDefault="000F3F4B" w:rsidP="00D44975">
      <w:pPr>
        <w:spacing w:after="0" w:line="240" w:lineRule="auto"/>
      </w:pPr>
      <w:r>
        <w:separator/>
      </w:r>
    </w:p>
  </w:endnote>
  <w:endnote w:type="continuationSeparator" w:id="0">
    <w:p w:rsidR="000F3F4B" w:rsidRDefault="000F3F4B" w:rsidP="00D4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4B" w:rsidRDefault="000F3F4B" w:rsidP="00D44975">
      <w:pPr>
        <w:spacing w:after="0" w:line="240" w:lineRule="auto"/>
      </w:pPr>
      <w:r>
        <w:separator/>
      </w:r>
    </w:p>
  </w:footnote>
  <w:footnote w:type="continuationSeparator" w:id="0">
    <w:p w:rsidR="000F3F4B" w:rsidRDefault="000F3F4B" w:rsidP="00D44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75" w:rsidRDefault="00D44975" w:rsidP="00D44975">
    <w:pPr>
      <w:pStyle w:val="Header"/>
      <w:tabs>
        <w:tab w:val="clear" w:pos="4536"/>
        <w:tab w:val="clear" w:pos="9072"/>
        <w:tab w:val="left" w:pos="72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642"/>
    <w:multiLevelType w:val="hybridMultilevel"/>
    <w:tmpl w:val="8DC64A3E"/>
    <w:lvl w:ilvl="0" w:tplc="0402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09D0C3C"/>
    <w:multiLevelType w:val="hybridMultilevel"/>
    <w:tmpl w:val="1068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5A22"/>
    <w:multiLevelType w:val="hybridMultilevel"/>
    <w:tmpl w:val="3EEAEE5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3589B"/>
    <w:multiLevelType w:val="hybridMultilevel"/>
    <w:tmpl w:val="E7D214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77E5E"/>
    <w:multiLevelType w:val="hybridMultilevel"/>
    <w:tmpl w:val="63DECC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434AF"/>
    <w:multiLevelType w:val="hybridMultilevel"/>
    <w:tmpl w:val="BEC2B06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362E0"/>
    <w:multiLevelType w:val="hybridMultilevel"/>
    <w:tmpl w:val="170A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14982"/>
    <w:multiLevelType w:val="hybridMultilevel"/>
    <w:tmpl w:val="91A037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D49223E"/>
    <w:multiLevelType w:val="hybridMultilevel"/>
    <w:tmpl w:val="CC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F7CA6"/>
    <w:multiLevelType w:val="hybridMultilevel"/>
    <w:tmpl w:val="170A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60EE5"/>
    <w:multiLevelType w:val="hybridMultilevel"/>
    <w:tmpl w:val="3CA627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0566B"/>
    <w:multiLevelType w:val="hybridMultilevel"/>
    <w:tmpl w:val="F84AD89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F4479"/>
    <w:multiLevelType w:val="hybridMultilevel"/>
    <w:tmpl w:val="170A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33"/>
    <w:rsid w:val="00002290"/>
    <w:rsid w:val="00007EAF"/>
    <w:rsid w:val="000164D5"/>
    <w:rsid w:val="00026240"/>
    <w:rsid w:val="00026561"/>
    <w:rsid w:val="00027CAE"/>
    <w:rsid w:val="0003188C"/>
    <w:rsid w:val="00034E7D"/>
    <w:rsid w:val="000359EE"/>
    <w:rsid w:val="00035B07"/>
    <w:rsid w:val="00035EE9"/>
    <w:rsid w:val="00040E48"/>
    <w:rsid w:val="00053519"/>
    <w:rsid w:val="00053721"/>
    <w:rsid w:val="00054BCA"/>
    <w:rsid w:val="0006347C"/>
    <w:rsid w:val="00070C33"/>
    <w:rsid w:val="00071F90"/>
    <w:rsid w:val="00076A36"/>
    <w:rsid w:val="000804BB"/>
    <w:rsid w:val="0008225B"/>
    <w:rsid w:val="00086ED6"/>
    <w:rsid w:val="000A0266"/>
    <w:rsid w:val="000A115D"/>
    <w:rsid w:val="000A71A7"/>
    <w:rsid w:val="000C103B"/>
    <w:rsid w:val="000C4270"/>
    <w:rsid w:val="000D0993"/>
    <w:rsid w:val="000D22BA"/>
    <w:rsid w:val="000D24F4"/>
    <w:rsid w:val="000E0178"/>
    <w:rsid w:val="000F3F4B"/>
    <w:rsid w:val="000F4D6F"/>
    <w:rsid w:val="000F60DD"/>
    <w:rsid w:val="000F6E89"/>
    <w:rsid w:val="000F71F6"/>
    <w:rsid w:val="00100B71"/>
    <w:rsid w:val="00101E5A"/>
    <w:rsid w:val="00105A81"/>
    <w:rsid w:val="00106417"/>
    <w:rsid w:val="0010690C"/>
    <w:rsid w:val="00107D27"/>
    <w:rsid w:val="00107E48"/>
    <w:rsid w:val="00114D11"/>
    <w:rsid w:val="0012243F"/>
    <w:rsid w:val="00125B83"/>
    <w:rsid w:val="00130AAD"/>
    <w:rsid w:val="001333B4"/>
    <w:rsid w:val="00133B8A"/>
    <w:rsid w:val="00137131"/>
    <w:rsid w:val="001427B4"/>
    <w:rsid w:val="00154CD5"/>
    <w:rsid w:val="001604A7"/>
    <w:rsid w:val="00164F06"/>
    <w:rsid w:val="0017177A"/>
    <w:rsid w:val="001764CB"/>
    <w:rsid w:val="00184821"/>
    <w:rsid w:val="0019238C"/>
    <w:rsid w:val="001977BA"/>
    <w:rsid w:val="001A30E5"/>
    <w:rsid w:val="001B1023"/>
    <w:rsid w:val="001B5EB8"/>
    <w:rsid w:val="001C3069"/>
    <w:rsid w:val="001E0089"/>
    <w:rsid w:val="001E0F9C"/>
    <w:rsid w:val="001E1256"/>
    <w:rsid w:val="001E3FAD"/>
    <w:rsid w:val="001E7170"/>
    <w:rsid w:val="001F65E8"/>
    <w:rsid w:val="00214E63"/>
    <w:rsid w:val="00226A34"/>
    <w:rsid w:val="00232B4B"/>
    <w:rsid w:val="00247A7D"/>
    <w:rsid w:val="00250212"/>
    <w:rsid w:val="00251C67"/>
    <w:rsid w:val="00254515"/>
    <w:rsid w:val="0026227D"/>
    <w:rsid w:val="00277164"/>
    <w:rsid w:val="00277FEB"/>
    <w:rsid w:val="002933A9"/>
    <w:rsid w:val="00296A59"/>
    <w:rsid w:val="002A32E4"/>
    <w:rsid w:val="002A4589"/>
    <w:rsid w:val="002A6041"/>
    <w:rsid w:val="002B068A"/>
    <w:rsid w:val="002B1F49"/>
    <w:rsid w:val="002B342A"/>
    <w:rsid w:val="002B5DB7"/>
    <w:rsid w:val="002B6224"/>
    <w:rsid w:val="002C1E02"/>
    <w:rsid w:val="002C58C2"/>
    <w:rsid w:val="002D3BCF"/>
    <w:rsid w:val="002E3E6A"/>
    <w:rsid w:val="002E4713"/>
    <w:rsid w:val="00321F76"/>
    <w:rsid w:val="00331F47"/>
    <w:rsid w:val="00336EB7"/>
    <w:rsid w:val="003400AE"/>
    <w:rsid w:val="003537BE"/>
    <w:rsid w:val="00366D9E"/>
    <w:rsid w:val="00390FB9"/>
    <w:rsid w:val="003971C3"/>
    <w:rsid w:val="003A64F7"/>
    <w:rsid w:val="003A6FEF"/>
    <w:rsid w:val="003B3B7D"/>
    <w:rsid w:val="003B4ED1"/>
    <w:rsid w:val="003C0261"/>
    <w:rsid w:val="003C2173"/>
    <w:rsid w:val="003C47F6"/>
    <w:rsid w:val="003D1DD8"/>
    <w:rsid w:val="003E1BE4"/>
    <w:rsid w:val="003E1D36"/>
    <w:rsid w:val="003E5C96"/>
    <w:rsid w:val="003F02D4"/>
    <w:rsid w:val="003F239E"/>
    <w:rsid w:val="003F4190"/>
    <w:rsid w:val="00400495"/>
    <w:rsid w:val="00414242"/>
    <w:rsid w:val="00415F57"/>
    <w:rsid w:val="00420567"/>
    <w:rsid w:val="00425416"/>
    <w:rsid w:val="00425523"/>
    <w:rsid w:val="00425692"/>
    <w:rsid w:val="00434487"/>
    <w:rsid w:val="0043613E"/>
    <w:rsid w:val="0044015E"/>
    <w:rsid w:val="00450862"/>
    <w:rsid w:val="004540B7"/>
    <w:rsid w:val="00455585"/>
    <w:rsid w:val="004620DA"/>
    <w:rsid w:val="004800A5"/>
    <w:rsid w:val="00481697"/>
    <w:rsid w:val="00487F8B"/>
    <w:rsid w:val="004A4210"/>
    <w:rsid w:val="004A65D4"/>
    <w:rsid w:val="004A7C1F"/>
    <w:rsid w:val="004B549A"/>
    <w:rsid w:val="004C2334"/>
    <w:rsid w:val="004D5106"/>
    <w:rsid w:val="004D58CF"/>
    <w:rsid w:val="004F5594"/>
    <w:rsid w:val="005114B9"/>
    <w:rsid w:val="00520014"/>
    <w:rsid w:val="00544B61"/>
    <w:rsid w:val="00545064"/>
    <w:rsid w:val="005528FB"/>
    <w:rsid w:val="0056004D"/>
    <w:rsid w:val="00567723"/>
    <w:rsid w:val="00571FDE"/>
    <w:rsid w:val="00574064"/>
    <w:rsid w:val="0057572F"/>
    <w:rsid w:val="00576F5E"/>
    <w:rsid w:val="00587378"/>
    <w:rsid w:val="00592522"/>
    <w:rsid w:val="00593476"/>
    <w:rsid w:val="00595FAB"/>
    <w:rsid w:val="005A766D"/>
    <w:rsid w:val="005B3532"/>
    <w:rsid w:val="005C0705"/>
    <w:rsid w:val="005C44C5"/>
    <w:rsid w:val="005D0BA3"/>
    <w:rsid w:val="005D27A2"/>
    <w:rsid w:val="005E6EA5"/>
    <w:rsid w:val="005F2C12"/>
    <w:rsid w:val="005F4D86"/>
    <w:rsid w:val="005F6E06"/>
    <w:rsid w:val="00607E75"/>
    <w:rsid w:val="00612212"/>
    <w:rsid w:val="00630614"/>
    <w:rsid w:val="00631626"/>
    <w:rsid w:val="00642835"/>
    <w:rsid w:val="00642FFF"/>
    <w:rsid w:val="00647500"/>
    <w:rsid w:val="00647E33"/>
    <w:rsid w:val="00651BF9"/>
    <w:rsid w:val="006532F0"/>
    <w:rsid w:val="00660C4F"/>
    <w:rsid w:val="00665498"/>
    <w:rsid w:val="00665A87"/>
    <w:rsid w:val="00674E71"/>
    <w:rsid w:val="006958C6"/>
    <w:rsid w:val="006A4D43"/>
    <w:rsid w:val="006C0990"/>
    <w:rsid w:val="006C0EE9"/>
    <w:rsid w:val="006C1F76"/>
    <w:rsid w:val="006C243D"/>
    <w:rsid w:val="006C2A0E"/>
    <w:rsid w:val="006C3A51"/>
    <w:rsid w:val="006D2435"/>
    <w:rsid w:val="006D7067"/>
    <w:rsid w:val="006F03AC"/>
    <w:rsid w:val="006F30FB"/>
    <w:rsid w:val="00707DBF"/>
    <w:rsid w:val="00707E6D"/>
    <w:rsid w:val="00732C17"/>
    <w:rsid w:val="0073616D"/>
    <w:rsid w:val="00736619"/>
    <w:rsid w:val="007436F7"/>
    <w:rsid w:val="00744DA5"/>
    <w:rsid w:val="00745537"/>
    <w:rsid w:val="00750FC0"/>
    <w:rsid w:val="00763623"/>
    <w:rsid w:val="0076795E"/>
    <w:rsid w:val="00772161"/>
    <w:rsid w:val="00777A69"/>
    <w:rsid w:val="0079398D"/>
    <w:rsid w:val="007B7E22"/>
    <w:rsid w:val="007C3CA8"/>
    <w:rsid w:val="007C6E21"/>
    <w:rsid w:val="007D427C"/>
    <w:rsid w:val="007E3F62"/>
    <w:rsid w:val="007F29DB"/>
    <w:rsid w:val="007F2BD1"/>
    <w:rsid w:val="007F7E69"/>
    <w:rsid w:val="00806554"/>
    <w:rsid w:val="00813430"/>
    <w:rsid w:val="00813B1D"/>
    <w:rsid w:val="00815F18"/>
    <w:rsid w:val="0082113D"/>
    <w:rsid w:val="00823618"/>
    <w:rsid w:val="008300B6"/>
    <w:rsid w:val="00832B45"/>
    <w:rsid w:val="00834983"/>
    <w:rsid w:val="008438A7"/>
    <w:rsid w:val="00846CB7"/>
    <w:rsid w:val="00850950"/>
    <w:rsid w:val="00852D84"/>
    <w:rsid w:val="00874DD6"/>
    <w:rsid w:val="00875815"/>
    <w:rsid w:val="00877277"/>
    <w:rsid w:val="008822F8"/>
    <w:rsid w:val="00883522"/>
    <w:rsid w:val="008850B0"/>
    <w:rsid w:val="00887293"/>
    <w:rsid w:val="008947F8"/>
    <w:rsid w:val="008A3FAB"/>
    <w:rsid w:val="008A4E2E"/>
    <w:rsid w:val="008B2392"/>
    <w:rsid w:val="008B7338"/>
    <w:rsid w:val="008C1509"/>
    <w:rsid w:val="008C4D47"/>
    <w:rsid w:val="008C7D3A"/>
    <w:rsid w:val="009013A0"/>
    <w:rsid w:val="0090637B"/>
    <w:rsid w:val="00906ABC"/>
    <w:rsid w:val="00907B4F"/>
    <w:rsid w:val="0091569B"/>
    <w:rsid w:val="00921472"/>
    <w:rsid w:val="009238F3"/>
    <w:rsid w:val="00942867"/>
    <w:rsid w:val="00944CF2"/>
    <w:rsid w:val="00944F9E"/>
    <w:rsid w:val="0094729D"/>
    <w:rsid w:val="00947E55"/>
    <w:rsid w:val="00957B23"/>
    <w:rsid w:val="00957D73"/>
    <w:rsid w:val="00960731"/>
    <w:rsid w:val="00964A1A"/>
    <w:rsid w:val="009655C5"/>
    <w:rsid w:val="00965B3E"/>
    <w:rsid w:val="009663EA"/>
    <w:rsid w:val="0096656D"/>
    <w:rsid w:val="00967CE8"/>
    <w:rsid w:val="00974F5C"/>
    <w:rsid w:val="00975BFB"/>
    <w:rsid w:val="00976BFD"/>
    <w:rsid w:val="00981487"/>
    <w:rsid w:val="0098232A"/>
    <w:rsid w:val="009851B9"/>
    <w:rsid w:val="009864B1"/>
    <w:rsid w:val="0099011D"/>
    <w:rsid w:val="009A228D"/>
    <w:rsid w:val="009B1AC1"/>
    <w:rsid w:val="009B41C0"/>
    <w:rsid w:val="009B6354"/>
    <w:rsid w:val="009B774D"/>
    <w:rsid w:val="009D4A17"/>
    <w:rsid w:val="009D561A"/>
    <w:rsid w:val="009D5D64"/>
    <w:rsid w:val="009D6C1B"/>
    <w:rsid w:val="009E083F"/>
    <w:rsid w:val="009E1230"/>
    <w:rsid w:val="009E3F38"/>
    <w:rsid w:val="009F40C1"/>
    <w:rsid w:val="009F4B0B"/>
    <w:rsid w:val="009F4B4B"/>
    <w:rsid w:val="00A04CDE"/>
    <w:rsid w:val="00A120CA"/>
    <w:rsid w:val="00A13A4B"/>
    <w:rsid w:val="00A27B28"/>
    <w:rsid w:val="00A31318"/>
    <w:rsid w:val="00A32FEF"/>
    <w:rsid w:val="00A34F15"/>
    <w:rsid w:val="00A34F90"/>
    <w:rsid w:val="00A366D8"/>
    <w:rsid w:val="00A53C27"/>
    <w:rsid w:val="00A55996"/>
    <w:rsid w:val="00A6067D"/>
    <w:rsid w:val="00A72299"/>
    <w:rsid w:val="00A72FD3"/>
    <w:rsid w:val="00A75A81"/>
    <w:rsid w:val="00A75E4F"/>
    <w:rsid w:val="00A77026"/>
    <w:rsid w:val="00A83FA8"/>
    <w:rsid w:val="00A844F2"/>
    <w:rsid w:val="00A94A06"/>
    <w:rsid w:val="00AA2AA2"/>
    <w:rsid w:val="00AA2DCB"/>
    <w:rsid w:val="00AA76D0"/>
    <w:rsid w:val="00AB3A03"/>
    <w:rsid w:val="00AB6149"/>
    <w:rsid w:val="00AC0EDE"/>
    <w:rsid w:val="00AC3E40"/>
    <w:rsid w:val="00AC6A14"/>
    <w:rsid w:val="00AE52CA"/>
    <w:rsid w:val="00B00921"/>
    <w:rsid w:val="00B05A09"/>
    <w:rsid w:val="00B2195F"/>
    <w:rsid w:val="00B236D9"/>
    <w:rsid w:val="00B254FD"/>
    <w:rsid w:val="00B32B9B"/>
    <w:rsid w:val="00B32C59"/>
    <w:rsid w:val="00B504F8"/>
    <w:rsid w:val="00B51FF7"/>
    <w:rsid w:val="00B547D2"/>
    <w:rsid w:val="00B56F6F"/>
    <w:rsid w:val="00B70928"/>
    <w:rsid w:val="00B7485F"/>
    <w:rsid w:val="00BA66E5"/>
    <w:rsid w:val="00BB1DB6"/>
    <w:rsid w:val="00BB5B20"/>
    <w:rsid w:val="00BB6B25"/>
    <w:rsid w:val="00BB6E4B"/>
    <w:rsid w:val="00BC02D7"/>
    <w:rsid w:val="00BC08C8"/>
    <w:rsid w:val="00BF3AD1"/>
    <w:rsid w:val="00BF4418"/>
    <w:rsid w:val="00BF71E0"/>
    <w:rsid w:val="00C01230"/>
    <w:rsid w:val="00C122F5"/>
    <w:rsid w:val="00C13151"/>
    <w:rsid w:val="00C23549"/>
    <w:rsid w:val="00C26728"/>
    <w:rsid w:val="00C3321E"/>
    <w:rsid w:val="00C45F78"/>
    <w:rsid w:val="00C4794A"/>
    <w:rsid w:val="00C50232"/>
    <w:rsid w:val="00C51B37"/>
    <w:rsid w:val="00C5391E"/>
    <w:rsid w:val="00C54E2B"/>
    <w:rsid w:val="00C55320"/>
    <w:rsid w:val="00C565F8"/>
    <w:rsid w:val="00C56BAC"/>
    <w:rsid w:val="00C62098"/>
    <w:rsid w:val="00C66630"/>
    <w:rsid w:val="00C72D72"/>
    <w:rsid w:val="00C82736"/>
    <w:rsid w:val="00C82D03"/>
    <w:rsid w:val="00C830BC"/>
    <w:rsid w:val="00C83A76"/>
    <w:rsid w:val="00C91450"/>
    <w:rsid w:val="00CA21D5"/>
    <w:rsid w:val="00CA2A03"/>
    <w:rsid w:val="00CA2DD6"/>
    <w:rsid w:val="00CA42F3"/>
    <w:rsid w:val="00CA5FCC"/>
    <w:rsid w:val="00CA67B6"/>
    <w:rsid w:val="00CA6DF5"/>
    <w:rsid w:val="00CB63EB"/>
    <w:rsid w:val="00CD0EFB"/>
    <w:rsid w:val="00CD2B01"/>
    <w:rsid w:val="00CD37C8"/>
    <w:rsid w:val="00CD5941"/>
    <w:rsid w:val="00CE2F47"/>
    <w:rsid w:val="00CE39A1"/>
    <w:rsid w:val="00CF43C7"/>
    <w:rsid w:val="00CF6C7E"/>
    <w:rsid w:val="00D06A60"/>
    <w:rsid w:val="00D13DAA"/>
    <w:rsid w:val="00D14D57"/>
    <w:rsid w:val="00D151FE"/>
    <w:rsid w:val="00D15AEA"/>
    <w:rsid w:val="00D15C7A"/>
    <w:rsid w:val="00D23362"/>
    <w:rsid w:val="00D23B1E"/>
    <w:rsid w:val="00D249EF"/>
    <w:rsid w:val="00D301C2"/>
    <w:rsid w:val="00D3072B"/>
    <w:rsid w:val="00D30DCC"/>
    <w:rsid w:val="00D3112A"/>
    <w:rsid w:val="00D34CE5"/>
    <w:rsid w:val="00D44975"/>
    <w:rsid w:val="00D61857"/>
    <w:rsid w:val="00D6476B"/>
    <w:rsid w:val="00D66C2A"/>
    <w:rsid w:val="00D71DAA"/>
    <w:rsid w:val="00D7422D"/>
    <w:rsid w:val="00D83EB2"/>
    <w:rsid w:val="00D87FF3"/>
    <w:rsid w:val="00D93DF1"/>
    <w:rsid w:val="00D9421A"/>
    <w:rsid w:val="00D9510E"/>
    <w:rsid w:val="00DA393A"/>
    <w:rsid w:val="00DA42CB"/>
    <w:rsid w:val="00DB45FA"/>
    <w:rsid w:val="00DC6A8B"/>
    <w:rsid w:val="00DD2860"/>
    <w:rsid w:val="00DE55EC"/>
    <w:rsid w:val="00DE6D34"/>
    <w:rsid w:val="00DF33EA"/>
    <w:rsid w:val="00E06AA4"/>
    <w:rsid w:val="00E131E2"/>
    <w:rsid w:val="00E20D29"/>
    <w:rsid w:val="00E254A2"/>
    <w:rsid w:val="00E27990"/>
    <w:rsid w:val="00E37C82"/>
    <w:rsid w:val="00E41F1C"/>
    <w:rsid w:val="00E50661"/>
    <w:rsid w:val="00E60B26"/>
    <w:rsid w:val="00E61F6C"/>
    <w:rsid w:val="00E66319"/>
    <w:rsid w:val="00E66CFE"/>
    <w:rsid w:val="00E756A3"/>
    <w:rsid w:val="00E84627"/>
    <w:rsid w:val="00E84AB4"/>
    <w:rsid w:val="00E96665"/>
    <w:rsid w:val="00E9768D"/>
    <w:rsid w:val="00E97ACC"/>
    <w:rsid w:val="00EA44E2"/>
    <w:rsid w:val="00EA518F"/>
    <w:rsid w:val="00EA5806"/>
    <w:rsid w:val="00EB3E51"/>
    <w:rsid w:val="00EB4B5E"/>
    <w:rsid w:val="00EB5178"/>
    <w:rsid w:val="00EB55DB"/>
    <w:rsid w:val="00EC2102"/>
    <w:rsid w:val="00EC6DF3"/>
    <w:rsid w:val="00ED0F09"/>
    <w:rsid w:val="00ED1A7B"/>
    <w:rsid w:val="00EE2D0F"/>
    <w:rsid w:val="00EE3E86"/>
    <w:rsid w:val="00EF11F0"/>
    <w:rsid w:val="00EF6704"/>
    <w:rsid w:val="00F023AE"/>
    <w:rsid w:val="00F07B23"/>
    <w:rsid w:val="00F22A72"/>
    <w:rsid w:val="00F22F57"/>
    <w:rsid w:val="00F25D18"/>
    <w:rsid w:val="00F270AF"/>
    <w:rsid w:val="00F36077"/>
    <w:rsid w:val="00F445DC"/>
    <w:rsid w:val="00F47EC8"/>
    <w:rsid w:val="00F54850"/>
    <w:rsid w:val="00F56C58"/>
    <w:rsid w:val="00F64726"/>
    <w:rsid w:val="00F73CF4"/>
    <w:rsid w:val="00F81228"/>
    <w:rsid w:val="00F85EE0"/>
    <w:rsid w:val="00F864CD"/>
    <w:rsid w:val="00F8774A"/>
    <w:rsid w:val="00F925DE"/>
    <w:rsid w:val="00FA429D"/>
    <w:rsid w:val="00FA5C53"/>
    <w:rsid w:val="00FE758F"/>
    <w:rsid w:val="00FF2934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4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4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4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975"/>
  </w:style>
  <w:style w:type="paragraph" w:styleId="Footer">
    <w:name w:val="footer"/>
    <w:basedOn w:val="Normal"/>
    <w:link w:val="FooterChar"/>
    <w:uiPriority w:val="99"/>
    <w:unhideWhenUsed/>
    <w:rsid w:val="00D4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975"/>
  </w:style>
  <w:style w:type="paragraph" w:styleId="ListParagraph">
    <w:name w:val="List Paragraph"/>
    <w:basedOn w:val="Normal"/>
    <w:uiPriority w:val="34"/>
    <w:qFormat/>
    <w:rsid w:val="00674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4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4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4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975"/>
  </w:style>
  <w:style w:type="paragraph" w:styleId="Footer">
    <w:name w:val="footer"/>
    <w:basedOn w:val="Normal"/>
    <w:link w:val="FooterChar"/>
    <w:uiPriority w:val="99"/>
    <w:unhideWhenUsed/>
    <w:rsid w:val="00D4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975"/>
  </w:style>
  <w:style w:type="paragraph" w:styleId="ListParagraph">
    <w:name w:val="List Paragraph"/>
    <w:basedOn w:val="Normal"/>
    <w:uiPriority w:val="34"/>
    <w:qFormat/>
    <w:rsid w:val="00674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B692-DDA0-44A8-A75A-7A8CB7F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Gyuler Alieva</dc:creator>
  <cp:lastModifiedBy>Alex Ivanov</cp:lastModifiedBy>
  <cp:revision>6</cp:revision>
  <cp:lastPrinted>2018-02-22T12:25:00Z</cp:lastPrinted>
  <dcterms:created xsi:type="dcterms:W3CDTF">2018-03-09T07:02:00Z</dcterms:created>
  <dcterms:modified xsi:type="dcterms:W3CDTF">2018-05-23T14:26:00Z</dcterms:modified>
</cp:coreProperties>
</file>