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FB1A30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ВЪЗДУХ</w:t>
      </w:r>
    </w:p>
    <w:p w:rsidR="00000000" w:rsidRDefault="00FB1A3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29.06.1996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B1A3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B1A30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.81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деривати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непроизводствено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цистерните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суспендирани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аерозол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полициклични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ароматни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кадмий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ЕМИСИИТЕ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3 - 10.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неорганизирани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неосъществими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цистерни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поетапно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2012/115/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52/12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(MW)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газьол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газьол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NACE);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дерогация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дерогации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SO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NO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CO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CO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вентилационните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азсейването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неорганизираното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авторепаратурните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номенклатура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отработилите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ЕМИСИИ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286/1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150/195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Ренкин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16,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реекспорт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хлорфлуорвъглеводороди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бромохлорвъглеводороди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халогенирани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хлорфлуорвъглеводороди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метилбромид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карантина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халогенирани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хлорфлуорвъглеводороди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регенериране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охлаждащи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машиностроене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2015/2067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301/28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307/2008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92/25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304/2008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92/12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304/2008",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2015/2066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301/22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306/2008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92/21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304/2008,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автопарк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регенериране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(MARPOL 73/78)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34 - 34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деонаблюдение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видеокамерите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видеоизображенията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манипулиране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видеоизображенията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27,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азсейването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горивоподаващи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34 -34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34 -34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16.02.2020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ISO/IEC 17 020,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дистрибуцията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зачислените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извънпланов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зачислените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зачислените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08510D">
        <w:rPr>
          <w:rFonts w:eastAsia="Times New Roman"/>
          <w:sz w:val="24"/>
          <w:szCs w:val="24"/>
          <w:highlight w:val="white"/>
          <w:shd w:val="clear" w:color="auto" w:fill="FEFEFE"/>
        </w:rPr>
        <w:t>интернет 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bookmarkStart w:id="0" w:name="_GoBack"/>
      <w:bookmarkEnd w:id="0"/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12, 15, 16,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ЕКАТТЕ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910/2014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257/73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МАЗУТ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неорганизирани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1494/2007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332/25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регенерирани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халогенирани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хлорфлуорвъглеводороди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флуоровъглеводороди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регенерира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регенерира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Ренкин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Неорганизираното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16.12.2019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актосъставителите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27, 30,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горивоподаващи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122 - 124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тропосферата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антропогенен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електромагнитни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хектопаскала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Целзий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Алармен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разсредоточено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прахообразуващи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газьоли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дозираща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228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590.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бункероване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бензиноколонката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искрово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сгъстяване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турбини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когенерационен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брикети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MW.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дистрибуция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2004/42/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пребоядисване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1999/13/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2012/33/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327/1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334/17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2015/2193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313/19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2016/2284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2001/81/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L 344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ИЗМЕРВАНИЯТА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АКВАКУЛТУРИТЕ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продоволствието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303/2008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304/2008,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307/2008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306/2008.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2,21, 36, 39, 41, 44, 45, 49, 50, 51, 53, 55, 56, 57, 59,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1 - 23, § 25, § 27 - 30, § 32 - 34, § 40, § 41, § 43 - 55, § 63 - 89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91 - 114,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ИЦИ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5, 6, 7, 8, 9,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24.04.2012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20 - 42, §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43 - 58, §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W;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1.2, 1.3, 1.4,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2.1 - 2.6, 3.1 - 3.5;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4.1 - 4.6 -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5.4,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6.2, 6.3, 6.4.1, 6.4.2,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6.4.3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6.5 - 6.9;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18.05.2012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извънбюджетната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отработеното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ОТПАДЪЦИТЕ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АКЦИЗИТЕ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СКЛАДОВЕ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17.07.2012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§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§ 11,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§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§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§ 25, §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29, § 30,§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§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34, § 40, §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47, 48, 49, 50, 51, 52, 53, §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§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номинална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§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5, 6,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8, 10 - 12, §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16, 17, 21 - 26,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B1A3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2016/2284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2001/81/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2016/802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2015/2193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2015/1513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98/70/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2009/28/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2015/1480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2004/107/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2008/50/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2012/33/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2010/75/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2009/30/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98/70/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газьола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2008/50/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2005/33/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2004/42/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пребоядисване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1999/13/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2001/81/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2001/80/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2000/69/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въглероден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93/12/E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99/30/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двуоксид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оксиди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1999/13/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98/70/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дизеловите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96/62/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94/63/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2015/2068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2015/2067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термопомпено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2015/2066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910/2014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517/2014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флуорсъдържащите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307/2008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атестати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306/2008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разтворители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комутационна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304/2008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303/2008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хладилни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1494/2007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842/2006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флуорирани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2037/2000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FB1A3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FB1A30" w:rsidRDefault="00FB1A3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2012/115/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010/75/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C(2012) 612)</w:t>
      </w:r>
    </w:p>
    <w:sectPr w:rsidR="00FB1A3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3"/>
    <w:rsid w:val="0008510D"/>
    <w:rsid w:val="00FA7883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m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m.government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m.government.bg/" TargetMode="External"/><Relationship Id="rId5" Type="http://schemas.openxmlformats.org/officeDocument/2006/relationships/hyperlink" Target="http://bbcmb.org/#zabbk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66</Pages>
  <Words>32062</Words>
  <Characters>182754</Characters>
  <Application>Microsoft Office Word</Application>
  <DocSecurity>0</DocSecurity>
  <Lines>1522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 Kandilarova</dc:creator>
  <cp:lastModifiedBy>Radost Kandilarova</cp:lastModifiedBy>
  <cp:revision>3</cp:revision>
  <dcterms:created xsi:type="dcterms:W3CDTF">2019-10-15T08:58:00Z</dcterms:created>
  <dcterms:modified xsi:type="dcterms:W3CDTF">2019-10-15T11:03:00Z</dcterms:modified>
</cp:coreProperties>
</file>