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87295777"/>
        <w:docPartObj>
          <w:docPartGallery w:val="Cover Pages"/>
          <w:docPartUnique/>
        </w:docPartObj>
      </w:sdtPr>
      <w:sdtEndPr>
        <w:rPr>
          <w:sz w:val="18"/>
          <w:szCs w:val="18"/>
          <w:lang w:val="en-IE"/>
        </w:rPr>
      </w:sdtEndPr>
      <w:sdtContent>
        <w:p w:rsidR="00455371" w:rsidRDefault="00455371">
          <w:r>
            <w:rPr>
              <w:noProof/>
              <w:lang w:val="en-US"/>
            </w:rPr>
            <mc:AlternateContent>
              <mc:Choice Requires="wpg">
                <w:drawing>
                  <wp:anchor distT="0" distB="0" distL="114300" distR="114300" simplePos="0" relativeHeight="251662336" behindDoc="0" locked="0" layoutInCell="1" allowOverlap="1" wp14:anchorId="3A8A0FB3" wp14:editId="5D892675">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3A218B8"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rsidR="00455371" w:rsidRDefault="00B558E3">
          <w:pPr>
            <w:spacing w:after="160" w:line="259" w:lineRule="auto"/>
            <w:rPr>
              <w:sz w:val="18"/>
              <w:szCs w:val="18"/>
              <w:lang w:val="en-IE"/>
            </w:rPr>
          </w:pPr>
          <w:r>
            <w:rPr>
              <w:noProof/>
              <w:lang w:val="en-US"/>
            </w:rPr>
            <mc:AlternateContent>
              <mc:Choice Requires="wps">
                <w:drawing>
                  <wp:anchor distT="0" distB="0" distL="114300" distR="114300" simplePos="0" relativeHeight="251659264" behindDoc="0" locked="0" layoutInCell="1" allowOverlap="1" wp14:anchorId="71954DF0" wp14:editId="07DBDE90">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4805680"/>
                    <wp:effectExtent l="0" t="0" r="0" b="1397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48060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GoBack"/>
                              <w:p w:rsidR="00455371" w:rsidRDefault="00260106">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455371" w:rsidRPr="00455371">
                                      <w:rPr>
                                        <w:caps/>
                                        <w:color w:val="5B9BD5" w:themeColor="accent1"/>
                                        <w:sz w:val="64"/>
                                        <w:szCs w:val="64"/>
                                      </w:rPr>
                                      <w:t>Насоки относно прилагането на член 9 от Регламент (EС) 2019/1020 по отношение на съвместните дейности за насърчаване на постигането на съответствие</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455371" w:rsidRDefault="00455371">
                                    <w:pPr>
                                      <w:jc w:val="right"/>
                                      <w:rPr>
                                        <w:smallCaps/>
                                        <w:color w:val="404040" w:themeColor="text1" w:themeTint="BF"/>
                                        <w:sz w:val="36"/>
                                        <w:szCs w:val="36"/>
                                      </w:rPr>
                                    </w:pPr>
                                    <w:r>
                                      <w:rPr>
                                        <w:color w:val="404040" w:themeColor="text1" w:themeTint="BF"/>
                                        <w:sz w:val="36"/>
                                        <w:szCs w:val="36"/>
                                      </w:rPr>
                                      <w:t>[Document subtitle]</w:t>
                                    </w:r>
                                  </w:p>
                                </w:sdtContent>
                              </w:sdt>
                              <w:bookmarkEnd w:id="0" w:displacedByCustomXml="prev"/>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0;margin-top:0;width:8in;height:378.4pt;z-index:251659264;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" filled="f" stroked="f" strokeweight=".5pt">
                    <v:textbox inset="126pt,0,54pt,0">
                      <w:txbxContent>
                        <w:bookmarkStart w:id="1" w:name="_GoBack"/>
                        <w:p w:rsidR="00455371" w:rsidRDefault="00260106">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455371" w:rsidRPr="00455371">
                                <w:rPr>
                                  <w:caps/>
                                  <w:color w:val="5B9BD5" w:themeColor="accent1"/>
                                  <w:sz w:val="64"/>
                                  <w:szCs w:val="64"/>
                                </w:rPr>
                                <w:t>Насоки относно прилагането на член 9 от Регламент (EС) 2019/1020 по отношение на съвместните дейности за насърчаване на постигането на съответствие</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455371" w:rsidRDefault="00455371">
                              <w:pPr>
                                <w:jc w:val="right"/>
                                <w:rPr>
                                  <w:smallCaps/>
                                  <w:color w:val="404040" w:themeColor="text1" w:themeTint="BF"/>
                                  <w:sz w:val="36"/>
                                  <w:szCs w:val="36"/>
                                </w:rPr>
                              </w:pPr>
                              <w:r>
                                <w:rPr>
                                  <w:color w:val="404040" w:themeColor="text1" w:themeTint="BF"/>
                                  <w:sz w:val="36"/>
                                  <w:szCs w:val="36"/>
                                </w:rPr>
                                <w:t>[Document subtitle]</w:t>
                              </w:r>
                            </w:p>
                          </w:sdtContent>
                        </w:sdt>
                        <w:bookmarkEnd w:id="1" w:displacedByCustomXml="prev"/>
                      </w:txbxContent>
                    </v:textbox>
                    <w10:wrap type="square" anchorx="page" anchory="page"/>
                  </v:shape>
                </w:pict>
              </mc:Fallback>
            </mc:AlternateContent>
          </w:r>
          <w:r w:rsidR="00455371">
            <w:rPr>
              <w:sz w:val="18"/>
              <w:szCs w:val="18"/>
              <w:lang w:val="en-IE"/>
            </w:rPr>
            <w:br w:type="page"/>
          </w:r>
        </w:p>
      </w:sdtContent>
    </w:sdt>
    <w:p w:rsidR="007E301C" w:rsidRPr="00233C54" w:rsidRDefault="00642B04" w:rsidP="00AC287C">
      <w:pPr>
        <w:jc w:val="both"/>
        <w:rPr>
          <w:rFonts w:asciiTheme="majorHAnsi" w:hAnsiTheme="majorHAnsi"/>
          <w:sz w:val="28"/>
          <w:szCs w:val="28"/>
        </w:rPr>
      </w:pPr>
      <w:r>
        <w:rPr>
          <w:rFonts w:asciiTheme="majorHAnsi" w:hAnsiTheme="majorHAnsi"/>
          <w:sz w:val="28"/>
          <w:szCs w:val="28"/>
        </w:rPr>
        <w:lastRenderedPageBreak/>
        <w:t>Съдържание</w:t>
      </w:r>
    </w:p>
    <w:p w:rsidR="00C17BD5" w:rsidRDefault="003C4F1D">
      <w:pPr>
        <w:pStyle w:val="TOC1"/>
        <w:tabs>
          <w:tab w:val="left" w:pos="709"/>
          <w:tab w:val="right" w:leader="dot" w:pos="9060"/>
        </w:tabs>
        <w:rPr>
          <w:rFonts w:asciiTheme="minorHAnsi" w:eastAsiaTheme="minorEastAsia" w:hAnsiTheme="minorHAnsi" w:cstheme="minorBidi"/>
          <w:b w:val="0"/>
          <w:noProof/>
          <w:lang w:val="en-US"/>
        </w:rPr>
      </w:pPr>
      <w:r>
        <w:fldChar w:fldCharType="begin"/>
      </w:r>
      <w:r>
        <w:instrText xml:space="preserve"> TOC \o "1-3" \h \z \u </w:instrText>
      </w:r>
      <w:r>
        <w:fldChar w:fldCharType="separate"/>
      </w:r>
      <w:hyperlink w:anchor="_Toc74759700" w:history="1">
        <w:r w:rsidR="00C17BD5" w:rsidRPr="002D62C6">
          <w:rPr>
            <w:rStyle w:val="Hyperlink"/>
            <w:noProof/>
          </w:rPr>
          <w:t>1</w:t>
        </w:r>
        <w:r w:rsidR="00C17BD5">
          <w:rPr>
            <w:rFonts w:asciiTheme="minorHAnsi" w:eastAsiaTheme="minorEastAsia" w:hAnsiTheme="minorHAnsi" w:cstheme="minorBidi"/>
            <w:b w:val="0"/>
            <w:noProof/>
            <w:lang w:val="en-US"/>
          </w:rPr>
          <w:tab/>
        </w:r>
        <w:r w:rsidR="00C17BD5" w:rsidRPr="002D62C6">
          <w:rPr>
            <w:rStyle w:val="Hyperlink"/>
            <w:noProof/>
          </w:rPr>
          <w:t>Увод</w:t>
        </w:r>
        <w:r w:rsidR="00C17BD5">
          <w:rPr>
            <w:noProof/>
            <w:webHidden/>
          </w:rPr>
          <w:tab/>
        </w:r>
        <w:r w:rsidR="00C17BD5">
          <w:rPr>
            <w:noProof/>
            <w:webHidden/>
          </w:rPr>
          <w:fldChar w:fldCharType="begin"/>
        </w:r>
        <w:r w:rsidR="00C17BD5">
          <w:rPr>
            <w:noProof/>
            <w:webHidden/>
          </w:rPr>
          <w:instrText xml:space="preserve"> PAGEREF _Toc74759700 \h </w:instrText>
        </w:r>
        <w:r w:rsidR="00C17BD5">
          <w:rPr>
            <w:noProof/>
            <w:webHidden/>
          </w:rPr>
        </w:r>
        <w:r w:rsidR="00C17BD5">
          <w:rPr>
            <w:noProof/>
            <w:webHidden/>
          </w:rPr>
          <w:fldChar w:fldCharType="separate"/>
        </w:r>
        <w:r w:rsidR="0032461C">
          <w:rPr>
            <w:noProof/>
            <w:webHidden/>
          </w:rPr>
          <w:t>2</w:t>
        </w:r>
        <w:r w:rsidR="00C17BD5">
          <w:rPr>
            <w:noProof/>
            <w:webHidden/>
          </w:rPr>
          <w:fldChar w:fldCharType="end"/>
        </w:r>
      </w:hyperlink>
    </w:p>
    <w:p w:rsidR="00C17BD5" w:rsidRDefault="00260106">
      <w:pPr>
        <w:pStyle w:val="TOC1"/>
        <w:tabs>
          <w:tab w:val="left" w:pos="709"/>
          <w:tab w:val="right" w:leader="dot" w:pos="9060"/>
        </w:tabs>
        <w:rPr>
          <w:rFonts w:asciiTheme="minorHAnsi" w:eastAsiaTheme="minorEastAsia" w:hAnsiTheme="minorHAnsi" w:cstheme="minorBidi"/>
          <w:b w:val="0"/>
          <w:noProof/>
          <w:lang w:val="en-US"/>
        </w:rPr>
      </w:pPr>
      <w:hyperlink w:anchor="_Toc74759701" w:history="1">
        <w:r w:rsidR="00C17BD5" w:rsidRPr="002D62C6">
          <w:rPr>
            <w:rStyle w:val="Hyperlink"/>
            <w:noProof/>
          </w:rPr>
          <w:t>2</w:t>
        </w:r>
        <w:r w:rsidR="00C17BD5">
          <w:rPr>
            <w:rFonts w:asciiTheme="minorHAnsi" w:eastAsiaTheme="minorEastAsia" w:hAnsiTheme="minorHAnsi" w:cstheme="minorBidi"/>
            <w:b w:val="0"/>
            <w:noProof/>
            <w:lang w:val="en-US"/>
          </w:rPr>
          <w:tab/>
        </w:r>
        <w:r w:rsidR="00C17BD5" w:rsidRPr="002D62C6">
          <w:rPr>
            <w:rStyle w:val="Hyperlink"/>
            <w:noProof/>
          </w:rPr>
          <w:t>Определения за целите на настоящите насоки</w:t>
        </w:r>
        <w:r w:rsidR="00C17BD5">
          <w:rPr>
            <w:noProof/>
            <w:webHidden/>
          </w:rPr>
          <w:tab/>
        </w:r>
        <w:r w:rsidR="00C17BD5">
          <w:rPr>
            <w:noProof/>
            <w:webHidden/>
          </w:rPr>
          <w:fldChar w:fldCharType="begin"/>
        </w:r>
        <w:r w:rsidR="00C17BD5">
          <w:rPr>
            <w:noProof/>
            <w:webHidden/>
          </w:rPr>
          <w:instrText xml:space="preserve"> PAGEREF _Toc74759701 \h </w:instrText>
        </w:r>
        <w:r w:rsidR="00C17BD5">
          <w:rPr>
            <w:noProof/>
            <w:webHidden/>
          </w:rPr>
        </w:r>
        <w:r w:rsidR="00C17BD5">
          <w:rPr>
            <w:noProof/>
            <w:webHidden/>
          </w:rPr>
          <w:fldChar w:fldCharType="separate"/>
        </w:r>
        <w:r w:rsidR="0032461C">
          <w:rPr>
            <w:noProof/>
            <w:webHidden/>
          </w:rPr>
          <w:t>2</w:t>
        </w:r>
        <w:r w:rsidR="00C17BD5">
          <w:rPr>
            <w:noProof/>
            <w:webHidden/>
          </w:rPr>
          <w:fldChar w:fldCharType="end"/>
        </w:r>
      </w:hyperlink>
    </w:p>
    <w:p w:rsidR="00C17BD5" w:rsidRDefault="00260106">
      <w:pPr>
        <w:pStyle w:val="TOC1"/>
        <w:tabs>
          <w:tab w:val="left" w:pos="709"/>
          <w:tab w:val="right" w:leader="dot" w:pos="9060"/>
        </w:tabs>
        <w:rPr>
          <w:rFonts w:asciiTheme="minorHAnsi" w:eastAsiaTheme="minorEastAsia" w:hAnsiTheme="minorHAnsi" w:cstheme="minorBidi"/>
          <w:b w:val="0"/>
          <w:noProof/>
          <w:lang w:val="en-US"/>
        </w:rPr>
      </w:pPr>
      <w:hyperlink w:anchor="_Toc74759702" w:history="1">
        <w:r w:rsidR="00C17BD5" w:rsidRPr="002D62C6">
          <w:rPr>
            <w:rStyle w:val="Hyperlink"/>
            <w:noProof/>
          </w:rPr>
          <w:t>3</w:t>
        </w:r>
        <w:r w:rsidR="00C17BD5">
          <w:rPr>
            <w:rFonts w:asciiTheme="minorHAnsi" w:eastAsiaTheme="minorEastAsia" w:hAnsiTheme="minorHAnsi" w:cstheme="minorBidi"/>
            <w:b w:val="0"/>
            <w:noProof/>
            <w:lang w:val="en-US"/>
          </w:rPr>
          <w:tab/>
        </w:r>
        <w:r w:rsidR="00C17BD5" w:rsidRPr="002D62C6">
          <w:rPr>
            <w:rStyle w:val="Hyperlink"/>
            <w:noProof/>
          </w:rPr>
          <w:t>Съвместни дейности</w:t>
        </w:r>
        <w:r w:rsidR="00C17BD5">
          <w:rPr>
            <w:noProof/>
            <w:webHidden/>
          </w:rPr>
          <w:tab/>
        </w:r>
        <w:r w:rsidR="00C17BD5">
          <w:rPr>
            <w:noProof/>
            <w:webHidden/>
          </w:rPr>
          <w:fldChar w:fldCharType="begin"/>
        </w:r>
        <w:r w:rsidR="00C17BD5">
          <w:rPr>
            <w:noProof/>
            <w:webHidden/>
          </w:rPr>
          <w:instrText xml:space="preserve"> PAGEREF _Toc74759702 \h </w:instrText>
        </w:r>
        <w:r w:rsidR="00C17BD5">
          <w:rPr>
            <w:noProof/>
            <w:webHidden/>
          </w:rPr>
        </w:r>
        <w:r w:rsidR="00C17BD5">
          <w:rPr>
            <w:noProof/>
            <w:webHidden/>
          </w:rPr>
          <w:fldChar w:fldCharType="separate"/>
        </w:r>
        <w:r w:rsidR="0032461C">
          <w:rPr>
            <w:noProof/>
            <w:webHidden/>
          </w:rPr>
          <w:t>3</w:t>
        </w:r>
        <w:r w:rsidR="00C17BD5">
          <w:rPr>
            <w:noProof/>
            <w:webHidden/>
          </w:rPr>
          <w:fldChar w:fldCharType="end"/>
        </w:r>
      </w:hyperlink>
    </w:p>
    <w:p w:rsidR="00C17BD5" w:rsidRDefault="00260106">
      <w:pPr>
        <w:pStyle w:val="TOC2"/>
        <w:rPr>
          <w:rFonts w:asciiTheme="minorHAnsi" w:eastAsiaTheme="minorEastAsia" w:hAnsiTheme="minorHAnsi" w:cstheme="minorBidi"/>
          <w:lang w:val="en-US"/>
        </w:rPr>
      </w:pPr>
      <w:hyperlink w:anchor="_Toc74759703" w:history="1">
        <w:r w:rsidR="00C17BD5" w:rsidRPr="002D62C6">
          <w:rPr>
            <w:rStyle w:val="Hyperlink"/>
          </w:rPr>
          <w:t>3.1</w:t>
        </w:r>
        <w:r w:rsidR="00C17BD5">
          <w:rPr>
            <w:rFonts w:asciiTheme="minorHAnsi" w:eastAsiaTheme="minorEastAsia" w:hAnsiTheme="minorHAnsi" w:cstheme="minorBidi"/>
            <w:lang w:val="en-US"/>
          </w:rPr>
          <w:tab/>
        </w:r>
        <w:r w:rsidR="00C17BD5" w:rsidRPr="002D62C6">
          <w:rPr>
            <w:rStyle w:val="Hyperlink"/>
          </w:rPr>
          <w:t xml:space="preserve">Участници, допринасящи за </w:t>
        </w:r>
        <w:r w:rsidR="00C17BD5" w:rsidRPr="002D62C6">
          <w:rPr>
            <w:rStyle w:val="Hyperlink"/>
            <w:i/>
          </w:rPr>
          <w:t>съвместната дейност</w:t>
        </w:r>
        <w:r w:rsidR="00C17BD5">
          <w:rPr>
            <w:webHidden/>
          </w:rPr>
          <w:tab/>
        </w:r>
        <w:r w:rsidR="00C17BD5">
          <w:rPr>
            <w:webHidden/>
          </w:rPr>
          <w:fldChar w:fldCharType="begin"/>
        </w:r>
        <w:r w:rsidR="00C17BD5">
          <w:rPr>
            <w:webHidden/>
          </w:rPr>
          <w:instrText xml:space="preserve"> PAGEREF _Toc74759703 \h </w:instrText>
        </w:r>
        <w:r w:rsidR="00C17BD5">
          <w:rPr>
            <w:webHidden/>
          </w:rPr>
        </w:r>
        <w:r w:rsidR="00C17BD5">
          <w:rPr>
            <w:webHidden/>
          </w:rPr>
          <w:fldChar w:fldCharType="separate"/>
        </w:r>
        <w:r w:rsidR="0032461C">
          <w:rPr>
            <w:webHidden/>
          </w:rPr>
          <w:t>4</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04" w:history="1">
        <w:r w:rsidR="00C17BD5" w:rsidRPr="002D62C6">
          <w:rPr>
            <w:rStyle w:val="Hyperlink"/>
          </w:rPr>
          <w:t>3.2</w:t>
        </w:r>
        <w:r w:rsidR="00C17BD5">
          <w:rPr>
            <w:rFonts w:asciiTheme="minorHAnsi" w:eastAsiaTheme="minorEastAsia" w:hAnsiTheme="minorHAnsi" w:cstheme="minorBidi"/>
            <w:lang w:val="en-US"/>
          </w:rPr>
          <w:tab/>
        </w:r>
        <w:r w:rsidR="00C17BD5" w:rsidRPr="002D62C6">
          <w:rPr>
            <w:rStyle w:val="Hyperlink"/>
          </w:rPr>
          <w:t>Наименование на съвместната дейност</w:t>
        </w:r>
        <w:r w:rsidR="00C17BD5">
          <w:rPr>
            <w:webHidden/>
          </w:rPr>
          <w:tab/>
        </w:r>
        <w:r w:rsidR="00C17BD5">
          <w:rPr>
            <w:webHidden/>
          </w:rPr>
          <w:fldChar w:fldCharType="begin"/>
        </w:r>
        <w:r w:rsidR="00C17BD5">
          <w:rPr>
            <w:webHidden/>
          </w:rPr>
          <w:instrText xml:space="preserve"> PAGEREF _Toc74759704 \h </w:instrText>
        </w:r>
        <w:r w:rsidR="00C17BD5">
          <w:rPr>
            <w:webHidden/>
          </w:rPr>
        </w:r>
        <w:r w:rsidR="00C17BD5">
          <w:rPr>
            <w:webHidden/>
          </w:rPr>
          <w:fldChar w:fldCharType="separate"/>
        </w:r>
        <w:r w:rsidR="0032461C">
          <w:rPr>
            <w:webHidden/>
          </w:rPr>
          <w:t>4</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05" w:history="1">
        <w:r w:rsidR="00C17BD5" w:rsidRPr="002D62C6">
          <w:rPr>
            <w:rStyle w:val="Hyperlink"/>
          </w:rPr>
          <w:t>3.3</w:t>
        </w:r>
        <w:r w:rsidR="00C17BD5">
          <w:rPr>
            <w:rFonts w:asciiTheme="minorHAnsi" w:eastAsiaTheme="minorEastAsia" w:hAnsiTheme="minorHAnsi" w:cstheme="minorBidi"/>
            <w:lang w:val="en-US"/>
          </w:rPr>
          <w:tab/>
        </w:r>
        <w:r w:rsidR="00C17BD5" w:rsidRPr="002D62C6">
          <w:rPr>
            <w:rStyle w:val="Hyperlink"/>
          </w:rPr>
          <w:t>Цел на съвместните дейности</w:t>
        </w:r>
        <w:r w:rsidR="00C17BD5">
          <w:rPr>
            <w:webHidden/>
          </w:rPr>
          <w:tab/>
        </w:r>
        <w:r w:rsidR="00C17BD5">
          <w:rPr>
            <w:webHidden/>
          </w:rPr>
          <w:fldChar w:fldCharType="begin"/>
        </w:r>
        <w:r w:rsidR="00C17BD5">
          <w:rPr>
            <w:webHidden/>
          </w:rPr>
          <w:instrText xml:space="preserve"> PAGEREF _Toc74759705 \h </w:instrText>
        </w:r>
        <w:r w:rsidR="00C17BD5">
          <w:rPr>
            <w:webHidden/>
          </w:rPr>
        </w:r>
        <w:r w:rsidR="00C17BD5">
          <w:rPr>
            <w:webHidden/>
          </w:rPr>
          <w:fldChar w:fldCharType="separate"/>
        </w:r>
        <w:r w:rsidR="0032461C">
          <w:rPr>
            <w:webHidden/>
          </w:rPr>
          <w:t>4</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06" w:history="1">
        <w:r w:rsidR="00C17BD5" w:rsidRPr="002D62C6">
          <w:rPr>
            <w:rStyle w:val="Hyperlink"/>
          </w:rPr>
          <w:t>3.4</w:t>
        </w:r>
        <w:r w:rsidR="00C17BD5">
          <w:rPr>
            <w:rFonts w:asciiTheme="minorHAnsi" w:eastAsiaTheme="minorEastAsia" w:hAnsiTheme="minorHAnsi" w:cstheme="minorBidi"/>
            <w:lang w:val="en-US"/>
          </w:rPr>
          <w:tab/>
        </w:r>
        <w:r w:rsidR="00C17BD5" w:rsidRPr="002D62C6">
          <w:rPr>
            <w:rStyle w:val="Hyperlink"/>
          </w:rPr>
          <w:t xml:space="preserve">Мотивация и обосновка на </w:t>
        </w:r>
        <w:r w:rsidR="00C17BD5" w:rsidRPr="002D62C6">
          <w:rPr>
            <w:rStyle w:val="Hyperlink"/>
            <w:i/>
          </w:rPr>
          <w:t>съвместната дейност</w:t>
        </w:r>
        <w:r w:rsidR="00C17BD5">
          <w:rPr>
            <w:webHidden/>
          </w:rPr>
          <w:tab/>
        </w:r>
        <w:r w:rsidR="00C17BD5">
          <w:rPr>
            <w:webHidden/>
          </w:rPr>
          <w:fldChar w:fldCharType="begin"/>
        </w:r>
        <w:r w:rsidR="00C17BD5">
          <w:rPr>
            <w:webHidden/>
          </w:rPr>
          <w:instrText xml:space="preserve"> PAGEREF _Toc74759706 \h </w:instrText>
        </w:r>
        <w:r w:rsidR="00C17BD5">
          <w:rPr>
            <w:webHidden/>
          </w:rPr>
        </w:r>
        <w:r w:rsidR="00C17BD5">
          <w:rPr>
            <w:webHidden/>
          </w:rPr>
          <w:fldChar w:fldCharType="separate"/>
        </w:r>
        <w:r w:rsidR="0032461C">
          <w:rPr>
            <w:webHidden/>
          </w:rPr>
          <w:t>5</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07" w:history="1">
        <w:r w:rsidR="00C17BD5" w:rsidRPr="002D62C6">
          <w:rPr>
            <w:rStyle w:val="Hyperlink"/>
          </w:rPr>
          <w:t>3.5</w:t>
        </w:r>
        <w:r w:rsidR="00C17BD5">
          <w:rPr>
            <w:rFonts w:asciiTheme="minorHAnsi" w:eastAsiaTheme="minorEastAsia" w:hAnsiTheme="minorHAnsi" w:cstheme="minorBidi"/>
            <w:lang w:val="en-US"/>
          </w:rPr>
          <w:tab/>
        </w:r>
        <w:r w:rsidR="00C17BD5" w:rsidRPr="002D62C6">
          <w:rPr>
            <w:rStyle w:val="Hyperlink"/>
          </w:rPr>
          <w:t>Обхват на съвместната дейност</w:t>
        </w:r>
        <w:r w:rsidR="00C17BD5">
          <w:rPr>
            <w:webHidden/>
          </w:rPr>
          <w:tab/>
        </w:r>
        <w:r w:rsidR="00C17BD5">
          <w:rPr>
            <w:webHidden/>
          </w:rPr>
          <w:fldChar w:fldCharType="begin"/>
        </w:r>
        <w:r w:rsidR="00C17BD5">
          <w:rPr>
            <w:webHidden/>
          </w:rPr>
          <w:instrText xml:space="preserve"> PAGEREF _Toc74759707 \h </w:instrText>
        </w:r>
        <w:r w:rsidR="00C17BD5">
          <w:rPr>
            <w:webHidden/>
          </w:rPr>
        </w:r>
        <w:r w:rsidR="00C17BD5">
          <w:rPr>
            <w:webHidden/>
          </w:rPr>
          <w:fldChar w:fldCharType="separate"/>
        </w:r>
        <w:r w:rsidR="0032461C">
          <w:rPr>
            <w:webHidden/>
          </w:rPr>
          <w:t>5</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08" w:history="1">
        <w:r w:rsidR="00C17BD5" w:rsidRPr="002D62C6">
          <w:rPr>
            <w:rStyle w:val="Hyperlink"/>
          </w:rPr>
          <w:t>3.6</w:t>
        </w:r>
        <w:r w:rsidR="00C17BD5">
          <w:rPr>
            <w:rFonts w:asciiTheme="minorHAnsi" w:eastAsiaTheme="minorEastAsia" w:hAnsiTheme="minorHAnsi" w:cstheme="minorBidi"/>
            <w:lang w:val="en-US"/>
          </w:rPr>
          <w:tab/>
        </w:r>
        <w:r w:rsidR="00C17BD5" w:rsidRPr="002D62C6">
          <w:rPr>
            <w:rStyle w:val="Hyperlink"/>
          </w:rPr>
          <w:t>Участници в публични кампании</w:t>
        </w:r>
        <w:r w:rsidR="00C17BD5">
          <w:rPr>
            <w:webHidden/>
          </w:rPr>
          <w:tab/>
        </w:r>
        <w:r w:rsidR="00C17BD5">
          <w:rPr>
            <w:webHidden/>
          </w:rPr>
          <w:fldChar w:fldCharType="begin"/>
        </w:r>
        <w:r w:rsidR="00C17BD5">
          <w:rPr>
            <w:webHidden/>
          </w:rPr>
          <w:instrText xml:space="preserve"> PAGEREF _Toc74759708 \h </w:instrText>
        </w:r>
        <w:r w:rsidR="00C17BD5">
          <w:rPr>
            <w:webHidden/>
          </w:rPr>
        </w:r>
        <w:r w:rsidR="00C17BD5">
          <w:rPr>
            <w:webHidden/>
          </w:rPr>
          <w:fldChar w:fldCharType="separate"/>
        </w:r>
        <w:r w:rsidR="0032461C">
          <w:rPr>
            <w:webHidden/>
          </w:rPr>
          <w:t>6</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09" w:history="1">
        <w:r w:rsidR="00C17BD5" w:rsidRPr="002D62C6">
          <w:rPr>
            <w:rStyle w:val="Hyperlink"/>
          </w:rPr>
          <w:t>3.7</w:t>
        </w:r>
        <w:r w:rsidR="00C17BD5">
          <w:rPr>
            <w:rFonts w:asciiTheme="minorHAnsi" w:eastAsiaTheme="minorEastAsia" w:hAnsiTheme="minorHAnsi" w:cstheme="minorBidi"/>
            <w:lang w:val="en-US"/>
          </w:rPr>
          <w:tab/>
        </w:r>
        <w:r w:rsidR="00C17BD5" w:rsidRPr="002D62C6">
          <w:rPr>
            <w:rStyle w:val="Hyperlink"/>
          </w:rPr>
          <w:t>Насоки</w:t>
        </w:r>
        <w:r w:rsidR="00C17BD5">
          <w:rPr>
            <w:webHidden/>
          </w:rPr>
          <w:tab/>
        </w:r>
        <w:r w:rsidR="00C17BD5">
          <w:rPr>
            <w:webHidden/>
          </w:rPr>
          <w:fldChar w:fldCharType="begin"/>
        </w:r>
        <w:r w:rsidR="00C17BD5">
          <w:rPr>
            <w:webHidden/>
          </w:rPr>
          <w:instrText xml:space="preserve"> PAGEREF _Toc74759709 \h </w:instrText>
        </w:r>
        <w:r w:rsidR="00C17BD5">
          <w:rPr>
            <w:webHidden/>
          </w:rPr>
        </w:r>
        <w:r w:rsidR="00C17BD5">
          <w:rPr>
            <w:webHidden/>
          </w:rPr>
          <w:fldChar w:fldCharType="separate"/>
        </w:r>
        <w:r w:rsidR="0032461C">
          <w:rPr>
            <w:webHidden/>
          </w:rPr>
          <w:t>6</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10" w:history="1">
        <w:r w:rsidR="00C17BD5" w:rsidRPr="002D62C6">
          <w:rPr>
            <w:rStyle w:val="Hyperlink"/>
          </w:rPr>
          <w:t>3.8</w:t>
        </w:r>
        <w:r w:rsidR="00C17BD5">
          <w:rPr>
            <w:rFonts w:asciiTheme="minorHAnsi" w:eastAsiaTheme="minorEastAsia" w:hAnsiTheme="minorHAnsi" w:cstheme="minorBidi"/>
            <w:lang w:val="en-US"/>
          </w:rPr>
          <w:tab/>
        </w:r>
        <w:r w:rsidR="00C17BD5" w:rsidRPr="002D62C6">
          <w:rPr>
            <w:rStyle w:val="Hyperlink"/>
          </w:rPr>
          <w:t>Допълнителни условия за съвместните дейности за установяване на несъответствие</w:t>
        </w:r>
        <w:r w:rsidR="00C17BD5">
          <w:rPr>
            <w:webHidden/>
          </w:rPr>
          <w:tab/>
        </w:r>
        <w:r w:rsidR="00C17BD5">
          <w:rPr>
            <w:webHidden/>
          </w:rPr>
          <w:fldChar w:fldCharType="begin"/>
        </w:r>
        <w:r w:rsidR="00C17BD5">
          <w:rPr>
            <w:webHidden/>
          </w:rPr>
          <w:instrText xml:space="preserve"> PAGEREF _Toc74759710 \h </w:instrText>
        </w:r>
        <w:r w:rsidR="00C17BD5">
          <w:rPr>
            <w:webHidden/>
          </w:rPr>
        </w:r>
        <w:r w:rsidR="00C17BD5">
          <w:rPr>
            <w:webHidden/>
          </w:rPr>
          <w:fldChar w:fldCharType="separate"/>
        </w:r>
        <w:r w:rsidR="0032461C">
          <w:rPr>
            <w:webHidden/>
          </w:rPr>
          <w:t>6</w:t>
        </w:r>
        <w:r w:rsidR="00C17BD5">
          <w:rPr>
            <w:webHidden/>
          </w:rPr>
          <w:fldChar w:fldCharType="end"/>
        </w:r>
      </w:hyperlink>
    </w:p>
    <w:p w:rsidR="00C17BD5" w:rsidRDefault="00260106">
      <w:pPr>
        <w:pStyle w:val="TOC3"/>
        <w:rPr>
          <w:rFonts w:asciiTheme="minorHAnsi" w:eastAsiaTheme="minorEastAsia" w:hAnsiTheme="minorHAnsi" w:cstheme="minorBidi"/>
          <w:lang w:val="en-US"/>
        </w:rPr>
      </w:pPr>
      <w:hyperlink w:anchor="_Toc74759711" w:history="1">
        <w:r w:rsidR="00C17BD5" w:rsidRPr="002D62C6">
          <w:rPr>
            <w:rStyle w:val="Hyperlink"/>
          </w:rPr>
          <w:t>3.8.1</w:t>
        </w:r>
        <w:r w:rsidR="00C17BD5">
          <w:rPr>
            <w:rFonts w:asciiTheme="minorHAnsi" w:eastAsiaTheme="minorEastAsia" w:hAnsiTheme="minorHAnsi" w:cstheme="minorBidi"/>
            <w:lang w:val="en-US"/>
          </w:rPr>
          <w:tab/>
        </w:r>
        <w:r w:rsidR="00C17BD5" w:rsidRPr="002D62C6">
          <w:rPr>
            <w:rStyle w:val="Hyperlink"/>
          </w:rPr>
          <w:t>Вземане на проби</w:t>
        </w:r>
        <w:r w:rsidR="00C17BD5">
          <w:rPr>
            <w:webHidden/>
          </w:rPr>
          <w:tab/>
        </w:r>
        <w:r w:rsidR="00C17BD5">
          <w:rPr>
            <w:webHidden/>
          </w:rPr>
          <w:fldChar w:fldCharType="begin"/>
        </w:r>
        <w:r w:rsidR="00C17BD5">
          <w:rPr>
            <w:webHidden/>
          </w:rPr>
          <w:instrText xml:space="preserve"> PAGEREF _Toc74759711 \h </w:instrText>
        </w:r>
        <w:r w:rsidR="00C17BD5">
          <w:rPr>
            <w:webHidden/>
          </w:rPr>
        </w:r>
        <w:r w:rsidR="00C17BD5">
          <w:rPr>
            <w:webHidden/>
          </w:rPr>
          <w:fldChar w:fldCharType="separate"/>
        </w:r>
        <w:r w:rsidR="0032461C">
          <w:rPr>
            <w:webHidden/>
          </w:rPr>
          <w:t>6</w:t>
        </w:r>
        <w:r w:rsidR="00C17BD5">
          <w:rPr>
            <w:webHidden/>
          </w:rPr>
          <w:fldChar w:fldCharType="end"/>
        </w:r>
      </w:hyperlink>
    </w:p>
    <w:p w:rsidR="00C17BD5" w:rsidRDefault="00260106">
      <w:pPr>
        <w:pStyle w:val="TOC3"/>
        <w:rPr>
          <w:rFonts w:asciiTheme="minorHAnsi" w:eastAsiaTheme="minorEastAsia" w:hAnsiTheme="minorHAnsi" w:cstheme="minorBidi"/>
          <w:lang w:val="en-US"/>
        </w:rPr>
      </w:pPr>
      <w:hyperlink w:anchor="_Toc74759712" w:history="1">
        <w:r w:rsidR="00C17BD5" w:rsidRPr="002D62C6">
          <w:rPr>
            <w:rStyle w:val="Hyperlink"/>
          </w:rPr>
          <w:t>3.8.2</w:t>
        </w:r>
        <w:r w:rsidR="00C17BD5">
          <w:rPr>
            <w:rFonts w:asciiTheme="minorHAnsi" w:eastAsiaTheme="minorEastAsia" w:hAnsiTheme="minorHAnsi" w:cstheme="minorBidi"/>
            <w:lang w:val="en-US"/>
          </w:rPr>
          <w:tab/>
        </w:r>
        <w:r w:rsidR="00C17BD5" w:rsidRPr="002D62C6">
          <w:rPr>
            <w:rStyle w:val="Hyperlink"/>
          </w:rPr>
          <w:t>Физическо изпитване</w:t>
        </w:r>
        <w:r w:rsidR="00C17BD5">
          <w:rPr>
            <w:webHidden/>
          </w:rPr>
          <w:tab/>
        </w:r>
        <w:r w:rsidR="00C17BD5">
          <w:rPr>
            <w:webHidden/>
          </w:rPr>
          <w:fldChar w:fldCharType="begin"/>
        </w:r>
        <w:r w:rsidR="00C17BD5">
          <w:rPr>
            <w:webHidden/>
          </w:rPr>
          <w:instrText xml:space="preserve"> PAGEREF _Toc74759712 \h </w:instrText>
        </w:r>
        <w:r w:rsidR="00C17BD5">
          <w:rPr>
            <w:webHidden/>
          </w:rPr>
        </w:r>
        <w:r w:rsidR="00C17BD5">
          <w:rPr>
            <w:webHidden/>
          </w:rPr>
          <w:fldChar w:fldCharType="separate"/>
        </w:r>
        <w:r w:rsidR="0032461C">
          <w:rPr>
            <w:webHidden/>
          </w:rPr>
          <w:t>6</w:t>
        </w:r>
        <w:r w:rsidR="00C17BD5">
          <w:rPr>
            <w:webHidden/>
          </w:rPr>
          <w:fldChar w:fldCharType="end"/>
        </w:r>
      </w:hyperlink>
    </w:p>
    <w:p w:rsidR="00C17BD5" w:rsidRDefault="00260106">
      <w:pPr>
        <w:pStyle w:val="TOC3"/>
        <w:rPr>
          <w:rFonts w:asciiTheme="minorHAnsi" w:eastAsiaTheme="minorEastAsia" w:hAnsiTheme="minorHAnsi" w:cstheme="minorBidi"/>
          <w:lang w:val="en-US"/>
        </w:rPr>
      </w:pPr>
      <w:hyperlink w:anchor="_Toc74759713" w:history="1">
        <w:r w:rsidR="00C17BD5" w:rsidRPr="002D62C6">
          <w:rPr>
            <w:rStyle w:val="Hyperlink"/>
          </w:rPr>
          <w:t>3.8.3</w:t>
        </w:r>
        <w:r w:rsidR="00C17BD5">
          <w:rPr>
            <w:rFonts w:asciiTheme="minorHAnsi" w:eastAsiaTheme="minorEastAsia" w:hAnsiTheme="minorHAnsi" w:cstheme="minorBidi"/>
            <w:lang w:val="en-US"/>
          </w:rPr>
          <w:tab/>
        </w:r>
        <w:r w:rsidR="00C17BD5" w:rsidRPr="002D62C6">
          <w:rPr>
            <w:rStyle w:val="Hyperlink"/>
          </w:rPr>
          <w:t>Проверка на административните изисквания</w:t>
        </w:r>
        <w:r w:rsidR="00C17BD5">
          <w:rPr>
            <w:webHidden/>
          </w:rPr>
          <w:tab/>
        </w:r>
        <w:r w:rsidR="00C17BD5">
          <w:rPr>
            <w:webHidden/>
          </w:rPr>
          <w:fldChar w:fldCharType="begin"/>
        </w:r>
        <w:r w:rsidR="00C17BD5">
          <w:rPr>
            <w:webHidden/>
          </w:rPr>
          <w:instrText xml:space="preserve"> PAGEREF _Toc74759713 \h </w:instrText>
        </w:r>
        <w:r w:rsidR="00C17BD5">
          <w:rPr>
            <w:webHidden/>
          </w:rPr>
        </w:r>
        <w:r w:rsidR="00C17BD5">
          <w:rPr>
            <w:webHidden/>
          </w:rPr>
          <w:fldChar w:fldCharType="separate"/>
        </w:r>
        <w:r w:rsidR="0032461C">
          <w:rPr>
            <w:webHidden/>
          </w:rPr>
          <w:t>7</w:t>
        </w:r>
        <w:r w:rsidR="00C17BD5">
          <w:rPr>
            <w:webHidden/>
          </w:rPr>
          <w:fldChar w:fldCharType="end"/>
        </w:r>
      </w:hyperlink>
    </w:p>
    <w:p w:rsidR="00C17BD5" w:rsidRDefault="00260106">
      <w:pPr>
        <w:pStyle w:val="TOC1"/>
        <w:tabs>
          <w:tab w:val="left" w:pos="709"/>
          <w:tab w:val="right" w:leader="dot" w:pos="9060"/>
        </w:tabs>
        <w:rPr>
          <w:rFonts w:asciiTheme="minorHAnsi" w:eastAsiaTheme="minorEastAsia" w:hAnsiTheme="minorHAnsi" w:cstheme="minorBidi"/>
          <w:b w:val="0"/>
          <w:noProof/>
          <w:lang w:val="en-US"/>
        </w:rPr>
      </w:pPr>
      <w:hyperlink w:anchor="_Toc74759714" w:history="1">
        <w:r w:rsidR="00C17BD5" w:rsidRPr="002D62C6">
          <w:rPr>
            <w:rStyle w:val="Hyperlink"/>
            <w:noProof/>
          </w:rPr>
          <w:t>4</w:t>
        </w:r>
        <w:r w:rsidR="00C17BD5">
          <w:rPr>
            <w:rFonts w:asciiTheme="minorHAnsi" w:eastAsiaTheme="minorEastAsia" w:hAnsiTheme="minorHAnsi" w:cstheme="minorBidi"/>
            <w:b w:val="0"/>
            <w:noProof/>
            <w:lang w:val="en-US"/>
          </w:rPr>
          <w:tab/>
        </w:r>
        <w:r w:rsidR="00C17BD5" w:rsidRPr="002D62C6">
          <w:rPr>
            <w:rStyle w:val="Hyperlink"/>
            <w:noProof/>
          </w:rPr>
          <w:t>Обективност, независимост и безпристрастност</w:t>
        </w:r>
        <w:r w:rsidR="00C17BD5">
          <w:rPr>
            <w:noProof/>
            <w:webHidden/>
          </w:rPr>
          <w:tab/>
        </w:r>
        <w:r w:rsidR="00C17BD5">
          <w:rPr>
            <w:noProof/>
            <w:webHidden/>
          </w:rPr>
          <w:fldChar w:fldCharType="begin"/>
        </w:r>
        <w:r w:rsidR="00C17BD5">
          <w:rPr>
            <w:noProof/>
            <w:webHidden/>
          </w:rPr>
          <w:instrText xml:space="preserve"> PAGEREF _Toc74759714 \h </w:instrText>
        </w:r>
        <w:r w:rsidR="00C17BD5">
          <w:rPr>
            <w:noProof/>
            <w:webHidden/>
          </w:rPr>
        </w:r>
        <w:r w:rsidR="00C17BD5">
          <w:rPr>
            <w:noProof/>
            <w:webHidden/>
          </w:rPr>
          <w:fldChar w:fldCharType="separate"/>
        </w:r>
        <w:r w:rsidR="0032461C">
          <w:rPr>
            <w:noProof/>
            <w:webHidden/>
          </w:rPr>
          <w:t>7</w:t>
        </w:r>
        <w:r w:rsidR="00C17BD5">
          <w:rPr>
            <w:noProof/>
            <w:webHidden/>
          </w:rPr>
          <w:fldChar w:fldCharType="end"/>
        </w:r>
      </w:hyperlink>
    </w:p>
    <w:p w:rsidR="00C17BD5" w:rsidRDefault="00260106">
      <w:pPr>
        <w:pStyle w:val="TOC2"/>
        <w:rPr>
          <w:rFonts w:asciiTheme="minorHAnsi" w:eastAsiaTheme="minorEastAsia" w:hAnsiTheme="minorHAnsi" w:cstheme="minorBidi"/>
          <w:lang w:val="en-US"/>
        </w:rPr>
      </w:pPr>
      <w:hyperlink w:anchor="_Toc74759715" w:history="1">
        <w:r w:rsidR="00C17BD5" w:rsidRPr="002D62C6">
          <w:rPr>
            <w:rStyle w:val="Hyperlink"/>
          </w:rPr>
          <w:t>4.1</w:t>
        </w:r>
        <w:r w:rsidR="00C17BD5">
          <w:rPr>
            <w:rFonts w:asciiTheme="minorHAnsi" w:eastAsiaTheme="minorEastAsia" w:hAnsiTheme="minorHAnsi" w:cstheme="minorBidi"/>
            <w:lang w:val="en-US"/>
          </w:rPr>
          <w:tab/>
        </w:r>
        <w:r w:rsidR="00C17BD5" w:rsidRPr="002D62C6">
          <w:rPr>
            <w:rStyle w:val="Hyperlink"/>
          </w:rPr>
          <w:t>Представител на целевия сектор</w:t>
        </w:r>
        <w:r w:rsidR="00C17BD5">
          <w:rPr>
            <w:webHidden/>
          </w:rPr>
          <w:tab/>
        </w:r>
        <w:r w:rsidR="00C17BD5">
          <w:rPr>
            <w:webHidden/>
          </w:rPr>
          <w:fldChar w:fldCharType="begin"/>
        </w:r>
        <w:r w:rsidR="00C17BD5">
          <w:rPr>
            <w:webHidden/>
          </w:rPr>
          <w:instrText xml:space="preserve"> PAGEREF _Toc74759715 \h </w:instrText>
        </w:r>
        <w:r w:rsidR="00C17BD5">
          <w:rPr>
            <w:webHidden/>
          </w:rPr>
        </w:r>
        <w:r w:rsidR="00C17BD5">
          <w:rPr>
            <w:webHidden/>
          </w:rPr>
          <w:fldChar w:fldCharType="separate"/>
        </w:r>
        <w:r w:rsidR="0032461C">
          <w:rPr>
            <w:webHidden/>
          </w:rPr>
          <w:t>7</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16" w:history="1">
        <w:r w:rsidR="00C17BD5" w:rsidRPr="002D62C6">
          <w:rPr>
            <w:rStyle w:val="Hyperlink"/>
          </w:rPr>
          <w:t>4.2</w:t>
        </w:r>
        <w:r w:rsidR="00C17BD5">
          <w:rPr>
            <w:rFonts w:asciiTheme="minorHAnsi" w:eastAsiaTheme="minorEastAsia" w:hAnsiTheme="minorHAnsi" w:cstheme="minorBidi"/>
            <w:lang w:val="en-US"/>
          </w:rPr>
          <w:tab/>
        </w:r>
        <w:r w:rsidR="00C17BD5" w:rsidRPr="002D62C6">
          <w:rPr>
            <w:rStyle w:val="Hyperlink"/>
          </w:rPr>
          <w:t>Ресурси</w:t>
        </w:r>
        <w:r w:rsidR="00C17BD5">
          <w:rPr>
            <w:webHidden/>
          </w:rPr>
          <w:tab/>
        </w:r>
        <w:r w:rsidR="00C17BD5">
          <w:rPr>
            <w:webHidden/>
          </w:rPr>
          <w:fldChar w:fldCharType="begin"/>
        </w:r>
        <w:r w:rsidR="00C17BD5">
          <w:rPr>
            <w:webHidden/>
          </w:rPr>
          <w:instrText xml:space="preserve"> PAGEREF _Toc74759716 \h </w:instrText>
        </w:r>
        <w:r w:rsidR="00C17BD5">
          <w:rPr>
            <w:webHidden/>
          </w:rPr>
        </w:r>
        <w:r w:rsidR="00C17BD5">
          <w:rPr>
            <w:webHidden/>
          </w:rPr>
          <w:fldChar w:fldCharType="separate"/>
        </w:r>
        <w:r w:rsidR="0032461C">
          <w:rPr>
            <w:webHidden/>
          </w:rPr>
          <w:t>8</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17" w:history="1">
        <w:r w:rsidR="00C17BD5" w:rsidRPr="002D62C6">
          <w:rPr>
            <w:rStyle w:val="Hyperlink"/>
          </w:rPr>
          <w:t>4.3</w:t>
        </w:r>
        <w:r w:rsidR="00C17BD5">
          <w:rPr>
            <w:rFonts w:asciiTheme="minorHAnsi" w:eastAsiaTheme="minorEastAsia" w:hAnsiTheme="minorHAnsi" w:cstheme="minorBidi"/>
            <w:lang w:val="en-US"/>
          </w:rPr>
          <w:tab/>
        </w:r>
        <w:r w:rsidR="00C17BD5" w:rsidRPr="002D62C6">
          <w:rPr>
            <w:rStyle w:val="Hyperlink"/>
          </w:rPr>
          <w:t>Последващи действия от страна на органите за надзор на пазара</w:t>
        </w:r>
        <w:r w:rsidR="00C17BD5">
          <w:rPr>
            <w:webHidden/>
          </w:rPr>
          <w:tab/>
        </w:r>
        <w:r w:rsidR="00C17BD5">
          <w:rPr>
            <w:webHidden/>
          </w:rPr>
          <w:fldChar w:fldCharType="begin"/>
        </w:r>
        <w:r w:rsidR="00C17BD5">
          <w:rPr>
            <w:webHidden/>
          </w:rPr>
          <w:instrText xml:space="preserve"> PAGEREF _Toc74759717 \h </w:instrText>
        </w:r>
        <w:r w:rsidR="00C17BD5">
          <w:rPr>
            <w:webHidden/>
          </w:rPr>
        </w:r>
        <w:r w:rsidR="00C17BD5">
          <w:rPr>
            <w:webHidden/>
          </w:rPr>
          <w:fldChar w:fldCharType="separate"/>
        </w:r>
        <w:r w:rsidR="0032461C">
          <w:rPr>
            <w:webHidden/>
          </w:rPr>
          <w:t>8</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18" w:history="1">
        <w:r w:rsidR="00C17BD5" w:rsidRPr="002D62C6">
          <w:rPr>
            <w:rStyle w:val="Hyperlink"/>
          </w:rPr>
          <w:t>4.4</w:t>
        </w:r>
        <w:r w:rsidR="00C17BD5">
          <w:rPr>
            <w:rFonts w:asciiTheme="minorHAnsi" w:eastAsiaTheme="minorEastAsia" w:hAnsiTheme="minorHAnsi" w:cstheme="minorBidi"/>
            <w:lang w:val="en-US"/>
          </w:rPr>
          <w:tab/>
        </w:r>
        <w:r w:rsidR="00C17BD5" w:rsidRPr="002D62C6">
          <w:rPr>
            <w:rStyle w:val="Hyperlink"/>
          </w:rPr>
          <w:t>Събиране на данни</w:t>
        </w:r>
        <w:r w:rsidR="00C17BD5">
          <w:rPr>
            <w:webHidden/>
          </w:rPr>
          <w:tab/>
        </w:r>
        <w:r w:rsidR="00C17BD5">
          <w:rPr>
            <w:webHidden/>
          </w:rPr>
          <w:fldChar w:fldCharType="begin"/>
        </w:r>
        <w:r w:rsidR="00C17BD5">
          <w:rPr>
            <w:webHidden/>
          </w:rPr>
          <w:instrText xml:space="preserve"> PAGEREF _Toc74759718 \h </w:instrText>
        </w:r>
        <w:r w:rsidR="00C17BD5">
          <w:rPr>
            <w:webHidden/>
          </w:rPr>
        </w:r>
        <w:r w:rsidR="00C17BD5">
          <w:rPr>
            <w:webHidden/>
          </w:rPr>
          <w:fldChar w:fldCharType="separate"/>
        </w:r>
        <w:r w:rsidR="0032461C">
          <w:rPr>
            <w:webHidden/>
          </w:rPr>
          <w:t>8</w:t>
        </w:r>
        <w:r w:rsidR="00C17BD5">
          <w:rPr>
            <w:webHidden/>
          </w:rPr>
          <w:fldChar w:fldCharType="end"/>
        </w:r>
      </w:hyperlink>
    </w:p>
    <w:p w:rsidR="00C17BD5" w:rsidRDefault="00260106">
      <w:pPr>
        <w:pStyle w:val="TOC1"/>
        <w:tabs>
          <w:tab w:val="left" w:pos="709"/>
          <w:tab w:val="right" w:leader="dot" w:pos="9060"/>
        </w:tabs>
        <w:rPr>
          <w:rFonts w:asciiTheme="minorHAnsi" w:eastAsiaTheme="minorEastAsia" w:hAnsiTheme="minorHAnsi" w:cstheme="minorBidi"/>
          <w:b w:val="0"/>
          <w:noProof/>
          <w:lang w:val="en-US"/>
        </w:rPr>
      </w:pPr>
      <w:hyperlink w:anchor="_Toc74759719" w:history="1">
        <w:r w:rsidR="00C17BD5" w:rsidRPr="002D62C6">
          <w:rPr>
            <w:rStyle w:val="Hyperlink"/>
            <w:noProof/>
          </w:rPr>
          <w:t>5</w:t>
        </w:r>
        <w:r w:rsidR="00C17BD5">
          <w:rPr>
            <w:rFonts w:asciiTheme="minorHAnsi" w:eastAsiaTheme="minorEastAsia" w:hAnsiTheme="minorHAnsi" w:cstheme="minorBidi"/>
            <w:b w:val="0"/>
            <w:noProof/>
            <w:lang w:val="en-US"/>
          </w:rPr>
          <w:tab/>
        </w:r>
        <w:r w:rsidR="00C17BD5" w:rsidRPr="002D62C6">
          <w:rPr>
            <w:rStyle w:val="Hyperlink"/>
            <w:noProof/>
          </w:rPr>
          <w:t xml:space="preserve">Използване на информация, получена от </w:t>
        </w:r>
        <w:r w:rsidR="00C17BD5" w:rsidRPr="002D62C6">
          <w:rPr>
            <w:rStyle w:val="Hyperlink"/>
            <w:i/>
            <w:noProof/>
          </w:rPr>
          <w:t>съвместни дейности</w:t>
        </w:r>
        <w:r w:rsidR="00C17BD5">
          <w:rPr>
            <w:noProof/>
            <w:webHidden/>
          </w:rPr>
          <w:tab/>
        </w:r>
        <w:r w:rsidR="00C17BD5">
          <w:rPr>
            <w:noProof/>
            <w:webHidden/>
          </w:rPr>
          <w:fldChar w:fldCharType="begin"/>
        </w:r>
        <w:r w:rsidR="00C17BD5">
          <w:rPr>
            <w:noProof/>
            <w:webHidden/>
          </w:rPr>
          <w:instrText xml:space="preserve"> PAGEREF _Toc74759719 \h </w:instrText>
        </w:r>
        <w:r w:rsidR="00C17BD5">
          <w:rPr>
            <w:noProof/>
            <w:webHidden/>
          </w:rPr>
        </w:r>
        <w:r w:rsidR="00C17BD5">
          <w:rPr>
            <w:noProof/>
            <w:webHidden/>
          </w:rPr>
          <w:fldChar w:fldCharType="separate"/>
        </w:r>
        <w:r w:rsidR="0032461C">
          <w:rPr>
            <w:noProof/>
            <w:webHidden/>
          </w:rPr>
          <w:t>8</w:t>
        </w:r>
        <w:r w:rsidR="00C17BD5">
          <w:rPr>
            <w:noProof/>
            <w:webHidden/>
          </w:rPr>
          <w:fldChar w:fldCharType="end"/>
        </w:r>
      </w:hyperlink>
    </w:p>
    <w:p w:rsidR="00C17BD5" w:rsidRDefault="00260106">
      <w:pPr>
        <w:pStyle w:val="TOC2"/>
        <w:rPr>
          <w:rFonts w:asciiTheme="minorHAnsi" w:eastAsiaTheme="minorEastAsia" w:hAnsiTheme="minorHAnsi" w:cstheme="minorBidi"/>
          <w:lang w:val="en-US"/>
        </w:rPr>
      </w:pPr>
      <w:hyperlink w:anchor="_Toc74759720" w:history="1">
        <w:r w:rsidR="00C17BD5" w:rsidRPr="002D62C6">
          <w:rPr>
            <w:rStyle w:val="Hyperlink"/>
          </w:rPr>
          <w:t>5.1</w:t>
        </w:r>
        <w:r w:rsidR="00C17BD5">
          <w:rPr>
            <w:rFonts w:asciiTheme="minorHAnsi" w:eastAsiaTheme="minorEastAsia" w:hAnsiTheme="minorHAnsi" w:cstheme="minorBidi"/>
            <w:lang w:val="en-US"/>
          </w:rPr>
          <w:tab/>
        </w:r>
        <w:r w:rsidR="00C17BD5" w:rsidRPr="002D62C6">
          <w:rPr>
            <w:rStyle w:val="Hyperlink"/>
          </w:rPr>
          <w:t>Информация, резултати и заключения</w:t>
        </w:r>
        <w:r w:rsidR="00C17BD5">
          <w:rPr>
            <w:webHidden/>
          </w:rPr>
          <w:tab/>
        </w:r>
        <w:r w:rsidR="00C17BD5">
          <w:rPr>
            <w:webHidden/>
          </w:rPr>
          <w:fldChar w:fldCharType="begin"/>
        </w:r>
        <w:r w:rsidR="00C17BD5">
          <w:rPr>
            <w:webHidden/>
          </w:rPr>
          <w:instrText xml:space="preserve"> PAGEREF _Toc74759720 \h </w:instrText>
        </w:r>
        <w:r w:rsidR="00C17BD5">
          <w:rPr>
            <w:webHidden/>
          </w:rPr>
        </w:r>
        <w:r w:rsidR="00C17BD5">
          <w:rPr>
            <w:webHidden/>
          </w:rPr>
          <w:fldChar w:fldCharType="separate"/>
        </w:r>
        <w:r w:rsidR="0032461C">
          <w:rPr>
            <w:webHidden/>
          </w:rPr>
          <w:t>9</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21" w:history="1">
        <w:r w:rsidR="00C17BD5" w:rsidRPr="002D62C6">
          <w:rPr>
            <w:rStyle w:val="Hyperlink"/>
          </w:rPr>
          <w:t>5.2</w:t>
        </w:r>
        <w:r w:rsidR="00C17BD5">
          <w:rPr>
            <w:rFonts w:asciiTheme="minorHAnsi" w:eastAsiaTheme="minorEastAsia" w:hAnsiTheme="minorHAnsi" w:cstheme="minorBidi"/>
            <w:lang w:val="en-US"/>
          </w:rPr>
          <w:tab/>
        </w:r>
        <w:r w:rsidR="00C17BD5" w:rsidRPr="002D62C6">
          <w:rPr>
            <w:rStyle w:val="Hyperlink"/>
          </w:rPr>
          <w:t>Съдържание на презентациите, докладите, материалите за обучение и др.</w:t>
        </w:r>
        <w:r w:rsidR="00C17BD5">
          <w:rPr>
            <w:webHidden/>
          </w:rPr>
          <w:tab/>
        </w:r>
        <w:r w:rsidR="00C17BD5">
          <w:rPr>
            <w:webHidden/>
          </w:rPr>
          <w:fldChar w:fldCharType="begin"/>
        </w:r>
        <w:r w:rsidR="00C17BD5">
          <w:rPr>
            <w:webHidden/>
          </w:rPr>
          <w:instrText xml:space="preserve"> PAGEREF _Toc74759721 \h </w:instrText>
        </w:r>
        <w:r w:rsidR="00C17BD5">
          <w:rPr>
            <w:webHidden/>
          </w:rPr>
        </w:r>
        <w:r w:rsidR="00C17BD5">
          <w:rPr>
            <w:webHidden/>
          </w:rPr>
          <w:fldChar w:fldCharType="separate"/>
        </w:r>
        <w:r w:rsidR="0032461C">
          <w:rPr>
            <w:webHidden/>
          </w:rPr>
          <w:t>9</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22" w:history="1">
        <w:r w:rsidR="00C17BD5" w:rsidRPr="002D62C6">
          <w:rPr>
            <w:rStyle w:val="Hyperlink"/>
          </w:rPr>
          <w:t>5.3</w:t>
        </w:r>
        <w:r w:rsidR="00C17BD5">
          <w:rPr>
            <w:rFonts w:asciiTheme="minorHAnsi" w:eastAsiaTheme="minorEastAsia" w:hAnsiTheme="minorHAnsi" w:cstheme="minorBidi"/>
            <w:lang w:val="en-US"/>
          </w:rPr>
          <w:tab/>
        </w:r>
        <w:r w:rsidR="00C17BD5" w:rsidRPr="002D62C6">
          <w:rPr>
            <w:rStyle w:val="Hyperlink"/>
          </w:rPr>
          <w:t>Езици</w:t>
        </w:r>
        <w:r w:rsidR="00C17BD5">
          <w:rPr>
            <w:webHidden/>
          </w:rPr>
          <w:tab/>
        </w:r>
        <w:r w:rsidR="00C17BD5">
          <w:rPr>
            <w:webHidden/>
          </w:rPr>
          <w:fldChar w:fldCharType="begin"/>
        </w:r>
        <w:r w:rsidR="00C17BD5">
          <w:rPr>
            <w:webHidden/>
          </w:rPr>
          <w:instrText xml:space="preserve"> PAGEREF _Toc74759722 \h </w:instrText>
        </w:r>
        <w:r w:rsidR="00C17BD5">
          <w:rPr>
            <w:webHidden/>
          </w:rPr>
        </w:r>
        <w:r w:rsidR="00C17BD5">
          <w:rPr>
            <w:webHidden/>
          </w:rPr>
          <w:fldChar w:fldCharType="separate"/>
        </w:r>
        <w:r w:rsidR="0032461C">
          <w:rPr>
            <w:webHidden/>
          </w:rPr>
          <w:t>9</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23" w:history="1">
        <w:r w:rsidR="00C17BD5" w:rsidRPr="002D62C6">
          <w:rPr>
            <w:rStyle w:val="Hyperlink"/>
          </w:rPr>
          <w:t>5.4</w:t>
        </w:r>
        <w:r w:rsidR="00C17BD5">
          <w:rPr>
            <w:rFonts w:asciiTheme="minorHAnsi" w:eastAsiaTheme="minorEastAsia" w:hAnsiTheme="minorHAnsi" w:cstheme="minorBidi"/>
            <w:lang w:val="en-US"/>
          </w:rPr>
          <w:tab/>
        </w:r>
        <w:r w:rsidR="00C17BD5" w:rsidRPr="002D62C6">
          <w:rPr>
            <w:rStyle w:val="Hyperlink"/>
          </w:rPr>
          <w:t>Публикуване и използване на наименование и лога</w:t>
        </w:r>
        <w:r w:rsidR="00C17BD5">
          <w:rPr>
            <w:webHidden/>
          </w:rPr>
          <w:tab/>
        </w:r>
        <w:r w:rsidR="00C17BD5">
          <w:rPr>
            <w:webHidden/>
          </w:rPr>
          <w:fldChar w:fldCharType="begin"/>
        </w:r>
        <w:r w:rsidR="00C17BD5">
          <w:rPr>
            <w:webHidden/>
          </w:rPr>
          <w:instrText xml:space="preserve"> PAGEREF _Toc74759723 \h </w:instrText>
        </w:r>
        <w:r w:rsidR="00C17BD5">
          <w:rPr>
            <w:webHidden/>
          </w:rPr>
        </w:r>
        <w:r w:rsidR="00C17BD5">
          <w:rPr>
            <w:webHidden/>
          </w:rPr>
          <w:fldChar w:fldCharType="separate"/>
        </w:r>
        <w:r w:rsidR="0032461C">
          <w:rPr>
            <w:webHidden/>
          </w:rPr>
          <w:t>9</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24" w:history="1">
        <w:r w:rsidR="00C17BD5" w:rsidRPr="002D62C6">
          <w:rPr>
            <w:rStyle w:val="Hyperlink"/>
          </w:rPr>
          <w:t>5.5</w:t>
        </w:r>
        <w:r w:rsidR="00C17BD5">
          <w:rPr>
            <w:rFonts w:asciiTheme="minorHAnsi" w:eastAsiaTheme="minorEastAsia" w:hAnsiTheme="minorHAnsi" w:cstheme="minorBidi"/>
            <w:lang w:val="en-US"/>
          </w:rPr>
          <w:tab/>
        </w:r>
        <w:r w:rsidR="00C17BD5" w:rsidRPr="002D62C6">
          <w:rPr>
            <w:rStyle w:val="Hyperlink"/>
          </w:rPr>
          <w:t>Място на публикациите (споразумение, окончателен доклад, презентация и др.)</w:t>
        </w:r>
        <w:r w:rsidR="00C17BD5">
          <w:rPr>
            <w:webHidden/>
          </w:rPr>
          <w:tab/>
        </w:r>
        <w:r w:rsidR="00C17BD5">
          <w:rPr>
            <w:webHidden/>
          </w:rPr>
          <w:fldChar w:fldCharType="begin"/>
        </w:r>
        <w:r w:rsidR="00C17BD5">
          <w:rPr>
            <w:webHidden/>
          </w:rPr>
          <w:instrText xml:space="preserve"> PAGEREF _Toc74759724 \h </w:instrText>
        </w:r>
        <w:r w:rsidR="00C17BD5">
          <w:rPr>
            <w:webHidden/>
          </w:rPr>
        </w:r>
        <w:r w:rsidR="00C17BD5">
          <w:rPr>
            <w:webHidden/>
          </w:rPr>
          <w:fldChar w:fldCharType="separate"/>
        </w:r>
        <w:r w:rsidR="0032461C">
          <w:rPr>
            <w:webHidden/>
          </w:rPr>
          <w:t>10</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25" w:history="1">
        <w:r w:rsidR="00C17BD5" w:rsidRPr="002D62C6">
          <w:rPr>
            <w:rStyle w:val="Hyperlink"/>
          </w:rPr>
          <w:t>5.6</w:t>
        </w:r>
        <w:r w:rsidR="00C17BD5">
          <w:rPr>
            <w:rFonts w:asciiTheme="minorHAnsi" w:eastAsiaTheme="minorEastAsia" w:hAnsiTheme="minorHAnsi" w:cstheme="minorBidi"/>
            <w:lang w:val="en-US"/>
          </w:rPr>
          <w:tab/>
        </w:r>
        <w:r w:rsidR="00C17BD5" w:rsidRPr="002D62C6">
          <w:rPr>
            <w:rStyle w:val="Hyperlink"/>
          </w:rPr>
          <w:t>Срок на поверителността</w:t>
        </w:r>
        <w:r w:rsidR="00C17BD5">
          <w:rPr>
            <w:webHidden/>
          </w:rPr>
          <w:tab/>
        </w:r>
        <w:r w:rsidR="00C17BD5">
          <w:rPr>
            <w:webHidden/>
          </w:rPr>
          <w:fldChar w:fldCharType="begin"/>
        </w:r>
        <w:r w:rsidR="00C17BD5">
          <w:rPr>
            <w:webHidden/>
          </w:rPr>
          <w:instrText xml:space="preserve"> PAGEREF _Toc74759725 \h </w:instrText>
        </w:r>
        <w:r w:rsidR="00C17BD5">
          <w:rPr>
            <w:webHidden/>
          </w:rPr>
        </w:r>
        <w:r w:rsidR="00C17BD5">
          <w:rPr>
            <w:webHidden/>
          </w:rPr>
          <w:fldChar w:fldCharType="separate"/>
        </w:r>
        <w:r w:rsidR="0032461C">
          <w:rPr>
            <w:webHidden/>
          </w:rPr>
          <w:t>10</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26" w:history="1">
        <w:r w:rsidR="00C17BD5" w:rsidRPr="002D62C6">
          <w:rPr>
            <w:rStyle w:val="Hyperlink"/>
          </w:rPr>
          <w:t>5.7</w:t>
        </w:r>
        <w:r w:rsidR="00C17BD5">
          <w:rPr>
            <w:rFonts w:asciiTheme="minorHAnsi" w:eastAsiaTheme="minorEastAsia" w:hAnsiTheme="minorHAnsi" w:cstheme="minorBidi"/>
            <w:lang w:val="en-US"/>
          </w:rPr>
          <w:tab/>
        </w:r>
        <w:r w:rsidR="00C17BD5" w:rsidRPr="002D62C6">
          <w:rPr>
            <w:rStyle w:val="Hyperlink"/>
          </w:rPr>
          <w:t>Санкции за нарушаване на поверителността</w:t>
        </w:r>
        <w:r w:rsidR="00C17BD5">
          <w:rPr>
            <w:webHidden/>
          </w:rPr>
          <w:tab/>
        </w:r>
        <w:r w:rsidR="00C17BD5">
          <w:rPr>
            <w:webHidden/>
          </w:rPr>
          <w:fldChar w:fldCharType="begin"/>
        </w:r>
        <w:r w:rsidR="00C17BD5">
          <w:rPr>
            <w:webHidden/>
          </w:rPr>
          <w:instrText xml:space="preserve"> PAGEREF _Toc74759726 \h </w:instrText>
        </w:r>
        <w:r w:rsidR="00C17BD5">
          <w:rPr>
            <w:webHidden/>
          </w:rPr>
        </w:r>
        <w:r w:rsidR="00C17BD5">
          <w:rPr>
            <w:webHidden/>
          </w:rPr>
          <w:fldChar w:fldCharType="separate"/>
        </w:r>
        <w:r w:rsidR="0032461C">
          <w:rPr>
            <w:webHidden/>
          </w:rPr>
          <w:t>10</w:t>
        </w:r>
        <w:r w:rsidR="00C17BD5">
          <w:rPr>
            <w:webHidden/>
          </w:rPr>
          <w:fldChar w:fldCharType="end"/>
        </w:r>
      </w:hyperlink>
    </w:p>
    <w:p w:rsidR="00C17BD5" w:rsidRDefault="00260106">
      <w:pPr>
        <w:pStyle w:val="TOC1"/>
        <w:tabs>
          <w:tab w:val="left" w:pos="709"/>
          <w:tab w:val="right" w:leader="dot" w:pos="9060"/>
        </w:tabs>
        <w:rPr>
          <w:rFonts w:asciiTheme="minorHAnsi" w:eastAsiaTheme="minorEastAsia" w:hAnsiTheme="minorHAnsi" w:cstheme="minorBidi"/>
          <w:b w:val="0"/>
          <w:noProof/>
          <w:lang w:val="en-US"/>
        </w:rPr>
      </w:pPr>
      <w:hyperlink w:anchor="_Toc74759727" w:history="1">
        <w:r w:rsidR="00C17BD5" w:rsidRPr="002D62C6">
          <w:rPr>
            <w:rStyle w:val="Hyperlink"/>
            <w:noProof/>
          </w:rPr>
          <w:t>6</w:t>
        </w:r>
        <w:r w:rsidR="00C17BD5">
          <w:rPr>
            <w:rFonts w:asciiTheme="minorHAnsi" w:eastAsiaTheme="minorEastAsia" w:hAnsiTheme="minorHAnsi" w:cstheme="minorBidi"/>
            <w:b w:val="0"/>
            <w:noProof/>
            <w:lang w:val="en-US"/>
          </w:rPr>
          <w:tab/>
        </w:r>
        <w:r w:rsidR="00C17BD5" w:rsidRPr="002D62C6">
          <w:rPr>
            <w:rStyle w:val="Hyperlink"/>
            <w:noProof/>
          </w:rPr>
          <w:t>Споразумения за съвместна дейност</w:t>
        </w:r>
        <w:r w:rsidR="00C17BD5">
          <w:rPr>
            <w:noProof/>
            <w:webHidden/>
          </w:rPr>
          <w:tab/>
        </w:r>
        <w:r w:rsidR="00C17BD5">
          <w:rPr>
            <w:noProof/>
            <w:webHidden/>
          </w:rPr>
          <w:fldChar w:fldCharType="begin"/>
        </w:r>
        <w:r w:rsidR="00C17BD5">
          <w:rPr>
            <w:noProof/>
            <w:webHidden/>
          </w:rPr>
          <w:instrText xml:space="preserve"> PAGEREF _Toc74759727 \h </w:instrText>
        </w:r>
        <w:r w:rsidR="00C17BD5">
          <w:rPr>
            <w:noProof/>
            <w:webHidden/>
          </w:rPr>
        </w:r>
        <w:r w:rsidR="00C17BD5">
          <w:rPr>
            <w:noProof/>
            <w:webHidden/>
          </w:rPr>
          <w:fldChar w:fldCharType="separate"/>
        </w:r>
        <w:r w:rsidR="0032461C">
          <w:rPr>
            <w:noProof/>
            <w:webHidden/>
          </w:rPr>
          <w:t>10</w:t>
        </w:r>
        <w:r w:rsidR="00C17BD5">
          <w:rPr>
            <w:noProof/>
            <w:webHidden/>
          </w:rPr>
          <w:fldChar w:fldCharType="end"/>
        </w:r>
      </w:hyperlink>
    </w:p>
    <w:p w:rsidR="00C17BD5" w:rsidRDefault="00260106">
      <w:pPr>
        <w:pStyle w:val="TOC2"/>
        <w:rPr>
          <w:rFonts w:asciiTheme="minorHAnsi" w:eastAsiaTheme="minorEastAsia" w:hAnsiTheme="minorHAnsi" w:cstheme="minorBidi"/>
          <w:lang w:val="en-US"/>
        </w:rPr>
      </w:pPr>
      <w:hyperlink w:anchor="_Toc74759728" w:history="1">
        <w:r w:rsidR="00C17BD5" w:rsidRPr="002D62C6">
          <w:rPr>
            <w:rStyle w:val="Hyperlink"/>
          </w:rPr>
          <w:t>6.1</w:t>
        </w:r>
        <w:r w:rsidR="00C17BD5">
          <w:rPr>
            <w:rFonts w:asciiTheme="minorHAnsi" w:eastAsiaTheme="minorEastAsia" w:hAnsiTheme="minorHAnsi" w:cstheme="minorBidi"/>
            <w:lang w:val="en-US"/>
          </w:rPr>
          <w:tab/>
        </w:r>
        <w:r w:rsidR="00C17BD5" w:rsidRPr="002D62C6">
          <w:rPr>
            <w:rStyle w:val="Hyperlink"/>
          </w:rPr>
          <w:t>Отказ от отговорност</w:t>
        </w:r>
        <w:r w:rsidR="00C17BD5">
          <w:rPr>
            <w:webHidden/>
          </w:rPr>
          <w:tab/>
        </w:r>
        <w:r w:rsidR="00C17BD5">
          <w:rPr>
            <w:webHidden/>
          </w:rPr>
          <w:fldChar w:fldCharType="begin"/>
        </w:r>
        <w:r w:rsidR="00C17BD5">
          <w:rPr>
            <w:webHidden/>
          </w:rPr>
          <w:instrText xml:space="preserve"> PAGEREF _Toc74759728 \h </w:instrText>
        </w:r>
        <w:r w:rsidR="00C17BD5">
          <w:rPr>
            <w:webHidden/>
          </w:rPr>
        </w:r>
        <w:r w:rsidR="00C17BD5">
          <w:rPr>
            <w:webHidden/>
          </w:rPr>
          <w:fldChar w:fldCharType="separate"/>
        </w:r>
        <w:r w:rsidR="0032461C">
          <w:rPr>
            <w:webHidden/>
          </w:rPr>
          <w:t>11</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29" w:history="1">
        <w:r w:rsidR="00C17BD5" w:rsidRPr="002D62C6">
          <w:rPr>
            <w:rStyle w:val="Hyperlink"/>
          </w:rPr>
          <w:t>6.2</w:t>
        </w:r>
        <w:r w:rsidR="00C17BD5">
          <w:rPr>
            <w:rFonts w:asciiTheme="minorHAnsi" w:eastAsiaTheme="minorEastAsia" w:hAnsiTheme="minorHAnsi" w:cstheme="minorBidi"/>
            <w:lang w:val="en-US"/>
          </w:rPr>
          <w:tab/>
        </w:r>
        <w:r w:rsidR="00C17BD5" w:rsidRPr="002D62C6">
          <w:rPr>
            <w:rStyle w:val="Hyperlink"/>
          </w:rPr>
          <w:t>Част I — Участници</w:t>
        </w:r>
        <w:r w:rsidR="00C17BD5">
          <w:rPr>
            <w:webHidden/>
          </w:rPr>
          <w:tab/>
        </w:r>
        <w:r w:rsidR="00C17BD5">
          <w:rPr>
            <w:webHidden/>
          </w:rPr>
          <w:fldChar w:fldCharType="begin"/>
        </w:r>
        <w:r w:rsidR="00C17BD5">
          <w:rPr>
            <w:webHidden/>
          </w:rPr>
          <w:instrText xml:space="preserve"> PAGEREF _Toc74759729 \h </w:instrText>
        </w:r>
        <w:r w:rsidR="00C17BD5">
          <w:rPr>
            <w:webHidden/>
          </w:rPr>
        </w:r>
        <w:r w:rsidR="00C17BD5">
          <w:rPr>
            <w:webHidden/>
          </w:rPr>
          <w:fldChar w:fldCharType="separate"/>
        </w:r>
        <w:r w:rsidR="0032461C">
          <w:rPr>
            <w:webHidden/>
          </w:rPr>
          <w:t>11</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30" w:history="1">
        <w:r w:rsidR="00C17BD5" w:rsidRPr="002D62C6">
          <w:rPr>
            <w:rStyle w:val="Hyperlink"/>
          </w:rPr>
          <w:t>6.3</w:t>
        </w:r>
        <w:r w:rsidR="00C17BD5">
          <w:rPr>
            <w:rFonts w:asciiTheme="minorHAnsi" w:eastAsiaTheme="minorEastAsia" w:hAnsiTheme="minorHAnsi" w:cstheme="minorBidi"/>
            <w:lang w:val="en-US"/>
          </w:rPr>
          <w:tab/>
        </w:r>
        <w:r w:rsidR="00C17BD5" w:rsidRPr="002D62C6">
          <w:rPr>
            <w:rStyle w:val="Hyperlink"/>
          </w:rPr>
          <w:t xml:space="preserve">Част II — Цел, обосновка, мотивировка и обхват на </w:t>
        </w:r>
        <w:r w:rsidR="00C17BD5" w:rsidRPr="002D62C6">
          <w:rPr>
            <w:rStyle w:val="Hyperlink"/>
            <w:i/>
          </w:rPr>
          <w:t>съвместната дейност</w:t>
        </w:r>
        <w:r w:rsidR="00C17BD5">
          <w:rPr>
            <w:webHidden/>
          </w:rPr>
          <w:tab/>
        </w:r>
        <w:r w:rsidR="00C17BD5">
          <w:rPr>
            <w:webHidden/>
          </w:rPr>
          <w:fldChar w:fldCharType="begin"/>
        </w:r>
        <w:r w:rsidR="00C17BD5">
          <w:rPr>
            <w:webHidden/>
          </w:rPr>
          <w:instrText xml:space="preserve"> PAGEREF _Toc74759730 \h </w:instrText>
        </w:r>
        <w:r w:rsidR="00C17BD5">
          <w:rPr>
            <w:webHidden/>
          </w:rPr>
        </w:r>
        <w:r w:rsidR="00C17BD5">
          <w:rPr>
            <w:webHidden/>
          </w:rPr>
          <w:fldChar w:fldCharType="separate"/>
        </w:r>
        <w:r w:rsidR="0032461C">
          <w:rPr>
            <w:webHidden/>
          </w:rPr>
          <w:t>12</w:t>
        </w:r>
        <w:r w:rsidR="00C17BD5">
          <w:rPr>
            <w:webHidden/>
          </w:rPr>
          <w:fldChar w:fldCharType="end"/>
        </w:r>
      </w:hyperlink>
    </w:p>
    <w:p w:rsidR="00C17BD5" w:rsidRDefault="00260106">
      <w:pPr>
        <w:pStyle w:val="TOC3"/>
        <w:rPr>
          <w:rFonts w:asciiTheme="minorHAnsi" w:eastAsiaTheme="minorEastAsia" w:hAnsiTheme="minorHAnsi" w:cstheme="minorBidi"/>
          <w:lang w:val="en-US"/>
        </w:rPr>
      </w:pPr>
      <w:hyperlink w:anchor="_Toc74759731" w:history="1">
        <w:r w:rsidR="00C17BD5" w:rsidRPr="002D62C6">
          <w:rPr>
            <w:rStyle w:val="Hyperlink"/>
          </w:rPr>
          <w:t>6.3.1</w:t>
        </w:r>
        <w:r w:rsidR="00C17BD5">
          <w:rPr>
            <w:rFonts w:asciiTheme="minorHAnsi" w:eastAsiaTheme="minorEastAsia" w:hAnsiTheme="minorHAnsi" w:cstheme="minorBidi"/>
            <w:lang w:val="en-US"/>
          </w:rPr>
          <w:tab/>
        </w:r>
        <w:r w:rsidR="00C17BD5" w:rsidRPr="002D62C6">
          <w:rPr>
            <w:rStyle w:val="Hyperlink"/>
          </w:rPr>
          <w:t>Наименование на съвместната дейност</w:t>
        </w:r>
        <w:r w:rsidR="00C17BD5">
          <w:rPr>
            <w:webHidden/>
          </w:rPr>
          <w:tab/>
        </w:r>
        <w:r w:rsidR="00C17BD5">
          <w:rPr>
            <w:webHidden/>
          </w:rPr>
          <w:fldChar w:fldCharType="begin"/>
        </w:r>
        <w:r w:rsidR="00C17BD5">
          <w:rPr>
            <w:webHidden/>
          </w:rPr>
          <w:instrText xml:space="preserve"> PAGEREF _Toc74759731 \h </w:instrText>
        </w:r>
        <w:r w:rsidR="00C17BD5">
          <w:rPr>
            <w:webHidden/>
          </w:rPr>
        </w:r>
        <w:r w:rsidR="00C17BD5">
          <w:rPr>
            <w:webHidden/>
          </w:rPr>
          <w:fldChar w:fldCharType="separate"/>
        </w:r>
        <w:r w:rsidR="0032461C">
          <w:rPr>
            <w:webHidden/>
          </w:rPr>
          <w:t>12</w:t>
        </w:r>
        <w:r w:rsidR="00C17BD5">
          <w:rPr>
            <w:webHidden/>
          </w:rPr>
          <w:fldChar w:fldCharType="end"/>
        </w:r>
      </w:hyperlink>
    </w:p>
    <w:p w:rsidR="00C17BD5" w:rsidRDefault="00260106">
      <w:pPr>
        <w:pStyle w:val="TOC3"/>
        <w:rPr>
          <w:rFonts w:asciiTheme="minorHAnsi" w:eastAsiaTheme="minorEastAsia" w:hAnsiTheme="minorHAnsi" w:cstheme="minorBidi"/>
          <w:lang w:val="en-US"/>
        </w:rPr>
      </w:pPr>
      <w:hyperlink w:anchor="_Toc74759732" w:history="1">
        <w:r w:rsidR="00C17BD5" w:rsidRPr="002D62C6">
          <w:rPr>
            <w:rStyle w:val="Hyperlink"/>
          </w:rPr>
          <w:t>6.3.2</w:t>
        </w:r>
        <w:r w:rsidR="00C17BD5">
          <w:rPr>
            <w:rFonts w:asciiTheme="minorHAnsi" w:eastAsiaTheme="minorEastAsia" w:hAnsiTheme="minorHAnsi" w:cstheme="minorBidi"/>
            <w:lang w:val="en-US"/>
          </w:rPr>
          <w:tab/>
        </w:r>
        <w:r w:rsidR="00C17BD5" w:rsidRPr="002D62C6">
          <w:rPr>
            <w:rStyle w:val="Hyperlink"/>
          </w:rPr>
          <w:t>Цел на съвместната дейност</w:t>
        </w:r>
        <w:r w:rsidR="00C17BD5">
          <w:rPr>
            <w:webHidden/>
          </w:rPr>
          <w:tab/>
        </w:r>
        <w:r w:rsidR="00C17BD5">
          <w:rPr>
            <w:webHidden/>
          </w:rPr>
          <w:fldChar w:fldCharType="begin"/>
        </w:r>
        <w:r w:rsidR="00C17BD5">
          <w:rPr>
            <w:webHidden/>
          </w:rPr>
          <w:instrText xml:space="preserve"> PAGEREF _Toc74759732 \h </w:instrText>
        </w:r>
        <w:r w:rsidR="00C17BD5">
          <w:rPr>
            <w:webHidden/>
          </w:rPr>
        </w:r>
        <w:r w:rsidR="00C17BD5">
          <w:rPr>
            <w:webHidden/>
          </w:rPr>
          <w:fldChar w:fldCharType="separate"/>
        </w:r>
        <w:r w:rsidR="0032461C">
          <w:rPr>
            <w:webHidden/>
          </w:rPr>
          <w:t>12</w:t>
        </w:r>
        <w:r w:rsidR="00C17BD5">
          <w:rPr>
            <w:webHidden/>
          </w:rPr>
          <w:fldChar w:fldCharType="end"/>
        </w:r>
      </w:hyperlink>
    </w:p>
    <w:p w:rsidR="00C17BD5" w:rsidRDefault="00260106">
      <w:pPr>
        <w:pStyle w:val="TOC3"/>
        <w:rPr>
          <w:rFonts w:asciiTheme="minorHAnsi" w:eastAsiaTheme="minorEastAsia" w:hAnsiTheme="minorHAnsi" w:cstheme="minorBidi"/>
          <w:lang w:val="en-US"/>
        </w:rPr>
      </w:pPr>
      <w:hyperlink w:anchor="_Toc74759733" w:history="1">
        <w:r w:rsidR="00C17BD5" w:rsidRPr="002D62C6">
          <w:rPr>
            <w:rStyle w:val="Hyperlink"/>
          </w:rPr>
          <w:t>6.3.3</w:t>
        </w:r>
        <w:r w:rsidR="00C17BD5">
          <w:rPr>
            <w:rFonts w:asciiTheme="minorHAnsi" w:eastAsiaTheme="minorEastAsia" w:hAnsiTheme="minorHAnsi" w:cstheme="minorBidi"/>
            <w:lang w:val="en-US"/>
          </w:rPr>
          <w:tab/>
        </w:r>
        <w:r w:rsidR="00C17BD5" w:rsidRPr="002D62C6">
          <w:rPr>
            <w:rStyle w:val="Hyperlink"/>
          </w:rPr>
          <w:t>Обосновка, мотивировка</w:t>
        </w:r>
        <w:r w:rsidR="00C17BD5">
          <w:rPr>
            <w:webHidden/>
          </w:rPr>
          <w:tab/>
        </w:r>
        <w:r w:rsidR="00C17BD5">
          <w:rPr>
            <w:webHidden/>
          </w:rPr>
          <w:fldChar w:fldCharType="begin"/>
        </w:r>
        <w:r w:rsidR="00C17BD5">
          <w:rPr>
            <w:webHidden/>
          </w:rPr>
          <w:instrText xml:space="preserve"> PAGEREF _Toc74759733 \h </w:instrText>
        </w:r>
        <w:r w:rsidR="00C17BD5">
          <w:rPr>
            <w:webHidden/>
          </w:rPr>
        </w:r>
        <w:r w:rsidR="00C17BD5">
          <w:rPr>
            <w:webHidden/>
          </w:rPr>
          <w:fldChar w:fldCharType="separate"/>
        </w:r>
        <w:r w:rsidR="0032461C">
          <w:rPr>
            <w:webHidden/>
          </w:rPr>
          <w:t>12</w:t>
        </w:r>
        <w:r w:rsidR="00C17BD5">
          <w:rPr>
            <w:webHidden/>
          </w:rPr>
          <w:fldChar w:fldCharType="end"/>
        </w:r>
      </w:hyperlink>
    </w:p>
    <w:p w:rsidR="00C17BD5" w:rsidRDefault="00260106">
      <w:pPr>
        <w:pStyle w:val="TOC3"/>
        <w:rPr>
          <w:rFonts w:asciiTheme="minorHAnsi" w:eastAsiaTheme="minorEastAsia" w:hAnsiTheme="minorHAnsi" w:cstheme="minorBidi"/>
          <w:lang w:val="en-US"/>
        </w:rPr>
      </w:pPr>
      <w:hyperlink w:anchor="_Toc74759734" w:history="1">
        <w:r w:rsidR="00C17BD5" w:rsidRPr="002D62C6">
          <w:rPr>
            <w:rStyle w:val="Hyperlink"/>
          </w:rPr>
          <w:t>6.3.4</w:t>
        </w:r>
        <w:r w:rsidR="00C17BD5">
          <w:rPr>
            <w:rFonts w:asciiTheme="minorHAnsi" w:eastAsiaTheme="minorEastAsia" w:hAnsiTheme="minorHAnsi" w:cstheme="minorBidi"/>
            <w:lang w:val="en-US"/>
          </w:rPr>
          <w:tab/>
        </w:r>
        <w:r w:rsidR="00C17BD5" w:rsidRPr="002D62C6">
          <w:rPr>
            <w:rStyle w:val="Hyperlink"/>
          </w:rPr>
          <w:t>Обхват</w:t>
        </w:r>
        <w:r w:rsidR="00C17BD5">
          <w:rPr>
            <w:webHidden/>
          </w:rPr>
          <w:tab/>
        </w:r>
        <w:r w:rsidR="00C17BD5">
          <w:rPr>
            <w:webHidden/>
          </w:rPr>
          <w:fldChar w:fldCharType="begin"/>
        </w:r>
        <w:r w:rsidR="00C17BD5">
          <w:rPr>
            <w:webHidden/>
          </w:rPr>
          <w:instrText xml:space="preserve"> PAGEREF _Toc74759734 \h </w:instrText>
        </w:r>
        <w:r w:rsidR="00C17BD5">
          <w:rPr>
            <w:webHidden/>
          </w:rPr>
        </w:r>
        <w:r w:rsidR="00C17BD5">
          <w:rPr>
            <w:webHidden/>
          </w:rPr>
          <w:fldChar w:fldCharType="separate"/>
        </w:r>
        <w:r w:rsidR="0032461C">
          <w:rPr>
            <w:webHidden/>
          </w:rPr>
          <w:t>12</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35" w:history="1">
        <w:r w:rsidR="00C17BD5" w:rsidRPr="002D62C6">
          <w:rPr>
            <w:rStyle w:val="Hyperlink"/>
          </w:rPr>
          <w:t>6.4</w:t>
        </w:r>
        <w:r w:rsidR="00C17BD5">
          <w:rPr>
            <w:rFonts w:asciiTheme="minorHAnsi" w:eastAsiaTheme="minorEastAsia" w:hAnsiTheme="minorHAnsi" w:cstheme="minorBidi"/>
            <w:lang w:val="en-US"/>
          </w:rPr>
          <w:tab/>
        </w:r>
        <w:r w:rsidR="00C17BD5" w:rsidRPr="002D62C6">
          <w:rPr>
            <w:rStyle w:val="Hyperlink"/>
          </w:rPr>
          <w:t>Част IIІ — Ресурси</w:t>
        </w:r>
        <w:r w:rsidR="00C17BD5">
          <w:rPr>
            <w:webHidden/>
          </w:rPr>
          <w:tab/>
        </w:r>
        <w:r w:rsidR="00C17BD5">
          <w:rPr>
            <w:webHidden/>
          </w:rPr>
          <w:fldChar w:fldCharType="begin"/>
        </w:r>
        <w:r w:rsidR="00C17BD5">
          <w:rPr>
            <w:webHidden/>
          </w:rPr>
          <w:instrText xml:space="preserve"> PAGEREF _Toc74759735 \h </w:instrText>
        </w:r>
        <w:r w:rsidR="00C17BD5">
          <w:rPr>
            <w:webHidden/>
          </w:rPr>
        </w:r>
        <w:r w:rsidR="00C17BD5">
          <w:rPr>
            <w:webHidden/>
          </w:rPr>
          <w:fldChar w:fldCharType="separate"/>
        </w:r>
        <w:r w:rsidR="0032461C">
          <w:rPr>
            <w:webHidden/>
          </w:rPr>
          <w:t>12</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36" w:history="1">
        <w:r w:rsidR="00C17BD5" w:rsidRPr="002D62C6">
          <w:rPr>
            <w:rStyle w:val="Hyperlink"/>
          </w:rPr>
          <w:t>6.5</w:t>
        </w:r>
        <w:r w:rsidR="00C17BD5">
          <w:rPr>
            <w:rFonts w:asciiTheme="minorHAnsi" w:eastAsiaTheme="minorEastAsia" w:hAnsiTheme="minorHAnsi" w:cstheme="minorBidi"/>
            <w:lang w:val="en-US"/>
          </w:rPr>
          <w:tab/>
        </w:r>
        <w:r w:rsidR="00C17BD5" w:rsidRPr="002D62C6">
          <w:rPr>
            <w:rStyle w:val="Hyperlink"/>
          </w:rPr>
          <w:t>Част IV — Споделяне на резултати и информация</w:t>
        </w:r>
        <w:r w:rsidR="00C17BD5">
          <w:rPr>
            <w:webHidden/>
          </w:rPr>
          <w:tab/>
        </w:r>
        <w:r w:rsidR="00C17BD5">
          <w:rPr>
            <w:webHidden/>
          </w:rPr>
          <w:fldChar w:fldCharType="begin"/>
        </w:r>
        <w:r w:rsidR="00C17BD5">
          <w:rPr>
            <w:webHidden/>
          </w:rPr>
          <w:instrText xml:space="preserve"> PAGEREF _Toc74759736 \h </w:instrText>
        </w:r>
        <w:r w:rsidR="00C17BD5">
          <w:rPr>
            <w:webHidden/>
          </w:rPr>
        </w:r>
        <w:r w:rsidR="00C17BD5">
          <w:rPr>
            <w:webHidden/>
          </w:rPr>
          <w:fldChar w:fldCharType="separate"/>
        </w:r>
        <w:r w:rsidR="0032461C">
          <w:rPr>
            <w:webHidden/>
          </w:rPr>
          <w:t>12</w:t>
        </w:r>
        <w:r w:rsidR="00C17BD5">
          <w:rPr>
            <w:webHidden/>
          </w:rPr>
          <w:fldChar w:fldCharType="end"/>
        </w:r>
      </w:hyperlink>
    </w:p>
    <w:p w:rsidR="00C17BD5" w:rsidRDefault="00260106">
      <w:pPr>
        <w:pStyle w:val="TOC3"/>
        <w:rPr>
          <w:rFonts w:asciiTheme="minorHAnsi" w:eastAsiaTheme="minorEastAsia" w:hAnsiTheme="minorHAnsi" w:cstheme="minorBidi"/>
          <w:lang w:val="en-US"/>
        </w:rPr>
      </w:pPr>
      <w:hyperlink w:anchor="_Toc74759737" w:history="1">
        <w:r w:rsidR="00C17BD5" w:rsidRPr="002D62C6">
          <w:rPr>
            <w:rStyle w:val="Hyperlink"/>
          </w:rPr>
          <w:t>6.5.1</w:t>
        </w:r>
        <w:r w:rsidR="00C17BD5">
          <w:rPr>
            <w:rFonts w:asciiTheme="minorHAnsi" w:eastAsiaTheme="minorEastAsia" w:hAnsiTheme="minorHAnsi" w:cstheme="minorBidi"/>
            <w:lang w:val="en-US"/>
          </w:rPr>
          <w:tab/>
        </w:r>
        <w:r w:rsidR="00C17BD5" w:rsidRPr="002D62C6">
          <w:rPr>
            <w:rStyle w:val="Hyperlink"/>
          </w:rPr>
          <w:t>Общи условия</w:t>
        </w:r>
        <w:r w:rsidR="00C17BD5">
          <w:rPr>
            <w:webHidden/>
          </w:rPr>
          <w:tab/>
        </w:r>
        <w:r w:rsidR="00C17BD5">
          <w:rPr>
            <w:webHidden/>
          </w:rPr>
          <w:fldChar w:fldCharType="begin"/>
        </w:r>
        <w:r w:rsidR="00C17BD5">
          <w:rPr>
            <w:webHidden/>
          </w:rPr>
          <w:instrText xml:space="preserve"> PAGEREF _Toc74759737 \h </w:instrText>
        </w:r>
        <w:r w:rsidR="00C17BD5">
          <w:rPr>
            <w:webHidden/>
          </w:rPr>
        </w:r>
        <w:r w:rsidR="00C17BD5">
          <w:rPr>
            <w:webHidden/>
          </w:rPr>
          <w:fldChar w:fldCharType="separate"/>
        </w:r>
        <w:r w:rsidR="0032461C">
          <w:rPr>
            <w:webHidden/>
          </w:rPr>
          <w:t>12</w:t>
        </w:r>
        <w:r w:rsidR="00C17BD5">
          <w:rPr>
            <w:webHidden/>
          </w:rPr>
          <w:fldChar w:fldCharType="end"/>
        </w:r>
      </w:hyperlink>
    </w:p>
    <w:p w:rsidR="00C17BD5" w:rsidRDefault="00260106">
      <w:pPr>
        <w:pStyle w:val="TOC3"/>
        <w:rPr>
          <w:rFonts w:asciiTheme="minorHAnsi" w:eastAsiaTheme="minorEastAsia" w:hAnsiTheme="minorHAnsi" w:cstheme="minorBidi"/>
          <w:lang w:val="en-US"/>
        </w:rPr>
      </w:pPr>
      <w:hyperlink w:anchor="_Toc74759738" w:history="1">
        <w:r w:rsidR="00C17BD5" w:rsidRPr="002D62C6">
          <w:rPr>
            <w:rStyle w:val="Hyperlink"/>
          </w:rPr>
          <w:t>6.5.2</w:t>
        </w:r>
        <w:r w:rsidR="00C17BD5">
          <w:rPr>
            <w:rFonts w:asciiTheme="minorHAnsi" w:eastAsiaTheme="minorEastAsia" w:hAnsiTheme="minorHAnsi" w:cstheme="minorBidi"/>
            <w:lang w:val="en-US"/>
          </w:rPr>
          <w:tab/>
        </w:r>
        <w:r w:rsidR="00C17BD5" w:rsidRPr="002D62C6">
          <w:rPr>
            <w:rStyle w:val="Hyperlink"/>
          </w:rPr>
          <w:t>Генерирани данни</w:t>
        </w:r>
        <w:r w:rsidR="00C17BD5">
          <w:rPr>
            <w:webHidden/>
          </w:rPr>
          <w:tab/>
        </w:r>
        <w:r w:rsidR="00C17BD5">
          <w:rPr>
            <w:webHidden/>
          </w:rPr>
          <w:fldChar w:fldCharType="begin"/>
        </w:r>
        <w:r w:rsidR="00C17BD5">
          <w:rPr>
            <w:webHidden/>
          </w:rPr>
          <w:instrText xml:space="preserve"> PAGEREF _Toc74759738 \h </w:instrText>
        </w:r>
        <w:r w:rsidR="00C17BD5">
          <w:rPr>
            <w:webHidden/>
          </w:rPr>
        </w:r>
        <w:r w:rsidR="00C17BD5">
          <w:rPr>
            <w:webHidden/>
          </w:rPr>
          <w:fldChar w:fldCharType="separate"/>
        </w:r>
        <w:r w:rsidR="0032461C">
          <w:rPr>
            <w:webHidden/>
          </w:rPr>
          <w:t>12</w:t>
        </w:r>
        <w:r w:rsidR="00C17BD5">
          <w:rPr>
            <w:webHidden/>
          </w:rPr>
          <w:fldChar w:fldCharType="end"/>
        </w:r>
      </w:hyperlink>
    </w:p>
    <w:p w:rsidR="00C17BD5" w:rsidRDefault="00260106">
      <w:pPr>
        <w:pStyle w:val="TOC3"/>
        <w:rPr>
          <w:rFonts w:asciiTheme="minorHAnsi" w:eastAsiaTheme="minorEastAsia" w:hAnsiTheme="minorHAnsi" w:cstheme="minorBidi"/>
          <w:lang w:val="en-US"/>
        </w:rPr>
      </w:pPr>
      <w:hyperlink w:anchor="_Toc74759739" w:history="1">
        <w:r w:rsidR="00C17BD5" w:rsidRPr="002D62C6">
          <w:rPr>
            <w:rStyle w:val="Hyperlink"/>
          </w:rPr>
          <w:t>6.5.3</w:t>
        </w:r>
        <w:r w:rsidR="00C17BD5">
          <w:rPr>
            <w:rFonts w:asciiTheme="minorHAnsi" w:eastAsiaTheme="minorEastAsia" w:hAnsiTheme="minorHAnsi" w:cstheme="minorBidi"/>
            <w:lang w:val="en-US"/>
          </w:rPr>
          <w:tab/>
        </w:r>
        <w:r w:rsidR="00C17BD5" w:rsidRPr="002D62C6">
          <w:rPr>
            <w:rStyle w:val="Hyperlink"/>
          </w:rPr>
          <w:t>Планове за комуникация (публикуване на резултатите)</w:t>
        </w:r>
        <w:r w:rsidR="00C17BD5">
          <w:rPr>
            <w:webHidden/>
          </w:rPr>
          <w:tab/>
        </w:r>
        <w:r w:rsidR="00C17BD5">
          <w:rPr>
            <w:webHidden/>
          </w:rPr>
          <w:fldChar w:fldCharType="begin"/>
        </w:r>
        <w:r w:rsidR="00C17BD5">
          <w:rPr>
            <w:webHidden/>
          </w:rPr>
          <w:instrText xml:space="preserve"> PAGEREF _Toc74759739 \h </w:instrText>
        </w:r>
        <w:r w:rsidR="00C17BD5">
          <w:rPr>
            <w:webHidden/>
          </w:rPr>
        </w:r>
        <w:r w:rsidR="00C17BD5">
          <w:rPr>
            <w:webHidden/>
          </w:rPr>
          <w:fldChar w:fldCharType="separate"/>
        </w:r>
        <w:r w:rsidR="0032461C">
          <w:rPr>
            <w:webHidden/>
          </w:rPr>
          <w:t>13</w:t>
        </w:r>
        <w:r w:rsidR="00C17BD5">
          <w:rPr>
            <w:webHidden/>
          </w:rPr>
          <w:fldChar w:fldCharType="end"/>
        </w:r>
      </w:hyperlink>
    </w:p>
    <w:p w:rsidR="00C17BD5" w:rsidRDefault="00260106">
      <w:pPr>
        <w:pStyle w:val="TOC2"/>
        <w:rPr>
          <w:rFonts w:asciiTheme="minorHAnsi" w:eastAsiaTheme="minorEastAsia" w:hAnsiTheme="minorHAnsi" w:cstheme="minorBidi"/>
          <w:lang w:val="en-US"/>
        </w:rPr>
      </w:pPr>
      <w:hyperlink w:anchor="_Toc74759740" w:history="1">
        <w:r w:rsidR="00C17BD5" w:rsidRPr="002D62C6">
          <w:rPr>
            <w:rStyle w:val="Hyperlink"/>
          </w:rPr>
          <w:t>6.6</w:t>
        </w:r>
        <w:r w:rsidR="00C17BD5">
          <w:rPr>
            <w:rFonts w:asciiTheme="minorHAnsi" w:eastAsiaTheme="minorEastAsia" w:hAnsiTheme="minorHAnsi" w:cstheme="minorBidi"/>
            <w:lang w:val="en-US"/>
          </w:rPr>
          <w:tab/>
        </w:r>
        <w:r w:rsidR="00C17BD5" w:rsidRPr="002D62C6">
          <w:rPr>
            <w:rStyle w:val="Hyperlink"/>
          </w:rPr>
          <w:t>Част V — Подписване</w:t>
        </w:r>
        <w:r w:rsidR="00C17BD5">
          <w:rPr>
            <w:webHidden/>
          </w:rPr>
          <w:tab/>
        </w:r>
        <w:r w:rsidR="00C17BD5">
          <w:rPr>
            <w:webHidden/>
          </w:rPr>
          <w:fldChar w:fldCharType="begin"/>
        </w:r>
        <w:r w:rsidR="00C17BD5">
          <w:rPr>
            <w:webHidden/>
          </w:rPr>
          <w:instrText xml:space="preserve"> PAGEREF _Toc74759740 \h </w:instrText>
        </w:r>
        <w:r w:rsidR="00C17BD5">
          <w:rPr>
            <w:webHidden/>
          </w:rPr>
        </w:r>
        <w:r w:rsidR="00C17BD5">
          <w:rPr>
            <w:webHidden/>
          </w:rPr>
          <w:fldChar w:fldCharType="separate"/>
        </w:r>
        <w:r w:rsidR="0032461C">
          <w:rPr>
            <w:webHidden/>
          </w:rPr>
          <w:t>13</w:t>
        </w:r>
        <w:r w:rsidR="00C17BD5">
          <w:rPr>
            <w:webHidden/>
          </w:rPr>
          <w:fldChar w:fldCharType="end"/>
        </w:r>
      </w:hyperlink>
    </w:p>
    <w:p w:rsidR="00C17BD5" w:rsidRDefault="00260106">
      <w:pPr>
        <w:pStyle w:val="TOC1"/>
        <w:tabs>
          <w:tab w:val="right" w:leader="dot" w:pos="9060"/>
        </w:tabs>
        <w:rPr>
          <w:rFonts w:asciiTheme="minorHAnsi" w:eastAsiaTheme="minorEastAsia" w:hAnsiTheme="minorHAnsi" w:cstheme="minorBidi"/>
          <w:b w:val="0"/>
          <w:noProof/>
          <w:lang w:val="en-US"/>
        </w:rPr>
      </w:pPr>
      <w:hyperlink w:anchor="_Toc74759741" w:history="1">
        <w:r w:rsidR="00C17BD5" w:rsidRPr="002D62C6">
          <w:rPr>
            <w:rStyle w:val="Hyperlink"/>
            <w:noProof/>
          </w:rPr>
          <w:t xml:space="preserve">Приложение A: Образец на споразумения за </w:t>
        </w:r>
        <w:r w:rsidR="00C17BD5" w:rsidRPr="002D62C6">
          <w:rPr>
            <w:rStyle w:val="Hyperlink"/>
            <w:i/>
            <w:noProof/>
          </w:rPr>
          <w:t>съвместна дейност</w:t>
        </w:r>
        <w:r w:rsidR="00C17BD5">
          <w:rPr>
            <w:noProof/>
            <w:webHidden/>
          </w:rPr>
          <w:tab/>
        </w:r>
        <w:r w:rsidR="00C17BD5">
          <w:rPr>
            <w:noProof/>
            <w:webHidden/>
          </w:rPr>
          <w:fldChar w:fldCharType="begin"/>
        </w:r>
        <w:r w:rsidR="00C17BD5">
          <w:rPr>
            <w:noProof/>
            <w:webHidden/>
          </w:rPr>
          <w:instrText xml:space="preserve"> PAGEREF _Toc74759741 \h </w:instrText>
        </w:r>
        <w:r w:rsidR="00C17BD5">
          <w:rPr>
            <w:noProof/>
            <w:webHidden/>
          </w:rPr>
        </w:r>
        <w:r w:rsidR="00C17BD5">
          <w:rPr>
            <w:noProof/>
            <w:webHidden/>
          </w:rPr>
          <w:fldChar w:fldCharType="separate"/>
        </w:r>
        <w:r w:rsidR="0032461C">
          <w:rPr>
            <w:noProof/>
            <w:webHidden/>
          </w:rPr>
          <w:t>13</w:t>
        </w:r>
        <w:r w:rsidR="00C17BD5">
          <w:rPr>
            <w:noProof/>
            <w:webHidden/>
          </w:rPr>
          <w:fldChar w:fldCharType="end"/>
        </w:r>
      </w:hyperlink>
    </w:p>
    <w:p w:rsidR="006B18EA" w:rsidRPr="00CE43F1" w:rsidRDefault="003C4F1D" w:rsidP="00AC287C">
      <w:pPr>
        <w:tabs>
          <w:tab w:val="center" w:pos="4536"/>
        </w:tabs>
        <w:jc w:val="both"/>
        <w:rPr>
          <w:sz w:val="10"/>
          <w:szCs w:val="10"/>
        </w:rPr>
      </w:pPr>
      <w:r>
        <w:fldChar w:fldCharType="end"/>
      </w:r>
    </w:p>
    <w:p w:rsidR="00B348A7" w:rsidRPr="00CE43F1" w:rsidRDefault="00F16D5C" w:rsidP="00AC287C">
      <w:pPr>
        <w:autoSpaceDE w:val="0"/>
        <w:autoSpaceDN w:val="0"/>
        <w:adjustRightInd w:val="0"/>
        <w:jc w:val="both"/>
        <w:rPr>
          <w:b/>
          <w:bCs/>
          <w:sz w:val="20"/>
          <w:szCs w:val="20"/>
        </w:rPr>
      </w:pPr>
      <w:r>
        <w:rPr>
          <w:b/>
          <w:bCs/>
          <w:sz w:val="20"/>
          <w:szCs w:val="20"/>
        </w:rPr>
        <w:t>ВАЖНА ЗАБEЛЕЖКА</w:t>
      </w:r>
    </w:p>
    <w:p w:rsidR="00AC7155" w:rsidRPr="00CE43F1" w:rsidRDefault="00AC7155" w:rsidP="00AC287C">
      <w:pPr>
        <w:jc w:val="both"/>
        <w:rPr>
          <w:sz w:val="20"/>
          <w:szCs w:val="20"/>
          <w:highlight w:val="yellow"/>
        </w:rPr>
      </w:pPr>
      <w:r>
        <w:rPr>
          <w:sz w:val="20"/>
          <w:szCs w:val="20"/>
        </w:rPr>
        <w:t xml:space="preserve">Настоящият документ е предназначен да служи като ръководство за прилагане на член 9 от Регламент (ЕС) 2019/1020 относно надзора на пазара и съответствието на продуктите от </w:t>
      </w:r>
      <w:r>
        <w:rPr>
          <w:i/>
          <w:sz w:val="20"/>
          <w:szCs w:val="20"/>
        </w:rPr>
        <w:t>органите за надзор на пазара</w:t>
      </w:r>
      <w:r>
        <w:rPr>
          <w:sz w:val="20"/>
          <w:szCs w:val="20"/>
        </w:rPr>
        <w:t xml:space="preserve"> и другите участници в споразуменията, предвидени в горепосочения регламент.</w:t>
      </w:r>
    </w:p>
    <w:p w:rsidR="00814D2F" w:rsidRPr="00CE43F1" w:rsidRDefault="00AC7155" w:rsidP="00AC287C">
      <w:pPr>
        <w:jc w:val="both"/>
        <w:rPr>
          <w:sz w:val="20"/>
          <w:szCs w:val="20"/>
        </w:rPr>
      </w:pPr>
      <w:r>
        <w:rPr>
          <w:sz w:val="20"/>
          <w:szCs w:val="20"/>
        </w:rPr>
        <w:lastRenderedPageBreak/>
        <w:t>Той е одобрен от европейските експерти по надзор на пазара в рамките на Мрежата на ЕС за съответствие на продуктите, но трябва да се има предвид, че само текстът на Регламент (ЕС) 2019/1020 относно надзора на пазара и съответствието на продуктите има правна сила. Настоящите насоки не засягат прилагането на съдържащите се в Договора разпоредби на правото на ЕС в областта на конкуренцията.</w:t>
      </w:r>
    </w:p>
    <w:p w:rsidR="009E1396" w:rsidRPr="00233C54" w:rsidRDefault="009E1396" w:rsidP="00AC287C">
      <w:pPr>
        <w:pStyle w:val="Heading1"/>
        <w:jc w:val="both"/>
      </w:pPr>
      <w:bookmarkStart w:id="2" w:name="_Toc74759700"/>
      <w:r>
        <w:t>Увод</w:t>
      </w:r>
      <w:bookmarkEnd w:id="2"/>
    </w:p>
    <w:p w:rsidR="007A55AA" w:rsidRPr="00233C54" w:rsidRDefault="007A55AA" w:rsidP="00AC287C">
      <w:pPr>
        <w:jc w:val="both"/>
      </w:pPr>
      <w:r>
        <w:t xml:space="preserve">Органите за надзор на пазара в целия Европейски съюз (ЕС) участват в множество различни </w:t>
      </w:r>
      <w:r>
        <w:rPr>
          <w:i/>
        </w:rPr>
        <w:t xml:space="preserve">инициативи </w:t>
      </w:r>
      <w:r>
        <w:t xml:space="preserve"> съвместно с други органи (включително други надзорни органи), потребителски организации, търговски организации или (представители на) промишлеността. Дейностите по някои инициативи могат да включват висока степен на ангажираност и широко сътрудничество между няколко страни, докато други дейности могат да бъдат отговорност на един-единствен </w:t>
      </w:r>
      <w:r>
        <w:rPr>
          <w:i/>
        </w:rPr>
        <w:t>орган за надзор на пазара</w:t>
      </w:r>
      <w:r>
        <w:t xml:space="preserve">, и да включват само ограничен принос на други страни. </w:t>
      </w:r>
    </w:p>
    <w:p w:rsidR="007A55AA" w:rsidRPr="00233C54" w:rsidRDefault="007A55AA" w:rsidP="00AC287C">
      <w:pPr>
        <w:jc w:val="both"/>
      </w:pPr>
      <w:r>
        <w:t xml:space="preserve">Сред тези инициативи </w:t>
      </w:r>
      <w:r>
        <w:rPr>
          <w:i/>
        </w:rPr>
        <w:t>органите за надзор на пазара</w:t>
      </w:r>
      <w:r>
        <w:t xml:space="preserve"> могат да извършват „</w:t>
      </w:r>
      <w:r>
        <w:rPr>
          <w:i/>
        </w:rPr>
        <w:t>съвместни дейности</w:t>
      </w:r>
      <w:r>
        <w:t xml:space="preserve">“ съгласно член 9 от Регламент (ЕС) 2019/1020 относно надзора на пазара и съответствието на продуктите (оттук нататък: член 9) с други органи или организации, представляващи икономическите оператори или крайните ползватели, с оглед насърчаване на постигането на съответствие, установяване на несъответствие, повишаване на осведомеността и предоставяне на насоки относно законодателството на Съюза за хармонизация, както и по отношение на определени категории продукти, включително тези, които се предлагат за продажба онлайн. </w:t>
      </w:r>
    </w:p>
    <w:p w:rsidR="007A55AA" w:rsidRPr="00233C54" w:rsidRDefault="00D773FA" w:rsidP="00AC287C">
      <w:pPr>
        <w:jc w:val="both"/>
      </w:pPr>
      <w:r>
        <w:t xml:space="preserve">Ако даден </w:t>
      </w:r>
      <w:r>
        <w:rPr>
          <w:i/>
        </w:rPr>
        <w:t>орган за надзор на пазара</w:t>
      </w:r>
      <w:r>
        <w:t xml:space="preserve"> реши да извърши такава „</w:t>
      </w:r>
      <w:r>
        <w:rPr>
          <w:i/>
        </w:rPr>
        <w:t>съвместна дейност</w:t>
      </w:r>
      <w:r>
        <w:t>“, той трябва да изпълни задълженията, определени в член 9. Двете задължения са, както следва:</w:t>
      </w:r>
    </w:p>
    <w:p w:rsidR="007A55AA" w:rsidRPr="00233C54" w:rsidRDefault="00101C26" w:rsidP="00AC287C">
      <w:pPr>
        <w:numPr>
          <w:ilvl w:val="0"/>
          <w:numId w:val="13"/>
        </w:numPr>
        <w:jc w:val="both"/>
      </w:pPr>
      <w:r>
        <w:rPr>
          <w:i/>
        </w:rPr>
        <w:t>Съответният орган за надзор на пазара и страните [...] гарантират, че споразумението за съвместни дейности не води до нелоялна конкуренция между икономическите оператори и не засяга обективността, независимостта и безпристрастността на страните.</w:t>
      </w:r>
    </w:p>
    <w:p w:rsidR="007A55AA" w:rsidRPr="00233C54" w:rsidRDefault="007A55AA" w:rsidP="00AC287C">
      <w:pPr>
        <w:numPr>
          <w:ilvl w:val="0"/>
          <w:numId w:val="13"/>
        </w:numPr>
        <w:jc w:val="both"/>
      </w:pPr>
      <w:r>
        <w:rPr>
          <w:i/>
        </w:rPr>
        <w:t>Въпросният орган за надзор на пазара прави публично достояние споразумението за съвместни дейности, включително имената на участващите страни, и го въвежда в информационната и комуникационна система, посочена в член 34</w:t>
      </w:r>
      <w:r>
        <w:rPr>
          <w:rStyle w:val="FootnoteReference"/>
          <w:i/>
        </w:rPr>
        <w:footnoteReference w:id="1"/>
      </w:r>
      <w:r>
        <w:t xml:space="preserve">. </w:t>
      </w:r>
    </w:p>
    <w:p w:rsidR="009E1396" w:rsidRPr="00233C54" w:rsidRDefault="00505262" w:rsidP="00AC287C">
      <w:pPr>
        <w:jc w:val="both"/>
      </w:pPr>
      <w:r>
        <w:t xml:space="preserve">Настоящият документ няма задължителен характер и има за цел да предостави насоки, които да помогнат на </w:t>
      </w:r>
      <w:r>
        <w:rPr>
          <w:i/>
        </w:rPr>
        <w:t>органите за надзор на пазара</w:t>
      </w:r>
      <w:r>
        <w:t xml:space="preserve"> при изпълнението на член 9:</w:t>
      </w:r>
    </w:p>
    <w:p w:rsidR="009E1396" w:rsidRPr="00233C54" w:rsidRDefault="00505262" w:rsidP="00AC287C">
      <w:pPr>
        <w:pStyle w:val="ListParagraph"/>
        <w:numPr>
          <w:ilvl w:val="0"/>
          <w:numId w:val="7"/>
        </w:numPr>
        <w:jc w:val="both"/>
      </w:pPr>
      <w:r>
        <w:t xml:space="preserve">да вземат решение дали дадена </w:t>
      </w:r>
      <w:r>
        <w:rPr>
          <w:i/>
        </w:rPr>
        <w:t>инициатива</w:t>
      </w:r>
      <w:r>
        <w:t xml:space="preserve"> се смята за „</w:t>
      </w:r>
      <w:r>
        <w:rPr>
          <w:i/>
        </w:rPr>
        <w:t>съвместна дейност</w:t>
      </w:r>
      <w:r>
        <w:t>“, която следва да бъде извършена в съответствие с член 9 от Регламент (ЕС) </w:t>
      </w:r>
      <w:r>
        <w:rPr>
          <w:rFonts w:asciiTheme="minorHAnsi" w:hAnsiTheme="minorHAnsi"/>
          <w:shd w:val="clear" w:color="auto" w:fill="FFFFFF"/>
        </w:rPr>
        <w:t xml:space="preserve">2019/1020 </w:t>
      </w:r>
      <w:r>
        <w:t xml:space="preserve">относно надзора на пазара и съответствието на продуктите; </w:t>
      </w:r>
    </w:p>
    <w:p w:rsidR="009E1396" w:rsidRPr="00233C54" w:rsidRDefault="009E1396" w:rsidP="00AC287C">
      <w:pPr>
        <w:pStyle w:val="ListParagraph"/>
        <w:numPr>
          <w:ilvl w:val="0"/>
          <w:numId w:val="7"/>
        </w:numPr>
        <w:jc w:val="both"/>
      </w:pPr>
      <w:r>
        <w:t xml:space="preserve">да избегнат нелоялната конкуренция и да запазят обективността, независимостта и безпристрастността на </w:t>
      </w:r>
      <w:r>
        <w:rPr>
          <w:bCs/>
          <w:i/>
        </w:rPr>
        <w:t xml:space="preserve">страните </w:t>
      </w:r>
      <w:r>
        <w:t xml:space="preserve">при сключването на </w:t>
      </w:r>
      <w:r>
        <w:rPr>
          <w:bCs/>
          <w:i/>
        </w:rPr>
        <w:t>споразумение за съвместна дейност</w:t>
      </w:r>
      <w:r>
        <w:t xml:space="preserve">; </w:t>
      </w:r>
    </w:p>
    <w:p w:rsidR="00CC798C" w:rsidRPr="00233C54" w:rsidRDefault="00AC715A" w:rsidP="00CC798C">
      <w:pPr>
        <w:pStyle w:val="ListParagraph"/>
        <w:numPr>
          <w:ilvl w:val="0"/>
          <w:numId w:val="7"/>
        </w:numPr>
        <w:jc w:val="both"/>
      </w:pPr>
      <w:r>
        <w:t xml:space="preserve">да предоставят критерии за конкретни видове съвместни дейности и </w:t>
      </w:r>
    </w:p>
    <w:p w:rsidR="00CC798C" w:rsidRPr="00233C54" w:rsidRDefault="00AC715A" w:rsidP="00CC798C">
      <w:pPr>
        <w:pStyle w:val="ListParagraph"/>
        <w:numPr>
          <w:ilvl w:val="0"/>
          <w:numId w:val="7"/>
        </w:numPr>
        <w:jc w:val="both"/>
        <w:rPr>
          <w:i/>
        </w:rPr>
      </w:pPr>
      <w:r>
        <w:t xml:space="preserve">да предоставят на заинтересованите страни образец на </w:t>
      </w:r>
      <w:r>
        <w:rPr>
          <w:i/>
        </w:rPr>
        <w:t>споразумение за съвместна дейност.</w:t>
      </w:r>
    </w:p>
    <w:p w:rsidR="00B16BEB" w:rsidRPr="00233C54" w:rsidRDefault="00B16BEB" w:rsidP="00AC287C">
      <w:pPr>
        <w:pStyle w:val="Heading1"/>
        <w:jc w:val="both"/>
      </w:pPr>
      <w:bookmarkStart w:id="3" w:name="_Toc67076354"/>
      <w:bookmarkStart w:id="4" w:name="_Toc74759701"/>
      <w:bookmarkEnd w:id="3"/>
      <w:r>
        <w:t>Определения за целите на настоящите насоки</w:t>
      </w:r>
      <w:bookmarkEnd w:id="4"/>
    </w:p>
    <w:p w:rsidR="007D68B1" w:rsidRPr="00233C54" w:rsidRDefault="007D68B1" w:rsidP="00AC287C">
      <w:pPr>
        <w:spacing w:line="259" w:lineRule="auto"/>
        <w:jc w:val="both"/>
        <w:rPr>
          <w:rFonts w:asciiTheme="minorHAnsi" w:eastAsia="Calibri" w:hAnsiTheme="minorHAnsi" w:cstheme="minorHAnsi"/>
        </w:rPr>
      </w:pPr>
      <w:r>
        <w:rPr>
          <w:rFonts w:asciiTheme="minorHAnsi" w:hAnsiTheme="minorHAnsi"/>
        </w:rPr>
        <w:t>Настоящият документ е предназначен за използване от „</w:t>
      </w:r>
      <w:r>
        <w:rPr>
          <w:rFonts w:asciiTheme="minorHAnsi" w:hAnsiTheme="minorHAnsi"/>
          <w:i/>
        </w:rPr>
        <w:t>органите за надзор на пазара“</w:t>
      </w:r>
      <w:r>
        <w:rPr>
          <w:rFonts w:asciiTheme="minorHAnsi" w:hAnsiTheme="minorHAnsi"/>
        </w:rPr>
        <w:t xml:space="preserve"> по смисъла на </w:t>
      </w:r>
      <w:r>
        <w:rPr>
          <w:rFonts w:asciiTheme="minorHAnsi" w:hAnsiTheme="minorHAnsi"/>
          <w:shd w:val="clear" w:color="auto" w:fill="FFFFFF"/>
        </w:rPr>
        <w:t>член 3, точка 4, а именно орган, определен от дадена държава членка съгласно член 10 от Регламент (ЕС) 2019/1020 като отговарящ за извършването на надзор на пазара на територията на тази държава членка.</w:t>
      </w:r>
    </w:p>
    <w:p w:rsidR="00DB2C4D" w:rsidRPr="00233C54" w:rsidRDefault="00DB2C4D" w:rsidP="00AC287C">
      <w:pPr>
        <w:spacing w:line="259" w:lineRule="auto"/>
        <w:jc w:val="both"/>
        <w:rPr>
          <w:rFonts w:asciiTheme="minorHAnsi" w:eastAsia="Calibri" w:hAnsiTheme="minorHAnsi" w:cstheme="minorHAnsi"/>
        </w:rPr>
      </w:pPr>
      <w:r>
        <w:rPr>
          <w:rFonts w:asciiTheme="minorHAnsi" w:hAnsiTheme="minorHAnsi"/>
        </w:rPr>
        <w:lastRenderedPageBreak/>
        <w:t>За целите на настоящите насоки и без да се засягат определенията, съдържащи се в регламента, се прилагат следните определения:</w:t>
      </w:r>
    </w:p>
    <w:p w:rsidR="00505DCB" w:rsidRPr="00233C54" w:rsidRDefault="007D68B1" w:rsidP="00AC287C">
      <w:pPr>
        <w:pStyle w:val="ListParagraph"/>
        <w:numPr>
          <w:ilvl w:val="0"/>
          <w:numId w:val="10"/>
        </w:numPr>
        <w:spacing w:after="160" w:line="259" w:lineRule="auto"/>
        <w:jc w:val="both"/>
        <w:rPr>
          <w:bCs/>
        </w:rPr>
      </w:pPr>
      <w:r>
        <w:rPr>
          <w:rFonts w:asciiTheme="minorHAnsi" w:hAnsiTheme="minorHAnsi"/>
          <w:shd w:val="clear" w:color="auto" w:fill="FFFFFF"/>
        </w:rPr>
        <w:t xml:space="preserve"> </w:t>
      </w:r>
      <w:r>
        <w:t xml:space="preserve">орган за надзор на пазара: </w:t>
      </w:r>
      <w:r>
        <w:rPr>
          <w:i/>
        </w:rPr>
        <w:t>органът за надзор на пазара</w:t>
      </w:r>
      <w:r>
        <w:t>, отговарящ за съвместната дейност и гарантиращ, че:</w:t>
      </w:r>
    </w:p>
    <w:p w:rsidR="00505DCB" w:rsidRPr="00233C54" w:rsidRDefault="00BE6472" w:rsidP="00AC287C">
      <w:pPr>
        <w:pStyle w:val="ListParagraph"/>
        <w:numPr>
          <w:ilvl w:val="1"/>
          <w:numId w:val="10"/>
        </w:numPr>
        <w:spacing w:after="160" w:line="259" w:lineRule="auto"/>
        <w:jc w:val="both"/>
        <w:rPr>
          <w:bCs/>
        </w:rPr>
      </w:pPr>
      <w:r>
        <w:t xml:space="preserve"> </w:t>
      </w:r>
      <w:r>
        <w:rPr>
          <w:i/>
        </w:rPr>
        <w:t>чрез споразумението за съвместна дейност</w:t>
      </w:r>
      <w:r>
        <w:t xml:space="preserve"> се избягва нелоялната конкуренция, </w:t>
      </w:r>
    </w:p>
    <w:p w:rsidR="00505DCB" w:rsidRPr="00233C54" w:rsidRDefault="00BE6472" w:rsidP="00AC287C">
      <w:pPr>
        <w:pStyle w:val="ListParagraph"/>
        <w:numPr>
          <w:ilvl w:val="1"/>
          <w:numId w:val="10"/>
        </w:numPr>
        <w:spacing w:after="160" w:line="259" w:lineRule="auto"/>
        <w:jc w:val="both"/>
        <w:rPr>
          <w:bCs/>
        </w:rPr>
      </w:pPr>
      <w:r>
        <w:t xml:space="preserve">се запазват обективността, независимостта и безпристрастността на страните, </w:t>
      </w:r>
    </w:p>
    <w:p w:rsidR="00505DCB" w:rsidRPr="00233C54" w:rsidRDefault="00505DCB" w:rsidP="00AC287C">
      <w:pPr>
        <w:pStyle w:val="ListParagraph"/>
        <w:numPr>
          <w:ilvl w:val="1"/>
          <w:numId w:val="10"/>
        </w:numPr>
        <w:spacing w:after="160" w:line="259" w:lineRule="auto"/>
        <w:jc w:val="both"/>
        <w:rPr>
          <w:bCs/>
        </w:rPr>
      </w:pPr>
      <w:r>
        <w:t xml:space="preserve">се търси подкрепа от Мрежата, ако е необходимо, и че </w:t>
      </w:r>
    </w:p>
    <w:p w:rsidR="00004999" w:rsidRPr="00233C54" w:rsidRDefault="00004999" w:rsidP="00AC287C">
      <w:pPr>
        <w:pStyle w:val="ListParagraph"/>
        <w:numPr>
          <w:ilvl w:val="1"/>
          <w:numId w:val="10"/>
        </w:numPr>
        <w:spacing w:after="160" w:line="259" w:lineRule="auto"/>
        <w:jc w:val="both"/>
        <w:rPr>
          <w:bCs/>
        </w:rPr>
      </w:pPr>
      <w:r>
        <w:rPr>
          <w:i/>
        </w:rPr>
        <w:t>споразумението за съвместна дейност</w:t>
      </w:r>
      <w:r>
        <w:t xml:space="preserve"> става публично достояние чрез Информационната и комуникационна система за надзор на пазара (ICSMS);</w:t>
      </w:r>
    </w:p>
    <w:p w:rsidR="00DB2C4D" w:rsidRPr="00233C54" w:rsidRDefault="00DB2C4D" w:rsidP="00AC287C">
      <w:pPr>
        <w:numPr>
          <w:ilvl w:val="0"/>
          <w:numId w:val="10"/>
        </w:numPr>
        <w:jc w:val="both"/>
        <w:rPr>
          <w:rFonts w:asciiTheme="minorHAnsi" w:eastAsia="Calibri" w:hAnsiTheme="minorHAnsi" w:cstheme="minorHAnsi"/>
          <w:b/>
          <w:bCs/>
          <w:u w:val="single"/>
        </w:rPr>
      </w:pPr>
      <w:r>
        <w:rPr>
          <w:rFonts w:asciiTheme="minorHAnsi" w:hAnsiTheme="minorHAnsi"/>
        </w:rPr>
        <w:t xml:space="preserve">„друг съответен орган“: орган, определен от държава членка, но който не е </w:t>
      </w:r>
      <w:r>
        <w:rPr>
          <w:rFonts w:asciiTheme="minorHAnsi" w:hAnsiTheme="minorHAnsi"/>
          <w:i/>
        </w:rPr>
        <w:t>орган за надзор на пазара</w:t>
      </w:r>
      <w:r>
        <w:rPr>
          <w:rFonts w:asciiTheme="minorHAnsi" w:hAnsiTheme="minorHAnsi"/>
        </w:rPr>
        <w:t xml:space="preserve">. Например инспекция по труда, здравен орган, спасителна служба, орган за спектъра, статистическо бюро, данъчна служба и др.; </w:t>
      </w:r>
    </w:p>
    <w:p w:rsidR="00B62BA2" w:rsidRPr="00233C54" w:rsidRDefault="00B62BA2" w:rsidP="00AC287C">
      <w:pPr>
        <w:pStyle w:val="ListParagraph"/>
        <w:numPr>
          <w:ilvl w:val="0"/>
          <w:numId w:val="10"/>
        </w:numPr>
        <w:ind w:left="714" w:hanging="357"/>
        <w:contextualSpacing w:val="0"/>
        <w:jc w:val="both"/>
        <w:rPr>
          <w:bCs/>
          <w:iCs/>
        </w:rPr>
      </w:pPr>
      <w:r>
        <w:t>„организация“: организация, представляваща икономическите оператори съгласно определението в член 3, точка 13 или крайните ползватели съгласно определението в член 3, точка 21 от Регламент (ЕС) 2019/1020. Например: потребителска организация;</w:t>
      </w:r>
    </w:p>
    <w:p w:rsidR="000F5A89" w:rsidRPr="00233C54" w:rsidRDefault="000F5A89" w:rsidP="00AC287C">
      <w:pPr>
        <w:pStyle w:val="ListParagraph"/>
        <w:numPr>
          <w:ilvl w:val="0"/>
          <w:numId w:val="10"/>
        </w:numPr>
        <w:contextualSpacing w:val="0"/>
        <w:jc w:val="both"/>
        <w:rPr>
          <w:bCs/>
          <w:iCs/>
        </w:rPr>
      </w:pPr>
      <w:r>
        <w:t xml:space="preserve">„експерт“: всяко физическо или юридическо лице, което предоставя ресурси, експертен опит или всякакъв вид подкрепа на </w:t>
      </w:r>
      <w:r>
        <w:rPr>
          <w:bCs/>
          <w:i/>
          <w:iCs/>
        </w:rPr>
        <w:t>страните</w:t>
      </w:r>
      <w:r>
        <w:t>. Например: университет, нотифициран орган, органи за оценяване на съответствието, и др.;</w:t>
      </w:r>
    </w:p>
    <w:p w:rsidR="000E0DD3" w:rsidRPr="00233C54" w:rsidRDefault="002B2D00" w:rsidP="00AC287C">
      <w:pPr>
        <w:numPr>
          <w:ilvl w:val="0"/>
          <w:numId w:val="10"/>
        </w:numPr>
        <w:ind w:hanging="357"/>
        <w:jc w:val="both"/>
        <w:rPr>
          <w:rFonts w:asciiTheme="minorHAnsi" w:eastAsia="Calibri" w:hAnsiTheme="minorHAnsi" w:cstheme="minorHAnsi"/>
          <w:bCs/>
          <w:iCs/>
        </w:rPr>
      </w:pPr>
      <w:r>
        <w:rPr>
          <w:rFonts w:asciiTheme="minorHAnsi" w:hAnsiTheme="minorHAnsi"/>
          <w:bCs/>
          <w:iCs/>
        </w:rPr>
        <w:t xml:space="preserve">„инициатива“: всяка дейност или действие, извършвани от </w:t>
      </w:r>
      <w:r>
        <w:rPr>
          <w:rFonts w:asciiTheme="minorHAnsi" w:hAnsiTheme="minorHAnsi"/>
          <w:i/>
        </w:rPr>
        <w:t>органите за надзор на пазара</w:t>
      </w:r>
      <w:r>
        <w:rPr>
          <w:rFonts w:asciiTheme="minorHAnsi" w:hAnsiTheme="minorHAnsi"/>
        </w:rPr>
        <w:t>, за да се гарантира, че продуктите отговарят на изискванията, определени в приложимото законодателство на Съюза за хармонизация, и да се осигури защитата на обществените интереси, обхванати от това законодателство, и в които могат да участват и други органи, потребителски организации, търговски организации или (представители на) промишлеността</w:t>
      </w:r>
      <w:r>
        <w:t>;</w:t>
      </w:r>
      <w:r>
        <w:rPr>
          <w:rFonts w:ascii="Segoe UI" w:hAnsi="Segoe UI"/>
        </w:rPr>
        <w:t xml:space="preserve"> </w:t>
      </w:r>
    </w:p>
    <w:p w:rsidR="00DB2C4D" w:rsidRPr="00233C54" w:rsidRDefault="00DB2C4D" w:rsidP="00AC287C">
      <w:pPr>
        <w:numPr>
          <w:ilvl w:val="0"/>
          <w:numId w:val="10"/>
        </w:numPr>
        <w:ind w:hanging="357"/>
        <w:jc w:val="both"/>
        <w:rPr>
          <w:rFonts w:asciiTheme="minorHAnsi" w:eastAsia="Calibri" w:hAnsiTheme="minorHAnsi" w:cstheme="minorHAnsi"/>
        </w:rPr>
      </w:pPr>
      <w:r>
        <w:rPr>
          <w:rFonts w:asciiTheme="minorHAnsi" w:hAnsiTheme="minorHAnsi"/>
        </w:rPr>
        <w:t>„съвместна дейност“: дейност, попадаща в обхвата на член 9 от Регламент (ЕС) 2019/1020, която отговаря на следните критерии:</w:t>
      </w:r>
    </w:p>
    <w:p w:rsidR="00DB2C4D" w:rsidRPr="00233C54" w:rsidRDefault="00DB2C4D" w:rsidP="00AC287C">
      <w:pPr>
        <w:pStyle w:val="ListParagraph"/>
        <w:numPr>
          <w:ilvl w:val="0"/>
          <w:numId w:val="14"/>
        </w:numPr>
        <w:contextualSpacing w:val="0"/>
        <w:jc w:val="both"/>
      </w:pPr>
      <w:r>
        <w:t xml:space="preserve">в нея участва поне един </w:t>
      </w:r>
      <w:r>
        <w:rPr>
          <w:i/>
        </w:rPr>
        <w:t>орган за надзор на пазара</w:t>
      </w:r>
      <w:r>
        <w:t>;</w:t>
      </w:r>
    </w:p>
    <w:p w:rsidR="00DB2C4D" w:rsidRPr="00233C54" w:rsidRDefault="00DB2C4D" w:rsidP="00AC287C">
      <w:pPr>
        <w:pStyle w:val="ListParagraph"/>
        <w:numPr>
          <w:ilvl w:val="0"/>
          <w:numId w:val="14"/>
        </w:numPr>
        <w:contextualSpacing w:val="0"/>
        <w:jc w:val="both"/>
      </w:pPr>
      <w:r>
        <w:t xml:space="preserve">в нея участва най-малко един друг съответен орган и/или </w:t>
      </w:r>
      <w:bookmarkStart w:id="5" w:name="_Hlk44613009"/>
      <w:r>
        <w:t>организация</w:t>
      </w:r>
      <w:bookmarkEnd w:id="5"/>
      <w:r>
        <w:t>;</w:t>
      </w:r>
    </w:p>
    <w:p w:rsidR="00791063" w:rsidRPr="00233C54" w:rsidRDefault="00552E1A" w:rsidP="00AC287C">
      <w:pPr>
        <w:pStyle w:val="ListParagraph"/>
        <w:numPr>
          <w:ilvl w:val="0"/>
          <w:numId w:val="14"/>
        </w:numPr>
        <w:contextualSpacing w:val="0"/>
        <w:jc w:val="both"/>
      </w:pPr>
      <w:r>
        <w:rPr>
          <w:i/>
        </w:rPr>
        <w:t>съвместната дейност</w:t>
      </w:r>
      <w:r>
        <w:t xml:space="preserve"> трябва да има една или повече от следните цели: </w:t>
      </w:r>
    </w:p>
    <w:p w:rsidR="00791063" w:rsidRPr="00233C54" w:rsidRDefault="00552E1A" w:rsidP="00AC287C">
      <w:pPr>
        <w:pStyle w:val="ListParagraph"/>
        <w:numPr>
          <w:ilvl w:val="1"/>
          <w:numId w:val="15"/>
        </w:numPr>
        <w:contextualSpacing w:val="0"/>
        <w:jc w:val="both"/>
      </w:pPr>
      <w:r>
        <w:t>насърчаване на постигането на съответствие;</w:t>
      </w:r>
    </w:p>
    <w:p w:rsidR="00681E56" w:rsidRPr="00233C54" w:rsidRDefault="00681E56" w:rsidP="00AC287C">
      <w:pPr>
        <w:pStyle w:val="ListParagraph"/>
        <w:numPr>
          <w:ilvl w:val="1"/>
          <w:numId w:val="15"/>
        </w:numPr>
        <w:contextualSpacing w:val="0"/>
        <w:jc w:val="both"/>
      </w:pPr>
      <w:r>
        <w:t>установяване на несъответствия;</w:t>
      </w:r>
    </w:p>
    <w:p w:rsidR="00BE6D5A" w:rsidRPr="00233C54" w:rsidRDefault="00552E1A" w:rsidP="00AC287C">
      <w:pPr>
        <w:pStyle w:val="ListParagraph"/>
        <w:numPr>
          <w:ilvl w:val="1"/>
          <w:numId w:val="15"/>
        </w:numPr>
        <w:contextualSpacing w:val="0"/>
        <w:jc w:val="both"/>
      </w:pPr>
      <w:r>
        <w:t>повишаване на осведомеността;</w:t>
      </w:r>
    </w:p>
    <w:p w:rsidR="00552E1A" w:rsidRPr="00233C54" w:rsidRDefault="00552E1A" w:rsidP="00AC287C">
      <w:pPr>
        <w:pStyle w:val="ListParagraph"/>
        <w:numPr>
          <w:ilvl w:val="1"/>
          <w:numId w:val="15"/>
        </w:numPr>
        <w:contextualSpacing w:val="0"/>
        <w:jc w:val="both"/>
      </w:pPr>
      <w:r>
        <w:t>предоставяне на насоки във връзка със законодателството на Съюза за хармонизация;</w:t>
      </w:r>
    </w:p>
    <w:p w:rsidR="00BE6D5A" w:rsidRPr="00233C54" w:rsidRDefault="00BE6D5A" w:rsidP="00AC287C">
      <w:pPr>
        <w:pStyle w:val="ListParagraph"/>
        <w:numPr>
          <w:ilvl w:val="0"/>
          <w:numId w:val="14"/>
        </w:numPr>
        <w:contextualSpacing w:val="0"/>
        <w:jc w:val="both"/>
      </w:pPr>
      <w:r>
        <w:rPr>
          <w:i/>
        </w:rPr>
        <w:t>съвместната дейност</w:t>
      </w:r>
      <w:r>
        <w:t xml:space="preserve"> включва елементи на сътрудничество между участващите </w:t>
      </w:r>
      <w:r>
        <w:rPr>
          <w:i/>
        </w:rPr>
        <w:t>страни</w:t>
      </w:r>
      <w:r>
        <w:t xml:space="preserve"> с оглед постигане на общ резултат, като участващите страни съвместно допринасят за резултата от </w:t>
      </w:r>
      <w:r>
        <w:rPr>
          <w:i/>
        </w:rPr>
        <w:t>инициативата</w:t>
      </w:r>
      <w:r>
        <w:t>.</w:t>
      </w:r>
    </w:p>
    <w:p w:rsidR="00C35386" w:rsidRPr="00233C54" w:rsidRDefault="00C35386" w:rsidP="00AC287C">
      <w:pPr>
        <w:pStyle w:val="ListParagraph"/>
        <w:numPr>
          <w:ilvl w:val="0"/>
          <w:numId w:val="10"/>
        </w:numPr>
        <w:contextualSpacing w:val="0"/>
        <w:jc w:val="both"/>
        <w:rPr>
          <w:rFonts w:asciiTheme="minorHAnsi" w:eastAsia="Calibri" w:hAnsiTheme="minorHAnsi" w:cstheme="minorHAnsi"/>
        </w:rPr>
      </w:pPr>
      <w:r>
        <w:rPr>
          <w:shd w:val="clear" w:color="auto" w:fill="FFFFFF"/>
        </w:rPr>
        <w:t xml:space="preserve">„споразумение за съвместна дейност“: споразумение между поне един </w:t>
      </w:r>
      <w:r>
        <w:rPr>
          <w:i/>
          <w:shd w:val="clear" w:color="auto" w:fill="FFFFFF"/>
        </w:rPr>
        <w:t>орган за надзор на пазара</w:t>
      </w:r>
      <w:r>
        <w:rPr>
          <w:shd w:val="clear" w:color="auto" w:fill="FFFFFF"/>
        </w:rPr>
        <w:t xml:space="preserve"> и </w:t>
      </w:r>
      <w:r>
        <w:rPr>
          <w:i/>
          <w:shd w:val="clear" w:color="auto" w:fill="FFFFFF"/>
        </w:rPr>
        <w:t>друг съответен орган</w:t>
      </w:r>
      <w:r>
        <w:rPr>
          <w:shd w:val="clear" w:color="auto" w:fill="FFFFFF"/>
        </w:rPr>
        <w:t xml:space="preserve"> или </w:t>
      </w:r>
      <w:r>
        <w:rPr>
          <w:i/>
          <w:shd w:val="clear" w:color="auto" w:fill="FFFFFF"/>
        </w:rPr>
        <w:t>организация</w:t>
      </w:r>
      <w:r>
        <w:rPr>
          <w:shd w:val="clear" w:color="auto" w:fill="FFFFFF"/>
        </w:rPr>
        <w:t xml:space="preserve"> за извършване на </w:t>
      </w:r>
      <w:r>
        <w:rPr>
          <w:i/>
          <w:shd w:val="clear" w:color="auto" w:fill="FFFFFF"/>
        </w:rPr>
        <w:t>съвместна дейност.</w:t>
      </w:r>
    </w:p>
    <w:p w:rsidR="00172A39" w:rsidRPr="00233C54" w:rsidRDefault="00172A39" w:rsidP="00AC287C">
      <w:pPr>
        <w:pStyle w:val="ListParagraph"/>
        <w:numPr>
          <w:ilvl w:val="0"/>
          <w:numId w:val="10"/>
        </w:numPr>
        <w:contextualSpacing w:val="0"/>
        <w:jc w:val="both"/>
        <w:rPr>
          <w:rFonts w:asciiTheme="minorHAnsi" w:eastAsia="Calibri" w:hAnsiTheme="minorHAnsi" w:cstheme="minorHAnsi"/>
        </w:rPr>
      </w:pPr>
      <w:r>
        <w:rPr>
          <w:rFonts w:asciiTheme="minorHAnsi" w:hAnsiTheme="minorHAnsi"/>
        </w:rPr>
        <w:t xml:space="preserve">„страни“: </w:t>
      </w:r>
      <w:r>
        <w:rPr>
          <w:rFonts w:asciiTheme="minorHAnsi" w:hAnsiTheme="minorHAnsi"/>
          <w:i/>
        </w:rPr>
        <w:t>органите за надзор на пазара</w:t>
      </w:r>
      <w:r>
        <w:rPr>
          <w:rFonts w:asciiTheme="minorHAnsi" w:hAnsiTheme="minorHAnsi"/>
        </w:rPr>
        <w:t xml:space="preserve"> и </w:t>
      </w:r>
      <w:r>
        <w:rPr>
          <w:rFonts w:asciiTheme="minorHAnsi" w:hAnsiTheme="minorHAnsi"/>
          <w:i/>
        </w:rPr>
        <w:t>други съответни органи</w:t>
      </w:r>
      <w:r>
        <w:rPr>
          <w:rFonts w:asciiTheme="minorHAnsi" w:hAnsiTheme="minorHAnsi"/>
        </w:rPr>
        <w:t xml:space="preserve"> и/или </w:t>
      </w:r>
      <w:r>
        <w:rPr>
          <w:rFonts w:asciiTheme="minorHAnsi" w:hAnsiTheme="minorHAnsi"/>
          <w:i/>
        </w:rPr>
        <w:t>организации</w:t>
      </w:r>
      <w:r>
        <w:rPr>
          <w:rFonts w:asciiTheme="minorHAnsi" w:hAnsiTheme="minorHAnsi"/>
        </w:rPr>
        <w:t xml:space="preserve">, които подписват </w:t>
      </w:r>
      <w:r>
        <w:rPr>
          <w:rFonts w:asciiTheme="minorHAnsi" w:hAnsiTheme="minorHAnsi"/>
          <w:i/>
        </w:rPr>
        <w:t>споразумението за съвместна дейност</w:t>
      </w:r>
      <w:r>
        <w:rPr>
          <w:rFonts w:asciiTheme="minorHAnsi" w:hAnsiTheme="minorHAnsi"/>
        </w:rPr>
        <w:t xml:space="preserve">. </w:t>
      </w:r>
    </w:p>
    <w:p w:rsidR="00E04CA8" w:rsidRPr="00233C54" w:rsidRDefault="008F38B5">
      <w:pPr>
        <w:pStyle w:val="Heading1"/>
        <w:jc w:val="both"/>
      </w:pPr>
      <w:bookmarkStart w:id="6" w:name="_Toc74759702"/>
      <w:r>
        <w:t>Съвместни дейности</w:t>
      </w:r>
      <w:bookmarkEnd w:id="6"/>
    </w:p>
    <w:p w:rsidR="008F38B5" w:rsidRPr="00233C54" w:rsidRDefault="00311E20" w:rsidP="00AC287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rPr>
      </w:pPr>
      <w:r>
        <w:rPr>
          <w:i/>
        </w:rPr>
        <w:t xml:space="preserve">Член 9, параграф 1.   Органите за надзор на пазара могат да се споразумеят с други съответни органи или с организации, представляващи икономически оператори или крайни </w:t>
      </w:r>
      <w:r>
        <w:rPr>
          <w:i/>
        </w:rPr>
        <w:lastRenderedPageBreak/>
        <w:t>ползватели, за извършване на съвместни дейности, които целят насърчаване на постигането на съответствие, установяване на несъответствие, повишаване на осведомеността и предоставяне на насоки във връзка със законодателството на Съюза за хармонизация, по отношение на определени категории продукти, по-специално онези категории продукти, за които често се оказва, че представляват сериозен риск, включително продуктите, предлагани за продажба онлайн.</w:t>
      </w:r>
    </w:p>
    <w:p w:rsidR="00862CCE" w:rsidRPr="00233C54" w:rsidRDefault="003B661E" w:rsidP="00AC287C">
      <w:pPr>
        <w:pStyle w:val="Heading2"/>
      </w:pPr>
      <w:bookmarkStart w:id="7" w:name="_Toc74759703"/>
      <w:r>
        <w:t xml:space="preserve">Участници, допринасящи за </w:t>
      </w:r>
      <w:r>
        <w:rPr>
          <w:i/>
        </w:rPr>
        <w:t>съвместната дейност</w:t>
      </w:r>
      <w:bookmarkEnd w:id="7"/>
    </w:p>
    <w:p w:rsidR="003B661E" w:rsidRPr="00233C54" w:rsidRDefault="00542D36" w:rsidP="00AC287C">
      <w:pPr>
        <w:jc w:val="both"/>
      </w:pPr>
      <w:r>
        <w:rPr>
          <w:i/>
        </w:rPr>
        <w:t>Органите за надзор на пазара</w:t>
      </w:r>
      <w:r>
        <w:t xml:space="preserve"> могат да се споразумеят да започнат </w:t>
      </w:r>
      <w:r>
        <w:rPr>
          <w:i/>
        </w:rPr>
        <w:t>съвместна дейност</w:t>
      </w:r>
      <w:r>
        <w:rPr>
          <w:rFonts w:asciiTheme="minorHAnsi" w:hAnsiTheme="minorHAnsi"/>
        </w:rPr>
        <w:t xml:space="preserve">, в която </w:t>
      </w:r>
      <w:r>
        <w:t xml:space="preserve"> участва поне един </w:t>
      </w:r>
      <w:r>
        <w:rPr>
          <w:i/>
        </w:rPr>
        <w:t>орган за надзор на пазара</w:t>
      </w:r>
      <w:r>
        <w:t xml:space="preserve"> и поне един </w:t>
      </w:r>
      <w:r>
        <w:rPr>
          <w:i/>
        </w:rPr>
        <w:t>друг съответен орган</w:t>
      </w:r>
      <w:r>
        <w:t xml:space="preserve"> или организация. Ако участват повече от един </w:t>
      </w:r>
      <w:r>
        <w:rPr>
          <w:i/>
        </w:rPr>
        <w:t>органа за надзор на пазара</w:t>
      </w:r>
      <w:r>
        <w:t xml:space="preserve">, един от тях ще бъде </w:t>
      </w:r>
      <w:r>
        <w:rPr>
          <w:i/>
        </w:rPr>
        <w:t>водещият орган за надзор на пазара</w:t>
      </w:r>
      <w:r>
        <w:t>. Това следва да бъде упоменато в споразумението.</w:t>
      </w:r>
    </w:p>
    <w:p w:rsidR="00C419EB" w:rsidRPr="00233C54" w:rsidRDefault="003B661E" w:rsidP="00AC287C">
      <w:pPr>
        <w:jc w:val="both"/>
      </w:pPr>
      <w:r>
        <w:t xml:space="preserve">Освен </w:t>
      </w:r>
      <w:r>
        <w:rPr>
          <w:i/>
        </w:rPr>
        <w:t>органите за надзор на пазара</w:t>
      </w:r>
      <w:r>
        <w:t xml:space="preserve"> и другите страни, експерти могат да бъдат помолени да допринесат или да окажат съдействие за </w:t>
      </w:r>
      <w:r>
        <w:rPr>
          <w:i/>
        </w:rPr>
        <w:t>съвместната дейност</w:t>
      </w:r>
      <w:r>
        <w:t>.</w:t>
      </w:r>
      <w:r>
        <w:rPr>
          <w:rFonts w:asciiTheme="minorHAnsi" w:hAnsiTheme="minorHAnsi"/>
          <w:bCs/>
          <w:iCs/>
        </w:rPr>
        <w:t xml:space="preserve"> </w:t>
      </w:r>
      <w:r>
        <w:rPr>
          <w:rFonts w:asciiTheme="minorHAnsi" w:hAnsiTheme="minorHAnsi"/>
          <w:bCs/>
          <w:i/>
          <w:iCs/>
        </w:rPr>
        <w:t>Водещият орган за надзор на пазара</w:t>
      </w:r>
      <w:r>
        <w:rPr>
          <w:rFonts w:asciiTheme="minorHAnsi" w:hAnsiTheme="minorHAnsi"/>
          <w:bCs/>
          <w:iCs/>
        </w:rPr>
        <w:t xml:space="preserve"> гарантира, че техният принос се предоставя в съответствие с изискванията за обективност, независимост и безпристрастност.  </w:t>
      </w:r>
      <w:r>
        <w:t>Имената на</w:t>
      </w:r>
      <w:r>
        <w:rPr>
          <w:i/>
        </w:rPr>
        <w:t xml:space="preserve"> </w:t>
      </w:r>
      <w:r>
        <w:t>участващите</w:t>
      </w:r>
      <w:r>
        <w:rPr>
          <w:i/>
        </w:rPr>
        <w:t xml:space="preserve"> експерти</w:t>
      </w:r>
      <w:r>
        <w:t xml:space="preserve"> следва да бъдат упоменати в споразумението. </w:t>
      </w:r>
    </w:p>
    <w:p w:rsidR="00CA2A4F" w:rsidRPr="00233C54" w:rsidRDefault="00CA2A4F" w:rsidP="00AC287C">
      <w:pPr>
        <w:jc w:val="both"/>
      </w:pPr>
    </w:p>
    <w:p w:rsidR="00CA2A4F" w:rsidRPr="00233C54" w:rsidRDefault="00DA55E9" w:rsidP="00AC287C">
      <w:pPr>
        <w:jc w:val="both"/>
        <w:rPr>
          <w:rFonts w:asciiTheme="minorHAnsi" w:eastAsia="Calibri" w:hAnsiTheme="minorHAnsi" w:cstheme="minorHAnsi"/>
          <w:bCs/>
          <w:iCs/>
        </w:rPr>
      </w:pPr>
      <w:r>
        <w:rPr>
          <w:rFonts w:asciiTheme="minorHAnsi" w:hAnsiTheme="minorHAnsi"/>
          <w:bCs/>
          <w:iCs/>
        </w:rPr>
        <w:t xml:space="preserve">Следва да се отбележи, че „съвместните действия“, при които само </w:t>
      </w:r>
      <w:r>
        <w:rPr>
          <w:rFonts w:asciiTheme="minorHAnsi" w:hAnsiTheme="minorHAnsi"/>
          <w:bCs/>
          <w:i/>
          <w:iCs/>
        </w:rPr>
        <w:t>органи за надзор на пазара</w:t>
      </w:r>
      <w:r>
        <w:rPr>
          <w:rFonts w:asciiTheme="minorHAnsi" w:hAnsiTheme="minorHAnsi"/>
          <w:bCs/>
          <w:iCs/>
        </w:rPr>
        <w:t xml:space="preserve"> работят заедно в условията на </w:t>
      </w:r>
      <w:r>
        <w:t>новата законодателна рамка</w:t>
      </w:r>
      <w:r>
        <w:rPr>
          <w:rFonts w:asciiTheme="minorHAnsi" w:hAnsiTheme="minorHAnsi"/>
          <w:bCs/>
          <w:iCs/>
        </w:rPr>
        <w:t xml:space="preserve">, остават </w:t>
      </w:r>
      <w:r>
        <w:rPr>
          <w:rFonts w:asciiTheme="minorHAnsi" w:hAnsiTheme="minorHAnsi"/>
          <w:bCs/>
          <w:i/>
          <w:iCs/>
        </w:rPr>
        <w:t>извън обхвата</w:t>
      </w:r>
      <w:r>
        <w:rPr>
          <w:rFonts w:asciiTheme="minorHAnsi" w:hAnsiTheme="minorHAnsi"/>
          <w:bCs/>
          <w:iCs/>
        </w:rPr>
        <w:t xml:space="preserve"> на член 9 от Регламент (ЕС) 2019/1020 и поради това не попадат в обхвата на настоящите насоки. </w:t>
      </w:r>
    </w:p>
    <w:p w:rsidR="00CA2A4F" w:rsidRPr="00233C54" w:rsidRDefault="00CA2A4F" w:rsidP="00AC287C">
      <w:pPr>
        <w:jc w:val="both"/>
        <w:rPr>
          <w:rFonts w:asciiTheme="minorHAnsi" w:eastAsia="Calibri" w:hAnsiTheme="minorHAnsi" w:cstheme="minorHAnsi"/>
          <w:bCs/>
          <w:iCs/>
        </w:rPr>
      </w:pPr>
    </w:p>
    <w:p w:rsidR="004F7A5B" w:rsidRPr="00233C54" w:rsidRDefault="006F37BF" w:rsidP="00AC287C">
      <w:pPr>
        <w:jc w:val="both"/>
        <w:rPr>
          <w:rFonts w:asciiTheme="minorHAnsi" w:eastAsia="Calibri" w:hAnsiTheme="minorHAnsi" w:cstheme="minorHAnsi"/>
          <w:bCs/>
          <w:iCs/>
        </w:rPr>
      </w:pPr>
      <w:r>
        <w:rPr>
          <w:rFonts w:asciiTheme="minorHAnsi" w:hAnsiTheme="minorHAnsi"/>
          <w:bCs/>
          <w:iCs/>
        </w:rPr>
        <w:t xml:space="preserve">Следва също така да се отбележи, че всекидневното сътрудничество на органите за надзор на пазара и митническите органи при контрола на продукти или действия, попадащи в обхвата на членове 25—28 </w:t>
      </w:r>
      <w:r>
        <w:rPr>
          <w:rFonts w:asciiTheme="minorHAnsi" w:hAnsiTheme="minorHAnsi"/>
        </w:rPr>
        <w:t xml:space="preserve">от Регламент (ЕС) 2019/1020 </w:t>
      </w:r>
      <w:r>
        <w:rPr>
          <w:rFonts w:asciiTheme="minorHAnsi" w:hAnsiTheme="minorHAnsi"/>
          <w:bCs/>
          <w:iCs/>
        </w:rPr>
        <w:t xml:space="preserve">, не се счита за </w:t>
      </w:r>
      <w:r>
        <w:rPr>
          <w:rFonts w:asciiTheme="minorHAnsi" w:hAnsiTheme="minorHAnsi"/>
          <w:bCs/>
          <w:i/>
          <w:iCs/>
        </w:rPr>
        <w:t>съвместна дейност</w:t>
      </w:r>
      <w:r>
        <w:rPr>
          <w:rFonts w:asciiTheme="minorHAnsi" w:hAnsiTheme="minorHAnsi"/>
          <w:bCs/>
          <w:iCs/>
        </w:rPr>
        <w:t xml:space="preserve"> по смисъла на член 9 в настоящия документ с насоки. </w:t>
      </w:r>
    </w:p>
    <w:p w:rsidR="0080375A" w:rsidRPr="00233C54" w:rsidRDefault="0080375A" w:rsidP="00AC287C">
      <w:pPr>
        <w:pStyle w:val="Heading2"/>
      </w:pPr>
      <w:bookmarkStart w:id="8" w:name="_Toc74759704"/>
      <w:r>
        <w:t>Наименование на съвместната дейност</w:t>
      </w:r>
      <w:bookmarkEnd w:id="8"/>
      <w:r>
        <w:t xml:space="preserve"> </w:t>
      </w:r>
    </w:p>
    <w:p w:rsidR="0080375A" w:rsidRPr="00233C54" w:rsidRDefault="00044F3C" w:rsidP="00961E1C">
      <w:r>
        <w:rPr>
          <w:i/>
        </w:rPr>
        <w:t>Водещият орган за надзор на пазара</w:t>
      </w:r>
      <w:r>
        <w:t xml:space="preserve"> следва да избягва избора на наименование или акроним за съвместната дейност, които са идентични или сходни с регистрирана марка или име на домейн на дадена организация, особено ако тя развива дейност в същата област. Има безплатни инструменти за търсене, с които можете да проверите това.</w:t>
      </w:r>
    </w:p>
    <w:p w:rsidR="00774752" w:rsidRPr="00233C54" w:rsidRDefault="00774752" w:rsidP="00AC287C">
      <w:pPr>
        <w:pStyle w:val="Heading2"/>
      </w:pPr>
      <w:bookmarkStart w:id="9" w:name="_Toc74759705"/>
      <w:r>
        <w:t>Цел на съвместните дейности</w:t>
      </w:r>
      <w:bookmarkEnd w:id="9"/>
    </w:p>
    <w:p w:rsidR="003D5FCF" w:rsidRPr="00233C54" w:rsidRDefault="00F8299D" w:rsidP="00AC287C">
      <w:pPr>
        <w:jc w:val="both"/>
      </w:pPr>
      <w:r>
        <w:t xml:space="preserve">Съгласно Регламент (ЕС) 2019/1020 дадена </w:t>
      </w:r>
      <w:r>
        <w:rPr>
          <w:i/>
        </w:rPr>
        <w:t>съвместна дейност</w:t>
      </w:r>
      <w:r>
        <w:t xml:space="preserve"> може да има една или повече от следните цели:</w:t>
      </w:r>
    </w:p>
    <w:p w:rsidR="00E958DA" w:rsidRPr="00233C54" w:rsidRDefault="00876778" w:rsidP="00AC287C">
      <w:pPr>
        <w:pStyle w:val="ListParagraph"/>
        <w:numPr>
          <w:ilvl w:val="0"/>
          <w:numId w:val="17"/>
        </w:numPr>
        <w:jc w:val="both"/>
        <w:rPr>
          <w:strike/>
        </w:rPr>
      </w:pPr>
      <w:r>
        <w:rPr>
          <w:i/>
        </w:rPr>
        <w:t>Съвместната дейност с оглед насърчаване на постигането на съответствие</w:t>
      </w:r>
      <w:r>
        <w:t xml:space="preserve"> има за цел подобряване на познанията на икономическите оператори и/или крайните ползватели за законодателната рамка на ЕС и за специфичните изисквания към продуктите.</w:t>
      </w:r>
    </w:p>
    <w:p w:rsidR="00774752" w:rsidRPr="00233C54" w:rsidRDefault="00774752" w:rsidP="00AC287C">
      <w:pPr>
        <w:pStyle w:val="ListParagraph"/>
        <w:jc w:val="both"/>
        <w:rPr>
          <w:strike/>
        </w:rPr>
      </w:pPr>
    </w:p>
    <w:p w:rsidR="003D5FCF" w:rsidRPr="00233C54" w:rsidRDefault="003D5FCF" w:rsidP="00AC287C">
      <w:pPr>
        <w:pStyle w:val="ListParagraph"/>
        <w:numPr>
          <w:ilvl w:val="0"/>
          <w:numId w:val="17"/>
        </w:numPr>
        <w:jc w:val="both"/>
      </w:pPr>
      <w:r>
        <w:rPr>
          <w:i/>
        </w:rPr>
        <w:t>Съвместната дейност с оглед установяване на несъответствия</w:t>
      </w:r>
      <w:r>
        <w:t xml:space="preserve"> има за цел събиране и натрупване на информация за продукти, които не отговарят на изискванията на приложимото законодателство в областта на продуктите, и/или за действия на икономически оператори, които не изпълняват задълженията, предвидени в това законодателство.</w:t>
      </w:r>
    </w:p>
    <w:p w:rsidR="00774752" w:rsidRPr="00233C54" w:rsidRDefault="00774752" w:rsidP="00AC287C">
      <w:pPr>
        <w:pStyle w:val="ListParagraph"/>
        <w:jc w:val="both"/>
      </w:pPr>
    </w:p>
    <w:p w:rsidR="006B3682" w:rsidRPr="00233C54" w:rsidRDefault="00833D77" w:rsidP="00AC287C">
      <w:pPr>
        <w:pStyle w:val="ListParagraph"/>
        <w:numPr>
          <w:ilvl w:val="0"/>
          <w:numId w:val="17"/>
        </w:numPr>
        <w:jc w:val="both"/>
      </w:pPr>
      <w:r>
        <w:rPr>
          <w:i/>
        </w:rPr>
        <w:t>Съвместната дейност с оглед повишаване на осведомеността</w:t>
      </w:r>
      <w:r>
        <w:t xml:space="preserve"> има за цел предоставяне на информация за високите нива на несъответствие по отношение на:</w:t>
      </w:r>
    </w:p>
    <w:p w:rsidR="006B3682" w:rsidRPr="00233C54" w:rsidRDefault="006B3682" w:rsidP="006B3682">
      <w:pPr>
        <w:pStyle w:val="ListParagraph"/>
      </w:pPr>
    </w:p>
    <w:p w:rsidR="00DF79B3" w:rsidRPr="00233C54" w:rsidRDefault="008F1D7C" w:rsidP="006B3682">
      <w:pPr>
        <w:pStyle w:val="ListParagraph"/>
        <w:numPr>
          <w:ilvl w:val="1"/>
          <w:numId w:val="17"/>
        </w:numPr>
        <w:jc w:val="both"/>
      </w:pPr>
      <w:r>
        <w:t>определени категории продукти, особено в случаите, когато съществуват и (високи) рискове за здравето и безопасността (напр. информиране на крайните ползватели за продукти, които не съответстват на изискванията, или за продукти, които носят риск);</w:t>
      </w:r>
    </w:p>
    <w:p w:rsidR="006F37BF" w:rsidRPr="00233C54" w:rsidRDefault="006F37BF" w:rsidP="006B3682">
      <w:pPr>
        <w:pStyle w:val="ListParagraph"/>
        <w:numPr>
          <w:ilvl w:val="1"/>
          <w:numId w:val="17"/>
        </w:numPr>
        <w:jc w:val="both"/>
      </w:pPr>
      <w:r>
        <w:t>определени категории продукти, които са нови на пазара;</w:t>
      </w:r>
    </w:p>
    <w:p w:rsidR="006B3682" w:rsidRPr="00233C54" w:rsidRDefault="006B3682" w:rsidP="006B3682">
      <w:pPr>
        <w:pStyle w:val="ListParagraph"/>
        <w:numPr>
          <w:ilvl w:val="1"/>
          <w:numId w:val="17"/>
        </w:numPr>
        <w:jc w:val="both"/>
      </w:pPr>
      <w:r>
        <w:t>изискванията във връзка с дейностите/задълженията на икономическите оператори, както и на органите за оценяване на съответствието, които могат да доведат до нарушаване на конкуренцията.</w:t>
      </w:r>
    </w:p>
    <w:p w:rsidR="00DF79B3" w:rsidRPr="00233C54" w:rsidRDefault="00DF79B3" w:rsidP="00AC287C">
      <w:pPr>
        <w:pStyle w:val="ListParagraph"/>
        <w:jc w:val="both"/>
        <w:rPr>
          <w:highlight w:val="yellow"/>
        </w:rPr>
      </w:pPr>
    </w:p>
    <w:p w:rsidR="00C419EB" w:rsidRPr="00233C54" w:rsidRDefault="00522855" w:rsidP="00AC287C">
      <w:pPr>
        <w:pStyle w:val="ListParagraph"/>
        <w:numPr>
          <w:ilvl w:val="0"/>
          <w:numId w:val="13"/>
        </w:numPr>
        <w:jc w:val="both"/>
      </w:pPr>
      <w:r>
        <w:rPr>
          <w:i/>
        </w:rPr>
        <w:t>Съвместната дейност за предоставяне на насоки във връзка със законодателството на Съюза за хармонизация</w:t>
      </w:r>
      <w:r>
        <w:t xml:space="preserve">  има за цел да допринесе за определяне на приоритетите за надзор на пазара (т.е. кои категории продукти се нуждаят от специално внимание). </w:t>
      </w:r>
    </w:p>
    <w:p w:rsidR="00AA3181" w:rsidRPr="00233C54" w:rsidRDefault="00C419EB" w:rsidP="00AC287C">
      <w:pPr>
        <w:jc w:val="both"/>
        <w:rPr>
          <w:rFonts w:asciiTheme="minorHAnsi" w:eastAsia="Calibri" w:hAnsiTheme="minorHAnsi" w:cstheme="minorHAnsi"/>
          <w:bCs/>
          <w:iCs/>
        </w:rPr>
      </w:pPr>
      <w:r>
        <w:rPr>
          <w:rFonts w:asciiTheme="minorHAnsi" w:hAnsiTheme="minorHAnsi"/>
          <w:bCs/>
          <w:iCs/>
        </w:rPr>
        <w:t xml:space="preserve">Целите на </w:t>
      </w:r>
      <w:r>
        <w:rPr>
          <w:rFonts w:asciiTheme="minorHAnsi" w:hAnsiTheme="minorHAnsi"/>
          <w:bCs/>
          <w:i/>
          <w:iCs/>
        </w:rPr>
        <w:t>съвместната дейност</w:t>
      </w:r>
      <w:r>
        <w:rPr>
          <w:rFonts w:asciiTheme="minorHAnsi" w:hAnsiTheme="minorHAnsi"/>
          <w:bCs/>
          <w:iCs/>
        </w:rPr>
        <w:t xml:space="preserve"> се мотивират в споразумението. </w:t>
      </w:r>
    </w:p>
    <w:p w:rsidR="00774752" w:rsidRPr="00233C54" w:rsidRDefault="00774752" w:rsidP="00AC287C">
      <w:pPr>
        <w:pStyle w:val="Heading2"/>
      </w:pPr>
      <w:bookmarkStart w:id="10" w:name="_Toc74759706"/>
      <w:r>
        <w:t xml:space="preserve">Мотивация и обосновка на </w:t>
      </w:r>
      <w:r>
        <w:rPr>
          <w:i/>
        </w:rPr>
        <w:t>съвместната дейност</w:t>
      </w:r>
      <w:bookmarkEnd w:id="10"/>
    </w:p>
    <w:p w:rsidR="00774752" w:rsidRPr="00233C54" w:rsidRDefault="00774752" w:rsidP="00AC287C">
      <w:pPr>
        <w:jc w:val="both"/>
        <w:rPr>
          <w:rFonts w:asciiTheme="minorHAnsi" w:eastAsia="Calibri" w:hAnsiTheme="minorHAnsi" w:cstheme="minorHAnsi"/>
          <w:bCs/>
          <w:iCs/>
        </w:rPr>
      </w:pPr>
      <w:r>
        <w:t xml:space="preserve">Съществуват няколко възможности за предприемане на </w:t>
      </w:r>
      <w:r>
        <w:rPr>
          <w:i/>
        </w:rPr>
        <w:t>инициатива</w:t>
      </w:r>
      <w:r>
        <w:t xml:space="preserve"> за започване на </w:t>
      </w:r>
      <w:r>
        <w:rPr>
          <w:i/>
        </w:rPr>
        <w:t>съвместна дейност</w:t>
      </w:r>
      <w:r>
        <w:t xml:space="preserve">. Така че, наред с </w:t>
      </w:r>
      <w:r>
        <w:rPr>
          <w:rFonts w:asciiTheme="minorHAnsi" w:hAnsiTheme="minorHAnsi"/>
          <w:bCs/>
          <w:iCs/>
        </w:rPr>
        <w:t xml:space="preserve">целта на </w:t>
      </w:r>
      <w:r>
        <w:rPr>
          <w:rFonts w:asciiTheme="minorHAnsi" w:hAnsiTheme="minorHAnsi"/>
          <w:bCs/>
          <w:i/>
          <w:iCs/>
        </w:rPr>
        <w:t>съвместната дейност</w:t>
      </w:r>
      <w:r>
        <w:t>, обосновката и мотивировката трябва да са част от споразумението.</w:t>
      </w:r>
      <w:r>
        <w:rPr>
          <w:rFonts w:asciiTheme="minorHAnsi" w:hAnsiTheme="minorHAnsi"/>
          <w:bCs/>
          <w:iCs/>
        </w:rPr>
        <w:t xml:space="preserve"> </w:t>
      </w:r>
      <w:r>
        <w:t xml:space="preserve">Може да се използва </w:t>
      </w:r>
      <w:r>
        <w:rPr>
          <w:rFonts w:asciiTheme="minorHAnsi" w:hAnsiTheme="minorHAnsi"/>
          <w:bCs/>
          <w:iCs/>
        </w:rPr>
        <w:t>допълнителна</w:t>
      </w:r>
      <w:r>
        <w:t xml:space="preserve"> информация, за да се посочи и докаже навременността и/или важността на </w:t>
      </w:r>
      <w:r>
        <w:rPr>
          <w:i/>
        </w:rPr>
        <w:t>съвместната дейност</w:t>
      </w:r>
      <w:r>
        <w:t>, което ще бъде упоменато в споразумението.</w:t>
      </w:r>
    </w:p>
    <w:p w:rsidR="00FF68E2" w:rsidRPr="00233C54" w:rsidRDefault="00774752" w:rsidP="00AC287C">
      <w:pPr>
        <w:jc w:val="both"/>
      </w:pPr>
      <w:r>
        <w:t xml:space="preserve">Например обосновката и мотивировката за </w:t>
      </w:r>
      <w:r>
        <w:rPr>
          <w:i/>
        </w:rPr>
        <w:t>съвместна дейност</w:t>
      </w:r>
      <w:r>
        <w:t xml:space="preserve"> с цел </w:t>
      </w:r>
      <w:r>
        <w:rPr>
          <w:rFonts w:asciiTheme="minorHAnsi" w:hAnsiTheme="minorHAnsi"/>
          <w:bCs/>
          <w:iCs/>
        </w:rPr>
        <w:t>установяване на несъответствия</w:t>
      </w:r>
      <w:r>
        <w:t xml:space="preserve"> могат да се основават на доклади за намеса, жалби от икономически оператори, крайни ползватели, информация от нотифицирани органи, данни от уведомления на Safety Gate (система за бърз обмен на информация за опасни нехранителни стоки), предходни кампании за надзор на пазара или съвместни действия, информация и резултати от </w:t>
      </w:r>
      <w:r>
        <w:rPr>
          <w:i/>
        </w:rPr>
        <w:t>органи за надзор на пазара</w:t>
      </w:r>
      <w:r>
        <w:t xml:space="preserve"> чрез групи за административно сътрудничество (ADCO групи), информация от митнически органи, политически програми на държави членки, приоритети на Европейската комисия, резултати от оценка на риска в държави членки,</w:t>
      </w:r>
      <w:r>
        <w:rPr>
          <w:color w:val="FF0000"/>
        </w:rPr>
        <w:t xml:space="preserve"> </w:t>
      </w:r>
      <w:r>
        <w:t xml:space="preserve">събрани данни в различни държави в областта на надзора на пазара по отношение на продуктите и др.  </w:t>
      </w:r>
    </w:p>
    <w:p w:rsidR="00774752" w:rsidRPr="00233C54" w:rsidRDefault="00774752" w:rsidP="00AC287C">
      <w:pPr>
        <w:pStyle w:val="Heading2"/>
      </w:pPr>
      <w:bookmarkStart w:id="11" w:name="_Toc74759707"/>
      <w:r>
        <w:t>Обхват на съвместната дейност</w:t>
      </w:r>
      <w:bookmarkEnd w:id="11"/>
    </w:p>
    <w:p w:rsidR="00774752" w:rsidRPr="00233C54" w:rsidRDefault="00774752" w:rsidP="00AC287C">
      <w:pPr>
        <w:jc w:val="both"/>
      </w:pPr>
      <w:r>
        <w:t xml:space="preserve">Обхватът на </w:t>
      </w:r>
      <w:r>
        <w:rPr>
          <w:i/>
        </w:rPr>
        <w:t>съвместната дейност</w:t>
      </w:r>
      <w:r>
        <w:t xml:space="preserve"> определя продуктите и темите, които ще бъдат обхванати от </w:t>
      </w:r>
      <w:r>
        <w:rPr>
          <w:i/>
        </w:rPr>
        <w:t>съвместната дейност</w:t>
      </w:r>
      <w:r>
        <w:t>.  Всяка промяна в обхвата може потенциално да означава допълнителни рискове по отношение на нелоялна конкуренция, обективност, независимост и безпристрастност.</w:t>
      </w:r>
      <w:r>
        <w:rPr>
          <w:rFonts w:ascii="Gentium Basic" w:hAnsi="Gentium Basic"/>
          <w:sz w:val="30"/>
          <w:szCs w:val="30"/>
        </w:rPr>
        <w:t xml:space="preserve"> </w:t>
      </w:r>
      <w:r>
        <w:t xml:space="preserve">Ако е приложимо, </w:t>
      </w:r>
      <w:r>
        <w:rPr>
          <w:i/>
        </w:rPr>
        <w:t>страните</w:t>
      </w:r>
      <w:r>
        <w:t xml:space="preserve"> следва да спазват следните принципи: </w:t>
      </w:r>
    </w:p>
    <w:p w:rsidR="004F5723" w:rsidRPr="00233C54" w:rsidRDefault="00774752" w:rsidP="00AC287C">
      <w:pPr>
        <w:pStyle w:val="ListParagraph"/>
        <w:numPr>
          <w:ilvl w:val="0"/>
          <w:numId w:val="11"/>
        </w:numPr>
        <w:jc w:val="both"/>
      </w:pPr>
      <w:r>
        <w:t xml:space="preserve">следва да се насочат към определена група продукти, при която се очаква процентът на съответствие да бъде висок или при която несъответствието води до (високи) рискове поради други причини (напр. нови продукти с неизвестен риск, които излизат на пазара); </w:t>
      </w:r>
    </w:p>
    <w:p w:rsidR="00CF3671" w:rsidRPr="00233C54" w:rsidRDefault="00CF3671" w:rsidP="00AC287C">
      <w:pPr>
        <w:pStyle w:val="ListParagraph"/>
        <w:numPr>
          <w:ilvl w:val="0"/>
          <w:numId w:val="11"/>
        </w:numPr>
        <w:jc w:val="both"/>
      </w:pPr>
      <w:r>
        <w:t>изборът на група продукти и на етапи от веригата на доставки на продукти следва да обхваща достатъчно голяма част от пазара, за да се гарантират обективността, независимостта и безпристрастността;</w:t>
      </w:r>
    </w:p>
    <w:p w:rsidR="00CF3671" w:rsidRPr="00233C54" w:rsidRDefault="00CF3671" w:rsidP="00AC287C">
      <w:pPr>
        <w:pStyle w:val="ListParagraph"/>
        <w:numPr>
          <w:ilvl w:val="0"/>
          <w:numId w:val="11"/>
        </w:numPr>
        <w:jc w:val="both"/>
      </w:pPr>
      <w:r>
        <w:t xml:space="preserve">ако някои от </w:t>
      </w:r>
      <w:r>
        <w:rPr>
          <w:i/>
        </w:rPr>
        <w:t>страните</w:t>
      </w:r>
      <w:r>
        <w:t xml:space="preserve"> представляват икономически оператори, техните продукти следва да бъдат включени в обхвата на </w:t>
      </w:r>
      <w:r>
        <w:rPr>
          <w:i/>
        </w:rPr>
        <w:t>съвместната дейност</w:t>
      </w:r>
      <w:r>
        <w:t xml:space="preserve">; </w:t>
      </w:r>
    </w:p>
    <w:p w:rsidR="007B0701" w:rsidRPr="00233C54" w:rsidRDefault="00774752" w:rsidP="00AC287C">
      <w:pPr>
        <w:pStyle w:val="ListParagraph"/>
        <w:numPr>
          <w:ilvl w:val="0"/>
          <w:numId w:val="11"/>
        </w:numPr>
        <w:jc w:val="both"/>
      </w:pPr>
      <w:r>
        <w:t>следва да бъде обхваната определена група от крайни ползватели, които не са достатъчно осведомени за последствията от използването на продукти, които не отговарят на изискванията.</w:t>
      </w:r>
    </w:p>
    <w:p w:rsidR="00C6305E" w:rsidRPr="00233C54" w:rsidRDefault="00C6305E" w:rsidP="00C6305E">
      <w:pPr>
        <w:pStyle w:val="ListParagraph"/>
        <w:ind w:left="1080"/>
        <w:jc w:val="both"/>
      </w:pPr>
    </w:p>
    <w:p w:rsidR="002D5275" w:rsidRPr="00233C54" w:rsidRDefault="00774752" w:rsidP="00AC287C">
      <w:pPr>
        <w:jc w:val="both"/>
      </w:pPr>
      <w:r>
        <w:t xml:space="preserve">Обхватът се включва в </w:t>
      </w:r>
      <w:r>
        <w:rPr>
          <w:i/>
        </w:rPr>
        <w:t>споразумението за съвместна дейност</w:t>
      </w:r>
      <w:r>
        <w:t>.</w:t>
      </w:r>
    </w:p>
    <w:p w:rsidR="00DE2289" w:rsidRPr="00233C54" w:rsidRDefault="007B0701" w:rsidP="00AC287C">
      <w:pPr>
        <w:pStyle w:val="Heading2"/>
      </w:pPr>
      <w:bookmarkStart w:id="12" w:name="_Toc74759708"/>
      <w:r>
        <w:t>Участници в публични кампании</w:t>
      </w:r>
      <w:bookmarkEnd w:id="12"/>
    </w:p>
    <w:p w:rsidR="00FA418F" w:rsidRPr="00233C54" w:rsidRDefault="00DE2289" w:rsidP="00AC287C">
      <w:pPr>
        <w:jc w:val="both"/>
      </w:pPr>
      <w:r>
        <w:rPr>
          <w:i/>
        </w:rPr>
        <w:t>Съвместните дейности</w:t>
      </w:r>
      <w:r>
        <w:t xml:space="preserve">, включващи публични кампании, насочени към потребителите, са отворени за всички видове заинтересовани страни. </w:t>
      </w:r>
      <w:r>
        <w:rPr>
          <w:i/>
        </w:rPr>
        <w:t>Съвместните дейности</w:t>
      </w:r>
      <w:r>
        <w:t>, включващи обучение или образоване по отношение на рисковете, свързани с продуктите, и/или съответствието, са отворени за всички организации от същия продуктов сектор.</w:t>
      </w:r>
    </w:p>
    <w:p w:rsidR="00FA418F" w:rsidRPr="00233C54" w:rsidRDefault="00FA418F" w:rsidP="00AC287C">
      <w:pPr>
        <w:pStyle w:val="Heading2"/>
      </w:pPr>
      <w:bookmarkStart w:id="13" w:name="_Toc74759709"/>
      <w:r>
        <w:t>Насоки</w:t>
      </w:r>
      <w:bookmarkEnd w:id="13"/>
    </w:p>
    <w:p w:rsidR="00FA418F" w:rsidRPr="00233C54" w:rsidRDefault="00FA418F" w:rsidP="00AC287C">
      <w:pPr>
        <w:jc w:val="both"/>
      </w:pPr>
      <w:r>
        <w:t xml:space="preserve">При осъществяването на </w:t>
      </w:r>
      <w:r>
        <w:rPr>
          <w:i/>
        </w:rPr>
        <w:t>съвместна дейност</w:t>
      </w:r>
      <w:r>
        <w:t xml:space="preserve"> следва да се спазват официалните насоки, като например Синьото ръководство и ръководствата за прилагането на относимата нормативна уредба на ЕС в областта на продуктите</w:t>
      </w:r>
      <w:r>
        <w:rPr>
          <w:rStyle w:val="FootnoteReference"/>
        </w:rPr>
        <w:footnoteReference w:id="2"/>
      </w:r>
      <w:r>
        <w:t>, ръководствата на Европейската мрежа за съответствие на продуктите и ръководствата на съответните ADCO групи</w:t>
      </w:r>
      <w:r>
        <w:rPr>
          <w:rStyle w:val="FootnoteReference"/>
        </w:rPr>
        <w:footnoteReference w:id="3"/>
      </w:r>
      <w:r>
        <w:t xml:space="preserve">. </w:t>
      </w:r>
    </w:p>
    <w:p w:rsidR="00C34C2A" w:rsidRPr="00233C54" w:rsidRDefault="00C34C2A" w:rsidP="00AC287C">
      <w:pPr>
        <w:pStyle w:val="Heading2"/>
      </w:pPr>
      <w:bookmarkStart w:id="14" w:name="_Toc74759710"/>
      <w:bookmarkStart w:id="15" w:name="_Hlk44519647"/>
      <w:r>
        <w:t>Допълнителни условия за съвместните дейности за установяване на несъответствие</w:t>
      </w:r>
      <w:bookmarkEnd w:id="14"/>
    </w:p>
    <w:bookmarkEnd w:id="15"/>
    <w:p w:rsidR="00C34C2A" w:rsidRPr="00233C54" w:rsidRDefault="00C34C2A" w:rsidP="00AC287C">
      <w:pPr>
        <w:jc w:val="both"/>
      </w:pPr>
      <w:r>
        <w:t xml:space="preserve">По отношение на </w:t>
      </w:r>
      <w:r>
        <w:rPr>
          <w:i/>
        </w:rPr>
        <w:t>съвместните дейности</w:t>
      </w:r>
      <w:r>
        <w:t xml:space="preserve">, целящи установяване на несъответствие, в споразумението за </w:t>
      </w:r>
      <w:r>
        <w:rPr>
          <w:i/>
        </w:rPr>
        <w:t>съвместна дейност</w:t>
      </w:r>
      <w:r>
        <w:t xml:space="preserve"> (вж. образеца в приложението) се предоставя по-специално следната допълнителна  информация:</w:t>
      </w:r>
    </w:p>
    <w:p w:rsidR="00C34C2A" w:rsidRPr="00233C54" w:rsidRDefault="00C34C2A" w:rsidP="00AC287C">
      <w:pPr>
        <w:pStyle w:val="Heading3"/>
        <w:ind w:left="-142" w:firstLine="142"/>
        <w:jc w:val="both"/>
      </w:pPr>
      <w:bookmarkStart w:id="16" w:name="_Toc74759711"/>
      <w:r>
        <w:t>Вземане на проби</w:t>
      </w:r>
      <w:bookmarkEnd w:id="16"/>
      <w:r>
        <w:t xml:space="preserve"> </w:t>
      </w:r>
    </w:p>
    <w:p w:rsidR="00C34C2A" w:rsidRPr="00233C54" w:rsidRDefault="009261D0" w:rsidP="00AF2DB5">
      <w:pPr>
        <w:pStyle w:val="CommentText"/>
        <w:jc w:val="both"/>
      </w:pPr>
      <w:r>
        <w:rPr>
          <w:sz w:val="22"/>
          <w:szCs w:val="22"/>
        </w:rPr>
        <w:t xml:space="preserve">Необходимо е да се докаже, че вземането на проби се извършва в съответствие с принципите на обективността. След това се препоръчва да се вземат минимален брой проби за контрол от всеки продукт (представителни за контрола). </w:t>
      </w:r>
      <w:r>
        <w:rPr>
          <w:iCs/>
          <w:sz w:val="22"/>
          <w:szCs w:val="22"/>
        </w:rPr>
        <w:t xml:space="preserve">Препоръчва се да се вземат минимален брой проби, но „броят на пробите, изисквани от органите за надзор на пазара, зависи от сложността на продукта и необходимите стъпки за неговото изпитване. Причината за това е, че продуктът може да бъде унищожен при някои изпитвания и ако се налагат допълнителни изпитвания, ще бъдат необходими още проби от продукта“ (Ръководство на ЕС — Добри практики за надзор на пазара, 2017 г., стр. 11). </w:t>
      </w:r>
      <w:r>
        <w:t xml:space="preserve"> </w:t>
      </w:r>
      <w:r>
        <w:rPr>
          <w:sz w:val="22"/>
          <w:szCs w:val="22"/>
        </w:rPr>
        <w:t xml:space="preserve">По отношение на вземането на проби, в общия случай се препоръчва да се вземат проби от горните звена на веригата на доставките на продукти (например от производител, вносител, търговец на едро или доставчик на услуги за обработка на поръчки) и от различни канали за дистрибуция (например онлайн продажби). В някои случаи обаче, особено ако продуктите не са налични по друг начин, вземането на проби може да включва и по-ниските етапи от веригата на доставките. „Изключително важно е пробите да се обработват правилно, да бъдат запечатани и обезопасени по правилен начин и да бъдат напълно проследими на всеки един етап — от вземането на пробата до нейното изпитване. Всички печати за защита, поставени на пробите, следва да бъдат свалени и впоследствие описани едва при започване на изпитването.“ (Добри практики за надзор на пазара, 2017 г., стр. 12.) </w:t>
      </w:r>
    </w:p>
    <w:p w:rsidR="00C34C2A" w:rsidRPr="00233C54" w:rsidRDefault="00C34C2A" w:rsidP="00AC287C">
      <w:pPr>
        <w:pStyle w:val="Heading3"/>
        <w:jc w:val="both"/>
      </w:pPr>
      <w:bookmarkStart w:id="17" w:name="_Toc74759712"/>
      <w:r>
        <w:t>Физическо изпитване</w:t>
      </w:r>
      <w:bookmarkEnd w:id="17"/>
    </w:p>
    <w:p w:rsidR="00A31775" w:rsidRPr="00233C54" w:rsidRDefault="00C34C2A" w:rsidP="00AC287C">
      <w:pPr>
        <w:spacing w:line="259" w:lineRule="auto"/>
        <w:jc w:val="both"/>
      </w:pPr>
      <w:r>
        <w:t xml:space="preserve">Следва да се използват структури за изпитвания (за предпочитане акредитирани), като например структурите на Съюза за извършване на изпитвания, определени от Европейската комисия (ЕК) в съответствие с член 21 от Регламент (ЕС) 2019/1020. Могат да се използват и публични акредитирани лаборатории за изпитване в дадена държава членка. Във всеки случай </w:t>
      </w:r>
      <w:r>
        <w:lastRenderedPageBreak/>
        <w:t xml:space="preserve">използваните структури за изпитвания следва да отговарят на изискванията, съдържащи се в приложимата нормативна уредба за продуктите.  Разходите за тестване могат да бъдат поделени между участващите страни. </w:t>
      </w:r>
    </w:p>
    <w:p w:rsidR="00C34C2A" w:rsidRPr="00233C54" w:rsidRDefault="002336D4" w:rsidP="00AF2DB5">
      <w:pPr>
        <w:spacing w:line="259" w:lineRule="auto"/>
        <w:jc w:val="both"/>
      </w:pPr>
      <w:r>
        <w:t xml:space="preserve">По време на процеса на изпитване се използват хармонизирани стандарти с позоваване на </w:t>
      </w:r>
      <w:r>
        <w:rPr>
          <w:i/>
          <w:iCs/>
        </w:rPr>
        <w:t>Официален вестник на Европейския съюз</w:t>
      </w:r>
      <w:r>
        <w:t xml:space="preserve"> (</w:t>
      </w:r>
      <w:r>
        <w:rPr>
          <w:i/>
          <w:iCs/>
        </w:rPr>
        <w:t>Официален вестник</w:t>
      </w:r>
      <w:r>
        <w:t>) и/или свързани с конкретния сектор технически документи, спецификации, изисквания и стандарти</w:t>
      </w:r>
      <w:r>
        <w:rPr>
          <w:rStyle w:val="FootnoteReference"/>
        </w:rPr>
        <w:footnoteReference w:id="4"/>
      </w:r>
      <w:r>
        <w:t>, нормативни документи</w:t>
      </w:r>
      <w:r>
        <w:rPr>
          <w:rStyle w:val="FootnoteReference"/>
        </w:rPr>
        <w:footnoteReference w:id="5"/>
      </w:r>
      <w:r>
        <w:t>, както и насоки, публикувани от Европейската комисия на нейния уебсайт. Тези стандарти/спецификации следва да се посочват винаги, когато са налични.</w:t>
      </w:r>
    </w:p>
    <w:p w:rsidR="00C34C2A" w:rsidRPr="00233C54" w:rsidRDefault="00255E03" w:rsidP="00AC287C">
      <w:pPr>
        <w:pStyle w:val="Heading3"/>
        <w:jc w:val="both"/>
      </w:pPr>
      <w:bookmarkStart w:id="18" w:name="_Toc74759713"/>
      <w:r>
        <w:t>Проверка на административните изисквания</w:t>
      </w:r>
      <w:bookmarkEnd w:id="18"/>
    </w:p>
    <w:p w:rsidR="00FA418F" w:rsidRPr="00233C54" w:rsidRDefault="00255E03" w:rsidP="00AC287C">
      <w:pPr>
        <w:jc w:val="both"/>
        <w:rPr>
          <w:i/>
        </w:rPr>
      </w:pPr>
      <w:r>
        <w:t xml:space="preserve">Ако продуктите трябва да бъдат проверени за съответствие с административни изисквания или задължения, като например маркировка „СЕ“, декларация за съответствие с изискванията на ЕС, изисквано етикетиране, изисквания за проследимост, инструкции и информация за ползватели и монтажници, ограничения за ползватели в определени държави и др., те следва да бъдат проверени или от самия </w:t>
      </w:r>
      <w:r>
        <w:rPr>
          <w:i/>
        </w:rPr>
        <w:t>орган за надзор на пазара</w:t>
      </w:r>
      <w:r>
        <w:t xml:space="preserve">, или от структурата за изпитвания, или от друга трета страна, която не участва в производството на тези продукти и е независима от другите </w:t>
      </w:r>
      <w:r>
        <w:rPr>
          <w:i/>
        </w:rPr>
        <w:t>организации</w:t>
      </w:r>
      <w:r>
        <w:t xml:space="preserve">, подписали споразумението; при условие че </w:t>
      </w:r>
      <w:r>
        <w:rPr>
          <w:i/>
        </w:rPr>
        <w:t>органът за надзор на пазара</w:t>
      </w:r>
      <w:r>
        <w:t xml:space="preserve"> се съгласи с тази процедура и одобри констатациите като свои. </w:t>
      </w:r>
    </w:p>
    <w:p w:rsidR="00793C3E" w:rsidRPr="00233C54" w:rsidRDefault="00793C3E" w:rsidP="00AC287C">
      <w:pPr>
        <w:pStyle w:val="Heading1"/>
        <w:jc w:val="both"/>
      </w:pPr>
      <w:bookmarkStart w:id="19" w:name="_Toc74759714"/>
      <w:r>
        <w:t>Обективност, независимост и безпристрастност</w:t>
      </w:r>
      <w:bookmarkEnd w:id="19"/>
    </w:p>
    <w:p w:rsidR="00793C3E" w:rsidRPr="00233C54" w:rsidRDefault="00DD7A9A" w:rsidP="00AC287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rPr>
      </w:pPr>
      <w:r>
        <w:rPr>
          <w:i/>
        </w:rPr>
        <w:t>Член 9, параграф 2.   Съответният орган за надзор на пазара и страните, посочени в параграф 1, гарантират, че споразумението за съвместни дейности не води до нелоялна конкуренция между икономическите оператори и не засяга обективността, независимостта и безпристрастността на страните.</w:t>
      </w:r>
    </w:p>
    <w:p w:rsidR="00AA3181" w:rsidRPr="00233C54" w:rsidRDefault="00AA3181" w:rsidP="00AC287C">
      <w:pPr>
        <w:jc w:val="both"/>
      </w:pPr>
      <w:r>
        <w:t xml:space="preserve">За да се гарантира, че </w:t>
      </w:r>
      <w:r>
        <w:rPr>
          <w:i/>
        </w:rPr>
        <w:t>съвместната дейност</w:t>
      </w:r>
      <w:r>
        <w:t xml:space="preserve"> не води до нелоялна конкуренция между икономическите оператори и не засяга обективността, независимостта и безпристрастността, страните постигат споразумение за третиране на гореспоменатите въпроси. Това споразумение се оповестява публично (вж. точка 6 от настоящия документ), за да се осигури прозрачност в подкрепа на обективността, независимостта и безпристрастността на </w:t>
      </w:r>
      <w:r>
        <w:rPr>
          <w:i/>
          <w:iCs/>
        </w:rPr>
        <w:t xml:space="preserve">съвместната дейност </w:t>
      </w:r>
      <w:r>
        <w:t xml:space="preserve">, инициирана от </w:t>
      </w:r>
      <w:r>
        <w:rPr>
          <w:i/>
          <w:iCs/>
        </w:rPr>
        <w:t>споразумението за съвместна дейност</w:t>
      </w:r>
      <w:r>
        <w:t xml:space="preserve">. </w:t>
      </w:r>
    </w:p>
    <w:p w:rsidR="00C20B57" w:rsidRPr="00233C54" w:rsidRDefault="00BD0B14" w:rsidP="00AC287C">
      <w:pPr>
        <w:pStyle w:val="Heading2"/>
      </w:pPr>
      <w:bookmarkStart w:id="20" w:name="_Toc74759715"/>
      <w:r>
        <w:t>Представител на целевия сектор</w:t>
      </w:r>
      <w:bookmarkEnd w:id="20"/>
      <w:r>
        <w:t xml:space="preserve"> </w:t>
      </w:r>
    </w:p>
    <w:p w:rsidR="00086B56" w:rsidRPr="00233C54" w:rsidRDefault="00086B56" w:rsidP="00AC287C">
      <w:pPr>
        <w:jc w:val="both"/>
      </w:pPr>
      <w:r>
        <w:t xml:space="preserve">Освен това е необходимо да се докаже, че </w:t>
      </w:r>
      <w:r>
        <w:rPr>
          <w:i/>
        </w:rPr>
        <w:t>организацията</w:t>
      </w:r>
      <w:r>
        <w:t xml:space="preserve">, която представлява професионалистите, е представителна за значителна група от всички икономически оператори, участващи в целевия(те) сектор(и). За тази цел се препоръчва да се определи степента на представителност на целевия сектор, който участва в </w:t>
      </w:r>
      <w:r>
        <w:rPr>
          <w:i/>
        </w:rPr>
        <w:t>съвместната дейност</w:t>
      </w:r>
      <w:r>
        <w:t xml:space="preserve">, и да се включи тази степен на представителност в </w:t>
      </w:r>
      <w:r>
        <w:rPr>
          <w:i/>
        </w:rPr>
        <w:t>споразумението за съвместна дейност</w:t>
      </w:r>
      <w:r>
        <w:t xml:space="preserve">.  Тази степен може да се основава на следната информация за всяка организация, която също следва да бъде включена в </w:t>
      </w:r>
      <w:r>
        <w:rPr>
          <w:i/>
        </w:rPr>
        <w:t xml:space="preserve">споразумението за съвместна дейност </w:t>
      </w:r>
      <w:r>
        <w:t>(ако е от значение):</w:t>
      </w:r>
    </w:p>
    <w:p w:rsidR="00086B56" w:rsidRPr="00233C54" w:rsidRDefault="00086B56" w:rsidP="00AC287C">
      <w:pPr>
        <w:pStyle w:val="ListParagraph"/>
        <w:numPr>
          <w:ilvl w:val="0"/>
          <w:numId w:val="11"/>
        </w:numPr>
        <w:jc w:val="both"/>
        <w:rPr>
          <w:rFonts w:asciiTheme="minorHAnsi" w:hAnsiTheme="minorHAnsi" w:cstheme="minorHAnsi"/>
        </w:rPr>
      </w:pPr>
      <w:r>
        <w:rPr>
          <w:rFonts w:asciiTheme="minorHAnsi" w:hAnsiTheme="minorHAnsi"/>
        </w:rPr>
        <w:t>броя на членовете, които всяка организация представлява;</w:t>
      </w:r>
    </w:p>
    <w:p w:rsidR="00086B56" w:rsidRPr="00233C54" w:rsidRDefault="00086B56" w:rsidP="00AC287C">
      <w:pPr>
        <w:pStyle w:val="ListParagraph"/>
        <w:numPr>
          <w:ilvl w:val="0"/>
          <w:numId w:val="11"/>
        </w:numPr>
        <w:jc w:val="both"/>
        <w:rPr>
          <w:rFonts w:asciiTheme="minorHAnsi" w:hAnsiTheme="minorHAnsi" w:cstheme="minorHAnsi"/>
        </w:rPr>
      </w:pPr>
      <w:r>
        <w:rPr>
          <w:rFonts w:asciiTheme="minorHAnsi" w:hAnsiTheme="minorHAnsi"/>
        </w:rPr>
        <w:lastRenderedPageBreak/>
        <w:t>многообразието в големината на нейните членове (много малки, малки, средни, големи, много големи);</w:t>
      </w:r>
    </w:p>
    <w:p w:rsidR="00086B56" w:rsidRPr="00233C54" w:rsidRDefault="00086B56" w:rsidP="00AC287C">
      <w:pPr>
        <w:pStyle w:val="ListParagraph"/>
        <w:numPr>
          <w:ilvl w:val="0"/>
          <w:numId w:val="11"/>
        </w:numPr>
        <w:jc w:val="both"/>
        <w:rPr>
          <w:rFonts w:asciiTheme="minorHAnsi" w:hAnsiTheme="minorHAnsi" w:cstheme="minorHAnsi"/>
        </w:rPr>
      </w:pPr>
      <w:r>
        <w:rPr>
          <w:rFonts w:asciiTheme="minorHAnsi" w:hAnsiTheme="minorHAnsi"/>
        </w:rPr>
        <w:t>многообразието на тяхната роля във веригата на доставките (производители, вносители, дистрибутори, доставчици на услуги за обработка на поръчки), включително онлайн продажбите;</w:t>
      </w:r>
    </w:p>
    <w:p w:rsidR="00086B56" w:rsidRPr="00233C54" w:rsidRDefault="00086B56" w:rsidP="00AC287C">
      <w:pPr>
        <w:pStyle w:val="ListParagraph"/>
        <w:numPr>
          <w:ilvl w:val="0"/>
          <w:numId w:val="11"/>
        </w:numPr>
        <w:jc w:val="both"/>
        <w:rPr>
          <w:rFonts w:asciiTheme="minorHAnsi" w:hAnsiTheme="minorHAnsi" w:cstheme="minorHAnsi"/>
        </w:rPr>
      </w:pPr>
      <w:r>
        <w:rPr>
          <w:rFonts w:asciiTheme="minorHAnsi" w:hAnsiTheme="minorHAnsi"/>
        </w:rPr>
        <w:t>общия пазарен дял на всички нейни членове;</w:t>
      </w:r>
    </w:p>
    <w:p w:rsidR="00086B56" w:rsidRPr="00233C54" w:rsidRDefault="00086B56" w:rsidP="00AC287C">
      <w:pPr>
        <w:pStyle w:val="ListParagraph"/>
        <w:numPr>
          <w:ilvl w:val="0"/>
          <w:numId w:val="11"/>
        </w:numPr>
        <w:jc w:val="both"/>
        <w:rPr>
          <w:rFonts w:asciiTheme="minorHAnsi" w:hAnsiTheme="minorHAnsi" w:cstheme="minorHAnsi"/>
        </w:rPr>
      </w:pPr>
      <w:r>
        <w:rPr>
          <w:rFonts w:asciiTheme="minorHAnsi" w:hAnsiTheme="minorHAnsi"/>
        </w:rPr>
        <w:t xml:space="preserve">начинът, по който организацията е организирана, за да информира своите членове. </w:t>
      </w:r>
    </w:p>
    <w:p w:rsidR="004F5723" w:rsidRPr="00233C54" w:rsidRDefault="004F5723" w:rsidP="00AC287C">
      <w:pPr>
        <w:jc w:val="both"/>
      </w:pPr>
      <w:r>
        <w:t xml:space="preserve">Ако участващите страни представляват икономически оператори, те и някои от техните продукти следва да бъдат включени в </w:t>
      </w:r>
      <w:r>
        <w:rPr>
          <w:i/>
        </w:rPr>
        <w:t>съвместната дейност</w:t>
      </w:r>
      <w:r>
        <w:t xml:space="preserve">.  </w:t>
      </w:r>
    </w:p>
    <w:p w:rsidR="00BD0B14" w:rsidRPr="00233C54" w:rsidRDefault="00BD0B14" w:rsidP="00AC287C">
      <w:pPr>
        <w:pStyle w:val="Heading2"/>
      </w:pPr>
      <w:bookmarkStart w:id="21" w:name="_Toc74759716"/>
      <w:r>
        <w:t>Ресурси</w:t>
      </w:r>
      <w:bookmarkEnd w:id="21"/>
    </w:p>
    <w:p w:rsidR="00C67D48" w:rsidRPr="00233C54" w:rsidRDefault="00C67D48" w:rsidP="00AC287C">
      <w:pPr>
        <w:jc w:val="both"/>
      </w:pPr>
      <w:r>
        <w:t xml:space="preserve">Финансовият ангажимент и другите ресурси, предоставени от </w:t>
      </w:r>
      <w:r>
        <w:rPr>
          <w:i/>
        </w:rPr>
        <w:t>организациите</w:t>
      </w:r>
      <w:r>
        <w:t xml:space="preserve"> в рамките на </w:t>
      </w:r>
      <w:r>
        <w:rPr>
          <w:i/>
        </w:rPr>
        <w:t>съвместната дейност</w:t>
      </w:r>
      <w:r>
        <w:t xml:space="preserve">, се използват само за целите на споразумението за </w:t>
      </w:r>
      <w:r>
        <w:rPr>
          <w:i/>
        </w:rPr>
        <w:t>съвместна дейност</w:t>
      </w:r>
      <w:r>
        <w:t xml:space="preserve"> и не могат да налагат на </w:t>
      </w:r>
      <w:r>
        <w:rPr>
          <w:i/>
        </w:rPr>
        <w:t>органите за надзор на пазара</w:t>
      </w:r>
      <w:r>
        <w:t xml:space="preserve"> какъвто и да е друг вид задължение. В споразумението следва да се посочи приносът на всяка от страните и дали той е в пари или в натура.</w:t>
      </w:r>
    </w:p>
    <w:p w:rsidR="00D00DA4" w:rsidRPr="00233C54" w:rsidRDefault="00D00DA4" w:rsidP="00AC287C">
      <w:pPr>
        <w:jc w:val="both"/>
      </w:pPr>
    </w:p>
    <w:p w:rsidR="00D00DA4" w:rsidRPr="00233C54" w:rsidRDefault="00D00DA4" w:rsidP="00D00DA4">
      <w:pPr>
        <w:jc w:val="both"/>
      </w:pPr>
      <w:r>
        <w:rPr>
          <w:i/>
        </w:rPr>
        <w:t>Съвместните дейности</w:t>
      </w:r>
      <w:r>
        <w:t xml:space="preserve"> не водят до каквато и да било форма на финансова компенсация или ползи за </w:t>
      </w:r>
      <w:r>
        <w:rPr>
          <w:i/>
        </w:rPr>
        <w:t>органа за надзор на пазара</w:t>
      </w:r>
      <w:r>
        <w:t xml:space="preserve">, които са в нарушение на европейските или националните правила. </w:t>
      </w:r>
    </w:p>
    <w:p w:rsidR="00BD0B14" w:rsidRPr="00233C54" w:rsidRDefault="00BD0B14" w:rsidP="00AC287C">
      <w:pPr>
        <w:pStyle w:val="Heading2"/>
      </w:pPr>
      <w:bookmarkStart w:id="22" w:name="_Toc74759717"/>
      <w:r>
        <w:t>Последващи действия от страна на органите за надзор на пазара</w:t>
      </w:r>
      <w:bookmarkEnd w:id="22"/>
    </w:p>
    <w:p w:rsidR="00BD0B14" w:rsidRPr="00233C54" w:rsidRDefault="00BD0B14" w:rsidP="00AC287C">
      <w:pPr>
        <w:jc w:val="both"/>
      </w:pPr>
      <w:r>
        <w:t xml:space="preserve">Решенията относно действията по правоприлагане (т.е. кой вид действие по правоприлагане е правилен) и приоритизирането на случаите, които изискват действия по правоприлагане, са отговорност единствено на </w:t>
      </w:r>
      <w:r>
        <w:rPr>
          <w:i/>
        </w:rPr>
        <w:t>органа за надзор на пазара</w:t>
      </w:r>
      <w:r>
        <w:t xml:space="preserve">. Участващите органи за надзор на пазара гарантират, че сходни несъответствия ще бъдат третирани по последователен и еднакъв начин, за да се гарантира функционалността на единния пазар. Представителните случаи следва да бъдат обсъждани между участващите </w:t>
      </w:r>
      <w:r>
        <w:rPr>
          <w:i/>
        </w:rPr>
        <w:t>органи за надзор на пазара</w:t>
      </w:r>
      <w:r>
        <w:t xml:space="preserve">, а при проблемни случаи — в ADCO групите, с цел възприемане на общ подход. Ако се окаже, че ADCO групата не е в състояние да постигне споразумение между </w:t>
      </w:r>
      <w:r>
        <w:rPr>
          <w:i/>
          <w:iCs/>
        </w:rPr>
        <w:t>органите за надзор на пазара</w:t>
      </w:r>
      <w:r>
        <w:t>, ADCO групата може да обмисли възможността да постави проблема на обсъждане в рамките на работната група от експерти на ЕС, отговаряща за приложимата нормативна уредба. Последното възможно решение е да се започне процедура по нотификация на защитна мярка.</w:t>
      </w:r>
    </w:p>
    <w:p w:rsidR="00FA2A24" w:rsidRPr="00233C54" w:rsidRDefault="00FA2A24" w:rsidP="00AC287C">
      <w:pPr>
        <w:pStyle w:val="Heading2"/>
      </w:pPr>
      <w:bookmarkStart w:id="23" w:name="_Toc74759718"/>
      <w:r>
        <w:t>Събиране на данни</w:t>
      </w:r>
      <w:bookmarkEnd w:id="23"/>
    </w:p>
    <w:p w:rsidR="00FA2A24" w:rsidRPr="00233C54" w:rsidRDefault="00FA2A24" w:rsidP="00AC287C">
      <w:pPr>
        <w:jc w:val="both"/>
        <w:rPr>
          <w:rFonts w:eastAsia="Times New Roman"/>
          <w:color w:val="000000"/>
        </w:rPr>
      </w:pPr>
      <w:r>
        <w:rPr>
          <w:color w:val="000000"/>
        </w:rPr>
        <w:t xml:space="preserve">Данните, събрани от организации, </w:t>
      </w:r>
      <w:r>
        <w:rPr>
          <w:i/>
          <w:color w:val="000000"/>
        </w:rPr>
        <w:t>експерти</w:t>
      </w:r>
      <w:r>
        <w:rPr>
          <w:color w:val="000000"/>
        </w:rPr>
        <w:t xml:space="preserve"> и </w:t>
      </w:r>
      <w:r>
        <w:rPr>
          <w:i/>
          <w:color w:val="000000"/>
        </w:rPr>
        <w:t>други съответни органи</w:t>
      </w:r>
      <w:r>
        <w:rPr>
          <w:color w:val="000000"/>
        </w:rPr>
        <w:t xml:space="preserve"> и предоставени на участващите </w:t>
      </w:r>
      <w:r>
        <w:rPr>
          <w:i/>
          <w:color w:val="000000"/>
        </w:rPr>
        <w:t>органи за надзор на пазара</w:t>
      </w:r>
      <w:r>
        <w:rPr>
          <w:color w:val="000000"/>
        </w:rPr>
        <w:t xml:space="preserve">, </w:t>
      </w:r>
      <w:r>
        <w:t>трябва да бъдат обективни, безпристрастни и независими</w:t>
      </w:r>
      <w:r>
        <w:rPr>
          <w:color w:val="000000"/>
        </w:rPr>
        <w:t>. Съответният орган трябва да се увери в липсата на пристрастност и да гарантира достатъчна представителност при събирането на данните. Изискванията, описани в точка 4.1, се прилагат и за тези данни.</w:t>
      </w:r>
    </w:p>
    <w:p w:rsidR="00FA2A24" w:rsidRPr="00233C54" w:rsidRDefault="00FA2A24" w:rsidP="00AC287C">
      <w:pPr>
        <w:jc w:val="both"/>
      </w:pPr>
      <w:r>
        <w:t xml:space="preserve">Обхватът на всяка </w:t>
      </w:r>
      <w:r>
        <w:rPr>
          <w:i/>
        </w:rPr>
        <w:t>съвместна дейност</w:t>
      </w:r>
      <w:r>
        <w:t xml:space="preserve"> трябва да бъде съобразен със специфичните целеви условия. Например, когато става въпрос за данни, свързани с изпитването на продукти, те трябва да се събират съобразно условията за вземане на проби от конкретни продукти и за тяхното изпитване, определени в единния образец.</w:t>
      </w:r>
    </w:p>
    <w:p w:rsidR="00793C3E" w:rsidRPr="00233C54" w:rsidRDefault="00793C3E" w:rsidP="00AC287C">
      <w:pPr>
        <w:pStyle w:val="Heading1"/>
        <w:jc w:val="both"/>
      </w:pPr>
      <w:bookmarkStart w:id="24" w:name="_Toc74759719"/>
      <w:r>
        <w:lastRenderedPageBreak/>
        <w:t xml:space="preserve">Използване на информация, получена от </w:t>
      </w:r>
      <w:r>
        <w:rPr>
          <w:i/>
        </w:rPr>
        <w:t>съвместни дейности</w:t>
      </w:r>
      <w:bookmarkEnd w:id="24"/>
    </w:p>
    <w:p w:rsidR="00793C3E" w:rsidRPr="00233C54" w:rsidRDefault="00466F79" w:rsidP="00AC287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rPr>
      </w:pPr>
      <w:r>
        <w:rPr>
          <w:i/>
        </w:rPr>
        <w:t>Член 9, параграф 3.  Органът за надзор на пазара може да използва всяка информация, получена в резултат на съвместни дейности, извършени като част от предприето от него разследване относно несъответствие.</w:t>
      </w:r>
    </w:p>
    <w:p w:rsidR="00C67D48" w:rsidRPr="00233C54" w:rsidRDefault="00C67D48" w:rsidP="00AC287C">
      <w:pPr>
        <w:jc w:val="both"/>
      </w:pPr>
      <w:r>
        <w:t xml:space="preserve">Използването и многообразието на информацията, резултатите и заключенията от </w:t>
      </w:r>
      <w:r>
        <w:rPr>
          <w:i/>
        </w:rPr>
        <w:t>съвместната дейност</w:t>
      </w:r>
      <w:r>
        <w:t xml:space="preserve"> се подчиняват на следните принципи:</w:t>
      </w:r>
    </w:p>
    <w:p w:rsidR="00FA418F" w:rsidRPr="00233C54" w:rsidRDefault="00FA418F" w:rsidP="00AC287C">
      <w:pPr>
        <w:pStyle w:val="Heading2"/>
      </w:pPr>
      <w:bookmarkStart w:id="25" w:name="_Toc74759720"/>
      <w:r>
        <w:t>Информация, резултати и заключения</w:t>
      </w:r>
      <w:bookmarkEnd w:id="25"/>
    </w:p>
    <w:p w:rsidR="00C66F7A" w:rsidRPr="00233C54" w:rsidRDefault="008B12BF" w:rsidP="00AC287C">
      <w:pPr>
        <w:jc w:val="both"/>
      </w:pPr>
      <w:r>
        <w:rPr>
          <w:i/>
          <w:color w:val="000000"/>
        </w:rPr>
        <w:t>Органите за надзор на пазара</w:t>
      </w:r>
      <w:r>
        <w:rPr>
          <w:color w:val="000000"/>
        </w:rPr>
        <w:t xml:space="preserve"> ще бъдат</w:t>
      </w:r>
      <w:r>
        <w:t xml:space="preserve"> единственият собственик на данните, събрани за </w:t>
      </w:r>
      <w:r>
        <w:rPr>
          <w:i/>
        </w:rPr>
        <w:t>съвместната дейност</w:t>
      </w:r>
      <w:r>
        <w:t xml:space="preserve">. </w:t>
      </w:r>
    </w:p>
    <w:p w:rsidR="00C67D48" w:rsidRPr="00233C54" w:rsidRDefault="00C67D48" w:rsidP="00AC287C">
      <w:pPr>
        <w:jc w:val="both"/>
      </w:pPr>
      <w:r>
        <w:t xml:space="preserve">Резултатите от оценяването на съответствието на продукта и/или от изпитването на продукта и информацията за проследимостта на продуктите и отговорните икономически оператори и/или органи за оценяване на съответствието се разкриват само на </w:t>
      </w:r>
      <w:bookmarkStart w:id="26" w:name="_Hlk55941306"/>
      <w:r>
        <w:rPr>
          <w:i/>
        </w:rPr>
        <w:t>органите за надзор на пазара</w:t>
      </w:r>
      <w:bookmarkEnd w:id="26"/>
      <w:r>
        <w:t>.</w:t>
      </w:r>
    </w:p>
    <w:p w:rsidR="00C67D48" w:rsidRPr="00233C54" w:rsidRDefault="00C67D48" w:rsidP="00AC287C">
      <w:pPr>
        <w:jc w:val="both"/>
      </w:pPr>
      <w:r>
        <w:t xml:space="preserve">Информация относно съответствието на продукта, предоставена на </w:t>
      </w:r>
      <w:r>
        <w:rPr>
          <w:i/>
        </w:rPr>
        <w:t>орган за надзор на пазара</w:t>
      </w:r>
      <w:r>
        <w:t xml:space="preserve"> от друга страна по споразумение, не може да бъде оповестявана публично без предварителното съгласие на този орган.</w:t>
      </w:r>
    </w:p>
    <w:p w:rsidR="006E6F6E" w:rsidRPr="00233C54" w:rsidRDefault="006E6F6E" w:rsidP="00AC287C">
      <w:pPr>
        <w:jc w:val="both"/>
      </w:pPr>
      <w:r>
        <w:t xml:space="preserve">Решението за използването на получената и събраната информация винаги е отговорност на участващите </w:t>
      </w:r>
      <w:r>
        <w:rPr>
          <w:i/>
        </w:rPr>
        <w:t>органи за надзор на пазара</w:t>
      </w:r>
      <w:r>
        <w:t>.</w:t>
      </w:r>
    </w:p>
    <w:p w:rsidR="00C67D48" w:rsidRPr="00233C54" w:rsidRDefault="00C67D48" w:rsidP="00AC287C">
      <w:pPr>
        <w:jc w:val="both"/>
      </w:pPr>
      <w:r>
        <w:t xml:space="preserve">Независимо от резултатите, посочени в доклада от изпитването, официалните заключения относно възможния анализ на риска и степента на съответствие на дадена проба също са отговорност единствено на </w:t>
      </w:r>
      <w:r>
        <w:rPr>
          <w:i/>
        </w:rPr>
        <w:t>органите за надзор на пазара</w:t>
      </w:r>
      <w:r>
        <w:t>.</w:t>
      </w:r>
    </w:p>
    <w:p w:rsidR="00D24032" w:rsidRPr="00233C54" w:rsidRDefault="00D24032" w:rsidP="00AC287C">
      <w:pPr>
        <w:jc w:val="both"/>
      </w:pPr>
      <w:r>
        <w:t xml:space="preserve">Ако е одобрена от </w:t>
      </w:r>
      <w:r>
        <w:rPr>
          <w:i/>
        </w:rPr>
        <w:t>орган за надзор на пазара</w:t>
      </w:r>
      <w:r>
        <w:t xml:space="preserve">, свързаната с продукта информация, получена в резултат на дейностите по установяване на несъответствия, се качва от </w:t>
      </w:r>
      <w:r>
        <w:rPr>
          <w:i/>
        </w:rPr>
        <w:t>органа за надзор на пазара</w:t>
      </w:r>
      <w:r>
        <w:t>в съответната част — публична или частна — на европейските информационни системи, като Информационната и комуникационна система за надзор на пазара (ICSMS) и Системата на ЕС за бърз обмен на информация за опасни нехранителни продукти</w:t>
      </w:r>
      <w:r>
        <w:rPr>
          <w:rStyle w:val="FootnoteReference"/>
        </w:rPr>
        <w:footnoteReference w:id="6"/>
      </w:r>
      <w:r>
        <w:t xml:space="preserve">; спазват се приложимите правила за поверителност на всяка информационна система, независимо от произхода на информацията, която е качена. Индивидуалният код на кампанията на </w:t>
      </w:r>
      <w:r>
        <w:rPr>
          <w:i/>
        </w:rPr>
        <w:t>съвместната дейност</w:t>
      </w:r>
      <w:r>
        <w:t xml:space="preserve"> следва да се кодира в ICSMS в полето, обозначено като „кампания“.</w:t>
      </w:r>
    </w:p>
    <w:p w:rsidR="00675C44" w:rsidRPr="00233C54" w:rsidRDefault="00675C44" w:rsidP="00AC287C">
      <w:pPr>
        <w:pStyle w:val="Heading2"/>
      </w:pPr>
      <w:bookmarkStart w:id="27" w:name="_Toc74759721"/>
      <w:r>
        <w:t>Съдържание на презентациите, докладите, материалите за обучение и др.</w:t>
      </w:r>
      <w:bookmarkEnd w:id="27"/>
    </w:p>
    <w:p w:rsidR="00675C44" w:rsidRPr="00233C54" w:rsidRDefault="00675C44" w:rsidP="00AC287C">
      <w:pPr>
        <w:jc w:val="both"/>
      </w:pPr>
      <w:r>
        <w:rPr>
          <w:i/>
        </w:rPr>
        <w:t>Организациите</w:t>
      </w:r>
      <w:r>
        <w:t xml:space="preserve"> могат да си сътрудничат, но не могат да контролират съдържанието на презентациите, докладите и/или материалите за обучение, предоставени от </w:t>
      </w:r>
      <w:r>
        <w:rPr>
          <w:i/>
        </w:rPr>
        <w:t>органите за надзор на пазара</w:t>
      </w:r>
      <w:r>
        <w:t>.</w:t>
      </w:r>
    </w:p>
    <w:p w:rsidR="00442D24" w:rsidRPr="00233C54" w:rsidRDefault="00675C44" w:rsidP="00AC287C">
      <w:pPr>
        <w:jc w:val="both"/>
      </w:pPr>
      <w:r>
        <w:t xml:space="preserve">Важно е да се вземе предвид спецификата на аудиторията и нейните потребности, когато се докладва общият резултат от </w:t>
      </w:r>
      <w:r>
        <w:rPr>
          <w:i/>
        </w:rPr>
        <w:t>съвместна дейност</w:t>
      </w:r>
      <w:r>
        <w:t xml:space="preserve"> (с помощта на доклади и/или презентации).</w:t>
      </w:r>
    </w:p>
    <w:p w:rsidR="00442D24" w:rsidRPr="00233C54" w:rsidRDefault="00442D24" w:rsidP="00AC287C">
      <w:pPr>
        <w:pStyle w:val="Heading2"/>
      </w:pPr>
      <w:bookmarkStart w:id="28" w:name="_Toc74759722"/>
      <w:r>
        <w:t>Езици</w:t>
      </w:r>
      <w:bookmarkEnd w:id="28"/>
    </w:p>
    <w:p w:rsidR="00442D24" w:rsidRPr="00233C54" w:rsidRDefault="00442D24" w:rsidP="00AC287C">
      <w:pPr>
        <w:jc w:val="both"/>
      </w:pPr>
      <w:r>
        <w:rPr>
          <w:i/>
        </w:rPr>
        <w:t>Страните</w:t>
      </w:r>
      <w:r>
        <w:t xml:space="preserve"> се договарят на кои езици ще бъдат публикувани общите резултати, докладите, презентациите и т.н. Тази информация може да бъде включена в споразумението.   </w:t>
      </w:r>
    </w:p>
    <w:p w:rsidR="00675C44" w:rsidRPr="00233C54" w:rsidRDefault="00675C44" w:rsidP="00AC287C">
      <w:pPr>
        <w:pStyle w:val="Heading2"/>
      </w:pPr>
      <w:bookmarkStart w:id="29" w:name="_Toc74759723"/>
      <w:r>
        <w:t>Публикуване и използване на наименование и лога</w:t>
      </w:r>
      <w:bookmarkEnd w:id="29"/>
    </w:p>
    <w:p w:rsidR="00303049" w:rsidRPr="00233C54" w:rsidRDefault="00985447" w:rsidP="00AC287C">
      <w:pPr>
        <w:jc w:val="both"/>
      </w:pPr>
      <w:r>
        <w:t xml:space="preserve">Със споразумението се определя решението между страните относно използването на резултатите от съвместната дейност. За да се гарантира безпристрастността, която е необходима за една </w:t>
      </w:r>
      <w:r>
        <w:rPr>
          <w:i/>
        </w:rPr>
        <w:t>съвместна дейност</w:t>
      </w:r>
      <w:r>
        <w:t xml:space="preserve">: резултатите от </w:t>
      </w:r>
      <w:r>
        <w:rPr>
          <w:i/>
        </w:rPr>
        <w:t>съвместната дейност</w:t>
      </w:r>
      <w:r>
        <w:t xml:space="preserve"> могат да </w:t>
      </w:r>
      <w:r>
        <w:lastRenderedPageBreak/>
        <w:t xml:space="preserve">бъдат публикувани само след консултация с участващите </w:t>
      </w:r>
      <w:r>
        <w:rPr>
          <w:i/>
        </w:rPr>
        <w:t>органи за надзор на пазара</w:t>
      </w:r>
      <w:r>
        <w:t xml:space="preserve">. Това е важно, за да се гарантира безпристрастността в съвместната дейност. </w:t>
      </w:r>
      <w:r>
        <w:rPr>
          <w:i/>
        </w:rPr>
        <w:t>Органите за надзор на пазара</w:t>
      </w:r>
      <w:r>
        <w:t xml:space="preserve"> следва да публикуват резултата на своите уебсайтове и в други подходящи форми, а участващите </w:t>
      </w:r>
      <w:r>
        <w:rPr>
          <w:i/>
        </w:rPr>
        <w:t>страни</w:t>
      </w:r>
      <w:r>
        <w:t xml:space="preserve"> следва да се позовават на тази страница. Резултатите от </w:t>
      </w:r>
      <w:r>
        <w:rPr>
          <w:i/>
        </w:rPr>
        <w:t>съвместна дейност</w:t>
      </w:r>
      <w:r>
        <w:t xml:space="preserve"> не следва да се използват от участващите </w:t>
      </w:r>
      <w:r>
        <w:rPr>
          <w:i/>
        </w:rPr>
        <w:t>организации</w:t>
      </w:r>
      <w:r>
        <w:t xml:space="preserve"> и </w:t>
      </w:r>
      <w:r>
        <w:rPr>
          <w:i/>
        </w:rPr>
        <w:t>експерти</w:t>
      </w:r>
      <w:r>
        <w:t xml:space="preserve"> за извличане на конкурентни предимства или за предизвикване на нелоялна конкуренция. </w:t>
      </w:r>
      <w:r>
        <w:rPr>
          <w:i/>
        </w:rPr>
        <w:t>Организациите</w:t>
      </w:r>
      <w:r>
        <w:t xml:space="preserve"> и </w:t>
      </w:r>
      <w:r>
        <w:rPr>
          <w:i/>
        </w:rPr>
        <w:t>експертите</w:t>
      </w:r>
      <w:r>
        <w:t xml:space="preserve"> се позовават само на публикуваната информация. </w:t>
      </w:r>
    </w:p>
    <w:p w:rsidR="001C21E5" w:rsidRPr="00233C54" w:rsidRDefault="001C21E5" w:rsidP="00AC287C">
      <w:pPr>
        <w:jc w:val="both"/>
      </w:pPr>
    </w:p>
    <w:p w:rsidR="00AF0A7E" w:rsidRPr="00233C54" w:rsidRDefault="00AF0A7E" w:rsidP="00AC287C">
      <w:pPr>
        <w:jc w:val="both"/>
      </w:pPr>
      <w:r>
        <w:t xml:space="preserve">Общите резултати, като например процентът на съответствие сред целевите продукти (включително тези, закупени от онлайн магазини), без да се посочват имената на продуктите, марките или имената на икономическите оператори, за които е извършена оценка в рамките на дейността, могат да бъдат споделени в обобщен вид с другите заинтересовани страни. Това обаче следва да се третира като поверителна информация, освен ако не е посочено друго в </w:t>
      </w:r>
      <w:r>
        <w:rPr>
          <w:i/>
        </w:rPr>
        <w:t>споразумението за съвместна дейност</w:t>
      </w:r>
      <w:r>
        <w:t xml:space="preserve">. </w:t>
      </w:r>
    </w:p>
    <w:p w:rsidR="00675C44" w:rsidRPr="00233C54" w:rsidRDefault="003E591D" w:rsidP="00AC287C">
      <w:pPr>
        <w:jc w:val="both"/>
      </w:pPr>
      <w:r>
        <w:t xml:space="preserve">Използването на наименования, лога на конкретни компании, марки, търговски организации или търговски марки и др. от участващите страни следва да бъде изрично разгледано в рамките на </w:t>
      </w:r>
      <w:r>
        <w:rPr>
          <w:i/>
        </w:rPr>
        <w:t>съвместната дейност</w:t>
      </w:r>
      <w:r>
        <w:t xml:space="preserve"> и подлежи на одобрение от всички страни, участващи в </w:t>
      </w:r>
      <w:r>
        <w:rPr>
          <w:i/>
        </w:rPr>
        <w:t>съвместната дейност</w:t>
      </w:r>
      <w:r>
        <w:t xml:space="preserve">. </w:t>
      </w:r>
    </w:p>
    <w:p w:rsidR="001C21E5" w:rsidRPr="00233C54" w:rsidRDefault="001C21E5" w:rsidP="00AC287C">
      <w:pPr>
        <w:jc w:val="both"/>
      </w:pPr>
    </w:p>
    <w:p w:rsidR="00675C44" w:rsidRPr="00233C54" w:rsidRDefault="00675C44" w:rsidP="00AC287C">
      <w:pPr>
        <w:jc w:val="both"/>
      </w:pPr>
      <w:r>
        <w:t xml:space="preserve">В докладите, списъците за проверка, материалите за целите на обучението, образоването или провеждането на кампании не се съдържат: </w:t>
      </w:r>
    </w:p>
    <w:p w:rsidR="00675C44" w:rsidRPr="00233C54" w:rsidRDefault="00675C44" w:rsidP="00AC287C">
      <w:pPr>
        <w:pStyle w:val="ListParagraph"/>
        <w:numPr>
          <w:ilvl w:val="2"/>
          <w:numId w:val="19"/>
        </w:numPr>
        <w:contextualSpacing w:val="0"/>
        <w:jc w:val="both"/>
      </w:pPr>
      <w:r>
        <w:t xml:space="preserve">официални правителствени наименования или лога без предварителното изрично одобрение в </w:t>
      </w:r>
      <w:r>
        <w:rPr>
          <w:i/>
        </w:rPr>
        <w:t>споразумението за съвместна дейност</w:t>
      </w:r>
      <w:r>
        <w:t>;</w:t>
      </w:r>
    </w:p>
    <w:p w:rsidR="00675C44" w:rsidRPr="00233C54" w:rsidRDefault="00675C44" w:rsidP="00AC287C">
      <w:pPr>
        <w:pStyle w:val="ListParagraph"/>
        <w:numPr>
          <w:ilvl w:val="2"/>
          <w:numId w:val="19"/>
        </w:numPr>
        <w:contextualSpacing w:val="0"/>
        <w:jc w:val="both"/>
      </w:pPr>
      <w:r>
        <w:t xml:space="preserve">наименования или лога на органите за надзор на пазара — без предварителното изрично одобрение в </w:t>
      </w:r>
      <w:r>
        <w:rPr>
          <w:i/>
        </w:rPr>
        <w:t>споразумението за съвместна дейност</w:t>
      </w:r>
      <w:r>
        <w:t>;</w:t>
      </w:r>
    </w:p>
    <w:p w:rsidR="00675C44" w:rsidRPr="00233C54" w:rsidRDefault="00675C44" w:rsidP="00AC287C">
      <w:pPr>
        <w:pStyle w:val="ListParagraph"/>
        <w:numPr>
          <w:ilvl w:val="2"/>
          <w:numId w:val="19"/>
        </w:numPr>
        <w:contextualSpacing w:val="0"/>
        <w:jc w:val="both"/>
      </w:pPr>
      <w:r>
        <w:t xml:space="preserve">наименования или лога на конкретни компании, марки, търговски организации или търговски марки — без предварителното изрично одобрение от всички </w:t>
      </w:r>
      <w:r>
        <w:rPr>
          <w:i/>
        </w:rPr>
        <w:t>страни</w:t>
      </w:r>
      <w:r>
        <w:t xml:space="preserve">, участващи в </w:t>
      </w:r>
      <w:r>
        <w:rPr>
          <w:i/>
        </w:rPr>
        <w:t>съвместната дейност</w:t>
      </w:r>
      <w:r>
        <w:t>.</w:t>
      </w:r>
    </w:p>
    <w:p w:rsidR="00675C44" w:rsidRPr="00233C54" w:rsidRDefault="00675C44" w:rsidP="00AC287C">
      <w:pPr>
        <w:pStyle w:val="Heading2"/>
        <w:rPr>
          <w:color w:val="FF0000"/>
        </w:rPr>
      </w:pPr>
      <w:bookmarkStart w:id="30" w:name="_Toc74759724"/>
      <w:r>
        <w:t>Място на публикациите (споразумение, окончателен доклад, презентация и др.)</w:t>
      </w:r>
      <w:bookmarkEnd w:id="30"/>
    </w:p>
    <w:p w:rsidR="001168A4" w:rsidRPr="00233C54" w:rsidRDefault="00E91D13" w:rsidP="00AC287C">
      <w:pPr>
        <w:jc w:val="both"/>
      </w:pPr>
      <w:r>
        <w:t xml:space="preserve">Публикациите ще бъдат помествани на уебсайта на </w:t>
      </w:r>
      <w:r>
        <w:rPr>
          <w:i/>
        </w:rPr>
        <w:t>водещия орган за надзор на пазара</w:t>
      </w:r>
      <w:r>
        <w:t xml:space="preserve"> или на </w:t>
      </w:r>
      <w:r>
        <w:rPr>
          <w:i/>
        </w:rPr>
        <w:t>органите за надзор на пазара</w:t>
      </w:r>
      <w:r>
        <w:t xml:space="preserve">, ако участва повече от един орган. Другите участващи </w:t>
      </w:r>
      <w:r>
        <w:rPr>
          <w:i/>
        </w:rPr>
        <w:t>страни</w:t>
      </w:r>
      <w:r>
        <w:t xml:space="preserve"> могат да създадат връзка към тези публикации на своите уебсайтове. Препоръчва се окончателните доклади от </w:t>
      </w:r>
      <w:r>
        <w:rPr>
          <w:i/>
        </w:rPr>
        <w:t>съвместната дейност</w:t>
      </w:r>
      <w:r>
        <w:t xml:space="preserve"> да се споделят и на уебсайта на ЕК, например за обмен на знания относно съвместните дейности между държавите членки. </w:t>
      </w:r>
      <w:r>
        <w:rPr>
          <w:i/>
        </w:rPr>
        <w:t>Водещият орган за надзор на пазара</w:t>
      </w:r>
      <w:r>
        <w:t xml:space="preserve"> се свързва с Мрежата с цел одобрение на документите, които ще бъдат публикувани на уебсайта на ЕК. След одобрението ИТ службите на ЕК публикуват окончателния(те) доклад(и) на уебсайта на ЕК.  </w:t>
      </w:r>
    </w:p>
    <w:p w:rsidR="008B3D66" w:rsidRPr="00233C54" w:rsidRDefault="008B3D66" w:rsidP="00CE43F1">
      <w:pPr>
        <w:pStyle w:val="Heading2"/>
      </w:pPr>
      <w:bookmarkStart w:id="31" w:name="_Toc74759725"/>
      <w:r>
        <w:t>Срок на поверителността</w:t>
      </w:r>
      <w:bookmarkEnd w:id="31"/>
    </w:p>
    <w:p w:rsidR="008B3D66" w:rsidRPr="00233C54" w:rsidRDefault="008B3D66" w:rsidP="008B3D66">
      <w:pPr>
        <w:jc w:val="both"/>
      </w:pPr>
      <w:r>
        <w:t xml:space="preserve">В </w:t>
      </w:r>
      <w:r>
        <w:rPr>
          <w:i/>
          <w:iCs/>
        </w:rPr>
        <w:t>споразумението за съвместна дейност</w:t>
      </w:r>
      <w:r>
        <w:t xml:space="preserve"> следва да се определи срокът на задълженията за поверителност (обикновено започва или от датата, на която споразумението поражда действие, или от датата, на която е предоставена поверителната информация).</w:t>
      </w:r>
    </w:p>
    <w:p w:rsidR="008B3D66" w:rsidRPr="00233C54" w:rsidRDefault="008B3D66" w:rsidP="00CE43F1">
      <w:pPr>
        <w:pStyle w:val="Heading2"/>
      </w:pPr>
      <w:bookmarkStart w:id="32" w:name="_Toc74759726"/>
      <w:r>
        <w:t>Санкции за нарушаване на поверителността</w:t>
      </w:r>
      <w:bookmarkEnd w:id="32"/>
    </w:p>
    <w:p w:rsidR="00AA6A01" w:rsidRPr="00233C54" w:rsidRDefault="008B3D66" w:rsidP="008B3D66">
      <w:pPr>
        <w:jc w:val="both"/>
      </w:pPr>
      <w:r>
        <w:t xml:space="preserve">Нарушаването на поверителността може да причини значителни щети, но щетата може да е трудна за доказване. За да се предотврати това, в </w:t>
      </w:r>
      <w:r>
        <w:rPr>
          <w:i/>
          <w:iCs/>
        </w:rPr>
        <w:t>споразумението за съвместна дейност</w:t>
      </w:r>
      <w:r>
        <w:t xml:space="preserve"> може да се преди санкция в частта със задълженията за поверителност.</w:t>
      </w:r>
    </w:p>
    <w:p w:rsidR="00115DCF" w:rsidRPr="00233C54" w:rsidRDefault="00115DCF" w:rsidP="00AC287C">
      <w:pPr>
        <w:pStyle w:val="Heading1"/>
        <w:jc w:val="both"/>
      </w:pPr>
      <w:bookmarkStart w:id="33" w:name="_Toc74759727"/>
      <w:r>
        <w:lastRenderedPageBreak/>
        <w:t>Споразумения за съвместна дейност</w:t>
      </w:r>
      <w:bookmarkEnd w:id="33"/>
      <w:r>
        <w:t xml:space="preserve"> </w:t>
      </w:r>
    </w:p>
    <w:p w:rsidR="00155FEF" w:rsidRPr="00233C54" w:rsidRDefault="006E6F6E" w:rsidP="00AC287C">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Pr>
          <w:i/>
        </w:rPr>
        <w:t>Член 9, параграф 4   Въпросният орган за надзор на пазара прави споразумението за съвместни дейности, включително имената на участващите страни, достъпно за обществеността и го въвежда в информационната и комуникационна система, посочена в член 34. При поискване от страна на държава членка Мрежата, създадена съгласно член 29, съдейства при изготвянето на споразумението за съвместни дейности.</w:t>
      </w:r>
    </w:p>
    <w:p w:rsidR="001C21E5" w:rsidRPr="00233C54" w:rsidRDefault="001C21E5" w:rsidP="00AC287C">
      <w:pPr>
        <w:jc w:val="both"/>
      </w:pPr>
    </w:p>
    <w:p w:rsidR="001168A4" w:rsidRPr="00233C54" w:rsidRDefault="00A704E2" w:rsidP="00AC287C">
      <w:pPr>
        <w:jc w:val="both"/>
      </w:pPr>
      <w:r>
        <w:t xml:space="preserve">За да се спазят лесно изискванията на член 9 </w:t>
      </w:r>
      <w:r>
        <w:rPr>
          <w:rFonts w:asciiTheme="minorHAnsi" w:hAnsiTheme="minorHAnsi"/>
        </w:rPr>
        <w:t>от Регламент (ЕС) 2019/1020</w:t>
      </w:r>
      <w:r>
        <w:t xml:space="preserve">, настоящите насоки включват единен образец, който е приет от Мрежата с цел подпомагане на </w:t>
      </w:r>
      <w:r>
        <w:rPr>
          <w:i/>
        </w:rPr>
        <w:t>органите за надзор на пазара</w:t>
      </w:r>
      <w:r>
        <w:t xml:space="preserve"> при изготвянето на споразуменията за </w:t>
      </w:r>
      <w:r>
        <w:rPr>
          <w:i/>
        </w:rPr>
        <w:t>съвместни дейности</w:t>
      </w:r>
      <w:r>
        <w:t xml:space="preserve">. Образецът се намира в приложение А и може да бъде изтеглен и от непубличната част на Информационната и комуникационна система за надзор на пазара. Споразумението се вписва в ICSMS. Водещият </w:t>
      </w:r>
      <w:r>
        <w:rPr>
          <w:i/>
        </w:rPr>
        <w:t>орган за надзор на пазара</w:t>
      </w:r>
      <w:r>
        <w:t xml:space="preserve"> в рамките на </w:t>
      </w:r>
      <w:r>
        <w:rPr>
          <w:i/>
        </w:rPr>
        <w:t>съвместната дейност</w:t>
      </w:r>
      <w:r>
        <w:t xml:space="preserve"> отговаря за качването на подписаното </w:t>
      </w:r>
      <w:r>
        <w:rPr>
          <w:i/>
        </w:rPr>
        <w:t>споразумение за съвместна дейност</w:t>
      </w:r>
      <w:r>
        <w:t xml:space="preserve"> в публичния раздел на ICSMS. След като се свърже със секретариата на Мрежата, на </w:t>
      </w:r>
      <w:r>
        <w:rPr>
          <w:i/>
        </w:rPr>
        <w:t>водещия</w:t>
      </w:r>
      <w:r>
        <w:t xml:space="preserve"> </w:t>
      </w:r>
      <w:r>
        <w:rPr>
          <w:i/>
        </w:rPr>
        <w:t>орган за надзор на пазара</w:t>
      </w:r>
      <w:r>
        <w:t xml:space="preserve"> се предоставя уникален код на кампанията, който може да бъде въведен в полето „кампания“ в ICSMS. По този начин споразумението може да бъде лесно открито в ICSMS.   </w:t>
      </w:r>
    </w:p>
    <w:p w:rsidR="001C21E5" w:rsidRPr="00233C54" w:rsidRDefault="001C21E5" w:rsidP="00AC287C">
      <w:pPr>
        <w:jc w:val="both"/>
      </w:pPr>
    </w:p>
    <w:p w:rsidR="001C21E5" w:rsidRPr="00233C54" w:rsidRDefault="001168A4" w:rsidP="00AC287C">
      <w:pPr>
        <w:jc w:val="both"/>
      </w:pPr>
      <w:r>
        <w:t xml:space="preserve">Мрежата съдейства при изготвянето на споразумението по искане на поне една държава членка. От Мрежата могат да поискат промени във връзка със съответствието с Регламент (ЕС) 2019/1020, с привеждането в съответствие с одобрения образец или с настоящото ръководство. Всички забележки или опасения, изразени от Мрежата, се публикуват в непубличния раздел на ICSMS, заедно със </w:t>
      </w:r>
      <w:r>
        <w:rPr>
          <w:i/>
        </w:rPr>
        <w:t>споразумението за съвместна дейност</w:t>
      </w:r>
      <w:r>
        <w:t xml:space="preserve">. </w:t>
      </w:r>
      <w:r>
        <w:rPr>
          <w:i/>
        </w:rPr>
        <w:t>Страните</w:t>
      </w:r>
      <w:r>
        <w:t xml:space="preserve">, участващи в </w:t>
      </w:r>
      <w:r>
        <w:rPr>
          <w:i/>
        </w:rPr>
        <w:t>съвместната дейност</w:t>
      </w:r>
      <w:r>
        <w:t xml:space="preserve">, променят съответно </w:t>
      </w:r>
      <w:r>
        <w:rPr>
          <w:i/>
        </w:rPr>
        <w:t>споразумението за</w:t>
      </w:r>
      <w:r>
        <w:t xml:space="preserve"> </w:t>
      </w:r>
      <w:r>
        <w:rPr>
          <w:i/>
        </w:rPr>
        <w:t>съвместна дейност</w:t>
      </w:r>
      <w:r>
        <w:t xml:space="preserve"> или посочват в ICSMS защо някои аспекти не могат да бъдат изпълнени.</w:t>
      </w:r>
    </w:p>
    <w:p w:rsidR="00646CB8" w:rsidRPr="00233C54" w:rsidRDefault="00976BED" w:rsidP="00AC287C">
      <w:pPr>
        <w:jc w:val="both"/>
      </w:pPr>
      <w:r>
        <w:t xml:space="preserve">Дори и без да е отправено искане от държава членка за оказване на съдействие при изготвянето на </w:t>
      </w:r>
      <w:r>
        <w:rPr>
          <w:i/>
        </w:rPr>
        <w:t>споразумението за съвместна дейност</w:t>
      </w:r>
      <w:r>
        <w:t xml:space="preserve">, препоръчително е всяко </w:t>
      </w:r>
      <w:r>
        <w:rPr>
          <w:i/>
        </w:rPr>
        <w:t>споразумение</w:t>
      </w:r>
      <w:r>
        <w:t xml:space="preserve"> за </w:t>
      </w:r>
      <w:r>
        <w:rPr>
          <w:i/>
        </w:rPr>
        <w:t>съвместна дейност</w:t>
      </w:r>
      <w:r>
        <w:t xml:space="preserve"> да бъде изпратено от водещия </w:t>
      </w:r>
      <w:r>
        <w:rPr>
          <w:i/>
        </w:rPr>
        <w:t>орган за надзор на пазара</w:t>
      </w:r>
      <w:r>
        <w:t xml:space="preserve"> до Мрежата за информация и възможни забележки. Тази информация се предлага и за насърчаване на участието на други органи за надзор на пазара и за поощряване на финансирането от ЕС. Препоръчително е да се предвиди достатъчно време (не по-малко от шест седмици), за да се даде възможност да бъдат изразени забележки от страна на Мрежата преди започване на дейността и </w:t>
      </w:r>
      <w:r>
        <w:rPr>
          <w:i/>
        </w:rPr>
        <w:t>споразумението за съвместна дейност</w:t>
      </w:r>
      <w:r>
        <w:t xml:space="preserve"> да може да бъде публикувано. Ако споразумението не е предоставено на Мрежата, това се посочва в ICSMS.</w:t>
      </w:r>
    </w:p>
    <w:p w:rsidR="001C21E5" w:rsidRPr="00233C54" w:rsidRDefault="001C21E5" w:rsidP="00AC287C">
      <w:pPr>
        <w:jc w:val="both"/>
      </w:pPr>
    </w:p>
    <w:p w:rsidR="00155FEF" w:rsidRPr="00233C54" w:rsidRDefault="00155FEF" w:rsidP="00AC287C">
      <w:pPr>
        <w:jc w:val="both"/>
      </w:pPr>
      <w:r>
        <w:t xml:space="preserve">Независимо от целта на </w:t>
      </w:r>
      <w:r>
        <w:rPr>
          <w:i/>
        </w:rPr>
        <w:t>съвместната дейност</w:t>
      </w:r>
      <w:r>
        <w:t xml:space="preserve">, при изготвянето на </w:t>
      </w:r>
      <w:r>
        <w:rPr>
          <w:i/>
        </w:rPr>
        <w:t>споразумението за съвместна дейност</w:t>
      </w:r>
      <w:r>
        <w:t xml:space="preserve"> следва да се вземат предвид следните изисквания и аспекти:</w:t>
      </w:r>
    </w:p>
    <w:p w:rsidR="00C40089" w:rsidRPr="00233C54" w:rsidRDefault="00C40089" w:rsidP="00AC287C">
      <w:pPr>
        <w:pStyle w:val="Heading2"/>
      </w:pPr>
      <w:bookmarkStart w:id="34" w:name="_Toc52752648"/>
      <w:bookmarkStart w:id="35" w:name="_Toc74759728"/>
      <w:r>
        <w:t>Отказ от отговорност</w:t>
      </w:r>
      <w:bookmarkEnd w:id="34"/>
      <w:bookmarkEnd w:id="35"/>
    </w:p>
    <w:p w:rsidR="001C21E5" w:rsidRPr="00233C54" w:rsidRDefault="00E02ADB" w:rsidP="00AC287C">
      <w:pPr>
        <w:jc w:val="both"/>
      </w:pPr>
      <w:r>
        <w:t xml:space="preserve">С подписа на всяка страна страните подчертават, че обективността, независимостта и безпристрастността са гарантирани. Водещият </w:t>
      </w:r>
      <w:r>
        <w:rPr>
          <w:i/>
        </w:rPr>
        <w:t>орган за надзор на пазара</w:t>
      </w:r>
      <w:r>
        <w:t xml:space="preserve"> е натоварен с отговорността да следи за това дейността да се извършва в съответствие със </w:t>
      </w:r>
      <w:r>
        <w:rPr>
          <w:i/>
        </w:rPr>
        <w:t>споразумението за съвместна дейност</w:t>
      </w:r>
      <w:r>
        <w:t>.</w:t>
      </w:r>
    </w:p>
    <w:p w:rsidR="008B622F" w:rsidRPr="00233C54" w:rsidRDefault="008B622F" w:rsidP="00AC287C">
      <w:pPr>
        <w:pStyle w:val="Heading2"/>
      </w:pPr>
      <w:bookmarkStart w:id="36" w:name="_Toc74759729"/>
      <w:r>
        <w:t>Част I — Участници</w:t>
      </w:r>
      <w:bookmarkEnd w:id="36"/>
      <w:r>
        <w:t xml:space="preserve"> </w:t>
      </w:r>
    </w:p>
    <w:p w:rsidR="00086B56" w:rsidRPr="00233C54" w:rsidRDefault="00086B56" w:rsidP="00AC287C">
      <w:pPr>
        <w:jc w:val="both"/>
      </w:pPr>
      <w:r>
        <w:t xml:space="preserve">Имената на </w:t>
      </w:r>
      <w:r>
        <w:rPr>
          <w:i/>
        </w:rPr>
        <w:t>страните</w:t>
      </w:r>
      <w:r>
        <w:t xml:space="preserve"> трябва да бъдат включени в </w:t>
      </w:r>
      <w:r>
        <w:rPr>
          <w:i/>
        </w:rPr>
        <w:t xml:space="preserve">споразумението за съвместна дейност, </w:t>
      </w:r>
      <w:r>
        <w:t>а именно:</w:t>
      </w:r>
    </w:p>
    <w:p w:rsidR="00086B56" w:rsidRPr="00233C54" w:rsidRDefault="0076359B" w:rsidP="00AC287C">
      <w:pPr>
        <w:pStyle w:val="ListParagraph"/>
        <w:numPr>
          <w:ilvl w:val="0"/>
          <w:numId w:val="26"/>
        </w:numPr>
        <w:jc w:val="both"/>
      </w:pPr>
      <w:r>
        <w:t xml:space="preserve">участващи </w:t>
      </w:r>
      <w:r>
        <w:rPr>
          <w:i/>
        </w:rPr>
        <w:t>органи за надзор на пазара</w:t>
      </w:r>
      <w:r>
        <w:t>: наименованията на органите за надзор на пазара — с пощенски адрес,</w:t>
      </w:r>
      <w:r>
        <w:rPr>
          <w:i/>
        </w:rPr>
        <w:t xml:space="preserve"> </w:t>
      </w:r>
      <w:r>
        <w:t xml:space="preserve">съответните лица за контакт — с функции, телефонен </w:t>
      </w:r>
      <w:r>
        <w:lastRenderedPageBreak/>
        <w:t xml:space="preserve">номер и адрес на електронна поща. В тази информация следва да се посочи и </w:t>
      </w:r>
      <w:r>
        <w:rPr>
          <w:i/>
        </w:rPr>
        <w:t>водещият орган за надзор на пазара</w:t>
      </w:r>
      <w:r>
        <w:t>;</w:t>
      </w:r>
    </w:p>
    <w:p w:rsidR="00086B56" w:rsidRPr="00233C54" w:rsidRDefault="00A84254" w:rsidP="00AC287C">
      <w:pPr>
        <w:pStyle w:val="ListParagraph"/>
        <w:numPr>
          <w:ilvl w:val="0"/>
          <w:numId w:val="16"/>
        </w:numPr>
        <w:jc w:val="both"/>
      </w:pPr>
      <w:r>
        <w:rPr>
          <w:i/>
        </w:rPr>
        <w:t>други съответни органи</w:t>
      </w:r>
      <w:r>
        <w:t xml:space="preserve">, които участват: наименованията на </w:t>
      </w:r>
      <w:r>
        <w:rPr>
          <w:i/>
        </w:rPr>
        <w:t>другите съответни органи</w:t>
      </w:r>
      <w:r>
        <w:t xml:space="preserve"> — с пощенски адрес, трябва да бъдат включени в </w:t>
      </w:r>
      <w:r>
        <w:rPr>
          <w:i/>
        </w:rPr>
        <w:t>споразумението за съвместни дейности</w:t>
      </w:r>
      <w:r>
        <w:t xml:space="preserve"> и да се посочат лицата за контакт — с функции, телефонен номер и адрес на електронна поща.</w:t>
      </w:r>
    </w:p>
    <w:p w:rsidR="00C419EB" w:rsidRPr="00233C54" w:rsidRDefault="00A84254" w:rsidP="00AC287C">
      <w:pPr>
        <w:pStyle w:val="ListParagraph"/>
        <w:numPr>
          <w:ilvl w:val="0"/>
          <w:numId w:val="16"/>
        </w:numPr>
        <w:jc w:val="both"/>
      </w:pPr>
      <w:r>
        <w:t xml:space="preserve">участващи </w:t>
      </w:r>
      <w:r>
        <w:rPr>
          <w:i/>
        </w:rPr>
        <w:t>организации</w:t>
      </w:r>
      <w:r>
        <w:t>: юридическите наименования — с идентификационен номер, функция и пощенски адрес, лицата за контакт — с функция, телефонен номер и адрес на електронна поща. Освен това се препоръчва в споразумението да се включи степента на представителност на участващите организации. Вж. точка 4;</w:t>
      </w:r>
    </w:p>
    <w:p w:rsidR="00086B56" w:rsidRPr="00233C54" w:rsidRDefault="00A84254" w:rsidP="00AC287C">
      <w:pPr>
        <w:pStyle w:val="ListParagraph"/>
        <w:numPr>
          <w:ilvl w:val="0"/>
          <w:numId w:val="16"/>
        </w:numPr>
        <w:jc w:val="both"/>
      </w:pPr>
      <w:r>
        <w:t xml:space="preserve">участващи </w:t>
      </w:r>
      <w:r>
        <w:rPr>
          <w:i/>
        </w:rPr>
        <w:t xml:space="preserve">експерти: </w:t>
      </w:r>
      <w:r>
        <w:t xml:space="preserve">ако това е от значение за </w:t>
      </w:r>
      <w:r>
        <w:rPr>
          <w:i/>
        </w:rPr>
        <w:t xml:space="preserve">съвместната дейност, </w:t>
      </w:r>
      <w:r>
        <w:t>юридическото наименование на организацията на експерта</w:t>
      </w:r>
      <w:r>
        <w:rPr>
          <w:i/>
        </w:rPr>
        <w:t xml:space="preserve"> </w:t>
      </w:r>
      <w:r>
        <w:t xml:space="preserve">или името на самото лице — с пощенския адрес, лицето за контакт — с функция, телефонен номер и адрес на електронна поща, следва да бъдат посочени в </w:t>
      </w:r>
      <w:r>
        <w:rPr>
          <w:i/>
        </w:rPr>
        <w:t>договора за съвместна дейност</w:t>
      </w:r>
      <w:r>
        <w:t xml:space="preserve">. </w:t>
      </w:r>
    </w:p>
    <w:p w:rsidR="00C40089" w:rsidRPr="00233C54" w:rsidRDefault="00C40089" w:rsidP="00AC287C">
      <w:pPr>
        <w:pStyle w:val="Heading2"/>
      </w:pPr>
      <w:bookmarkStart w:id="37" w:name="_Toc74759730"/>
      <w:r>
        <w:t xml:space="preserve">Част II — Цел, обосновка, мотивировка и обхват на </w:t>
      </w:r>
      <w:r>
        <w:rPr>
          <w:i/>
        </w:rPr>
        <w:t>съвместната дейност</w:t>
      </w:r>
      <w:bookmarkEnd w:id="37"/>
      <w:r>
        <w:rPr>
          <w:i/>
        </w:rPr>
        <w:t xml:space="preserve"> </w:t>
      </w:r>
    </w:p>
    <w:p w:rsidR="00AA6A01" w:rsidRPr="00233C54" w:rsidRDefault="00AA6A01" w:rsidP="00AC287C">
      <w:pPr>
        <w:pStyle w:val="Heading3"/>
        <w:jc w:val="both"/>
      </w:pPr>
      <w:bookmarkStart w:id="38" w:name="_Toc74759731"/>
      <w:r>
        <w:t>Наименование на съвместната дейност</w:t>
      </w:r>
      <w:bookmarkEnd w:id="38"/>
      <w:r>
        <w:t xml:space="preserve"> </w:t>
      </w:r>
    </w:p>
    <w:p w:rsidR="00AA6A01" w:rsidRPr="00233C54" w:rsidRDefault="00A84254" w:rsidP="0046676B">
      <w:pPr>
        <w:pStyle w:val="CommentText"/>
      </w:pPr>
      <w:r>
        <w:t xml:space="preserve">Наименованието на съвместната дейност следва да бъде добавено към споразумението. </w:t>
      </w:r>
    </w:p>
    <w:p w:rsidR="00A31775" w:rsidRPr="00233C54" w:rsidRDefault="00774752" w:rsidP="00AC287C">
      <w:pPr>
        <w:pStyle w:val="Heading3"/>
        <w:jc w:val="both"/>
      </w:pPr>
      <w:bookmarkStart w:id="39" w:name="_Toc74759732"/>
      <w:r>
        <w:t>Цел на съвместната дейност</w:t>
      </w:r>
      <w:bookmarkEnd w:id="39"/>
    </w:p>
    <w:p w:rsidR="00A31775" w:rsidRPr="00233C54" w:rsidRDefault="006E62F6" w:rsidP="00AC287C">
      <w:pPr>
        <w:jc w:val="both"/>
      </w:pPr>
      <w:r>
        <w:t xml:space="preserve">Целите на </w:t>
      </w:r>
      <w:r>
        <w:rPr>
          <w:i/>
        </w:rPr>
        <w:t xml:space="preserve">съвместната дейност </w:t>
      </w:r>
      <w:r>
        <w:t>винаги следва да бъдат изрично упоменати — да се насърчи съответствието/да се установят несъответствията/да се повиши осведомеността/да се предоставят насоки във връзка със законодателството на Съюза за хармонизация.</w:t>
      </w:r>
    </w:p>
    <w:p w:rsidR="00A31775" w:rsidRPr="00233C54" w:rsidRDefault="00A31775" w:rsidP="00AC287C">
      <w:pPr>
        <w:pStyle w:val="Heading3"/>
        <w:jc w:val="both"/>
      </w:pPr>
      <w:bookmarkStart w:id="40" w:name="_Toc74759733"/>
      <w:r>
        <w:t>Обосновка, мотивировка</w:t>
      </w:r>
      <w:bookmarkEnd w:id="40"/>
    </w:p>
    <w:p w:rsidR="00C66F7A" w:rsidRPr="00233C54" w:rsidRDefault="006E62F6" w:rsidP="00AC287C">
      <w:pPr>
        <w:jc w:val="both"/>
      </w:pPr>
      <w:r>
        <w:t xml:space="preserve">Обосновката и мотивировката на </w:t>
      </w:r>
      <w:r>
        <w:rPr>
          <w:i/>
        </w:rPr>
        <w:t>съвместната дейност</w:t>
      </w:r>
      <w:r>
        <w:t xml:space="preserve"> следва да се оповестят, а ако е възможно —и връзките към допълнителната информация. </w:t>
      </w:r>
    </w:p>
    <w:p w:rsidR="00774752" w:rsidRPr="00233C54" w:rsidRDefault="00C66F7A" w:rsidP="00AC287C">
      <w:pPr>
        <w:pStyle w:val="Heading3"/>
        <w:jc w:val="both"/>
      </w:pPr>
      <w:bookmarkStart w:id="41" w:name="_Toc52752643"/>
      <w:bookmarkStart w:id="42" w:name="_Toc74759734"/>
      <w:r>
        <w:t>Обхват</w:t>
      </w:r>
      <w:bookmarkEnd w:id="41"/>
      <w:bookmarkEnd w:id="42"/>
    </w:p>
    <w:p w:rsidR="00C66F7A" w:rsidRPr="00233C54" w:rsidRDefault="00EB0A91" w:rsidP="00AC287C">
      <w:pPr>
        <w:jc w:val="both"/>
      </w:pPr>
      <w:r>
        <w:t xml:space="preserve">Обхватът на </w:t>
      </w:r>
      <w:r>
        <w:rPr>
          <w:i/>
        </w:rPr>
        <w:t>съвместната дейност</w:t>
      </w:r>
      <w:r>
        <w:t xml:space="preserve"> следва винаги да се споменава заедно с планирането и прогнозния график на дейността, който следва да включва начална и крайна дата. </w:t>
      </w:r>
    </w:p>
    <w:p w:rsidR="00C66F7A" w:rsidRPr="00233C54" w:rsidRDefault="00C40089" w:rsidP="00AC287C">
      <w:pPr>
        <w:pStyle w:val="Heading2"/>
      </w:pPr>
      <w:bookmarkStart w:id="43" w:name="_Toc74759735"/>
      <w:r>
        <w:t>Част IIІ — Ресурси</w:t>
      </w:r>
      <w:bookmarkEnd w:id="43"/>
      <w:r>
        <w:t xml:space="preserve"> </w:t>
      </w:r>
    </w:p>
    <w:p w:rsidR="00C66F7A" w:rsidRPr="00233C54" w:rsidRDefault="00EB0A91" w:rsidP="00AC287C">
      <w:pPr>
        <w:jc w:val="both"/>
      </w:pPr>
      <w:r>
        <w:t>Необходима е информация за доставчика и включените ресурси, тяхната приблизителна стойност (в евро, принос в човекочасове или друга вноска в натура), кой ще ги достави (ако е приложимо, бюджет и условия на плащане) и за какво се използват ресурсите. Тази информация е необходима, в случай че се използва финансиране, различно от това от водещия орган.</w:t>
      </w:r>
    </w:p>
    <w:p w:rsidR="00C40089" w:rsidRPr="00233C54" w:rsidRDefault="00C40089" w:rsidP="00AC287C">
      <w:pPr>
        <w:pStyle w:val="Heading2"/>
      </w:pPr>
      <w:bookmarkStart w:id="44" w:name="_Toc74759736"/>
      <w:r>
        <w:t>Част IV — Споделяне на резултати и информация</w:t>
      </w:r>
      <w:bookmarkEnd w:id="44"/>
      <w:r>
        <w:t xml:space="preserve"> </w:t>
      </w:r>
    </w:p>
    <w:p w:rsidR="00AF03B6" w:rsidRPr="00233C54" w:rsidRDefault="00EB0A91" w:rsidP="00AC287C">
      <w:pPr>
        <w:jc w:val="both"/>
      </w:pPr>
      <w:r>
        <w:t>Следва да се посочат сроковете и условията на собствеността върху генерираните данни, както и начинът на публикуване на резултатите. Следва също така да се опишат видът и съдържанието на очакваните резултати.</w:t>
      </w:r>
      <w:r>
        <w:rPr>
          <w:i/>
          <w:sz w:val="18"/>
          <w:szCs w:val="18"/>
        </w:rPr>
        <w:t xml:space="preserve">  </w:t>
      </w:r>
    </w:p>
    <w:p w:rsidR="00C40089" w:rsidRPr="00233C54" w:rsidRDefault="00C40089" w:rsidP="00AC287C">
      <w:pPr>
        <w:pStyle w:val="Heading3"/>
        <w:jc w:val="both"/>
      </w:pPr>
      <w:bookmarkStart w:id="45" w:name="_Toc74759737"/>
      <w:r>
        <w:t>Общи условия</w:t>
      </w:r>
      <w:bookmarkEnd w:id="45"/>
    </w:p>
    <w:p w:rsidR="0046676B" w:rsidRPr="00233C54" w:rsidRDefault="00613D23" w:rsidP="0046676B">
      <w:pPr>
        <w:jc w:val="both"/>
      </w:pPr>
      <w:r>
        <w:t xml:space="preserve">Опишете различните отговорности и приноса на участващите </w:t>
      </w:r>
      <w:r>
        <w:rPr>
          <w:i/>
        </w:rPr>
        <w:t>страни</w:t>
      </w:r>
      <w:r>
        <w:t xml:space="preserve"> (включително експертите, ако е приложимо). Също и във връзка със срока на задълженията за поверителност и с това какво се случва в случай на нарушение на поверителността. </w:t>
      </w:r>
    </w:p>
    <w:p w:rsidR="00AF442F" w:rsidRPr="00233C54" w:rsidRDefault="00C40089" w:rsidP="00AC287C">
      <w:pPr>
        <w:pStyle w:val="Heading3"/>
        <w:jc w:val="both"/>
      </w:pPr>
      <w:bookmarkStart w:id="46" w:name="_Toc74759738"/>
      <w:r>
        <w:lastRenderedPageBreak/>
        <w:t>Генерирани данни</w:t>
      </w:r>
      <w:bookmarkEnd w:id="46"/>
    </w:p>
    <w:p w:rsidR="00613D23" w:rsidRPr="00233C54" w:rsidRDefault="00613D23" w:rsidP="00AC287C">
      <w:pPr>
        <w:jc w:val="both"/>
        <w:rPr>
          <w:highlight w:val="yellow"/>
        </w:rPr>
      </w:pPr>
      <w:r>
        <w:t>Дайте подробна информация за това кой и как ще събира данните, какви са изискванията към данните, които ще се събират.</w:t>
      </w:r>
    </w:p>
    <w:p w:rsidR="00B9771B" w:rsidRPr="00233C54" w:rsidRDefault="00613D23" w:rsidP="00AC287C">
      <w:pPr>
        <w:jc w:val="both"/>
      </w:pPr>
      <w:r>
        <w:t xml:space="preserve">Предоставете информация за това какъв вид данни ще бъдат генерирани. Бъдете възможно най-точни. Опитайте се да използвате числа, проценти, проследими и предвидими цифри. </w:t>
      </w:r>
    </w:p>
    <w:p w:rsidR="00C40089" w:rsidRPr="00233C54" w:rsidRDefault="00C40089" w:rsidP="00AC287C">
      <w:pPr>
        <w:jc w:val="both"/>
        <w:rPr>
          <w:highlight w:val="yellow"/>
        </w:rPr>
      </w:pPr>
      <w:r>
        <w:t xml:space="preserve">Попълнете правилата относно </w:t>
      </w:r>
      <w:r>
        <w:rPr>
          <w:color w:val="000000"/>
        </w:rPr>
        <w:t xml:space="preserve">данните, събрани от </w:t>
      </w:r>
      <w:r>
        <w:rPr>
          <w:i/>
          <w:color w:val="000000"/>
        </w:rPr>
        <w:t>организации</w:t>
      </w:r>
      <w:r>
        <w:rPr>
          <w:color w:val="000000"/>
        </w:rPr>
        <w:t xml:space="preserve">, </w:t>
      </w:r>
      <w:r>
        <w:rPr>
          <w:i/>
          <w:color w:val="000000"/>
        </w:rPr>
        <w:t>експерти</w:t>
      </w:r>
      <w:r>
        <w:rPr>
          <w:color w:val="000000"/>
        </w:rPr>
        <w:t xml:space="preserve"> и </w:t>
      </w:r>
      <w:r>
        <w:rPr>
          <w:i/>
          <w:color w:val="000000"/>
        </w:rPr>
        <w:t>други съответни органи</w:t>
      </w:r>
      <w:r>
        <w:rPr>
          <w:color w:val="000000"/>
        </w:rPr>
        <w:t xml:space="preserve">, предоставени на участващите </w:t>
      </w:r>
      <w:r>
        <w:rPr>
          <w:i/>
          <w:color w:val="000000"/>
        </w:rPr>
        <w:t>органи за надзор на пазара.</w:t>
      </w:r>
      <w:r>
        <w:rPr>
          <w:highlight w:val="yellow"/>
        </w:rPr>
        <w:t xml:space="preserve"> </w:t>
      </w:r>
    </w:p>
    <w:p w:rsidR="00C40089" w:rsidRPr="00233C54" w:rsidRDefault="00C40089" w:rsidP="00AC287C">
      <w:pPr>
        <w:pStyle w:val="Heading3"/>
        <w:jc w:val="both"/>
      </w:pPr>
      <w:bookmarkStart w:id="47" w:name="_Toc74759739"/>
      <w:r>
        <w:t>Планове за комуникация (публикуване на резултатите)</w:t>
      </w:r>
      <w:bookmarkEnd w:id="47"/>
    </w:p>
    <w:p w:rsidR="00C40089" w:rsidRPr="00233C54" w:rsidRDefault="007738BB" w:rsidP="00AC287C">
      <w:pPr>
        <w:spacing w:after="160" w:line="259" w:lineRule="auto"/>
        <w:jc w:val="both"/>
      </w:pPr>
      <w:r>
        <w:t>Посочете кои резултати могат да бъдат публикувани, от кого и как. Свързаните с продукта данни трябва да се споделят чрез ICSMS. Посочете кои данни могат да бъдат публикувани в ICSMS. Моля, вижте също точка 5.4 относно използването на наименования и лога.</w:t>
      </w:r>
    </w:p>
    <w:p w:rsidR="00C40089" w:rsidRPr="00233C54" w:rsidRDefault="00C40089" w:rsidP="00AC287C">
      <w:pPr>
        <w:pStyle w:val="Heading2"/>
      </w:pPr>
      <w:bookmarkStart w:id="48" w:name="_Toc74759740"/>
      <w:r>
        <w:t>Част V — Подписване</w:t>
      </w:r>
      <w:bookmarkEnd w:id="48"/>
      <w:r>
        <w:t xml:space="preserve"> </w:t>
      </w:r>
    </w:p>
    <w:p w:rsidR="00BB7A60" w:rsidRPr="00233C54" w:rsidRDefault="00A84254" w:rsidP="00AF2DB5">
      <w:pPr>
        <w:pStyle w:val="CommentText"/>
      </w:pPr>
      <w:r>
        <w:t xml:space="preserve">Винаги следва да се включват следните данни: дата, име, функция, лице за контакт с телефонен номер и адрес на електронна поща за всяка </w:t>
      </w:r>
      <w:r>
        <w:rPr>
          <w:i/>
        </w:rPr>
        <w:t>страна</w:t>
      </w:r>
      <w:r>
        <w:t>.</w:t>
      </w:r>
      <w:r>
        <w:rPr>
          <w:i/>
          <w:iCs/>
        </w:rPr>
        <w:t xml:space="preserve"> </w:t>
      </w:r>
      <w:r>
        <w:t>При подписването на споразумението за съвместна дейност е важно да се включат името, датата и подписът. Подписването на споразумението от органите за надзор на пазара означава, че те признават представителността на другите участници на разглеждания пазар за целите на дейността. С подписа си всяка от страните изразява своя ангажимент за обективност, независимост и безпристрастност на съвместната дейност.</w:t>
      </w:r>
    </w:p>
    <w:p w:rsidR="0073538D" w:rsidRPr="00233C54" w:rsidRDefault="00566375" w:rsidP="00AF2DB5">
      <w:pPr>
        <w:pStyle w:val="Heading1"/>
        <w:numPr>
          <w:ilvl w:val="0"/>
          <w:numId w:val="0"/>
        </w:numPr>
        <w:ind w:left="432" w:hanging="432"/>
        <w:jc w:val="both"/>
      </w:pPr>
      <w:bookmarkStart w:id="49" w:name="_Toc74759741"/>
      <w:r>
        <w:t xml:space="preserve">Приложение A: Образец на споразумения за </w:t>
      </w:r>
      <w:r>
        <w:rPr>
          <w:i/>
        </w:rPr>
        <w:t>съвместна дейност</w:t>
      </w:r>
      <w:bookmarkEnd w:id="49"/>
    </w:p>
    <w:p w:rsidR="008B622F" w:rsidRPr="00233C54" w:rsidRDefault="008B622F" w:rsidP="00AC287C">
      <w:pPr>
        <w:pStyle w:val="ListParagraph"/>
        <w:numPr>
          <w:ilvl w:val="0"/>
          <w:numId w:val="28"/>
        </w:numPr>
        <w:jc w:val="both"/>
        <w:rPr>
          <w:i/>
        </w:rPr>
      </w:pPr>
      <w:r>
        <w:rPr>
          <w:i/>
          <w:iCs/>
        </w:rPr>
        <w:t>Този образец представлява модел, който следва да се използва и адаптира в съответствие с насоките за съвместни дейности по член 9 от Регламент (ЕС) 2019/1020.</w:t>
      </w:r>
    </w:p>
    <w:p w:rsidR="00A865CB" w:rsidRPr="00233C54" w:rsidRDefault="00887848" w:rsidP="00AC287C">
      <w:pPr>
        <w:pStyle w:val="ListParagraph"/>
        <w:numPr>
          <w:ilvl w:val="0"/>
          <w:numId w:val="28"/>
        </w:numPr>
        <w:jc w:val="both"/>
        <w:rPr>
          <w:i/>
          <w:iCs/>
        </w:rPr>
      </w:pPr>
      <w:r>
        <w:rPr>
          <w:i/>
          <w:iCs/>
        </w:rPr>
        <w:t xml:space="preserve">Дори да няма отправено искане от държава членка за оказване на съдействие при изготвянето на споразумението за съвместна дейност, препоръчително е всяко споразумение за съвместна дейност да бъде изпратено от водещия орган за надзор на пазара до Мрежата за информация и възможни забележки. (вж. точка 6.0). </w:t>
      </w:r>
    </w:p>
    <w:p w:rsidR="00833971" w:rsidRPr="00233C54" w:rsidRDefault="00833971">
      <w:pPr>
        <w:spacing w:after="160" w:line="259" w:lineRule="auto"/>
        <w:rPr>
          <w:i/>
          <w:iCs/>
        </w:rPr>
      </w:pPr>
    </w:p>
    <w:p w:rsidR="00833971" w:rsidRPr="00233C54" w:rsidRDefault="00833971" w:rsidP="00833971"/>
    <w:p w:rsidR="00833971" w:rsidRPr="00233C54" w:rsidRDefault="00833971" w:rsidP="00833971"/>
    <w:p w:rsidR="00833971" w:rsidRPr="00233C54" w:rsidRDefault="00833971" w:rsidP="00833971"/>
    <w:p w:rsidR="00833971" w:rsidRPr="00233C54" w:rsidRDefault="00833971" w:rsidP="00833971"/>
    <w:p w:rsidR="00833971" w:rsidRPr="00233C54" w:rsidRDefault="00833971" w:rsidP="00833971"/>
    <w:p w:rsidR="00833971" w:rsidRPr="00233C54" w:rsidRDefault="00833971" w:rsidP="00833971"/>
    <w:p w:rsidR="00833971" w:rsidRPr="00233C54" w:rsidRDefault="00833971" w:rsidP="00833971"/>
    <w:p w:rsidR="00833971" w:rsidRPr="00233C54" w:rsidRDefault="00833971" w:rsidP="00833971"/>
    <w:p w:rsidR="00833971" w:rsidRPr="00233C54" w:rsidRDefault="00833971" w:rsidP="00833971"/>
    <w:p w:rsidR="00833971" w:rsidRPr="00233C54" w:rsidRDefault="00833971" w:rsidP="00833971"/>
    <w:p w:rsidR="00833971" w:rsidRPr="00233C54" w:rsidRDefault="00833971" w:rsidP="00833971"/>
    <w:p w:rsidR="00833971" w:rsidRPr="00233C54" w:rsidRDefault="00833971" w:rsidP="00833971"/>
    <w:p w:rsidR="00AC287C" w:rsidRPr="00233C54" w:rsidRDefault="00AC287C" w:rsidP="00833971">
      <w:pPr>
        <w:sectPr w:rsidR="00AC287C" w:rsidRPr="00233C54" w:rsidSect="00455371">
          <w:headerReference w:type="default" r:id="rId11"/>
          <w:footerReference w:type="default" r:id="rId12"/>
          <w:footerReference w:type="first" r:id="rId13"/>
          <w:pgSz w:w="11906" w:h="16838" w:code="9"/>
          <w:pgMar w:top="1418" w:right="1418" w:bottom="851" w:left="1418" w:header="709" w:footer="709" w:gutter="0"/>
          <w:pgNumType w:start="0"/>
          <w:cols w:space="708"/>
          <w:titlePg/>
          <w:docGrid w:linePitch="360"/>
        </w:sectPr>
      </w:pPr>
    </w:p>
    <w:tbl>
      <w:tblPr>
        <w:tblStyle w:val="TableGrid"/>
        <w:tblW w:w="9067" w:type="dxa"/>
        <w:tblLook w:val="04A0" w:firstRow="1" w:lastRow="0" w:firstColumn="1" w:lastColumn="0" w:noHBand="0" w:noVBand="1"/>
      </w:tblPr>
      <w:tblGrid>
        <w:gridCol w:w="2689"/>
        <w:gridCol w:w="6378"/>
      </w:tblGrid>
      <w:tr w:rsidR="00AC287C" w:rsidRPr="00233C54" w:rsidTr="00AC287C">
        <w:trPr>
          <w:trHeight w:val="389"/>
        </w:trPr>
        <w:tc>
          <w:tcPr>
            <w:tcW w:w="2689" w:type="dxa"/>
            <w:vMerge w:val="restart"/>
            <w:shd w:val="clear" w:color="auto" w:fill="D0CECE" w:themeFill="background2" w:themeFillShade="E6"/>
          </w:tcPr>
          <w:p w:rsidR="00AC287C" w:rsidRPr="00233C54" w:rsidRDefault="00AC287C" w:rsidP="00A865CB">
            <w:pPr>
              <w:spacing w:before="240"/>
              <w:rPr>
                <w:b/>
              </w:rPr>
            </w:pPr>
            <w:r>
              <w:rPr>
                <w:b/>
              </w:rPr>
              <w:lastRenderedPageBreak/>
              <w:t xml:space="preserve">Наименование на </w:t>
            </w:r>
            <w:r>
              <w:rPr>
                <w:b/>
                <w:i/>
              </w:rPr>
              <w:t>съвместната дейност</w:t>
            </w:r>
          </w:p>
        </w:tc>
        <w:tc>
          <w:tcPr>
            <w:tcW w:w="6378" w:type="dxa"/>
          </w:tcPr>
          <w:p w:rsidR="00AC287C" w:rsidRPr="00233C54" w:rsidRDefault="00AC287C" w:rsidP="00A865CB"/>
        </w:tc>
      </w:tr>
      <w:tr w:rsidR="00AC287C" w:rsidRPr="00233C54" w:rsidTr="00AF2DB5">
        <w:tc>
          <w:tcPr>
            <w:tcW w:w="2689" w:type="dxa"/>
            <w:vMerge/>
            <w:shd w:val="clear" w:color="auto" w:fill="D0CECE" w:themeFill="background2" w:themeFillShade="E6"/>
          </w:tcPr>
          <w:p w:rsidR="00AC287C" w:rsidRPr="00233C54" w:rsidRDefault="00AC287C" w:rsidP="00A865CB">
            <w:pPr>
              <w:spacing w:before="120"/>
              <w:rPr>
                <w:b/>
                <w:sz w:val="20"/>
                <w:szCs w:val="20"/>
              </w:rPr>
            </w:pPr>
          </w:p>
        </w:tc>
        <w:tc>
          <w:tcPr>
            <w:tcW w:w="6378" w:type="dxa"/>
          </w:tcPr>
          <w:p w:rsidR="00AC287C" w:rsidRPr="00233C54" w:rsidRDefault="00AC287C" w:rsidP="00A865CB">
            <w:pPr>
              <w:ind w:left="-108"/>
              <w:rPr>
                <w:sz w:val="24"/>
                <w:szCs w:val="24"/>
              </w:rPr>
            </w:pPr>
          </w:p>
        </w:tc>
      </w:tr>
      <w:tr w:rsidR="00AC287C" w:rsidRPr="00233C54" w:rsidTr="00AC287C">
        <w:trPr>
          <w:trHeight w:val="170"/>
        </w:trPr>
        <w:tc>
          <w:tcPr>
            <w:tcW w:w="2689" w:type="dxa"/>
            <w:shd w:val="clear" w:color="auto" w:fill="D0CECE" w:themeFill="background2" w:themeFillShade="E6"/>
          </w:tcPr>
          <w:p w:rsidR="00AC287C" w:rsidRPr="00233C54" w:rsidRDefault="00AC287C" w:rsidP="00A865CB">
            <w:r>
              <w:t>Уникален номер/код</w:t>
            </w:r>
          </w:p>
        </w:tc>
        <w:tc>
          <w:tcPr>
            <w:tcW w:w="6378" w:type="dxa"/>
          </w:tcPr>
          <w:p w:rsidR="00AC287C" w:rsidRPr="00233C54" w:rsidRDefault="00AC287C" w:rsidP="00A865CB">
            <w:pPr>
              <w:rPr>
                <w:sz w:val="24"/>
                <w:szCs w:val="24"/>
              </w:rPr>
            </w:pPr>
          </w:p>
        </w:tc>
      </w:tr>
    </w:tbl>
    <w:p w:rsidR="008B622F" w:rsidRPr="00233C54" w:rsidRDefault="008B622F" w:rsidP="008B622F"/>
    <w:p w:rsidR="00AF6313" w:rsidRPr="00233C54" w:rsidRDefault="008B622F" w:rsidP="00AF6313">
      <w:pPr>
        <w:jc w:val="both"/>
      </w:pPr>
      <w:r>
        <w:rPr>
          <w:b/>
        </w:rPr>
        <w:t>Отказ от отговорност:</w:t>
      </w:r>
      <w:r>
        <w:t xml:space="preserve"> В съответствие с член 9 от Регламент (ЕС) 2019/1020 никоя разпоредба на настоящото споразумение няма обвързваща сила за който и да е </w:t>
      </w:r>
      <w:r>
        <w:rPr>
          <w:i/>
        </w:rPr>
        <w:t>орган за надзор на пазара</w:t>
      </w:r>
      <w:r>
        <w:t xml:space="preserve">, ако застрашава неговата обективност, независимост или безпристрастност. </w:t>
      </w:r>
    </w:p>
    <w:p w:rsidR="00AF6313" w:rsidRPr="00233C54" w:rsidRDefault="00AF6313" w:rsidP="00AF6313">
      <w:pPr>
        <w:jc w:val="both"/>
      </w:pPr>
      <w:r>
        <w:t>Личните данни в този формуляр се обработват чрез ICSMS: име, функция, служебен адрес, телефон, електронна поща и длъжност. Тези данни се обработват от Европейската комисия и националните органи на държавите членки, държавите от ЕАСТ и органите на трети държави, участващи в изпълнението на Протокола за Ирландия и Северна Ирландия.</w:t>
      </w:r>
    </w:p>
    <w:p w:rsidR="008B622F" w:rsidRPr="00233C54" w:rsidRDefault="008B622F" w:rsidP="008B622F">
      <w:pPr>
        <w:rPr>
          <w:sz w:val="16"/>
          <w:szCs w:val="16"/>
        </w:rPr>
      </w:pPr>
    </w:p>
    <w:p w:rsidR="008B622F" w:rsidRPr="00233C54" w:rsidRDefault="008B622F" w:rsidP="008B622F">
      <w:pPr>
        <w:jc w:val="both"/>
        <w:rPr>
          <w:b/>
          <w:sz w:val="24"/>
          <w:szCs w:val="24"/>
        </w:rPr>
      </w:pPr>
      <w:r>
        <w:rPr>
          <w:b/>
        </w:rPr>
        <w:t xml:space="preserve">I — </w:t>
      </w:r>
      <w:r>
        <w:rPr>
          <w:b/>
          <w:sz w:val="24"/>
          <w:szCs w:val="24"/>
        </w:rPr>
        <w:t>Участници</w:t>
      </w:r>
    </w:p>
    <w:p w:rsidR="002E4693" w:rsidRPr="00233C54" w:rsidRDefault="002E4693" w:rsidP="00A865CB">
      <w:pPr>
        <w:jc w:val="both"/>
        <w:rPr>
          <w:b/>
        </w:rPr>
      </w:pPr>
    </w:p>
    <w:tbl>
      <w:tblPr>
        <w:tblStyle w:val="TableGrid"/>
        <w:tblW w:w="9067" w:type="dxa"/>
        <w:tblLook w:val="04A0" w:firstRow="1" w:lastRow="0" w:firstColumn="1" w:lastColumn="0" w:noHBand="0" w:noVBand="1"/>
      </w:tblPr>
      <w:tblGrid>
        <w:gridCol w:w="4531"/>
        <w:gridCol w:w="4536"/>
      </w:tblGrid>
      <w:tr w:rsidR="008458B2" w:rsidRPr="00233C54" w:rsidTr="001C21E5">
        <w:tc>
          <w:tcPr>
            <w:tcW w:w="4531" w:type="dxa"/>
            <w:shd w:val="clear" w:color="auto" w:fill="BFBFBF" w:themeFill="background1" w:themeFillShade="BF"/>
          </w:tcPr>
          <w:p w:rsidR="008458B2" w:rsidRPr="00233C54" w:rsidRDefault="008458B2" w:rsidP="008458B2">
            <w:pPr>
              <w:rPr>
                <w:b/>
                <w:i/>
              </w:rPr>
            </w:pPr>
            <w:r>
              <w:rPr>
                <w:b/>
                <w:i/>
              </w:rPr>
              <w:t>Органи за надзор на пазара</w:t>
            </w:r>
          </w:p>
        </w:tc>
        <w:tc>
          <w:tcPr>
            <w:tcW w:w="4536" w:type="dxa"/>
            <w:shd w:val="clear" w:color="auto" w:fill="BFBFBF" w:themeFill="background1" w:themeFillShade="BF"/>
          </w:tcPr>
          <w:p w:rsidR="008458B2" w:rsidRPr="00233C54" w:rsidRDefault="008458B2" w:rsidP="008458B2">
            <w:pPr>
              <w:rPr>
                <w:b/>
              </w:rPr>
            </w:pPr>
            <w:r>
              <w:rPr>
                <w:b/>
              </w:rPr>
              <w:t>Лица за контакт</w:t>
            </w:r>
          </w:p>
        </w:tc>
      </w:tr>
      <w:tr w:rsidR="008458B2" w:rsidRPr="00233C54" w:rsidTr="001C21E5">
        <w:tc>
          <w:tcPr>
            <w:tcW w:w="4531" w:type="dxa"/>
          </w:tcPr>
          <w:p w:rsidR="008458B2" w:rsidRPr="00233C54" w:rsidRDefault="008458B2" w:rsidP="008458B2">
            <w:r>
              <w:t xml:space="preserve">Юридическо наименование (водещ орган): </w:t>
            </w:r>
          </w:p>
          <w:p w:rsidR="001C21E5" w:rsidRPr="00233C54" w:rsidRDefault="001C21E5" w:rsidP="008458B2"/>
          <w:p w:rsidR="008458B2" w:rsidRPr="00233C54" w:rsidRDefault="008458B2" w:rsidP="008458B2">
            <w:r>
              <w:t>Пощенски адрес:</w:t>
            </w:r>
          </w:p>
          <w:p w:rsidR="008458B2" w:rsidRPr="00233C54" w:rsidRDefault="008458B2" w:rsidP="008458B2"/>
        </w:tc>
        <w:tc>
          <w:tcPr>
            <w:tcW w:w="4536" w:type="dxa"/>
          </w:tcPr>
          <w:p w:rsidR="008458B2" w:rsidRPr="00233C54" w:rsidRDefault="008458B2" w:rsidP="008458B2">
            <w:r>
              <w:t>Име:</w:t>
            </w:r>
          </w:p>
          <w:p w:rsidR="00342DC8" w:rsidRPr="00233C54" w:rsidRDefault="00342DC8" w:rsidP="008458B2">
            <w:r>
              <w:t xml:space="preserve">Функция: </w:t>
            </w:r>
          </w:p>
          <w:p w:rsidR="00342DC8" w:rsidRPr="00233C54" w:rsidRDefault="00342DC8" w:rsidP="008458B2">
            <w:r>
              <w:t>Телефонен номер:</w:t>
            </w:r>
          </w:p>
          <w:p w:rsidR="008458B2" w:rsidRPr="00233C54" w:rsidRDefault="008458B2" w:rsidP="008458B2">
            <w:r>
              <w:t xml:space="preserve">Електронна поща: </w:t>
            </w:r>
          </w:p>
        </w:tc>
      </w:tr>
      <w:tr w:rsidR="00342DC8" w:rsidRPr="00233C54" w:rsidTr="001C21E5">
        <w:tc>
          <w:tcPr>
            <w:tcW w:w="4531" w:type="dxa"/>
          </w:tcPr>
          <w:p w:rsidR="00342DC8" w:rsidRPr="00233C54" w:rsidRDefault="00342DC8" w:rsidP="00342DC8">
            <w:r>
              <w:t xml:space="preserve">Юридическо наименование: </w:t>
            </w:r>
          </w:p>
          <w:p w:rsidR="00342DC8" w:rsidRPr="00233C54" w:rsidRDefault="00342DC8" w:rsidP="00342DC8"/>
          <w:p w:rsidR="00342DC8" w:rsidRPr="00233C54" w:rsidRDefault="00342DC8" w:rsidP="00342DC8">
            <w:r>
              <w:t>Пощенски адрес:</w:t>
            </w:r>
          </w:p>
          <w:p w:rsidR="00342DC8" w:rsidRPr="00233C54" w:rsidRDefault="00342DC8" w:rsidP="00342DC8"/>
        </w:tc>
        <w:tc>
          <w:tcPr>
            <w:tcW w:w="4536" w:type="dxa"/>
          </w:tcPr>
          <w:p w:rsidR="00342DC8" w:rsidRPr="00233C54" w:rsidRDefault="00342DC8" w:rsidP="00342DC8">
            <w:r>
              <w:t>Име:</w:t>
            </w:r>
          </w:p>
          <w:p w:rsidR="00342DC8" w:rsidRPr="00233C54" w:rsidRDefault="00342DC8" w:rsidP="00342DC8">
            <w:r>
              <w:t xml:space="preserve">Функция: </w:t>
            </w:r>
          </w:p>
          <w:p w:rsidR="00342DC8" w:rsidRPr="00233C54" w:rsidRDefault="00342DC8" w:rsidP="00342DC8">
            <w:r>
              <w:t>Телефонен номер:</w:t>
            </w:r>
          </w:p>
          <w:p w:rsidR="00342DC8" w:rsidRPr="00233C54" w:rsidRDefault="00342DC8" w:rsidP="00342DC8">
            <w:r>
              <w:t xml:space="preserve">Електронна поща: </w:t>
            </w:r>
          </w:p>
        </w:tc>
      </w:tr>
      <w:tr w:rsidR="00342DC8" w:rsidRPr="00233C54" w:rsidTr="001C21E5">
        <w:tc>
          <w:tcPr>
            <w:tcW w:w="4531" w:type="dxa"/>
          </w:tcPr>
          <w:p w:rsidR="00342DC8" w:rsidRPr="00233C54" w:rsidRDefault="00342DC8" w:rsidP="00342DC8">
            <w:r>
              <w:t xml:space="preserve">Юридическо наименование: </w:t>
            </w:r>
          </w:p>
          <w:p w:rsidR="00342DC8" w:rsidRPr="00233C54" w:rsidRDefault="00342DC8" w:rsidP="00342DC8"/>
          <w:p w:rsidR="00342DC8" w:rsidRPr="00233C54" w:rsidRDefault="00342DC8" w:rsidP="00342DC8">
            <w:r>
              <w:t>Пощенски адрес:</w:t>
            </w:r>
          </w:p>
          <w:p w:rsidR="00342DC8" w:rsidRPr="00233C54" w:rsidRDefault="00342DC8" w:rsidP="00342DC8"/>
        </w:tc>
        <w:tc>
          <w:tcPr>
            <w:tcW w:w="4536" w:type="dxa"/>
          </w:tcPr>
          <w:p w:rsidR="00342DC8" w:rsidRPr="00233C54" w:rsidRDefault="00342DC8" w:rsidP="00342DC8">
            <w:r>
              <w:t>Име:</w:t>
            </w:r>
          </w:p>
          <w:p w:rsidR="00342DC8" w:rsidRPr="00233C54" w:rsidRDefault="00342DC8" w:rsidP="00342DC8">
            <w:r>
              <w:t xml:space="preserve">Функция: </w:t>
            </w:r>
          </w:p>
          <w:p w:rsidR="00342DC8" w:rsidRPr="00233C54" w:rsidRDefault="00342DC8" w:rsidP="00342DC8">
            <w:r>
              <w:t>Телефонен номер:</w:t>
            </w:r>
          </w:p>
          <w:p w:rsidR="00342DC8" w:rsidRPr="00233C54" w:rsidRDefault="00342DC8" w:rsidP="00342DC8">
            <w:r>
              <w:t>Електронна поща:</w:t>
            </w:r>
          </w:p>
        </w:tc>
      </w:tr>
      <w:tr w:rsidR="00342DC8" w:rsidRPr="00233C54" w:rsidTr="001C21E5">
        <w:tc>
          <w:tcPr>
            <w:tcW w:w="4531" w:type="dxa"/>
          </w:tcPr>
          <w:p w:rsidR="00342DC8" w:rsidRPr="00233C54" w:rsidRDefault="00342DC8" w:rsidP="00342DC8">
            <w:r>
              <w:t xml:space="preserve">Юридическо наименование: </w:t>
            </w:r>
          </w:p>
          <w:p w:rsidR="00342DC8" w:rsidRPr="00233C54" w:rsidRDefault="00342DC8" w:rsidP="00342DC8"/>
          <w:p w:rsidR="00342DC8" w:rsidRPr="00233C54" w:rsidRDefault="00342DC8" w:rsidP="00342DC8">
            <w:r>
              <w:t>Пощенски адрес:</w:t>
            </w:r>
          </w:p>
          <w:p w:rsidR="00342DC8" w:rsidRPr="00233C54" w:rsidRDefault="00342DC8" w:rsidP="00342DC8"/>
        </w:tc>
        <w:tc>
          <w:tcPr>
            <w:tcW w:w="4536" w:type="dxa"/>
          </w:tcPr>
          <w:p w:rsidR="00342DC8" w:rsidRPr="00233C54" w:rsidRDefault="00342DC8" w:rsidP="00342DC8">
            <w:r>
              <w:t>Име:</w:t>
            </w:r>
          </w:p>
          <w:p w:rsidR="00342DC8" w:rsidRPr="00233C54" w:rsidRDefault="00342DC8" w:rsidP="00342DC8">
            <w:r>
              <w:t xml:space="preserve">Функция: </w:t>
            </w:r>
          </w:p>
          <w:p w:rsidR="00342DC8" w:rsidRPr="00233C54" w:rsidRDefault="00342DC8" w:rsidP="00342DC8">
            <w:r>
              <w:t>Телефонен номер:</w:t>
            </w:r>
          </w:p>
          <w:p w:rsidR="00342DC8" w:rsidRPr="00233C54" w:rsidRDefault="00342DC8" w:rsidP="00342DC8">
            <w:r>
              <w:t>Електронна поща:</w:t>
            </w:r>
          </w:p>
        </w:tc>
      </w:tr>
      <w:tr w:rsidR="00342DC8" w:rsidRPr="00233C54" w:rsidTr="001C21E5">
        <w:tc>
          <w:tcPr>
            <w:tcW w:w="4531" w:type="dxa"/>
          </w:tcPr>
          <w:p w:rsidR="00342DC8" w:rsidRPr="00233C54" w:rsidRDefault="00342DC8" w:rsidP="00342DC8">
            <w:r>
              <w:t xml:space="preserve">Юридическо наименование: </w:t>
            </w:r>
          </w:p>
          <w:p w:rsidR="00342DC8" w:rsidRPr="00233C54" w:rsidRDefault="00342DC8" w:rsidP="00342DC8"/>
          <w:p w:rsidR="00342DC8" w:rsidRPr="00233C54" w:rsidRDefault="00342DC8" w:rsidP="00342DC8">
            <w:r>
              <w:t>Пощенски адрес:</w:t>
            </w:r>
          </w:p>
          <w:p w:rsidR="00342DC8" w:rsidRPr="00233C54" w:rsidRDefault="00342DC8" w:rsidP="00342DC8"/>
        </w:tc>
        <w:tc>
          <w:tcPr>
            <w:tcW w:w="4536" w:type="dxa"/>
          </w:tcPr>
          <w:p w:rsidR="00342DC8" w:rsidRPr="00233C54" w:rsidRDefault="00342DC8" w:rsidP="00342DC8">
            <w:r>
              <w:t>Име:</w:t>
            </w:r>
          </w:p>
          <w:p w:rsidR="00342DC8" w:rsidRPr="00233C54" w:rsidRDefault="00342DC8" w:rsidP="00342DC8">
            <w:r>
              <w:t xml:space="preserve">Функция: </w:t>
            </w:r>
          </w:p>
          <w:p w:rsidR="00342DC8" w:rsidRPr="00233C54" w:rsidRDefault="00342DC8" w:rsidP="00342DC8">
            <w:r>
              <w:t>Телефонен номер:</w:t>
            </w:r>
          </w:p>
          <w:p w:rsidR="00342DC8" w:rsidRPr="00233C54" w:rsidRDefault="00342DC8" w:rsidP="00342DC8">
            <w:r>
              <w:t>Електронна поща:</w:t>
            </w:r>
          </w:p>
        </w:tc>
      </w:tr>
      <w:tr w:rsidR="00342DC8" w:rsidRPr="00233C54" w:rsidTr="001C21E5">
        <w:tc>
          <w:tcPr>
            <w:tcW w:w="4531" w:type="dxa"/>
          </w:tcPr>
          <w:p w:rsidR="00342DC8" w:rsidRPr="00233C54" w:rsidRDefault="00342DC8" w:rsidP="00342DC8">
            <w:r>
              <w:t xml:space="preserve">Юридическо наименование: </w:t>
            </w:r>
          </w:p>
          <w:p w:rsidR="00342DC8" w:rsidRPr="00233C54" w:rsidRDefault="00342DC8" w:rsidP="00342DC8"/>
          <w:p w:rsidR="00342DC8" w:rsidRPr="00233C54" w:rsidRDefault="00342DC8" w:rsidP="00342DC8">
            <w:r>
              <w:t>Пощенски адрес:</w:t>
            </w:r>
          </w:p>
          <w:p w:rsidR="00342DC8" w:rsidRPr="00233C54" w:rsidRDefault="00342DC8" w:rsidP="00342DC8"/>
        </w:tc>
        <w:tc>
          <w:tcPr>
            <w:tcW w:w="4536" w:type="dxa"/>
          </w:tcPr>
          <w:p w:rsidR="00342DC8" w:rsidRPr="00233C54" w:rsidRDefault="00342DC8" w:rsidP="00342DC8">
            <w:r>
              <w:t>Име:</w:t>
            </w:r>
          </w:p>
          <w:p w:rsidR="00342DC8" w:rsidRPr="00233C54" w:rsidRDefault="00342DC8" w:rsidP="00342DC8">
            <w:r>
              <w:t xml:space="preserve">Функция: </w:t>
            </w:r>
          </w:p>
          <w:p w:rsidR="00342DC8" w:rsidRPr="00233C54" w:rsidRDefault="00342DC8" w:rsidP="00342DC8">
            <w:r>
              <w:t>Телефонен номер:</w:t>
            </w:r>
          </w:p>
          <w:p w:rsidR="00342DC8" w:rsidRPr="00233C54" w:rsidRDefault="00342DC8" w:rsidP="00342DC8">
            <w:r>
              <w:t>Електронна поща:</w:t>
            </w:r>
          </w:p>
        </w:tc>
      </w:tr>
    </w:tbl>
    <w:p w:rsidR="002E4693" w:rsidRPr="00233C54" w:rsidRDefault="002E4693" w:rsidP="00A865CB">
      <w:pPr>
        <w:jc w:val="both"/>
        <w:rPr>
          <w:b/>
          <w:i/>
        </w:rPr>
      </w:pPr>
    </w:p>
    <w:tbl>
      <w:tblPr>
        <w:tblStyle w:val="TableGrid"/>
        <w:tblW w:w="9067" w:type="dxa"/>
        <w:tblLook w:val="04A0" w:firstRow="1" w:lastRow="0" w:firstColumn="1" w:lastColumn="0" w:noHBand="0" w:noVBand="1"/>
      </w:tblPr>
      <w:tblGrid>
        <w:gridCol w:w="4531"/>
        <w:gridCol w:w="4536"/>
      </w:tblGrid>
      <w:tr w:rsidR="008458B2" w:rsidRPr="00233C54" w:rsidTr="001C21E5">
        <w:tc>
          <w:tcPr>
            <w:tcW w:w="4531" w:type="dxa"/>
            <w:shd w:val="clear" w:color="auto" w:fill="BFBFBF" w:themeFill="background1" w:themeFillShade="BF"/>
          </w:tcPr>
          <w:p w:rsidR="008458B2" w:rsidRPr="00233C54" w:rsidRDefault="008458B2" w:rsidP="00394B43">
            <w:pPr>
              <w:rPr>
                <w:b/>
                <w:i/>
              </w:rPr>
            </w:pPr>
            <w:r>
              <w:rPr>
                <w:b/>
                <w:i/>
              </w:rPr>
              <w:t>Други съответни органи</w:t>
            </w:r>
          </w:p>
        </w:tc>
        <w:tc>
          <w:tcPr>
            <w:tcW w:w="4536" w:type="dxa"/>
            <w:shd w:val="clear" w:color="auto" w:fill="BFBFBF" w:themeFill="background1" w:themeFillShade="BF"/>
          </w:tcPr>
          <w:p w:rsidR="008458B2" w:rsidRPr="00233C54" w:rsidRDefault="008458B2" w:rsidP="00394B43">
            <w:pPr>
              <w:rPr>
                <w:b/>
              </w:rPr>
            </w:pPr>
            <w:r>
              <w:rPr>
                <w:b/>
              </w:rPr>
              <w:t>Лица за контакт</w:t>
            </w:r>
          </w:p>
        </w:tc>
      </w:tr>
      <w:tr w:rsidR="008458B2" w:rsidRPr="00233C54" w:rsidTr="001C21E5">
        <w:tc>
          <w:tcPr>
            <w:tcW w:w="4531" w:type="dxa"/>
          </w:tcPr>
          <w:p w:rsidR="008458B2" w:rsidRPr="00233C54" w:rsidRDefault="008458B2" w:rsidP="00394B43">
            <w:r>
              <w:t xml:space="preserve">Юридическо наименование (водещ орган): </w:t>
            </w:r>
          </w:p>
          <w:p w:rsidR="00394B43" w:rsidRPr="00233C54" w:rsidRDefault="00394B43" w:rsidP="00394B43"/>
          <w:p w:rsidR="008458B2" w:rsidRPr="00233C54" w:rsidRDefault="008458B2" w:rsidP="00394B43">
            <w:r>
              <w:t>Пощенски адрес:</w:t>
            </w:r>
          </w:p>
          <w:p w:rsidR="008458B2" w:rsidRPr="00233C54" w:rsidRDefault="008458B2" w:rsidP="00394B43"/>
        </w:tc>
        <w:tc>
          <w:tcPr>
            <w:tcW w:w="4536" w:type="dxa"/>
          </w:tcPr>
          <w:p w:rsidR="00342DC8" w:rsidRPr="00233C54" w:rsidRDefault="00342DC8" w:rsidP="00342DC8">
            <w:r>
              <w:t>Име:</w:t>
            </w:r>
          </w:p>
          <w:p w:rsidR="00342DC8" w:rsidRPr="00233C54" w:rsidRDefault="00342DC8" w:rsidP="00342DC8">
            <w:r>
              <w:t xml:space="preserve">Функция: </w:t>
            </w:r>
          </w:p>
          <w:p w:rsidR="00342DC8" w:rsidRPr="00233C54" w:rsidRDefault="00342DC8" w:rsidP="00342DC8">
            <w:r>
              <w:t>Телефонен номер:</w:t>
            </w:r>
          </w:p>
          <w:p w:rsidR="008458B2" w:rsidRPr="00233C54" w:rsidRDefault="00342DC8" w:rsidP="00342DC8">
            <w:r>
              <w:t>Електронна поща:</w:t>
            </w:r>
          </w:p>
        </w:tc>
      </w:tr>
      <w:tr w:rsidR="008458B2" w:rsidRPr="00233C54" w:rsidTr="001C21E5">
        <w:tc>
          <w:tcPr>
            <w:tcW w:w="4531" w:type="dxa"/>
          </w:tcPr>
          <w:p w:rsidR="008458B2" w:rsidRPr="00233C54" w:rsidRDefault="008458B2" w:rsidP="00394B43">
            <w:r>
              <w:t xml:space="preserve">Юридическо наименование: </w:t>
            </w:r>
          </w:p>
          <w:p w:rsidR="00394B43" w:rsidRPr="00233C54" w:rsidRDefault="00394B43" w:rsidP="00394B43"/>
          <w:p w:rsidR="008458B2" w:rsidRPr="00233C54" w:rsidRDefault="008458B2" w:rsidP="00394B43">
            <w:r>
              <w:t>Пощенски адрес:</w:t>
            </w:r>
          </w:p>
          <w:p w:rsidR="008458B2" w:rsidRPr="00233C54" w:rsidRDefault="008458B2" w:rsidP="00394B43"/>
        </w:tc>
        <w:tc>
          <w:tcPr>
            <w:tcW w:w="4536" w:type="dxa"/>
          </w:tcPr>
          <w:p w:rsidR="00342DC8" w:rsidRPr="00233C54" w:rsidRDefault="00342DC8" w:rsidP="00342DC8">
            <w:r>
              <w:lastRenderedPageBreak/>
              <w:t>Име:</w:t>
            </w:r>
          </w:p>
          <w:p w:rsidR="00342DC8" w:rsidRPr="00233C54" w:rsidRDefault="00342DC8" w:rsidP="00342DC8">
            <w:r>
              <w:t xml:space="preserve">Функция: </w:t>
            </w:r>
          </w:p>
          <w:p w:rsidR="00342DC8" w:rsidRPr="00233C54" w:rsidRDefault="00342DC8" w:rsidP="00342DC8">
            <w:r>
              <w:t>Телефонен номер:</w:t>
            </w:r>
          </w:p>
          <w:p w:rsidR="008458B2" w:rsidRPr="00233C54" w:rsidRDefault="00342DC8" w:rsidP="00342DC8">
            <w:r>
              <w:lastRenderedPageBreak/>
              <w:t>Електронна поща:</w:t>
            </w:r>
          </w:p>
        </w:tc>
      </w:tr>
    </w:tbl>
    <w:p w:rsidR="001C21E5" w:rsidRPr="00233C54" w:rsidRDefault="001C21E5">
      <w:pPr>
        <w:spacing w:after="160" w:line="259" w:lineRule="auto"/>
        <w:rPr>
          <w:b/>
          <w:i/>
        </w:rPr>
      </w:pPr>
    </w:p>
    <w:tbl>
      <w:tblPr>
        <w:tblStyle w:val="TableGrid"/>
        <w:tblW w:w="9067" w:type="dxa"/>
        <w:tblLook w:val="04A0" w:firstRow="1" w:lastRow="0" w:firstColumn="1" w:lastColumn="0" w:noHBand="0" w:noVBand="1"/>
      </w:tblPr>
      <w:tblGrid>
        <w:gridCol w:w="4531"/>
        <w:gridCol w:w="4536"/>
      </w:tblGrid>
      <w:tr w:rsidR="008458B2" w:rsidRPr="00233C54" w:rsidTr="001C21E5">
        <w:tc>
          <w:tcPr>
            <w:tcW w:w="4531" w:type="dxa"/>
            <w:shd w:val="clear" w:color="auto" w:fill="BFBFBF" w:themeFill="background1" w:themeFillShade="BF"/>
          </w:tcPr>
          <w:p w:rsidR="008458B2" w:rsidRPr="00233C54" w:rsidRDefault="00A64912" w:rsidP="00394B43">
            <w:pPr>
              <w:rPr>
                <w:b/>
                <w:i/>
              </w:rPr>
            </w:pPr>
            <w:r>
              <w:rPr>
                <w:b/>
                <w:i/>
              </w:rPr>
              <w:t>Организации</w:t>
            </w:r>
          </w:p>
        </w:tc>
        <w:tc>
          <w:tcPr>
            <w:tcW w:w="4536" w:type="dxa"/>
            <w:shd w:val="clear" w:color="auto" w:fill="BFBFBF" w:themeFill="background1" w:themeFillShade="BF"/>
          </w:tcPr>
          <w:p w:rsidR="008458B2" w:rsidRPr="00233C54" w:rsidRDefault="008458B2" w:rsidP="00394B43">
            <w:pPr>
              <w:rPr>
                <w:b/>
              </w:rPr>
            </w:pPr>
            <w:r>
              <w:rPr>
                <w:b/>
              </w:rPr>
              <w:t>Лица за контакт</w:t>
            </w:r>
          </w:p>
        </w:tc>
      </w:tr>
      <w:tr w:rsidR="008458B2" w:rsidRPr="00233C54" w:rsidTr="001C21E5">
        <w:tc>
          <w:tcPr>
            <w:tcW w:w="4531" w:type="dxa"/>
          </w:tcPr>
          <w:p w:rsidR="008458B2" w:rsidRPr="00233C54" w:rsidRDefault="008458B2" w:rsidP="00394B43">
            <w:r>
              <w:t xml:space="preserve">Юридическо наименование: </w:t>
            </w:r>
          </w:p>
          <w:p w:rsidR="00394B43" w:rsidRPr="00233C54" w:rsidRDefault="00394B43" w:rsidP="00394B43"/>
          <w:p w:rsidR="008458B2" w:rsidRPr="00233C54" w:rsidRDefault="008458B2" w:rsidP="00394B43">
            <w:r>
              <w:t>Идентификационен номер:</w:t>
            </w:r>
          </w:p>
          <w:p w:rsidR="008458B2" w:rsidRPr="00233C54" w:rsidRDefault="008458B2" w:rsidP="00394B43">
            <w:r>
              <w:t>Пощенски адрес:</w:t>
            </w:r>
          </w:p>
          <w:p w:rsidR="00394B43" w:rsidRPr="00233C54" w:rsidRDefault="00394B43" w:rsidP="00394B43"/>
          <w:p w:rsidR="008458B2" w:rsidRPr="00233C54" w:rsidRDefault="008458B2" w:rsidP="00394B43">
            <w:r>
              <w:t xml:space="preserve">Степен на представителност: </w:t>
            </w:r>
          </w:p>
          <w:p w:rsidR="00394B43" w:rsidRPr="00233C54" w:rsidRDefault="00394B43" w:rsidP="00394B43"/>
        </w:tc>
        <w:tc>
          <w:tcPr>
            <w:tcW w:w="4536" w:type="dxa"/>
          </w:tcPr>
          <w:p w:rsidR="00342DC8" w:rsidRPr="00233C54" w:rsidRDefault="00342DC8" w:rsidP="00342DC8">
            <w:r>
              <w:t>Име:</w:t>
            </w:r>
          </w:p>
          <w:p w:rsidR="00342DC8" w:rsidRPr="00233C54" w:rsidRDefault="00342DC8" w:rsidP="00342DC8">
            <w:r>
              <w:t xml:space="preserve">Функция: </w:t>
            </w:r>
          </w:p>
          <w:p w:rsidR="00342DC8" w:rsidRPr="00233C54" w:rsidRDefault="00342DC8" w:rsidP="00342DC8">
            <w:r>
              <w:t>Телефонен номер:</w:t>
            </w:r>
          </w:p>
          <w:p w:rsidR="008458B2" w:rsidRPr="00233C54" w:rsidRDefault="00342DC8" w:rsidP="00342DC8">
            <w:r>
              <w:t>Електронна поща:</w:t>
            </w:r>
          </w:p>
        </w:tc>
      </w:tr>
      <w:tr w:rsidR="00394B43" w:rsidRPr="00233C54" w:rsidTr="001C21E5">
        <w:tc>
          <w:tcPr>
            <w:tcW w:w="4531" w:type="dxa"/>
          </w:tcPr>
          <w:p w:rsidR="00394B43" w:rsidRPr="00233C54" w:rsidRDefault="00394B43" w:rsidP="00394B43">
            <w:r>
              <w:t xml:space="preserve">Юридическо наименование: </w:t>
            </w:r>
          </w:p>
          <w:p w:rsidR="00394B43" w:rsidRPr="00233C54" w:rsidRDefault="00394B43" w:rsidP="00394B43"/>
          <w:p w:rsidR="00394B43" w:rsidRPr="00233C54" w:rsidRDefault="00394B43" w:rsidP="00394B43">
            <w:r>
              <w:t>Идентификационен номер:</w:t>
            </w:r>
          </w:p>
          <w:p w:rsidR="00394B43" w:rsidRPr="00233C54" w:rsidRDefault="00394B43" w:rsidP="00394B43">
            <w:r>
              <w:t>Пощенски адрес:</w:t>
            </w:r>
          </w:p>
          <w:p w:rsidR="00394B43" w:rsidRPr="00233C54" w:rsidRDefault="00394B43" w:rsidP="00394B43"/>
          <w:p w:rsidR="00394B43" w:rsidRPr="00233C54" w:rsidRDefault="00394B43" w:rsidP="00394B43">
            <w:r>
              <w:t xml:space="preserve">Степен на представителност: </w:t>
            </w:r>
          </w:p>
          <w:p w:rsidR="00394B43" w:rsidRPr="00233C54" w:rsidRDefault="00394B43" w:rsidP="00394B43"/>
        </w:tc>
        <w:tc>
          <w:tcPr>
            <w:tcW w:w="4536" w:type="dxa"/>
          </w:tcPr>
          <w:p w:rsidR="00342DC8" w:rsidRPr="00233C54" w:rsidRDefault="00342DC8" w:rsidP="00342DC8">
            <w:r>
              <w:t>Име:</w:t>
            </w:r>
          </w:p>
          <w:p w:rsidR="00342DC8" w:rsidRPr="00233C54" w:rsidRDefault="00342DC8" w:rsidP="00342DC8">
            <w:r>
              <w:t xml:space="preserve">Функция: </w:t>
            </w:r>
          </w:p>
          <w:p w:rsidR="00342DC8" w:rsidRPr="00233C54" w:rsidRDefault="00342DC8" w:rsidP="00342DC8">
            <w:r>
              <w:t>Телефонен номер:</w:t>
            </w:r>
          </w:p>
          <w:p w:rsidR="00394B43" w:rsidRPr="00233C54" w:rsidRDefault="00342DC8" w:rsidP="00342DC8">
            <w:r>
              <w:t>Електронна поща:</w:t>
            </w:r>
          </w:p>
        </w:tc>
      </w:tr>
      <w:tr w:rsidR="00394B43" w:rsidRPr="00233C54" w:rsidTr="001C21E5">
        <w:tc>
          <w:tcPr>
            <w:tcW w:w="4531" w:type="dxa"/>
          </w:tcPr>
          <w:p w:rsidR="00394B43" w:rsidRPr="00233C54" w:rsidRDefault="00394B43" w:rsidP="00394B43">
            <w:r>
              <w:t xml:space="preserve">Юридическо наименование: </w:t>
            </w:r>
          </w:p>
          <w:p w:rsidR="00394B43" w:rsidRPr="00233C54" w:rsidRDefault="00394B43" w:rsidP="00394B43"/>
          <w:p w:rsidR="00394B43" w:rsidRPr="00233C54" w:rsidRDefault="00394B43" w:rsidP="00394B43">
            <w:r>
              <w:t>Идентификационен номер:</w:t>
            </w:r>
          </w:p>
          <w:p w:rsidR="00394B43" w:rsidRPr="00233C54" w:rsidRDefault="00394B43" w:rsidP="00394B43">
            <w:r>
              <w:t>Пощенски адрес:</w:t>
            </w:r>
          </w:p>
          <w:p w:rsidR="00394B43" w:rsidRPr="00233C54" w:rsidRDefault="00394B43" w:rsidP="00394B43"/>
          <w:p w:rsidR="00394B43" w:rsidRPr="00233C54" w:rsidRDefault="00394B43" w:rsidP="00394B43">
            <w:r>
              <w:t xml:space="preserve">Степен на представителност: </w:t>
            </w:r>
          </w:p>
          <w:p w:rsidR="00394B43" w:rsidRPr="00233C54" w:rsidRDefault="00394B43" w:rsidP="00394B43"/>
        </w:tc>
        <w:tc>
          <w:tcPr>
            <w:tcW w:w="4536" w:type="dxa"/>
          </w:tcPr>
          <w:p w:rsidR="00342DC8" w:rsidRPr="00233C54" w:rsidRDefault="00342DC8" w:rsidP="00342DC8">
            <w:r>
              <w:t>Име:</w:t>
            </w:r>
          </w:p>
          <w:p w:rsidR="00342DC8" w:rsidRPr="00233C54" w:rsidRDefault="00342DC8" w:rsidP="00342DC8">
            <w:r>
              <w:t xml:space="preserve">Функция: </w:t>
            </w:r>
          </w:p>
          <w:p w:rsidR="00342DC8" w:rsidRPr="00233C54" w:rsidRDefault="00342DC8" w:rsidP="00342DC8">
            <w:r>
              <w:t>Телефонен номер:</w:t>
            </w:r>
          </w:p>
          <w:p w:rsidR="00394B43" w:rsidRPr="00233C54" w:rsidRDefault="00342DC8" w:rsidP="00342DC8">
            <w:r>
              <w:t>Електронна поща:</w:t>
            </w:r>
          </w:p>
        </w:tc>
      </w:tr>
    </w:tbl>
    <w:p w:rsidR="008458B2" w:rsidRPr="00233C54" w:rsidRDefault="008458B2" w:rsidP="004865C9">
      <w:pPr>
        <w:jc w:val="both"/>
        <w:rPr>
          <w:b/>
          <w:i/>
        </w:rPr>
      </w:pPr>
    </w:p>
    <w:tbl>
      <w:tblPr>
        <w:tblStyle w:val="TableGrid"/>
        <w:tblW w:w="9067" w:type="dxa"/>
        <w:tblLook w:val="04A0" w:firstRow="1" w:lastRow="0" w:firstColumn="1" w:lastColumn="0" w:noHBand="0" w:noVBand="1"/>
      </w:tblPr>
      <w:tblGrid>
        <w:gridCol w:w="4531"/>
        <w:gridCol w:w="4536"/>
      </w:tblGrid>
      <w:tr w:rsidR="00394B43" w:rsidRPr="00233C54" w:rsidTr="001C21E5">
        <w:tc>
          <w:tcPr>
            <w:tcW w:w="4531" w:type="dxa"/>
            <w:shd w:val="clear" w:color="auto" w:fill="BFBFBF" w:themeFill="background1" w:themeFillShade="BF"/>
          </w:tcPr>
          <w:p w:rsidR="00394B43" w:rsidRPr="00233C54" w:rsidRDefault="00394B43" w:rsidP="00394B43">
            <w:pPr>
              <w:rPr>
                <w:b/>
                <w:i/>
              </w:rPr>
            </w:pPr>
            <w:r>
              <w:rPr>
                <w:b/>
                <w:i/>
              </w:rPr>
              <w:t>Експерти</w:t>
            </w:r>
          </w:p>
        </w:tc>
        <w:tc>
          <w:tcPr>
            <w:tcW w:w="4536" w:type="dxa"/>
            <w:shd w:val="clear" w:color="auto" w:fill="BFBFBF" w:themeFill="background1" w:themeFillShade="BF"/>
          </w:tcPr>
          <w:p w:rsidR="00394B43" w:rsidRPr="00233C54" w:rsidRDefault="00394B43" w:rsidP="00394B43">
            <w:pPr>
              <w:rPr>
                <w:b/>
              </w:rPr>
            </w:pPr>
            <w:r>
              <w:rPr>
                <w:b/>
              </w:rPr>
              <w:t>Лица за контакт</w:t>
            </w:r>
          </w:p>
        </w:tc>
      </w:tr>
      <w:tr w:rsidR="00394B43" w:rsidRPr="00233C54" w:rsidTr="001C21E5">
        <w:tc>
          <w:tcPr>
            <w:tcW w:w="4531" w:type="dxa"/>
          </w:tcPr>
          <w:p w:rsidR="00394B43" w:rsidRPr="00233C54" w:rsidRDefault="00394B43" w:rsidP="00394B43">
            <w:r>
              <w:t xml:space="preserve">Юридическо наименование: </w:t>
            </w:r>
          </w:p>
          <w:p w:rsidR="00394B43" w:rsidRPr="00233C54" w:rsidRDefault="00394B43" w:rsidP="00394B43">
            <w:r>
              <w:t>Идентификационен номер:</w:t>
            </w:r>
          </w:p>
          <w:p w:rsidR="00394B43" w:rsidRPr="00233C54" w:rsidRDefault="00394B43" w:rsidP="00394B43">
            <w:r>
              <w:t>Пощенски адрес:</w:t>
            </w:r>
          </w:p>
          <w:p w:rsidR="00394B43" w:rsidRPr="00233C54" w:rsidRDefault="00394B43" w:rsidP="00394B43"/>
        </w:tc>
        <w:tc>
          <w:tcPr>
            <w:tcW w:w="4536" w:type="dxa"/>
          </w:tcPr>
          <w:p w:rsidR="00342DC8" w:rsidRPr="00233C54" w:rsidRDefault="00342DC8" w:rsidP="00342DC8">
            <w:r>
              <w:t>Име:</w:t>
            </w:r>
          </w:p>
          <w:p w:rsidR="00342DC8" w:rsidRPr="00233C54" w:rsidRDefault="00342DC8" w:rsidP="00342DC8">
            <w:r>
              <w:t xml:space="preserve">Функция: </w:t>
            </w:r>
          </w:p>
          <w:p w:rsidR="00342DC8" w:rsidRPr="00233C54" w:rsidRDefault="00342DC8" w:rsidP="00342DC8">
            <w:r>
              <w:t>Телефонен номер:</w:t>
            </w:r>
          </w:p>
          <w:p w:rsidR="00394B43" w:rsidRPr="00233C54" w:rsidRDefault="00342DC8" w:rsidP="00342DC8">
            <w:r>
              <w:t>Електронна поща:</w:t>
            </w:r>
          </w:p>
        </w:tc>
      </w:tr>
      <w:tr w:rsidR="00394B43" w:rsidRPr="00233C54" w:rsidTr="001C21E5">
        <w:tc>
          <w:tcPr>
            <w:tcW w:w="4531" w:type="dxa"/>
          </w:tcPr>
          <w:p w:rsidR="00394B43" w:rsidRPr="00233C54" w:rsidRDefault="00394B43" w:rsidP="00394B43">
            <w:r>
              <w:t xml:space="preserve">Юридическо наименование: </w:t>
            </w:r>
          </w:p>
          <w:p w:rsidR="00394B43" w:rsidRPr="00233C54" w:rsidRDefault="00394B43" w:rsidP="00394B43">
            <w:r>
              <w:t>Идентификационен номер:</w:t>
            </w:r>
          </w:p>
          <w:p w:rsidR="00394B43" w:rsidRPr="00233C54" w:rsidRDefault="00394B43" w:rsidP="00394B43">
            <w:r>
              <w:t>Пощенски адрес:</w:t>
            </w:r>
          </w:p>
          <w:p w:rsidR="00394B43" w:rsidRPr="00233C54" w:rsidRDefault="00394B43" w:rsidP="00394B43"/>
        </w:tc>
        <w:tc>
          <w:tcPr>
            <w:tcW w:w="4536" w:type="dxa"/>
          </w:tcPr>
          <w:p w:rsidR="00342DC8" w:rsidRPr="00233C54" w:rsidRDefault="00342DC8" w:rsidP="00342DC8">
            <w:r>
              <w:t>Име:</w:t>
            </w:r>
          </w:p>
          <w:p w:rsidR="00342DC8" w:rsidRPr="00233C54" w:rsidRDefault="00342DC8" w:rsidP="00342DC8">
            <w:r>
              <w:t xml:space="preserve">Функция: </w:t>
            </w:r>
          </w:p>
          <w:p w:rsidR="00342DC8" w:rsidRPr="00233C54" w:rsidRDefault="00342DC8" w:rsidP="00342DC8">
            <w:r>
              <w:t>Телефонен номер:</w:t>
            </w:r>
          </w:p>
          <w:p w:rsidR="00394B43" w:rsidRPr="00233C54" w:rsidRDefault="00342DC8" w:rsidP="00342DC8">
            <w:r>
              <w:t>Електронна поща:</w:t>
            </w:r>
          </w:p>
        </w:tc>
      </w:tr>
      <w:tr w:rsidR="00394B43" w:rsidRPr="00233C54" w:rsidTr="001C21E5">
        <w:tc>
          <w:tcPr>
            <w:tcW w:w="4531" w:type="dxa"/>
          </w:tcPr>
          <w:p w:rsidR="00394B43" w:rsidRPr="00233C54" w:rsidRDefault="00394B43" w:rsidP="00394B43">
            <w:r>
              <w:t xml:space="preserve">Юридическо наименование: </w:t>
            </w:r>
          </w:p>
          <w:p w:rsidR="00394B43" w:rsidRPr="00233C54" w:rsidRDefault="00394B43" w:rsidP="00394B43">
            <w:r>
              <w:t>Идентификационен номер:</w:t>
            </w:r>
          </w:p>
          <w:p w:rsidR="00394B43" w:rsidRPr="00233C54" w:rsidRDefault="00394B43" w:rsidP="00394B43">
            <w:r>
              <w:t>Пощенски адрес:</w:t>
            </w:r>
          </w:p>
          <w:p w:rsidR="00394B43" w:rsidRPr="00233C54" w:rsidRDefault="00394B43" w:rsidP="00394B43"/>
        </w:tc>
        <w:tc>
          <w:tcPr>
            <w:tcW w:w="4536" w:type="dxa"/>
          </w:tcPr>
          <w:p w:rsidR="00342DC8" w:rsidRPr="00233C54" w:rsidRDefault="00342DC8" w:rsidP="00342DC8">
            <w:r>
              <w:t>Име:</w:t>
            </w:r>
          </w:p>
          <w:p w:rsidR="00342DC8" w:rsidRPr="00233C54" w:rsidRDefault="00342DC8" w:rsidP="00342DC8">
            <w:r>
              <w:t xml:space="preserve">Функция: </w:t>
            </w:r>
          </w:p>
          <w:p w:rsidR="00342DC8" w:rsidRPr="00233C54" w:rsidRDefault="00342DC8" w:rsidP="00342DC8">
            <w:r>
              <w:t>Телефонен номер:</w:t>
            </w:r>
          </w:p>
          <w:p w:rsidR="00394B43" w:rsidRPr="00233C54" w:rsidRDefault="00342DC8" w:rsidP="00342DC8">
            <w:r>
              <w:t>Електронна поща:</w:t>
            </w:r>
          </w:p>
        </w:tc>
      </w:tr>
    </w:tbl>
    <w:p w:rsidR="00394B43" w:rsidRPr="00233C54" w:rsidRDefault="00394B43" w:rsidP="004865C9">
      <w:pPr>
        <w:jc w:val="both"/>
        <w:rPr>
          <w:b/>
          <w:i/>
        </w:rPr>
      </w:pPr>
    </w:p>
    <w:p w:rsidR="00A865CB" w:rsidRPr="00233C54" w:rsidRDefault="00A865CB">
      <w:pPr>
        <w:spacing w:after="160" w:line="259" w:lineRule="auto"/>
        <w:rPr>
          <w:b/>
        </w:rPr>
      </w:pPr>
      <w:r>
        <w:br w:type="page"/>
      </w:r>
    </w:p>
    <w:p w:rsidR="008B622F" w:rsidRPr="00233C54" w:rsidRDefault="008B622F" w:rsidP="008B622F">
      <w:pPr>
        <w:spacing w:after="240"/>
        <w:jc w:val="both"/>
        <w:rPr>
          <w:b/>
          <w:sz w:val="24"/>
          <w:szCs w:val="24"/>
        </w:rPr>
      </w:pPr>
      <w:r>
        <w:rPr>
          <w:b/>
          <w:sz w:val="24"/>
          <w:szCs w:val="24"/>
        </w:rPr>
        <w:lastRenderedPageBreak/>
        <w:t xml:space="preserve">II — Цел, обосновка, мотивировка и обхват на </w:t>
      </w:r>
      <w:r>
        <w:rPr>
          <w:b/>
          <w:i/>
          <w:sz w:val="24"/>
          <w:szCs w:val="24"/>
        </w:rPr>
        <w:t>съвместната дейност</w:t>
      </w:r>
    </w:p>
    <w:tbl>
      <w:tblPr>
        <w:tblStyle w:val="TableGrid"/>
        <w:tblW w:w="9209" w:type="dxa"/>
        <w:tblLook w:val="04A0" w:firstRow="1" w:lastRow="0" w:firstColumn="1" w:lastColumn="0" w:noHBand="0" w:noVBand="1"/>
      </w:tblPr>
      <w:tblGrid>
        <w:gridCol w:w="9209"/>
      </w:tblGrid>
      <w:tr w:rsidR="00A865CB" w:rsidRPr="00233C54" w:rsidTr="00A865CB">
        <w:tc>
          <w:tcPr>
            <w:tcW w:w="9209" w:type="dxa"/>
          </w:tcPr>
          <w:p w:rsidR="00A865CB" w:rsidRPr="00233C54" w:rsidRDefault="00A865CB" w:rsidP="00A865CB">
            <w:pPr>
              <w:rPr>
                <w:i/>
                <w:sz w:val="18"/>
                <w:szCs w:val="18"/>
              </w:rPr>
            </w:pPr>
            <w:r>
              <w:rPr>
                <w:b/>
              </w:rPr>
              <w:t xml:space="preserve">Цел на съвместната дейност </w:t>
            </w:r>
            <w:r>
              <w:rPr>
                <w:i/>
                <w:sz w:val="18"/>
                <w:szCs w:val="18"/>
              </w:rPr>
              <w:t>(Поставете отметка в съответното(ите) квадратче(та)</w:t>
            </w:r>
          </w:p>
          <w:p w:rsidR="00E0406C" w:rsidRPr="00233C54" w:rsidRDefault="00E0406C" w:rsidP="00A865CB">
            <w:pPr>
              <w:rPr>
                <w:i/>
                <w:sz w:val="18"/>
                <w:szCs w:val="18"/>
              </w:rPr>
            </w:pPr>
          </w:p>
          <w:p w:rsidR="00A865CB" w:rsidRPr="00233C54" w:rsidRDefault="00A865CB" w:rsidP="00E0406C">
            <w:pPr>
              <w:pStyle w:val="ListParagraph"/>
              <w:numPr>
                <w:ilvl w:val="0"/>
                <w:numId w:val="20"/>
              </w:numPr>
              <w:ind w:left="1560" w:hanging="709"/>
              <w:contextualSpacing w:val="0"/>
              <w:jc w:val="both"/>
              <w:rPr>
                <w:sz w:val="24"/>
                <w:szCs w:val="24"/>
              </w:rPr>
            </w:pPr>
            <w:r>
              <w:rPr>
                <w:sz w:val="24"/>
                <w:szCs w:val="24"/>
              </w:rPr>
              <w:t>Насърчаване на съответствието</w:t>
            </w:r>
          </w:p>
          <w:p w:rsidR="00A865CB" w:rsidRPr="00233C54" w:rsidRDefault="00A865CB" w:rsidP="00E0406C">
            <w:pPr>
              <w:pStyle w:val="ListParagraph"/>
              <w:numPr>
                <w:ilvl w:val="0"/>
                <w:numId w:val="20"/>
              </w:numPr>
              <w:ind w:left="1560" w:hanging="709"/>
              <w:contextualSpacing w:val="0"/>
              <w:jc w:val="both"/>
              <w:rPr>
                <w:sz w:val="24"/>
                <w:szCs w:val="24"/>
              </w:rPr>
            </w:pPr>
            <w:r>
              <w:rPr>
                <w:sz w:val="24"/>
                <w:szCs w:val="24"/>
              </w:rPr>
              <w:t>Установяване на несъответствия</w:t>
            </w:r>
          </w:p>
          <w:p w:rsidR="00A865CB" w:rsidRPr="00233C54" w:rsidRDefault="00A865CB" w:rsidP="00E0406C">
            <w:pPr>
              <w:pStyle w:val="ListParagraph"/>
              <w:numPr>
                <w:ilvl w:val="0"/>
                <w:numId w:val="20"/>
              </w:numPr>
              <w:ind w:left="1560" w:hanging="709"/>
              <w:contextualSpacing w:val="0"/>
              <w:jc w:val="both"/>
              <w:rPr>
                <w:sz w:val="24"/>
                <w:szCs w:val="24"/>
              </w:rPr>
            </w:pPr>
            <w:r>
              <w:rPr>
                <w:sz w:val="24"/>
                <w:szCs w:val="24"/>
              </w:rPr>
              <w:t>Повишаване на осведомеността</w:t>
            </w:r>
          </w:p>
          <w:p w:rsidR="00A865CB" w:rsidRPr="00233C54" w:rsidRDefault="00A865CB" w:rsidP="00E0406C">
            <w:pPr>
              <w:pStyle w:val="ListParagraph"/>
              <w:numPr>
                <w:ilvl w:val="0"/>
                <w:numId w:val="20"/>
              </w:numPr>
              <w:ind w:left="1560" w:hanging="709"/>
              <w:contextualSpacing w:val="0"/>
              <w:jc w:val="both"/>
              <w:rPr>
                <w:sz w:val="24"/>
                <w:szCs w:val="24"/>
              </w:rPr>
            </w:pPr>
            <w:r>
              <w:rPr>
                <w:sz w:val="24"/>
                <w:szCs w:val="24"/>
              </w:rPr>
              <w:t xml:space="preserve">Предоставяне на насоки </w:t>
            </w:r>
            <w:r>
              <w:t xml:space="preserve">във </w:t>
            </w:r>
            <w:r>
              <w:rPr>
                <w:sz w:val="24"/>
                <w:szCs w:val="24"/>
              </w:rPr>
              <w:t>връзка със законодателството на Съюза за хармонизация</w:t>
            </w:r>
          </w:p>
          <w:p w:rsidR="00E0406C" w:rsidRPr="00233C54" w:rsidRDefault="00E0406C" w:rsidP="00E0406C">
            <w:pPr>
              <w:jc w:val="both"/>
              <w:rPr>
                <w:sz w:val="24"/>
                <w:szCs w:val="24"/>
              </w:rPr>
            </w:pPr>
          </w:p>
        </w:tc>
      </w:tr>
    </w:tbl>
    <w:p w:rsidR="00A865CB" w:rsidRPr="00233C54" w:rsidRDefault="00A865CB" w:rsidP="004865C9">
      <w:pPr>
        <w:rPr>
          <w:b/>
          <w:lang w:eastAsia="fr-BE"/>
        </w:rPr>
      </w:pPr>
    </w:p>
    <w:p w:rsidR="004865C9" w:rsidRPr="00233C54" w:rsidRDefault="004865C9" w:rsidP="00A865CB">
      <w:pPr>
        <w:pBdr>
          <w:top w:val="single" w:sz="4" w:space="1" w:color="auto"/>
          <w:left w:val="single" w:sz="4" w:space="0" w:color="auto"/>
          <w:bottom w:val="single" w:sz="4" w:space="1" w:color="auto"/>
          <w:right w:val="single" w:sz="4" w:space="4" w:color="auto"/>
        </w:pBdr>
        <w:rPr>
          <w:b/>
        </w:rPr>
      </w:pPr>
      <w:r>
        <w:rPr>
          <w:b/>
        </w:rPr>
        <w:t xml:space="preserve">Обосновка и мотивировка: </w:t>
      </w:r>
    </w:p>
    <w:p w:rsidR="00A865CB" w:rsidRPr="00233C54" w:rsidRDefault="00A865CB" w:rsidP="00A865CB">
      <w:pPr>
        <w:pBdr>
          <w:top w:val="single" w:sz="4" w:space="1" w:color="auto"/>
          <w:left w:val="single" w:sz="4" w:space="0" w:color="auto"/>
          <w:bottom w:val="single" w:sz="4" w:space="1" w:color="auto"/>
          <w:right w:val="single" w:sz="4" w:space="4" w:color="auto"/>
        </w:pBdr>
        <w:rPr>
          <w:b/>
          <w:lang w:eastAsia="fr-BE"/>
        </w:rPr>
      </w:pPr>
    </w:p>
    <w:p w:rsidR="00A865CB" w:rsidRPr="00233C54" w:rsidRDefault="00A865CB" w:rsidP="00A865CB">
      <w:pPr>
        <w:pBdr>
          <w:top w:val="single" w:sz="4" w:space="1" w:color="auto"/>
          <w:left w:val="single" w:sz="4" w:space="0" w:color="auto"/>
          <w:bottom w:val="single" w:sz="4" w:space="1" w:color="auto"/>
          <w:right w:val="single" w:sz="4" w:space="4" w:color="auto"/>
        </w:pBdr>
        <w:rPr>
          <w:b/>
          <w:lang w:eastAsia="fr-BE"/>
        </w:rPr>
      </w:pPr>
    </w:p>
    <w:p w:rsidR="00A865CB" w:rsidRPr="00233C54" w:rsidRDefault="00A865CB" w:rsidP="00A865CB">
      <w:pPr>
        <w:pBdr>
          <w:top w:val="single" w:sz="4" w:space="1" w:color="auto"/>
          <w:left w:val="single" w:sz="4" w:space="0" w:color="auto"/>
          <w:bottom w:val="single" w:sz="4" w:space="1" w:color="auto"/>
          <w:right w:val="single" w:sz="4" w:space="4" w:color="auto"/>
        </w:pBdr>
        <w:rPr>
          <w:b/>
          <w:lang w:eastAsia="fr-BE"/>
        </w:rPr>
      </w:pPr>
    </w:p>
    <w:p w:rsidR="00A865CB" w:rsidRPr="00233C54" w:rsidRDefault="00A865CB" w:rsidP="00A865CB">
      <w:pPr>
        <w:pBdr>
          <w:top w:val="single" w:sz="4" w:space="1" w:color="auto"/>
          <w:left w:val="single" w:sz="4" w:space="0" w:color="auto"/>
          <w:bottom w:val="single" w:sz="4" w:space="1" w:color="auto"/>
          <w:right w:val="single" w:sz="4" w:space="4" w:color="auto"/>
        </w:pBdr>
        <w:rPr>
          <w:b/>
          <w:lang w:eastAsia="fr-BE"/>
        </w:rPr>
      </w:pPr>
    </w:p>
    <w:p w:rsidR="004865C9" w:rsidRPr="00233C54" w:rsidRDefault="004865C9" w:rsidP="00A865CB">
      <w:pPr>
        <w:pBdr>
          <w:top w:val="single" w:sz="4" w:space="1" w:color="auto"/>
          <w:left w:val="single" w:sz="4" w:space="0" w:color="auto"/>
          <w:bottom w:val="single" w:sz="4" w:space="1" w:color="auto"/>
          <w:right w:val="single" w:sz="4" w:space="4" w:color="auto"/>
        </w:pBdr>
        <w:rPr>
          <w:lang w:eastAsia="fr-BE"/>
        </w:rPr>
      </w:pPr>
    </w:p>
    <w:p w:rsidR="00394B43" w:rsidRPr="00233C54" w:rsidRDefault="00394B43" w:rsidP="00394B43">
      <w:pPr>
        <w:rPr>
          <w:b/>
          <w:lang w:eastAsia="fr-BE"/>
        </w:rPr>
      </w:pPr>
    </w:p>
    <w:p w:rsidR="004865C9" w:rsidRPr="00233C54" w:rsidRDefault="004865C9" w:rsidP="00394B43">
      <w:pPr>
        <w:pBdr>
          <w:top w:val="single" w:sz="4" w:space="1" w:color="auto"/>
          <w:left w:val="single" w:sz="4" w:space="0" w:color="auto"/>
          <w:bottom w:val="single" w:sz="4" w:space="1" w:color="auto"/>
          <w:right w:val="single" w:sz="4" w:space="4" w:color="auto"/>
        </w:pBdr>
      </w:pPr>
      <w:r>
        <w:rPr>
          <w:b/>
        </w:rPr>
        <w:t>Обхват</w:t>
      </w:r>
      <w:r>
        <w:t xml:space="preserve"> </w:t>
      </w:r>
    </w:p>
    <w:p w:rsidR="001C21E5" w:rsidRPr="00233C54" w:rsidRDefault="001C21E5" w:rsidP="00394B43">
      <w:pPr>
        <w:pBdr>
          <w:top w:val="single" w:sz="4" w:space="1" w:color="auto"/>
          <w:left w:val="single" w:sz="4" w:space="0" w:color="auto"/>
          <w:bottom w:val="single" w:sz="4" w:space="1" w:color="auto"/>
          <w:right w:val="single" w:sz="4" w:space="4" w:color="auto"/>
        </w:pBdr>
      </w:pPr>
    </w:p>
    <w:p w:rsidR="001C21E5" w:rsidRPr="00233C54" w:rsidRDefault="001C21E5" w:rsidP="00394B43">
      <w:pPr>
        <w:pBdr>
          <w:top w:val="single" w:sz="4" w:space="1" w:color="auto"/>
          <w:left w:val="single" w:sz="4" w:space="0" w:color="auto"/>
          <w:bottom w:val="single" w:sz="4" w:space="1" w:color="auto"/>
          <w:right w:val="single" w:sz="4" w:space="4" w:color="auto"/>
        </w:pBdr>
      </w:pPr>
    </w:p>
    <w:p w:rsidR="001C21E5" w:rsidRPr="00233C54" w:rsidRDefault="001C21E5" w:rsidP="00394B43">
      <w:pPr>
        <w:pBdr>
          <w:top w:val="single" w:sz="4" w:space="1" w:color="auto"/>
          <w:left w:val="single" w:sz="4" w:space="0" w:color="auto"/>
          <w:bottom w:val="single" w:sz="4" w:space="1" w:color="auto"/>
          <w:right w:val="single" w:sz="4" w:space="4" w:color="auto"/>
        </w:pBdr>
      </w:pPr>
    </w:p>
    <w:p w:rsidR="001C21E5" w:rsidRPr="00233C54" w:rsidRDefault="001C21E5" w:rsidP="00394B43">
      <w:pPr>
        <w:pBdr>
          <w:top w:val="single" w:sz="4" w:space="1" w:color="auto"/>
          <w:left w:val="single" w:sz="4" w:space="0" w:color="auto"/>
          <w:bottom w:val="single" w:sz="4" w:space="1" w:color="auto"/>
          <w:right w:val="single" w:sz="4" w:space="4" w:color="auto"/>
        </w:pBdr>
      </w:pPr>
    </w:p>
    <w:p w:rsidR="001C21E5" w:rsidRPr="00233C54" w:rsidRDefault="001C21E5" w:rsidP="00394B43">
      <w:pPr>
        <w:pBdr>
          <w:top w:val="single" w:sz="4" w:space="1" w:color="auto"/>
          <w:left w:val="single" w:sz="4" w:space="0" w:color="auto"/>
          <w:bottom w:val="single" w:sz="4" w:space="1" w:color="auto"/>
          <w:right w:val="single" w:sz="4" w:space="4" w:color="auto"/>
        </w:pBdr>
      </w:pPr>
    </w:p>
    <w:p w:rsidR="004865C9" w:rsidRPr="00233C54" w:rsidRDefault="004865C9" w:rsidP="00394B43">
      <w:pPr>
        <w:pBdr>
          <w:top w:val="single" w:sz="4" w:space="1" w:color="auto"/>
          <w:left w:val="single" w:sz="4" w:space="0" w:color="auto"/>
          <w:bottom w:val="single" w:sz="4" w:space="1" w:color="auto"/>
          <w:right w:val="single" w:sz="4" w:space="4" w:color="auto"/>
        </w:pBdr>
      </w:pPr>
      <w:r>
        <w:t>Съвместната дейност ще продължи от ………………….. до ……………</w:t>
      </w:r>
    </w:p>
    <w:p w:rsidR="001C21E5" w:rsidRPr="00233C54" w:rsidRDefault="001C21E5" w:rsidP="00394B43">
      <w:pPr>
        <w:pBdr>
          <w:top w:val="single" w:sz="4" w:space="1" w:color="auto"/>
          <w:left w:val="single" w:sz="4" w:space="0" w:color="auto"/>
          <w:bottom w:val="single" w:sz="4" w:space="1" w:color="auto"/>
          <w:right w:val="single" w:sz="4" w:space="4" w:color="auto"/>
        </w:pBdr>
      </w:pPr>
    </w:p>
    <w:p w:rsidR="008B622F" w:rsidRPr="00233C54" w:rsidRDefault="00A865CB" w:rsidP="008B622F">
      <w:pPr>
        <w:jc w:val="both"/>
        <w:rPr>
          <w:i/>
          <w:sz w:val="18"/>
          <w:szCs w:val="18"/>
        </w:rPr>
      </w:pPr>
      <w:r>
        <w:rPr>
          <w:i/>
          <w:sz w:val="18"/>
          <w:szCs w:val="18"/>
        </w:rPr>
        <w:t xml:space="preserve"> (По-подробна информация може да се включи в приложените придружаващи документи).</w:t>
      </w:r>
    </w:p>
    <w:p w:rsidR="00394B43" w:rsidRPr="00233C54" w:rsidRDefault="00394B43" w:rsidP="008B622F">
      <w:pPr>
        <w:jc w:val="both"/>
        <w:rPr>
          <w:i/>
          <w:sz w:val="18"/>
          <w:szCs w:val="18"/>
        </w:rPr>
      </w:pPr>
    </w:p>
    <w:p w:rsidR="008B622F" w:rsidRPr="00233C54" w:rsidRDefault="008B622F" w:rsidP="008B622F">
      <w:pPr>
        <w:spacing w:after="240"/>
        <w:jc w:val="both"/>
        <w:rPr>
          <w:b/>
          <w:sz w:val="24"/>
          <w:szCs w:val="24"/>
        </w:rPr>
      </w:pPr>
      <w:r>
        <w:rPr>
          <w:b/>
          <w:sz w:val="24"/>
          <w:szCs w:val="24"/>
        </w:rPr>
        <w:t xml:space="preserve">III — Ресурси </w:t>
      </w:r>
    </w:p>
    <w:tbl>
      <w:tblPr>
        <w:tblStyle w:val="TableGrid"/>
        <w:tblW w:w="0" w:type="auto"/>
        <w:tblLook w:val="04A0" w:firstRow="1" w:lastRow="0" w:firstColumn="1" w:lastColumn="0" w:noHBand="0" w:noVBand="1"/>
      </w:tblPr>
      <w:tblGrid>
        <w:gridCol w:w="2350"/>
        <w:gridCol w:w="4197"/>
        <w:gridCol w:w="2741"/>
      </w:tblGrid>
      <w:tr w:rsidR="008B622F" w:rsidRPr="00233C54" w:rsidTr="008B622F">
        <w:tc>
          <w:tcPr>
            <w:tcW w:w="2405" w:type="dxa"/>
            <w:shd w:val="clear" w:color="auto" w:fill="D0CECE" w:themeFill="background2" w:themeFillShade="E6"/>
          </w:tcPr>
          <w:p w:rsidR="008B622F" w:rsidRPr="00233C54" w:rsidRDefault="008B622F" w:rsidP="008B622F">
            <w:pPr>
              <w:jc w:val="both"/>
              <w:rPr>
                <w:i/>
                <w:sz w:val="18"/>
                <w:szCs w:val="18"/>
              </w:rPr>
            </w:pPr>
            <w:r>
              <w:rPr>
                <w:b/>
              </w:rPr>
              <w:t>ДОСТАВЧИК:</w:t>
            </w:r>
          </w:p>
        </w:tc>
        <w:tc>
          <w:tcPr>
            <w:tcW w:w="4394" w:type="dxa"/>
            <w:shd w:val="clear" w:color="auto" w:fill="D0CECE" w:themeFill="background2" w:themeFillShade="E6"/>
          </w:tcPr>
          <w:p w:rsidR="008B622F" w:rsidRPr="00233C54" w:rsidRDefault="008B622F" w:rsidP="008B622F">
            <w:pPr>
              <w:spacing w:after="60"/>
              <w:jc w:val="both"/>
              <w:rPr>
                <w:b/>
              </w:rPr>
            </w:pPr>
            <w:r>
              <w:rPr>
                <w:b/>
              </w:rPr>
              <w:t>РЕСУРС:</w:t>
            </w:r>
          </w:p>
        </w:tc>
        <w:tc>
          <w:tcPr>
            <w:tcW w:w="2829" w:type="dxa"/>
            <w:shd w:val="clear" w:color="auto" w:fill="D0CECE" w:themeFill="background2" w:themeFillShade="E6"/>
          </w:tcPr>
          <w:p w:rsidR="008B622F" w:rsidRPr="00233C54" w:rsidRDefault="008B622F" w:rsidP="008B622F">
            <w:pPr>
              <w:jc w:val="both"/>
              <w:rPr>
                <w:b/>
              </w:rPr>
            </w:pPr>
            <w:r>
              <w:rPr>
                <w:b/>
              </w:rPr>
              <w:t xml:space="preserve">СТОЙНОСТ:  </w:t>
            </w:r>
          </w:p>
        </w:tc>
      </w:tr>
      <w:tr w:rsidR="008B622F" w:rsidRPr="00233C54" w:rsidTr="008B622F">
        <w:tc>
          <w:tcPr>
            <w:tcW w:w="2405" w:type="dxa"/>
          </w:tcPr>
          <w:p w:rsidR="00394B43" w:rsidRPr="00233C54" w:rsidRDefault="00394B43">
            <w:pPr>
              <w:jc w:val="both"/>
              <w:rPr>
                <w:b/>
              </w:rPr>
            </w:pPr>
          </w:p>
          <w:p w:rsidR="00394B43" w:rsidRPr="00233C54" w:rsidRDefault="00394B43">
            <w:pPr>
              <w:jc w:val="both"/>
              <w:rPr>
                <w:b/>
              </w:rPr>
            </w:pPr>
          </w:p>
        </w:tc>
        <w:tc>
          <w:tcPr>
            <w:tcW w:w="4394" w:type="dxa"/>
          </w:tcPr>
          <w:p w:rsidR="0024491B" w:rsidRPr="00233C54" w:rsidRDefault="0024491B" w:rsidP="008B622F">
            <w:pPr>
              <w:spacing w:after="60"/>
              <w:jc w:val="both"/>
              <w:rPr>
                <w:b/>
              </w:rPr>
            </w:pPr>
          </w:p>
        </w:tc>
        <w:tc>
          <w:tcPr>
            <w:tcW w:w="2829" w:type="dxa"/>
          </w:tcPr>
          <w:p w:rsidR="008B622F" w:rsidRPr="00233C54" w:rsidRDefault="008B622F" w:rsidP="008B622F">
            <w:pPr>
              <w:jc w:val="both"/>
              <w:rPr>
                <w:b/>
                <w:i/>
              </w:rPr>
            </w:pPr>
          </w:p>
        </w:tc>
      </w:tr>
      <w:tr w:rsidR="008B622F" w:rsidRPr="00233C54" w:rsidTr="008B622F">
        <w:tc>
          <w:tcPr>
            <w:tcW w:w="2405" w:type="dxa"/>
          </w:tcPr>
          <w:p w:rsidR="008B622F" w:rsidRPr="00233C54" w:rsidRDefault="008B622F" w:rsidP="008B622F">
            <w:pPr>
              <w:jc w:val="both"/>
              <w:rPr>
                <w:b/>
              </w:rPr>
            </w:pPr>
          </w:p>
          <w:p w:rsidR="00394B43" w:rsidRPr="00233C54" w:rsidRDefault="00394B43" w:rsidP="008B622F">
            <w:pPr>
              <w:jc w:val="both"/>
              <w:rPr>
                <w:b/>
              </w:rPr>
            </w:pPr>
          </w:p>
        </w:tc>
        <w:tc>
          <w:tcPr>
            <w:tcW w:w="4394" w:type="dxa"/>
          </w:tcPr>
          <w:p w:rsidR="008B622F" w:rsidRPr="00233C54" w:rsidRDefault="008B622F" w:rsidP="008B622F">
            <w:pPr>
              <w:spacing w:after="60"/>
              <w:jc w:val="both"/>
              <w:rPr>
                <w:b/>
              </w:rPr>
            </w:pPr>
          </w:p>
        </w:tc>
        <w:tc>
          <w:tcPr>
            <w:tcW w:w="2829" w:type="dxa"/>
          </w:tcPr>
          <w:p w:rsidR="008B622F" w:rsidRPr="00233C54" w:rsidRDefault="008B622F" w:rsidP="008B622F">
            <w:pPr>
              <w:jc w:val="both"/>
              <w:rPr>
                <w:b/>
              </w:rPr>
            </w:pPr>
          </w:p>
        </w:tc>
      </w:tr>
      <w:tr w:rsidR="008B622F" w:rsidRPr="00233C54" w:rsidTr="008B622F">
        <w:tc>
          <w:tcPr>
            <w:tcW w:w="2405" w:type="dxa"/>
          </w:tcPr>
          <w:p w:rsidR="008B622F" w:rsidRPr="00233C54" w:rsidRDefault="008B622F" w:rsidP="008B622F">
            <w:pPr>
              <w:jc w:val="both"/>
              <w:rPr>
                <w:b/>
              </w:rPr>
            </w:pPr>
          </w:p>
          <w:p w:rsidR="00394B43" w:rsidRPr="00233C54" w:rsidRDefault="00394B43" w:rsidP="008B622F">
            <w:pPr>
              <w:jc w:val="both"/>
              <w:rPr>
                <w:b/>
              </w:rPr>
            </w:pPr>
          </w:p>
        </w:tc>
        <w:tc>
          <w:tcPr>
            <w:tcW w:w="4394" w:type="dxa"/>
          </w:tcPr>
          <w:p w:rsidR="008B622F" w:rsidRPr="00233C54" w:rsidRDefault="008B622F" w:rsidP="008B622F">
            <w:pPr>
              <w:spacing w:after="60"/>
              <w:jc w:val="both"/>
              <w:rPr>
                <w:b/>
              </w:rPr>
            </w:pPr>
          </w:p>
        </w:tc>
        <w:tc>
          <w:tcPr>
            <w:tcW w:w="2829" w:type="dxa"/>
          </w:tcPr>
          <w:p w:rsidR="008B622F" w:rsidRPr="00233C54" w:rsidRDefault="008B622F" w:rsidP="008B622F">
            <w:pPr>
              <w:jc w:val="both"/>
              <w:rPr>
                <w:b/>
              </w:rPr>
            </w:pPr>
          </w:p>
        </w:tc>
      </w:tr>
      <w:tr w:rsidR="008B622F" w:rsidRPr="00233C54" w:rsidTr="008B622F">
        <w:tc>
          <w:tcPr>
            <w:tcW w:w="2405" w:type="dxa"/>
          </w:tcPr>
          <w:p w:rsidR="00394B43" w:rsidRPr="00233C54" w:rsidRDefault="00394B43" w:rsidP="008B622F">
            <w:pPr>
              <w:jc w:val="both"/>
              <w:rPr>
                <w:b/>
              </w:rPr>
            </w:pPr>
          </w:p>
          <w:p w:rsidR="00394B43" w:rsidRPr="00233C54" w:rsidRDefault="00394B43" w:rsidP="008B622F">
            <w:pPr>
              <w:jc w:val="both"/>
              <w:rPr>
                <w:b/>
              </w:rPr>
            </w:pPr>
          </w:p>
        </w:tc>
        <w:tc>
          <w:tcPr>
            <w:tcW w:w="4394" w:type="dxa"/>
          </w:tcPr>
          <w:p w:rsidR="008B622F" w:rsidRPr="00233C54" w:rsidRDefault="008B622F" w:rsidP="008B622F">
            <w:pPr>
              <w:spacing w:after="60"/>
              <w:jc w:val="both"/>
              <w:rPr>
                <w:b/>
              </w:rPr>
            </w:pPr>
          </w:p>
        </w:tc>
        <w:tc>
          <w:tcPr>
            <w:tcW w:w="2829" w:type="dxa"/>
          </w:tcPr>
          <w:p w:rsidR="008B622F" w:rsidRPr="00233C54" w:rsidRDefault="008B622F" w:rsidP="008B622F">
            <w:pPr>
              <w:jc w:val="both"/>
              <w:rPr>
                <w:b/>
              </w:rPr>
            </w:pPr>
          </w:p>
        </w:tc>
      </w:tr>
      <w:tr w:rsidR="00A865CB" w:rsidRPr="00233C54" w:rsidTr="008B622F">
        <w:tc>
          <w:tcPr>
            <w:tcW w:w="2405" w:type="dxa"/>
          </w:tcPr>
          <w:p w:rsidR="00A865CB" w:rsidRPr="00233C54" w:rsidRDefault="00A865CB" w:rsidP="008B622F">
            <w:pPr>
              <w:jc w:val="both"/>
              <w:rPr>
                <w:b/>
              </w:rPr>
            </w:pPr>
          </w:p>
          <w:p w:rsidR="00394B43" w:rsidRPr="00233C54" w:rsidRDefault="00394B43" w:rsidP="008B622F">
            <w:pPr>
              <w:jc w:val="both"/>
              <w:rPr>
                <w:b/>
              </w:rPr>
            </w:pPr>
          </w:p>
        </w:tc>
        <w:tc>
          <w:tcPr>
            <w:tcW w:w="4394" w:type="dxa"/>
          </w:tcPr>
          <w:p w:rsidR="00A865CB" w:rsidRPr="00233C54" w:rsidRDefault="00A865CB" w:rsidP="008B622F">
            <w:pPr>
              <w:spacing w:after="60"/>
              <w:jc w:val="both"/>
              <w:rPr>
                <w:b/>
              </w:rPr>
            </w:pPr>
          </w:p>
        </w:tc>
        <w:tc>
          <w:tcPr>
            <w:tcW w:w="2829" w:type="dxa"/>
          </w:tcPr>
          <w:p w:rsidR="00A865CB" w:rsidRPr="00233C54" w:rsidRDefault="00A865CB" w:rsidP="008B622F">
            <w:pPr>
              <w:jc w:val="both"/>
              <w:rPr>
                <w:b/>
              </w:rPr>
            </w:pPr>
          </w:p>
        </w:tc>
      </w:tr>
      <w:tr w:rsidR="00A865CB" w:rsidRPr="00233C54" w:rsidTr="008B622F">
        <w:tc>
          <w:tcPr>
            <w:tcW w:w="2405" w:type="dxa"/>
          </w:tcPr>
          <w:p w:rsidR="00A865CB" w:rsidRPr="00233C54" w:rsidRDefault="00A865CB" w:rsidP="008B622F">
            <w:pPr>
              <w:jc w:val="both"/>
              <w:rPr>
                <w:b/>
              </w:rPr>
            </w:pPr>
          </w:p>
          <w:p w:rsidR="00394B43" w:rsidRPr="00233C54" w:rsidRDefault="00394B43" w:rsidP="008B622F">
            <w:pPr>
              <w:jc w:val="both"/>
              <w:rPr>
                <w:b/>
              </w:rPr>
            </w:pPr>
          </w:p>
        </w:tc>
        <w:tc>
          <w:tcPr>
            <w:tcW w:w="4394" w:type="dxa"/>
          </w:tcPr>
          <w:p w:rsidR="00A865CB" w:rsidRPr="00233C54" w:rsidRDefault="00A865CB" w:rsidP="008B622F">
            <w:pPr>
              <w:spacing w:after="60"/>
              <w:jc w:val="both"/>
              <w:rPr>
                <w:b/>
              </w:rPr>
            </w:pPr>
          </w:p>
        </w:tc>
        <w:tc>
          <w:tcPr>
            <w:tcW w:w="2829" w:type="dxa"/>
          </w:tcPr>
          <w:p w:rsidR="00A865CB" w:rsidRPr="00233C54" w:rsidRDefault="00A865CB" w:rsidP="008B622F">
            <w:pPr>
              <w:jc w:val="both"/>
              <w:rPr>
                <w:b/>
              </w:rPr>
            </w:pPr>
          </w:p>
        </w:tc>
      </w:tr>
      <w:tr w:rsidR="00394B43" w:rsidRPr="00233C54" w:rsidTr="008B622F">
        <w:tc>
          <w:tcPr>
            <w:tcW w:w="2405" w:type="dxa"/>
          </w:tcPr>
          <w:p w:rsidR="00394B43" w:rsidRPr="00233C54" w:rsidRDefault="00394B43" w:rsidP="008B622F">
            <w:pPr>
              <w:jc w:val="both"/>
              <w:rPr>
                <w:b/>
              </w:rPr>
            </w:pPr>
          </w:p>
          <w:p w:rsidR="00394B43" w:rsidRPr="00233C54" w:rsidRDefault="00394B43" w:rsidP="008B622F">
            <w:pPr>
              <w:jc w:val="both"/>
              <w:rPr>
                <w:b/>
              </w:rPr>
            </w:pPr>
          </w:p>
        </w:tc>
        <w:tc>
          <w:tcPr>
            <w:tcW w:w="4394" w:type="dxa"/>
          </w:tcPr>
          <w:p w:rsidR="00394B43" w:rsidRPr="00233C54" w:rsidRDefault="00394B43" w:rsidP="008B622F">
            <w:pPr>
              <w:spacing w:after="60"/>
              <w:jc w:val="both"/>
              <w:rPr>
                <w:b/>
              </w:rPr>
            </w:pPr>
          </w:p>
        </w:tc>
        <w:tc>
          <w:tcPr>
            <w:tcW w:w="2829" w:type="dxa"/>
          </w:tcPr>
          <w:p w:rsidR="00394B43" w:rsidRPr="00233C54" w:rsidRDefault="00394B43" w:rsidP="008B622F">
            <w:pPr>
              <w:jc w:val="both"/>
              <w:rPr>
                <w:b/>
              </w:rPr>
            </w:pPr>
          </w:p>
        </w:tc>
      </w:tr>
    </w:tbl>
    <w:p w:rsidR="008B622F" w:rsidRPr="00233C54" w:rsidRDefault="008B622F" w:rsidP="008B622F">
      <w:pPr>
        <w:jc w:val="both"/>
        <w:rPr>
          <w:i/>
          <w:sz w:val="18"/>
          <w:szCs w:val="18"/>
        </w:rPr>
      </w:pPr>
      <w:r>
        <w:rPr>
          <w:i/>
          <w:sz w:val="18"/>
          <w:szCs w:val="18"/>
        </w:rPr>
        <w:t>(По-подробна информация може да се включи в приложените придружаващи документи).</w:t>
      </w:r>
    </w:p>
    <w:p w:rsidR="00A865CB" w:rsidRPr="00233C54" w:rsidRDefault="00A865CB">
      <w:pPr>
        <w:spacing w:after="160" w:line="259" w:lineRule="auto"/>
      </w:pPr>
      <w:r>
        <w:br w:type="page"/>
      </w:r>
    </w:p>
    <w:p w:rsidR="008B622F" w:rsidRPr="00233C54" w:rsidRDefault="008B622F" w:rsidP="008B622F">
      <w:pPr>
        <w:spacing w:after="240"/>
        <w:jc w:val="both"/>
        <w:rPr>
          <w:b/>
          <w:sz w:val="24"/>
          <w:szCs w:val="24"/>
        </w:rPr>
      </w:pPr>
      <w:r>
        <w:rPr>
          <w:b/>
          <w:sz w:val="24"/>
          <w:szCs w:val="24"/>
        </w:rPr>
        <w:lastRenderedPageBreak/>
        <w:t>IV — Споделяне на резултати и информация</w:t>
      </w:r>
    </w:p>
    <w:tbl>
      <w:tblPr>
        <w:tblStyle w:val="TableGrid"/>
        <w:tblW w:w="0" w:type="auto"/>
        <w:tblLook w:val="04A0" w:firstRow="1" w:lastRow="0" w:firstColumn="1" w:lastColumn="0" w:noHBand="0" w:noVBand="1"/>
      </w:tblPr>
      <w:tblGrid>
        <w:gridCol w:w="9288"/>
      </w:tblGrid>
      <w:tr w:rsidR="008B622F" w:rsidRPr="00233C54" w:rsidTr="008B622F">
        <w:tc>
          <w:tcPr>
            <w:tcW w:w="9628" w:type="dxa"/>
          </w:tcPr>
          <w:p w:rsidR="008B622F" w:rsidRPr="00233C54" w:rsidRDefault="008B622F" w:rsidP="008B622F">
            <w:pPr>
              <w:jc w:val="both"/>
            </w:pPr>
          </w:p>
          <w:p w:rsidR="008B622F" w:rsidRPr="00233C54" w:rsidRDefault="008B622F" w:rsidP="008B622F">
            <w:pPr>
              <w:jc w:val="both"/>
            </w:pPr>
          </w:p>
          <w:p w:rsidR="008B622F" w:rsidRPr="00233C54" w:rsidRDefault="008B622F" w:rsidP="008B622F">
            <w:pPr>
              <w:jc w:val="both"/>
            </w:pPr>
          </w:p>
          <w:p w:rsidR="008B622F" w:rsidRPr="00233C54" w:rsidRDefault="008B622F" w:rsidP="008B622F">
            <w:pPr>
              <w:jc w:val="both"/>
            </w:pPr>
          </w:p>
          <w:p w:rsidR="0039220D" w:rsidRPr="00233C54" w:rsidRDefault="0039220D" w:rsidP="008B622F">
            <w:pPr>
              <w:jc w:val="both"/>
            </w:pPr>
          </w:p>
          <w:p w:rsidR="0039220D" w:rsidRPr="00233C54" w:rsidRDefault="0039220D" w:rsidP="008B622F">
            <w:pPr>
              <w:jc w:val="both"/>
            </w:pPr>
          </w:p>
          <w:p w:rsidR="0039220D" w:rsidRPr="00233C54" w:rsidRDefault="0039220D" w:rsidP="008B622F">
            <w:pPr>
              <w:jc w:val="both"/>
            </w:pPr>
          </w:p>
          <w:p w:rsidR="008B622F" w:rsidRPr="00233C54" w:rsidRDefault="008B622F" w:rsidP="008B622F">
            <w:pPr>
              <w:jc w:val="both"/>
            </w:pPr>
          </w:p>
          <w:p w:rsidR="008B622F" w:rsidRPr="00233C54" w:rsidRDefault="008B622F" w:rsidP="008B622F">
            <w:pPr>
              <w:jc w:val="both"/>
            </w:pPr>
          </w:p>
          <w:p w:rsidR="008B622F" w:rsidRPr="00233C54" w:rsidRDefault="008B622F" w:rsidP="008B622F">
            <w:pPr>
              <w:jc w:val="both"/>
            </w:pPr>
          </w:p>
          <w:p w:rsidR="008B622F" w:rsidRPr="00233C54" w:rsidRDefault="008B622F" w:rsidP="008B622F">
            <w:pPr>
              <w:jc w:val="both"/>
            </w:pPr>
          </w:p>
        </w:tc>
      </w:tr>
    </w:tbl>
    <w:p w:rsidR="008B622F" w:rsidRPr="00233C54" w:rsidRDefault="008B622F" w:rsidP="008B622F">
      <w:pPr>
        <w:spacing w:after="240"/>
        <w:jc w:val="both"/>
        <w:rPr>
          <w:i/>
          <w:sz w:val="18"/>
          <w:szCs w:val="18"/>
        </w:rPr>
      </w:pPr>
      <w:r>
        <w:rPr>
          <w:i/>
          <w:sz w:val="18"/>
          <w:szCs w:val="18"/>
        </w:rPr>
        <w:t>(По-подробна информация може да се включи в приложените придружаващи документи).</w:t>
      </w:r>
    </w:p>
    <w:p w:rsidR="008B622F" w:rsidRPr="00233C54" w:rsidRDefault="008B622F" w:rsidP="008B622F">
      <w:pPr>
        <w:jc w:val="both"/>
        <w:rPr>
          <w:b/>
        </w:rPr>
      </w:pPr>
      <w:r>
        <w:rPr>
          <w:b/>
        </w:rPr>
        <w:t>V — Подписване</w:t>
      </w:r>
    </w:p>
    <w:p w:rsidR="001C21E5" w:rsidRPr="00233C54" w:rsidRDefault="001C21E5" w:rsidP="008B622F">
      <w:pPr>
        <w:jc w:val="both"/>
        <w:rPr>
          <w:b/>
        </w:rPr>
      </w:pPr>
    </w:p>
    <w:tbl>
      <w:tblPr>
        <w:tblStyle w:val="TableGrid"/>
        <w:tblW w:w="0" w:type="auto"/>
        <w:tblLook w:val="04A0" w:firstRow="1" w:lastRow="0" w:firstColumn="1" w:lastColumn="0" w:noHBand="0" w:noVBand="1"/>
      </w:tblPr>
      <w:tblGrid>
        <w:gridCol w:w="5665"/>
        <w:gridCol w:w="1237"/>
        <w:gridCol w:w="2160"/>
      </w:tblGrid>
      <w:tr w:rsidR="00A865CB" w:rsidRPr="00233C54" w:rsidTr="001C21E5">
        <w:trPr>
          <w:trHeight w:val="312"/>
        </w:trPr>
        <w:tc>
          <w:tcPr>
            <w:tcW w:w="5665" w:type="dxa"/>
            <w:shd w:val="clear" w:color="auto" w:fill="BFBFBF" w:themeFill="background1" w:themeFillShade="BF"/>
          </w:tcPr>
          <w:p w:rsidR="00A865CB" w:rsidRPr="00233C54" w:rsidRDefault="00A865CB" w:rsidP="00A865CB">
            <w:pPr>
              <w:jc w:val="both"/>
              <w:rPr>
                <w:b/>
              </w:rPr>
            </w:pPr>
            <w:r>
              <w:rPr>
                <w:b/>
              </w:rPr>
              <w:t>Страни</w:t>
            </w:r>
          </w:p>
        </w:tc>
        <w:tc>
          <w:tcPr>
            <w:tcW w:w="1237" w:type="dxa"/>
            <w:shd w:val="clear" w:color="auto" w:fill="BFBFBF" w:themeFill="background1" w:themeFillShade="BF"/>
          </w:tcPr>
          <w:p w:rsidR="00A865CB" w:rsidRPr="00233C54" w:rsidRDefault="001C21E5" w:rsidP="008B622F">
            <w:pPr>
              <w:jc w:val="both"/>
              <w:rPr>
                <w:b/>
              </w:rPr>
            </w:pPr>
            <w:r>
              <w:rPr>
                <w:b/>
              </w:rPr>
              <w:t>Дата</w:t>
            </w:r>
          </w:p>
        </w:tc>
        <w:tc>
          <w:tcPr>
            <w:tcW w:w="2160" w:type="dxa"/>
            <w:shd w:val="clear" w:color="auto" w:fill="BFBFBF" w:themeFill="background1" w:themeFillShade="BF"/>
          </w:tcPr>
          <w:p w:rsidR="00A865CB" w:rsidRPr="00233C54" w:rsidRDefault="00A865CB" w:rsidP="008B622F">
            <w:pPr>
              <w:jc w:val="both"/>
              <w:rPr>
                <w:b/>
              </w:rPr>
            </w:pPr>
            <w:r>
              <w:rPr>
                <w:b/>
              </w:rPr>
              <w:t>Подпис</w:t>
            </w:r>
          </w:p>
        </w:tc>
      </w:tr>
      <w:tr w:rsidR="00A865CB" w:rsidRPr="00233C54" w:rsidTr="001C21E5">
        <w:trPr>
          <w:trHeight w:val="266"/>
        </w:trPr>
        <w:tc>
          <w:tcPr>
            <w:tcW w:w="9062" w:type="dxa"/>
            <w:gridSpan w:val="3"/>
            <w:shd w:val="clear" w:color="auto" w:fill="E7E6E6" w:themeFill="background2"/>
          </w:tcPr>
          <w:p w:rsidR="00A865CB" w:rsidRPr="00233C54" w:rsidRDefault="00A865CB" w:rsidP="008B622F">
            <w:pPr>
              <w:jc w:val="both"/>
              <w:rPr>
                <w:b/>
                <w:i/>
              </w:rPr>
            </w:pPr>
            <w:r>
              <w:rPr>
                <w:b/>
                <w:i/>
              </w:rPr>
              <w:t>Органи за надзор на пазара:</w:t>
            </w:r>
          </w:p>
        </w:tc>
      </w:tr>
      <w:tr w:rsidR="00A865CB" w:rsidRPr="00233C54" w:rsidTr="001C21E5">
        <w:trPr>
          <w:trHeight w:val="270"/>
        </w:trPr>
        <w:tc>
          <w:tcPr>
            <w:tcW w:w="5665" w:type="dxa"/>
          </w:tcPr>
          <w:p w:rsidR="00A865CB" w:rsidRPr="00233C54" w:rsidRDefault="00A865CB" w:rsidP="008B622F">
            <w:pPr>
              <w:jc w:val="both"/>
            </w:pPr>
          </w:p>
        </w:tc>
        <w:tc>
          <w:tcPr>
            <w:tcW w:w="1237" w:type="dxa"/>
          </w:tcPr>
          <w:p w:rsidR="00A865CB" w:rsidRPr="00233C54" w:rsidRDefault="00A865CB" w:rsidP="008B622F">
            <w:pPr>
              <w:jc w:val="both"/>
            </w:pPr>
          </w:p>
        </w:tc>
        <w:tc>
          <w:tcPr>
            <w:tcW w:w="2160" w:type="dxa"/>
          </w:tcPr>
          <w:p w:rsidR="00A865CB" w:rsidRPr="00233C54" w:rsidRDefault="00A865CB" w:rsidP="008B622F">
            <w:pPr>
              <w:jc w:val="both"/>
            </w:pPr>
          </w:p>
        </w:tc>
      </w:tr>
      <w:tr w:rsidR="00A865CB" w:rsidRPr="00233C54" w:rsidTr="001C21E5">
        <w:tc>
          <w:tcPr>
            <w:tcW w:w="5665" w:type="dxa"/>
          </w:tcPr>
          <w:p w:rsidR="00A865CB" w:rsidRPr="00233C54" w:rsidRDefault="00A865CB" w:rsidP="008B622F">
            <w:pPr>
              <w:jc w:val="both"/>
            </w:pPr>
          </w:p>
        </w:tc>
        <w:tc>
          <w:tcPr>
            <w:tcW w:w="1237" w:type="dxa"/>
          </w:tcPr>
          <w:p w:rsidR="00A865CB" w:rsidRPr="00233C54" w:rsidRDefault="00A865CB" w:rsidP="008B622F">
            <w:pPr>
              <w:jc w:val="both"/>
            </w:pPr>
          </w:p>
        </w:tc>
        <w:tc>
          <w:tcPr>
            <w:tcW w:w="2160" w:type="dxa"/>
          </w:tcPr>
          <w:p w:rsidR="00A865CB" w:rsidRPr="00233C54" w:rsidRDefault="00A865CB" w:rsidP="008B622F">
            <w:pPr>
              <w:jc w:val="both"/>
            </w:pPr>
          </w:p>
        </w:tc>
      </w:tr>
      <w:tr w:rsidR="00A865CB" w:rsidRPr="00233C54" w:rsidTr="001C21E5">
        <w:tc>
          <w:tcPr>
            <w:tcW w:w="5665" w:type="dxa"/>
          </w:tcPr>
          <w:p w:rsidR="00A865CB" w:rsidRPr="00233C54" w:rsidRDefault="00A865CB" w:rsidP="008B622F">
            <w:pPr>
              <w:jc w:val="both"/>
            </w:pPr>
          </w:p>
        </w:tc>
        <w:tc>
          <w:tcPr>
            <w:tcW w:w="1237" w:type="dxa"/>
          </w:tcPr>
          <w:p w:rsidR="00A865CB" w:rsidRPr="00233C54" w:rsidRDefault="00A865CB" w:rsidP="008B622F">
            <w:pPr>
              <w:jc w:val="both"/>
            </w:pPr>
          </w:p>
        </w:tc>
        <w:tc>
          <w:tcPr>
            <w:tcW w:w="2160" w:type="dxa"/>
          </w:tcPr>
          <w:p w:rsidR="00A865CB" w:rsidRPr="00233C54" w:rsidRDefault="00A865CB" w:rsidP="008B622F">
            <w:pPr>
              <w:jc w:val="both"/>
            </w:pPr>
          </w:p>
        </w:tc>
      </w:tr>
      <w:tr w:rsidR="00A865CB" w:rsidRPr="00233C54" w:rsidTr="001C21E5">
        <w:tc>
          <w:tcPr>
            <w:tcW w:w="9062" w:type="dxa"/>
            <w:gridSpan w:val="3"/>
            <w:shd w:val="clear" w:color="auto" w:fill="E7E6E6" w:themeFill="background2"/>
          </w:tcPr>
          <w:p w:rsidR="00A865CB" w:rsidRPr="00233C54" w:rsidRDefault="00A865CB" w:rsidP="008B622F">
            <w:pPr>
              <w:jc w:val="both"/>
              <w:rPr>
                <w:b/>
              </w:rPr>
            </w:pPr>
            <w:r>
              <w:rPr>
                <w:b/>
                <w:i/>
              </w:rPr>
              <w:t>Други съответни органи:</w:t>
            </w:r>
          </w:p>
        </w:tc>
      </w:tr>
      <w:tr w:rsidR="00A865CB" w:rsidRPr="00233C54" w:rsidTr="001C21E5">
        <w:tc>
          <w:tcPr>
            <w:tcW w:w="5665" w:type="dxa"/>
          </w:tcPr>
          <w:p w:rsidR="00A865CB" w:rsidRPr="00233C54" w:rsidRDefault="00A865CB" w:rsidP="008B622F">
            <w:pPr>
              <w:jc w:val="both"/>
            </w:pPr>
          </w:p>
        </w:tc>
        <w:tc>
          <w:tcPr>
            <w:tcW w:w="1237" w:type="dxa"/>
          </w:tcPr>
          <w:p w:rsidR="00A865CB" w:rsidRPr="00233C54" w:rsidRDefault="00A865CB" w:rsidP="008B622F">
            <w:pPr>
              <w:jc w:val="both"/>
            </w:pPr>
          </w:p>
        </w:tc>
        <w:tc>
          <w:tcPr>
            <w:tcW w:w="2160" w:type="dxa"/>
          </w:tcPr>
          <w:p w:rsidR="00A865CB" w:rsidRPr="00233C54" w:rsidRDefault="00A865CB" w:rsidP="008B622F">
            <w:pPr>
              <w:jc w:val="both"/>
            </w:pPr>
          </w:p>
        </w:tc>
      </w:tr>
      <w:tr w:rsidR="00A865CB" w:rsidRPr="00233C54" w:rsidTr="001C21E5">
        <w:tc>
          <w:tcPr>
            <w:tcW w:w="5665" w:type="dxa"/>
          </w:tcPr>
          <w:p w:rsidR="00A865CB" w:rsidRPr="00233C54" w:rsidRDefault="00A865CB" w:rsidP="008B622F">
            <w:pPr>
              <w:jc w:val="both"/>
            </w:pPr>
          </w:p>
        </w:tc>
        <w:tc>
          <w:tcPr>
            <w:tcW w:w="1237" w:type="dxa"/>
          </w:tcPr>
          <w:p w:rsidR="00A865CB" w:rsidRPr="00233C54" w:rsidRDefault="00A865CB" w:rsidP="008B622F">
            <w:pPr>
              <w:jc w:val="both"/>
            </w:pPr>
          </w:p>
        </w:tc>
        <w:tc>
          <w:tcPr>
            <w:tcW w:w="2160" w:type="dxa"/>
          </w:tcPr>
          <w:p w:rsidR="00A865CB" w:rsidRPr="00233C54" w:rsidRDefault="00A865CB" w:rsidP="008B622F">
            <w:pPr>
              <w:jc w:val="both"/>
            </w:pPr>
          </w:p>
        </w:tc>
      </w:tr>
      <w:tr w:rsidR="00A865CB" w:rsidRPr="00233C54" w:rsidTr="001C21E5">
        <w:tc>
          <w:tcPr>
            <w:tcW w:w="5665" w:type="dxa"/>
          </w:tcPr>
          <w:p w:rsidR="00A865CB" w:rsidRPr="00233C54" w:rsidRDefault="00A865CB" w:rsidP="008B622F">
            <w:pPr>
              <w:jc w:val="both"/>
            </w:pPr>
          </w:p>
        </w:tc>
        <w:tc>
          <w:tcPr>
            <w:tcW w:w="1237" w:type="dxa"/>
          </w:tcPr>
          <w:p w:rsidR="00A865CB" w:rsidRPr="00233C54" w:rsidRDefault="00A865CB" w:rsidP="008B622F">
            <w:pPr>
              <w:jc w:val="both"/>
            </w:pPr>
          </w:p>
        </w:tc>
        <w:tc>
          <w:tcPr>
            <w:tcW w:w="2160" w:type="dxa"/>
          </w:tcPr>
          <w:p w:rsidR="00A865CB" w:rsidRPr="00233C54" w:rsidRDefault="00A865CB" w:rsidP="008B622F">
            <w:pPr>
              <w:jc w:val="both"/>
            </w:pPr>
          </w:p>
        </w:tc>
      </w:tr>
      <w:tr w:rsidR="00A865CB" w:rsidRPr="00233C54" w:rsidTr="001C21E5">
        <w:tc>
          <w:tcPr>
            <w:tcW w:w="9062" w:type="dxa"/>
            <w:gridSpan w:val="3"/>
            <w:shd w:val="clear" w:color="auto" w:fill="E7E6E6" w:themeFill="background2"/>
          </w:tcPr>
          <w:p w:rsidR="00A865CB" w:rsidRPr="00233C54" w:rsidRDefault="00A865CB" w:rsidP="008B622F">
            <w:pPr>
              <w:jc w:val="both"/>
              <w:rPr>
                <w:b/>
                <w:i/>
              </w:rPr>
            </w:pPr>
            <w:r>
              <w:rPr>
                <w:b/>
                <w:i/>
              </w:rPr>
              <w:t>Организации:</w:t>
            </w:r>
          </w:p>
        </w:tc>
      </w:tr>
      <w:tr w:rsidR="00A865CB" w:rsidRPr="00233C54" w:rsidTr="001C21E5">
        <w:tc>
          <w:tcPr>
            <w:tcW w:w="5665" w:type="dxa"/>
          </w:tcPr>
          <w:p w:rsidR="00A865CB" w:rsidRPr="00233C54" w:rsidRDefault="00A865CB" w:rsidP="008B622F">
            <w:pPr>
              <w:jc w:val="both"/>
            </w:pPr>
          </w:p>
        </w:tc>
        <w:tc>
          <w:tcPr>
            <w:tcW w:w="1237" w:type="dxa"/>
          </w:tcPr>
          <w:p w:rsidR="00A865CB" w:rsidRPr="00233C54" w:rsidRDefault="00A865CB" w:rsidP="008B622F">
            <w:pPr>
              <w:jc w:val="both"/>
            </w:pPr>
          </w:p>
        </w:tc>
        <w:tc>
          <w:tcPr>
            <w:tcW w:w="2160" w:type="dxa"/>
          </w:tcPr>
          <w:p w:rsidR="00A865CB" w:rsidRPr="00233C54" w:rsidRDefault="00A865CB" w:rsidP="008B622F">
            <w:pPr>
              <w:jc w:val="both"/>
            </w:pPr>
          </w:p>
        </w:tc>
      </w:tr>
      <w:tr w:rsidR="00A865CB" w:rsidRPr="00233C54" w:rsidTr="001C21E5">
        <w:tc>
          <w:tcPr>
            <w:tcW w:w="5665" w:type="dxa"/>
          </w:tcPr>
          <w:p w:rsidR="00A865CB" w:rsidRPr="00233C54" w:rsidRDefault="00A865CB" w:rsidP="008B622F">
            <w:pPr>
              <w:jc w:val="both"/>
            </w:pPr>
          </w:p>
        </w:tc>
        <w:tc>
          <w:tcPr>
            <w:tcW w:w="1237" w:type="dxa"/>
          </w:tcPr>
          <w:p w:rsidR="00A865CB" w:rsidRPr="00233C54" w:rsidRDefault="00A865CB" w:rsidP="008B622F">
            <w:pPr>
              <w:jc w:val="both"/>
            </w:pPr>
          </w:p>
        </w:tc>
        <w:tc>
          <w:tcPr>
            <w:tcW w:w="2160" w:type="dxa"/>
          </w:tcPr>
          <w:p w:rsidR="00A865CB" w:rsidRPr="00233C54" w:rsidRDefault="00A865CB" w:rsidP="008B622F">
            <w:pPr>
              <w:jc w:val="both"/>
            </w:pPr>
          </w:p>
        </w:tc>
      </w:tr>
      <w:tr w:rsidR="00A865CB" w:rsidRPr="00233C54" w:rsidTr="001C21E5">
        <w:tc>
          <w:tcPr>
            <w:tcW w:w="5665" w:type="dxa"/>
          </w:tcPr>
          <w:p w:rsidR="00A865CB" w:rsidRPr="00233C54" w:rsidRDefault="00A865CB" w:rsidP="008B622F">
            <w:pPr>
              <w:jc w:val="both"/>
            </w:pPr>
          </w:p>
        </w:tc>
        <w:tc>
          <w:tcPr>
            <w:tcW w:w="1237" w:type="dxa"/>
          </w:tcPr>
          <w:p w:rsidR="00A865CB" w:rsidRPr="00233C54" w:rsidRDefault="00A865CB" w:rsidP="008B622F">
            <w:pPr>
              <w:jc w:val="both"/>
            </w:pPr>
          </w:p>
        </w:tc>
        <w:tc>
          <w:tcPr>
            <w:tcW w:w="2160" w:type="dxa"/>
          </w:tcPr>
          <w:p w:rsidR="00A865CB" w:rsidRPr="00233C54" w:rsidRDefault="00A865CB" w:rsidP="008B622F">
            <w:pPr>
              <w:jc w:val="both"/>
            </w:pPr>
          </w:p>
        </w:tc>
      </w:tr>
      <w:tr w:rsidR="00A865CB" w:rsidRPr="00233C54" w:rsidTr="001C21E5">
        <w:tc>
          <w:tcPr>
            <w:tcW w:w="9062" w:type="dxa"/>
            <w:gridSpan w:val="3"/>
            <w:shd w:val="clear" w:color="auto" w:fill="E7E6E6" w:themeFill="background2"/>
          </w:tcPr>
          <w:p w:rsidR="00A865CB" w:rsidRPr="00233C54" w:rsidRDefault="00A865CB" w:rsidP="008B622F">
            <w:pPr>
              <w:jc w:val="both"/>
              <w:rPr>
                <w:b/>
                <w:i/>
              </w:rPr>
            </w:pPr>
            <w:r>
              <w:rPr>
                <w:b/>
                <w:i/>
              </w:rPr>
              <w:t>Експерти:</w:t>
            </w:r>
          </w:p>
        </w:tc>
      </w:tr>
      <w:tr w:rsidR="00A865CB" w:rsidRPr="00233C54" w:rsidTr="001C21E5">
        <w:tc>
          <w:tcPr>
            <w:tcW w:w="5665" w:type="dxa"/>
          </w:tcPr>
          <w:p w:rsidR="00A865CB" w:rsidRPr="00233C54" w:rsidRDefault="00A865CB" w:rsidP="008B622F">
            <w:pPr>
              <w:jc w:val="both"/>
            </w:pPr>
          </w:p>
        </w:tc>
        <w:tc>
          <w:tcPr>
            <w:tcW w:w="1237" w:type="dxa"/>
          </w:tcPr>
          <w:p w:rsidR="00A865CB" w:rsidRPr="00233C54" w:rsidRDefault="00A865CB" w:rsidP="008B622F">
            <w:pPr>
              <w:jc w:val="both"/>
            </w:pPr>
          </w:p>
        </w:tc>
        <w:tc>
          <w:tcPr>
            <w:tcW w:w="2160" w:type="dxa"/>
          </w:tcPr>
          <w:p w:rsidR="00A865CB" w:rsidRPr="00233C54" w:rsidRDefault="00A865CB" w:rsidP="008B622F">
            <w:pPr>
              <w:jc w:val="both"/>
            </w:pPr>
          </w:p>
        </w:tc>
      </w:tr>
      <w:tr w:rsidR="00A865CB" w:rsidRPr="00233C54" w:rsidTr="001C21E5">
        <w:tc>
          <w:tcPr>
            <w:tcW w:w="5665" w:type="dxa"/>
          </w:tcPr>
          <w:p w:rsidR="00A865CB" w:rsidRPr="00233C54" w:rsidRDefault="00A865CB" w:rsidP="008B622F">
            <w:pPr>
              <w:jc w:val="both"/>
            </w:pPr>
          </w:p>
        </w:tc>
        <w:tc>
          <w:tcPr>
            <w:tcW w:w="1237" w:type="dxa"/>
          </w:tcPr>
          <w:p w:rsidR="00A865CB" w:rsidRPr="00233C54" w:rsidRDefault="00A865CB" w:rsidP="008B622F">
            <w:pPr>
              <w:jc w:val="both"/>
            </w:pPr>
          </w:p>
        </w:tc>
        <w:tc>
          <w:tcPr>
            <w:tcW w:w="2160" w:type="dxa"/>
          </w:tcPr>
          <w:p w:rsidR="00A865CB" w:rsidRPr="00233C54" w:rsidRDefault="00A865CB" w:rsidP="008B622F">
            <w:pPr>
              <w:jc w:val="both"/>
            </w:pPr>
          </w:p>
        </w:tc>
      </w:tr>
      <w:tr w:rsidR="00A865CB" w:rsidRPr="00233C54" w:rsidTr="001C21E5">
        <w:tc>
          <w:tcPr>
            <w:tcW w:w="5665" w:type="dxa"/>
          </w:tcPr>
          <w:p w:rsidR="00A865CB" w:rsidRPr="00233C54" w:rsidRDefault="00A865CB" w:rsidP="008B622F">
            <w:pPr>
              <w:jc w:val="both"/>
            </w:pPr>
          </w:p>
        </w:tc>
        <w:tc>
          <w:tcPr>
            <w:tcW w:w="1237" w:type="dxa"/>
          </w:tcPr>
          <w:p w:rsidR="00A865CB" w:rsidRPr="00233C54" w:rsidRDefault="00A865CB" w:rsidP="008B622F">
            <w:pPr>
              <w:jc w:val="both"/>
            </w:pPr>
          </w:p>
        </w:tc>
        <w:tc>
          <w:tcPr>
            <w:tcW w:w="2160" w:type="dxa"/>
          </w:tcPr>
          <w:p w:rsidR="00A865CB" w:rsidRPr="00233C54" w:rsidRDefault="00A865CB" w:rsidP="008B622F">
            <w:pPr>
              <w:jc w:val="both"/>
            </w:pPr>
          </w:p>
        </w:tc>
      </w:tr>
    </w:tbl>
    <w:p w:rsidR="008B622F" w:rsidRPr="00233C54" w:rsidRDefault="008B622F" w:rsidP="008B622F">
      <w:pPr>
        <w:jc w:val="both"/>
      </w:pPr>
    </w:p>
    <w:p w:rsidR="008B622F" w:rsidRPr="00233C54" w:rsidRDefault="008B622F" w:rsidP="008B622F">
      <w:pPr>
        <w:rPr>
          <w:highlight w:val="yellow"/>
        </w:rPr>
      </w:pPr>
    </w:p>
    <w:p w:rsidR="003E23E9" w:rsidRPr="00233C54" w:rsidRDefault="003E23E9" w:rsidP="008B622F">
      <w:pPr>
        <w:rPr>
          <w:highlight w:val="yellow"/>
        </w:rPr>
      </w:pPr>
    </w:p>
    <w:sectPr w:rsidR="003E23E9" w:rsidRPr="00233C54" w:rsidSect="000130EA">
      <w:headerReference w:type="even" r:id="rId14"/>
      <w:headerReference w:type="default" r:id="rId15"/>
      <w:footerReference w:type="default" r:id="rId16"/>
      <w:headerReference w:type="first" r:id="rId17"/>
      <w:pgSz w:w="11906" w:h="16838"/>
      <w:pgMar w:top="1417"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7653" w16cex:dateUtc="2021-03-19T18:13:00Z"/>
  <w16cex:commentExtensible w16cex:durableId="23FF7920" w16cex:dateUtc="2021-03-19T18:25:00Z"/>
  <w16cex:commentExtensible w16cex:durableId="23FF79AE" w16cex:dateUtc="2021-03-19T18:27:00Z"/>
  <w16cex:commentExtensible w16cex:durableId="23FF79A4" w16cex:dateUtc="2021-03-19T18:27:00Z"/>
  <w16cex:commentExtensible w16cex:durableId="23FF79F0" w16cex:dateUtc="2021-03-19T18:28:00Z"/>
  <w16cex:commentExtensible w16cex:durableId="23FF7AA3" w16cex:dateUtc="2021-03-19T18:31:00Z"/>
  <w16cex:commentExtensible w16cex:durableId="23FF7B80" w16cex:dateUtc="2021-03-19T18:35:00Z"/>
  <w16cex:commentExtensible w16cex:durableId="23FF7C99" w16cex:dateUtc="2021-03-19T18:40:00Z"/>
  <w16cex:commentExtensible w16cex:durableId="23FF7F7F" w16cex:dateUtc="2021-03-19T18:52:00Z"/>
  <w16cex:commentExtensible w16cex:durableId="23FF8090" w16cex:dateUtc="2021-03-19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73DAA" w16cid:durableId="23FDF7B4"/>
  <w16cid:commentId w16cid:paraId="23442052" w16cid:durableId="23FDF7B5"/>
  <w16cid:commentId w16cid:paraId="4BBD381D" w16cid:durableId="24031123"/>
  <w16cid:commentId w16cid:paraId="1BAD6219" w16cid:durableId="23FDF822"/>
  <w16cid:commentId w16cid:paraId="7B21454F" w16cid:durableId="23FF7653"/>
  <w16cid:commentId w16cid:paraId="15B73B84" w16cid:durableId="24031126"/>
  <w16cid:commentId w16cid:paraId="02BD95CC" w16cid:durableId="23FDF8B8"/>
  <w16cid:commentId w16cid:paraId="70951299" w16cid:durableId="24031128"/>
  <w16cid:commentId w16cid:paraId="06B335E9" w16cid:durableId="23FDF7B6"/>
  <w16cid:commentId w16cid:paraId="75F4D55D" w16cid:durableId="2403112A"/>
  <w16cid:commentId w16cid:paraId="298D6F97" w16cid:durableId="23FDF7B7"/>
  <w16cid:commentId w16cid:paraId="45483405" w16cid:durableId="2403112C"/>
  <w16cid:commentId w16cid:paraId="31FEB678" w16cid:durableId="23FDF7B8"/>
  <w16cid:commentId w16cid:paraId="158F19B4" w16cid:durableId="2403112E"/>
  <w16cid:commentId w16cid:paraId="44273138" w16cid:durableId="23FDF7B9"/>
  <w16cid:commentId w16cid:paraId="2E980EA2" w16cid:durableId="23FDF7BA"/>
  <w16cid:commentId w16cid:paraId="1A7615CD" w16cid:durableId="23FDF7BB"/>
  <w16cid:commentId w16cid:paraId="0B5594D9" w16cid:durableId="23FDF7BC"/>
  <w16cid:commentId w16cid:paraId="33A6D937" w16cid:durableId="23FDF7BD"/>
  <w16cid:commentId w16cid:paraId="0BB23366" w16cid:durableId="24031134"/>
  <w16cid:commentId w16cid:paraId="22E7D6F1" w16cid:durableId="23FDF7BE"/>
  <w16cid:commentId w16cid:paraId="7BC3707E" w16cid:durableId="23FDF7BF"/>
  <w16cid:commentId w16cid:paraId="632A157A" w16cid:durableId="24031137"/>
  <w16cid:commentId w16cid:paraId="34141AD0" w16cid:durableId="23FDF7C0"/>
  <w16cid:commentId w16cid:paraId="20A06856" w16cid:durableId="24031139"/>
  <w16cid:commentId w16cid:paraId="02557B87" w16cid:durableId="23FDF7C1"/>
  <w16cid:commentId w16cid:paraId="0DDA66EA" w16cid:durableId="23FDF7C2"/>
  <w16cid:commentId w16cid:paraId="65967FA5" w16cid:durableId="23FDF7C3"/>
  <w16cid:commentId w16cid:paraId="19982955" w16cid:durableId="2403113D"/>
  <w16cid:commentId w16cid:paraId="11EB7E53" w16cid:durableId="23FDF900"/>
  <w16cid:commentId w16cid:paraId="127C440B" w16cid:durableId="2403113F"/>
  <w16cid:commentId w16cid:paraId="308C2EE9" w16cid:durableId="23FDF7C4"/>
  <w16cid:commentId w16cid:paraId="680487D0" w16cid:durableId="23FDF7C5"/>
  <w16cid:commentId w16cid:paraId="57D8A96E" w16cid:durableId="24031142"/>
  <w16cid:commentId w16cid:paraId="5E846E60" w16cid:durableId="23FDF934"/>
  <w16cid:commentId w16cid:paraId="49392D7F" w16cid:durableId="24031144"/>
  <w16cid:commentId w16cid:paraId="4002863A" w16cid:durableId="23FDF7C6"/>
  <w16cid:commentId w16cid:paraId="41912B6D" w16cid:durableId="24031146"/>
  <w16cid:commentId w16cid:paraId="3D3456A5" w16cid:durableId="23FDF7C7"/>
  <w16cid:commentId w16cid:paraId="2CAC2166" w16cid:durableId="23FDF7C8"/>
  <w16cid:commentId w16cid:paraId="7EFDE942" w16cid:durableId="23FDF7C9"/>
  <w16cid:commentId w16cid:paraId="35FD641B" w16cid:durableId="2403114A"/>
  <w16cid:commentId w16cid:paraId="13EE7F0A" w16cid:durableId="23FF7920"/>
  <w16cid:commentId w16cid:paraId="38BB99E8" w16cid:durableId="23FDF991"/>
  <w16cid:commentId w16cid:paraId="4AC7BE45" w16cid:durableId="2403114D"/>
  <w16cid:commentId w16cid:paraId="66C5BC80" w16cid:durableId="23FDF7CA"/>
  <w16cid:commentId w16cid:paraId="7B451EF0" w16cid:durableId="2403114F"/>
  <w16cid:commentId w16cid:paraId="599BC891" w16cid:durableId="23FDF7CB"/>
  <w16cid:commentId w16cid:paraId="486A3A6B" w16cid:durableId="23FDF7CC"/>
  <w16cid:commentId w16cid:paraId="4E2667DF" w16cid:durableId="23FDF7CD"/>
  <w16cid:commentId w16cid:paraId="6AD57261" w16cid:durableId="23FDF7CE"/>
  <w16cid:commentId w16cid:paraId="7FAE06D6" w16cid:durableId="23FF79AE"/>
  <w16cid:commentId w16cid:paraId="57846769" w16cid:durableId="24031155"/>
  <w16cid:commentId w16cid:paraId="1991E01D" w16cid:durableId="23FDF7CF"/>
  <w16cid:commentId w16cid:paraId="291C88CC" w16cid:durableId="23FF79A4"/>
  <w16cid:commentId w16cid:paraId="7AFEFE07" w16cid:durableId="23FF79F0"/>
  <w16cid:commentId w16cid:paraId="5D8245AD" w16cid:durableId="23FDF7D0"/>
  <w16cid:commentId w16cid:paraId="69B7DA62" w16cid:durableId="23FDF7D1"/>
  <w16cid:commentId w16cid:paraId="6FA0BA1F" w16cid:durableId="23FDF7D2"/>
  <w16cid:commentId w16cid:paraId="3F8993B7" w16cid:durableId="2403115C"/>
  <w16cid:commentId w16cid:paraId="7A3C6E63" w16cid:durableId="24031218"/>
  <w16cid:commentId w16cid:paraId="16D6DFE6" w16cid:durableId="23FF7AA3"/>
  <w16cid:commentId w16cid:paraId="7C4FEA49" w16cid:durableId="2403115E"/>
  <w16cid:commentId w16cid:paraId="04113957" w16cid:durableId="23FDF7D3"/>
  <w16cid:commentId w16cid:paraId="7B611DFD" w16cid:durableId="23FDF7D4"/>
  <w16cid:commentId w16cid:paraId="2EC5E5E5" w16cid:durableId="24031161"/>
  <w16cid:commentId w16cid:paraId="57C88013" w16cid:durableId="23FDF7D5"/>
  <w16cid:commentId w16cid:paraId="386BE6BB" w16cid:durableId="23FDF7D6"/>
  <w16cid:commentId w16cid:paraId="3304B0CD" w16cid:durableId="23FDF7D7"/>
  <w16cid:commentId w16cid:paraId="07DFF016" w16cid:durableId="23FDF7D8"/>
  <w16cid:commentId w16cid:paraId="2B50BD46" w16cid:durableId="24031166"/>
  <w16cid:commentId w16cid:paraId="61C40CFD" w16cid:durableId="24031426"/>
  <w16cid:commentId w16cid:paraId="62B2016D" w16cid:durableId="23FDF7D9"/>
  <w16cid:commentId w16cid:paraId="3616C559" w16cid:durableId="23FDF7DA"/>
  <w16cid:commentId w16cid:paraId="342DF4AD" w16cid:durableId="24031169"/>
  <w16cid:commentId w16cid:paraId="16062952" w16cid:durableId="23FDF7DB"/>
  <w16cid:commentId w16cid:paraId="056BD9BA" w16cid:durableId="23FDF7DC"/>
  <w16cid:commentId w16cid:paraId="2CE7B602" w16cid:durableId="23FDFA02"/>
  <w16cid:commentId w16cid:paraId="3B69DC56" w16cid:durableId="2403116D"/>
  <w16cid:commentId w16cid:paraId="701E0FCF" w16cid:durableId="23FDF7DD"/>
  <w16cid:commentId w16cid:paraId="494C083F" w16cid:durableId="23FF7B80"/>
  <w16cid:commentId w16cid:paraId="501DBC38" w16cid:durableId="24031170"/>
  <w16cid:commentId w16cid:paraId="6D1492B2" w16cid:durableId="23FDF7DE"/>
  <w16cid:commentId w16cid:paraId="63187C28" w16cid:durableId="24031172"/>
  <w16cid:commentId w16cid:paraId="1CE72926" w16cid:durableId="23FDFA52"/>
  <w16cid:commentId w16cid:paraId="20FE1D31" w16cid:durableId="24031174"/>
  <w16cid:commentId w16cid:paraId="00CFF90E" w16cid:durableId="23FDF7DF"/>
  <w16cid:commentId w16cid:paraId="5F7FA122" w16cid:durableId="24031176"/>
  <w16cid:commentId w16cid:paraId="176E3D0A" w16cid:durableId="23FDF7E0"/>
  <w16cid:commentId w16cid:paraId="585F38F4" w16cid:durableId="23FDF7E1"/>
  <w16cid:commentId w16cid:paraId="0E41D3F1" w16cid:durableId="24031179"/>
  <w16cid:commentId w16cid:paraId="48C73BE8" w16cid:durableId="23FDF7E2"/>
  <w16cid:commentId w16cid:paraId="717F21FA" w16cid:durableId="2403117B"/>
  <w16cid:commentId w16cid:paraId="1E5217C3" w16cid:durableId="23FDF7E3"/>
  <w16cid:commentId w16cid:paraId="482079B0" w16cid:durableId="23FDF7E4"/>
  <w16cid:commentId w16cid:paraId="20E93200" w16cid:durableId="23FDF7E5"/>
  <w16cid:commentId w16cid:paraId="5398A379" w16cid:durableId="23FF7C99"/>
  <w16cid:commentId w16cid:paraId="3202D14A" w16cid:durableId="24031180"/>
  <w16cid:commentId w16cid:paraId="23BFFB6C" w16cid:durableId="23FDF7E6"/>
  <w16cid:commentId w16cid:paraId="171D1635" w16cid:durableId="23FDF7E7"/>
  <w16cid:commentId w16cid:paraId="522FB5A2" w16cid:durableId="23FDFAD8"/>
  <w16cid:commentId w16cid:paraId="28D6F8E3" w16cid:durableId="24031184"/>
  <w16cid:commentId w16cid:paraId="31605070" w16cid:durableId="23FDFB4B"/>
  <w16cid:commentId w16cid:paraId="62B9572F" w16cid:durableId="24031186"/>
  <w16cid:commentId w16cid:paraId="0F05A437" w16cid:durableId="23FDF7E8"/>
  <w16cid:commentId w16cid:paraId="71514DA2" w16cid:durableId="24031188"/>
  <w16cid:commentId w16cid:paraId="06FE7803" w16cid:durableId="23FDF7E9"/>
  <w16cid:commentId w16cid:paraId="3052EEFC" w16cid:durableId="2403118A"/>
  <w16cid:commentId w16cid:paraId="60A2786C" w16cid:durableId="23FDF7EA"/>
  <w16cid:commentId w16cid:paraId="4FC7C5F2" w16cid:durableId="2403118C"/>
  <w16cid:commentId w16cid:paraId="25F995CA" w16cid:durableId="23FDF7EB"/>
  <w16cid:commentId w16cid:paraId="150F355B" w16cid:durableId="2403118E"/>
  <w16cid:commentId w16cid:paraId="53F2B0E2" w16cid:durableId="23FDF7EC"/>
  <w16cid:commentId w16cid:paraId="665053C1" w16cid:durableId="23FDF7ED"/>
  <w16cid:commentId w16cid:paraId="32A9F712" w16cid:durableId="23FDF7EE"/>
  <w16cid:commentId w16cid:paraId="465D93B1" w16cid:durableId="23FDF7EF"/>
  <w16cid:commentId w16cid:paraId="0EF7C7BE" w16cid:durableId="23FDF7F0"/>
  <w16cid:commentId w16cid:paraId="3E74CB44" w16cid:durableId="23FDF7F1"/>
  <w16cid:commentId w16cid:paraId="15441A0B" w16cid:durableId="23FDF7F2"/>
  <w16cid:commentId w16cid:paraId="722CBBFE" w16cid:durableId="23FDF7F3"/>
  <w16cid:commentId w16cid:paraId="0B9DD859" w16cid:durableId="24031197"/>
  <w16cid:commentId w16cid:paraId="1EE611AB" w16cid:durableId="23FDFDC9"/>
  <w16cid:commentId w16cid:paraId="15893F86" w16cid:durableId="24031199"/>
  <w16cid:commentId w16cid:paraId="7E5FE058" w16cid:durableId="23FF7F7F"/>
  <w16cid:commentId w16cid:paraId="261F2256" w16cid:durableId="2403119B"/>
  <w16cid:commentId w16cid:paraId="132AD1E3" w16cid:durableId="2403165A"/>
  <w16cid:commentId w16cid:paraId="42537065" w16cid:durableId="23FDF7F4"/>
  <w16cid:commentId w16cid:paraId="56D8A6BE" w16cid:durableId="23FDF7F5"/>
  <w16cid:commentId w16cid:paraId="1BBC8527" w16cid:durableId="23FDF7F6"/>
  <w16cid:commentId w16cid:paraId="1E632E27" w16cid:durableId="2403119F"/>
  <w16cid:commentId w16cid:paraId="2A4CED34" w16cid:durableId="23FDF7F7"/>
  <w16cid:commentId w16cid:paraId="55F80543" w16cid:durableId="23FDF7F8"/>
  <w16cid:commentId w16cid:paraId="1CE697DE" w16cid:durableId="240311A2"/>
  <w16cid:commentId w16cid:paraId="2DD4C0F4" w16cid:durableId="23FDF7F9"/>
  <w16cid:commentId w16cid:paraId="55FB2815" w16cid:durableId="23FDF7FA"/>
  <w16cid:commentId w16cid:paraId="7C0F274F" w16cid:durableId="23FF8090"/>
  <w16cid:commentId w16cid:paraId="557B406B" w16cid:durableId="240311A6"/>
  <w16cid:commentId w16cid:paraId="1E77923E" w16cid:durableId="24031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106" w:rsidRDefault="00260106" w:rsidP="00E95497">
      <w:r>
        <w:separator/>
      </w:r>
    </w:p>
  </w:endnote>
  <w:endnote w:type="continuationSeparator" w:id="0">
    <w:p w:rsidR="00260106" w:rsidRDefault="00260106" w:rsidP="00E9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Verdana">
    <w:altName w:val="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Gentium Basic">
    <w:altName w:val="Calibri"/>
    <w:charset w:val="00"/>
    <w:family w:val="auto"/>
    <w:pitch w:val="variable"/>
    <w:sig w:usb0="A000007F" w:usb1="5000204A"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438248"/>
      <w:docPartObj>
        <w:docPartGallery w:val="Page Numbers (Bottom of Page)"/>
        <w:docPartUnique/>
      </w:docPartObj>
    </w:sdtPr>
    <w:sdtEndPr>
      <w:rPr>
        <w:i/>
        <w:sz w:val="16"/>
        <w:szCs w:val="16"/>
      </w:rPr>
    </w:sdtEndPr>
    <w:sdtContent>
      <w:sdt>
        <w:sdtPr>
          <w:rPr>
            <w:i/>
            <w:sz w:val="16"/>
            <w:szCs w:val="16"/>
          </w:rPr>
          <w:id w:val="-1604728209"/>
          <w:docPartObj>
            <w:docPartGallery w:val="Page Numbers (Top of Page)"/>
            <w:docPartUnique/>
          </w:docPartObj>
        </w:sdtPr>
        <w:sdtEndPr/>
        <w:sdtContent>
          <w:p w:rsidR="003E2FD9" w:rsidRPr="0039220D" w:rsidRDefault="003E2FD9">
            <w:pPr>
              <w:pStyle w:val="Footer"/>
              <w:jc w:val="right"/>
              <w:rPr>
                <w:i/>
                <w:sz w:val="16"/>
                <w:szCs w:val="16"/>
              </w:rPr>
            </w:pPr>
            <w:r>
              <w:tab/>
            </w:r>
            <w:r>
              <w:tab/>
            </w:r>
            <w:r>
              <w:rPr>
                <w:i/>
                <w:sz w:val="16"/>
                <w:szCs w:val="16"/>
              </w:rPr>
              <w:t>Стр. </w:t>
            </w:r>
            <w:r>
              <w:rPr>
                <w:bCs/>
                <w:i/>
                <w:sz w:val="16"/>
                <w:szCs w:val="16"/>
              </w:rPr>
              <w:fldChar w:fldCharType="begin"/>
            </w:r>
            <w:r>
              <w:rPr>
                <w:bCs/>
                <w:i/>
                <w:sz w:val="16"/>
                <w:szCs w:val="16"/>
              </w:rPr>
              <w:instrText>PAGE</w:instrText>
            </w:r>
            <w:r>
              <w:rPr>
                <w:bCs/>
                <w:i/>
                <w:sz w:val="16"/>
                <w:szCs w:val="16"/>
              </w:rPr>
              <w:fldChar w:fldCharType="separate"/>
            </w:r>
            <w:r w:rsidR="00B558E3">
              <w:rPr>
                <w:bCs/>
                <w:i/>
                <w:noProof/>
                <w:sz w:val="16"/>
                <w:szCs w:val="16"/>
              </w:rPr>
              <w:t>1</w:t>
            </w:r>
            <w:r>
              <w:rPr>
                <w:bCs/>
                <w:i/>
                <w:sz w:val="16"/>
                <w:szCs w:val="16"/>
              </w:rPr>
              <w:fldChar w:fldCharType="end"/>
            </w:r>
            <w:r>
              <w:rPr>
                <w:i/>
                <w:sz w:val="16"/>
                <w:szCs w:val="16"/>
              </w:rPr>
              <w:t xml:space="preserve"> от </w:t>
            </w:r>
            <w:r w:rsidR="0032461C">
              <w:rPr>
                <w:bCs/>
                <w:i/>
                <w:sz w:val="16"/>
                <w:szCs w:val="16"/>
              </w:rPr>
              <w:fldChar w:fldCharType="begin"/>
            </w:r>
            <w:r w:rsidR="0032461C">
              <w:rPr>
                <w:bCs/>
                <w:i/>
                <w:sz w:val="16"/>
                <w:szCs w:val="16"/>
              </w:rPr>
              <w:instrText xml:space="preserve"> NUMPAGES  \* Arabic  \* MERGEFORMAT </w:instrText>
            </w:r>
            <w:r w:rsidR="0032461C">
              <w:rPr>
                <w:bCs/>
                <w:i/>
                <w:sz w:val="16"/>
                <w:szCs w:val="16"/>
              </w:rPr>
              <w:fldChar w:fldCharType="separate"/>
            </w:r>
            <w:r w:rsidR="00B558E3">
              <w:rPr>
                <w:bCs/>
                <w:i/>
                <w:noProof/>
                <w:sz w:val="16"/>
                <w:szCs w:val="16"/>
              </w:rPr>
              <w:t>17</w:t>
            </w:r>
            <w:r w:rsidR="0032461C">
              <w:rPr>
                <w:bCs/>
                <w:i/>
                <w:sz w:val="16"/>
                <w:szCs w:val="16"/>
              </w:rPr>
              <w:fldChar w:fldCharType="end"/>
            </w:r>
          </w:p>
        </w:sdtContent>
      </w:sdt>
    </w:sdtContent>
  </w:sdt>
  <w:p w:rsidR="003E2FD9" w:rsidRPr="00944931" w:rsidRDefault="003E2FD9" w:rsidP="00944931">
    <w:pPr>
      <w:pStyle w:val="Footer"/>
      <w:rPr>
        <w:sz w:val="18"/>
        <w:szCs w:val="18"/>
        <w:lang w:val="en-I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D9" w:rsidRDefault="003E2FD9">
    <w:pPr>
      <w:pStyle w:val="Footer"/>
      <w:jc w:val="right"/>
    </w:pPr>
  </w:p>
  <w:p w:rsidR="003E2FD9" w:rsidRDefault="003E2F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90977"/>
      <w:docPartObj>
        <w:docPartGallery w:val="Page Numbers (Bottom of Page)"/>
        <w:docPartUnique/>
      </w:docPartObj>
    </w:sdtPr>
    <w:sdtEndPr>
      <w:rPr>
        <w:i/>
        <w:sz w:val="16"/>
        <w:szCs w:val="16"/>
      </w:rPr>
    </w:sdtEndPr>
    <w:sdtContent>
      <w:sdt>
        <w:sdtPr>
          <w:rPr>
            <w:i/>
            <w:sz w:val="16"/>
            <w:szCs w:val="16"/>
          </w:rPr>
          <w:id w:val="2093040467"/>
          <w:docPartObj>
            <w:docPartGallery w:val="Page Numbers (Top of Page)"/>
            <w:docPartUnique/>
          </w:docPartObj>
        </w:sdtPr>
        <w:sdtEndPr/>
        <w:sdtContent>
          <w:p w:rsidR="003E2FD9" w:rsidRPr="001F5888" w:rsidRDefault="003E2FD9" w:rsidP="001F5888">
            <w:pPr>
              <w:rPr>
                <w:b/>
                <w:sz w:val="28"/>
                <w:szCs w:val="28"/>
              </w:rPr>
            </w:pPr>
            <w:r>
              <w:rPr>
                <w:i/>
                <w:sz w:val="16"/>
                <w:szCs w:val="16"/>
              </w:rPr>
              <w:t>Приложение I от насоките за съвместни дейности за насърчаване на постигането на съответствие </w:t>
            </w:r>
            <w:r>
              <w:tab/>
            </w:r>
            <w:r>
              <w:tab/>
            </w:r>
          </w:p>
        </w:sdtContent>
      </w:sdt>
    </w:sdtContent>
  </w:sdt>
  <w:p w:rsidR="003E2FD9" w:rsidRPr="00944931" w:rsidRDefault="003E2FD9" w:rsidP="00833971">
    <w:pPr>
      <w:pStyle w:val="Footer"/>
      <w:jc w:val="right"/>
      <w:rPr>
        <w:sz w:val="18"/>
        <w:szCs w:val="18"/>
      </w:rPr>
    </w:pPr>
    <w:r>
      <w:rPr>
        <w:i/>
        <w:sz w:val="16"/>
        <w:szCs w:val="16"/>
      </w:rPr>
      <w:t>Стр. </w:t>
    </w:r>
    <w:r>
      <w:rPr>
        <w:bCs/>
        <w:i/>
        <w:sz w:val="16"/>
        <w:szCs w:val="16"/>
      </w:rPr>
      <w:fldChar w:fldCharType="begin"/>
    </w:r>
    <w:r>
      <w:rPr>
        <w:bCs/>
        <w:i/>
        <w:sz w:val="16"/>
        <w:szCs w:val="16"/>
      </w:rPr>
      <w:instrText>PAGE</w:instrText>
    </w:r>
    <w:r>
      <w:rPr>
        <w:bCs/>
        <w:i/>
        <w:sz w:val="16"/>
        <w:szCs w:val="16"/>
      </w:rPr>
      <w:fldChar w:fldCharType="separate"/>
    </w:r>
    <w:r w:rsidR="00B558E3">
      <w:rPr>
        <w:bCs/>
        <w:i/>
        <w:noProof/>
        <w:sz w:val="16"/>
        <w:szCs w:val="16"/>
      </w:rPr>
      <w:t>17</w:t>
    </w:r>
    <w:r>
      <w:rPr>
        <w:bCs/>
        <w:i/>
        <w:sz w:val="16"/>
        <w:szCs w:val="16"/>
      </w:rPr>
      <w:fldChar w:fldCharType="end"/>
    </w:r>
    <w:r>
      <w:rPr>
        <w:i/>
        <w:sz w:val="16"/>
        <w:szCs w:val="16"/>
      </w:rPr>
      <w:t xml:space="preserve"> от </w:t>
    </w:r>
    <w:r w:rsidR="0032461C">
      <w:rPr>
        <w:bCs/>
        <w:i/>
        <w:sz w:val="16"/>
        <w:szCs w:val="16"/>
      </w:rPr>
      <w:fldChar w:fldCharType="begin"/>
    </w:r>
    <w:r w:rsidR="0032461C">
      <w:rPr>
        <w:bCs/>
        <w:i/>
        <w:sz w:val="16"/>
        <w:szCs w:val="16"/>
      </w:rPr>
      <w:instrText xml:space="preserve"> NUMPAGES   \* MERGEFORMAT </w:instrText>
    </w:r>
    <w:r w:rsidR="0032461C">
      <w:rPr>
        <w:bCs/>
        <w:i/>
        <w:sz w:val="16"/>
        <w:szCs w:val="16"/>
      </w:rPr>
      <w:fldChar w:fldCharType="separate"/>
    </w:r>
    <w:r w:rsidR="00B558E3">
      <w:rPr>
        <w:bCs/>
        <w:i/>
        <w:noProof/>
        <w:sz w:val="16"/>
        <w:szCs w:val="16"/>
      </w:rPr>
      <w:t>17</w:t>
    </w:r>
    <w:r w:rsidR="0032461C">
      <w:rPr>
        <w:bCs/>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106" w:rsidRDefault="00260106" w:rsidP="00E95497">
      <w:r>
        <w:separator/>
      </w:r>
    </w:p>
  </w:footnote>
  <w:footnote w:type="continuationSeparator" w:id="0">
    <w:p w:rsidR="00260106" w:rsidRDefault="00260106" w:rsidP="00E95497">
      <w:r>
        <w:continuationSeparator/>
      </w:r>
    </w:p>
  </w:footnote>
  <w:footnote w:id="1">
    <w:p w:rsidR="003E2FD9" w:rsidRPr="00AF2DB5" w:rsidRDefault="003E2FD9" w:rsidP="00AF2DB5">
      <w:pPr>
        <w:pStyle w:val="FootnoteText"/>
        <w:jc w:val="both"/>
        <w:rPr>
          <w:sz w:val="18"/>
          <w:szCs w:val="18"/>
        </w:rPr>
      </w:pPr>
      <w:r>
        <w:rPr>
          <w:rStyle w:val="FootnoteReference"/>
          <w:sz w:val="18"/>
          <w:szCs w:val="18"/>
        </w:rPr>
        <w:footnoteRef/>
      </w:r>
      <w:r>
        <w:rPr>
          <w:sz w:val="18"/>
          <w:szCs w:val="18"/>
        </w:rPr>
        <w:t>Информационна и комуникационна система за надзор на пазара (ICSMS).</w:t>
      </w:r>
    </w:p>
  </w:footnote>
  <w:footnote w:id="2">
    <w:p w:rsidR="003E2FD9" w:rsidRPr="00AF2DB5" w:rsidRDefault="003E2FD9" w:rsidP="00AF2DB5">
      <w:pPr>
        <w:pStyle w:val="FootnoteText"/>
        <w:jc w:val="both"/>
        <w:rPr>
          <w:sz w:val="18"/>
          <w:szCs w:val="18"/>
        </w:rPr>
      </w:pPr>
      <w:r>
        <w:rPr>
          <w:rStyle w:val="FootnoteReference"/>
          <w:sz w:val="18"/>
          <w:szCs w:val="18"/>
        </w:rPr>
        <w:footnoteRef/>
      </w:r>
      <w:r>
        <w:rPr>
          <w:sz w:val="18"/>
          <w:szCs w:val="18"/>
        </w:rPr>
        <w:t xml:space="preserve"> Достъпни на уеб страницата на Европейската комисия, посветена на посочената нормативна уредба в областта на продуктите </w:t>
      </w:r>
    </w:p>
  </w:footnote>
  <w:footnote w:id="3">
    <w:p w:rsidR="003E2FD9" w:rsidRPr="00AF2DB5" w:rsidRDefault="003E2FD9">
      <w:pPr>
        <w:pStyle w:val="FootnoteText"/>
        <w:jc w:val="both"/>
        <w:rPr>
          <w:sz w:val="18"/>
          <w:szCs w:val="18"/>
        </w:rPr>
      </w:pPr>
      <w:r>
        <w:rPr>
          <w:rStyle w:val="FootnoteReference"/>
          <w:sz w:val="18"/>
          <w:szCs w:val="18"/>
        </w:rPr>
        <w:footnoteRef/>
      </w:r>
      <w:r>
        <w:rPr>
          <w:sz w:val="18"/>
          <w:szCs w:val="18"/>
        </w:rPr>
        <w:t>https://ec.europa.eu/growth/single-market/goods/building-blocks/market-surveillance/organisation/administrative-cooperation-groups_bg</w:t>
      </w:r>
    </w:p>
  </w:footnote>
  <w:footnote w:id="4">
    <w:p w:rsidR="003E2FD9" w:rsidRPr="00AF2DB5" w:rsidRDefault="003E2FD9">
      <w:pPr>
        <w:pStyle w:val="FootnoteText"/>
        <w:jc w:val="both"/>
        <w:rPr>
          <w:sz w:val="18"/>
          <w:szCs w:val="18"/>
        </w:rPr>
      </w:pPr>
      <w:r>
        <w:rPr>
          <w:rStyle w:val="FootnoteReference"/>
          <w:sz w:val="18"/>
          <w:szCs w:val="18"/>
        </w:rPr>
        <w:footnoteRef/>
      </w:r>
      <w:r>
        <w:rPr>
          <w:sz w:val="18"/>
          <w:szCs w:val="18"/>
        </w:rPr>
        <w:t xml:space="preserve"> Например за транспортируемо оборудване под налягане — стандартите, посочени в Европейската спогодба за международен превоз на опасни товари по шосе /Правилника за международен железопътен транспорт на опасни товари.</w:t>
      </w:r>
    </w:p>
  </w:footnote>
  <w:footnote w:id="5">
    <w:p w:rsidR="003E2FD9" w:rsidRPr="00E04CA8" w:rsidRDefault="003E2FD9" w:rsidP="00AF2DB5">
      <w:pPr>
        <w:pStyle w:val="CommentText"/>
        <w:jc w:val="both"/>
      </w:pPr>
      <w:r>
        <w:rPr>
          <w:rStyle w:val="FootnoteReference"/>
          <w:sz w:val="18"/>
          <w:szCs w:val="18"/>
        </w:rPr>
        <w:footnoteRef/>
      </w:r>
      <w:r>
        <w:rPr>
          <w:sz w:val="18"/>
          <w:szCs w:val="18"/>
        </w:rPr>
        <w:t xml:space="preserve"> Например </w:t>
      </w:r>
      <w:r>
        <w:rPr>
          <w:rFonts w:asciiTheme="minorHAnsi" w:hAnsiTheme="minorHAnsi"/>
          <w:color w:val="222222"/>
          <w:sz w:val="18"/>
          <w:szCs w:val="18"/>
          <w:shd w:val="clear" w:color="auto" w:fill="FFFFFF"/>
        </w:rPr>
        <w:t xml:space="preserve">съгласно член 14, параграф 2 от </w:t>
      </w:r>
      <w:hyperlink r:id="rId1" w:history="1">
        <w:r>
          <w:rPr>
            <w:rStyle w:val="Hyperlink"/>
            <w:rFonts w:asciiTheme="minorHAnsi" w:hAnsiTheme="minorHAnsi"/>
            <w:color w:val="347C98"/>
            <w:sz w:val="18"/>
            <w:szCs w:val="18"/>
            <w:shd w:val="clear" w:color="auto" w:fill="FFFFFF"/>
          </w:rPr>
          <w:t>Директива 2014/32/ЕС</w:t>
        </w:r>
      </w:hyperlink>
      <w:r>
        <w:rPr>
          <w:rFonts w:asciiTheme="minorHAnsi" w:hAnsiTheme="minorHAnsi"/>
          <w:color w:val="222222"/>
          <w:sz w:val="18"/>
          <w:szCs w:val="18"/>
          <w:shd w:val="clear" w:color="auto" w:fill="FFFFFF"/>
        </w:rPr>
        <w:t xml:space="preserve"> относно средствата за измерване нормативните документи на Международната организация по законова метрология (Organisation Internationale de la Métrologie Légale — OIML) могат да бъдат определени като пораждащи презумпция за съответствие със съществените изисквания на директивата. За тази цел в </w:t>
      </w:r>
      <w:r>
        <w:rPr>
          <w:rFonts w:asciiTheme="minorHAnsi" w:hAnsiTheme="minorHAnsi"/>
          <w:i/>
          <w:color w:val="222222"/>
          <w:sz w:val="18"/>
          <w:szCs w:val="18"/>
          <w:shd w:val="clear" w:color="auto" w:fill="FFFFFF"/>
        </w:rPr>
        <w:t>Официален вестник</w:t>
      </w:r>
      <w:r>
        <w:rPr>
          <w:rFonts w:asciiTheme="minorHAnsi" w:hAnsiTheme="minorHAnsi"/>
          <w:color w:val="222222"/>
          <w:sz w:val="18"/>
          <w:szCs w:val="18"/>
          <w:shd w:val="clear" w:color="auto" w:fill="FFFFFF"/>
        </w:rPr>
        <w:t xml:space="preserve"> са публикувани позовавания на следните нормативни документи и са предоставени конкретни насоки (N.B.: съгласно член 52, параграф 2 от </w:t>
      </w:r>
      <w:hyperlink r:id="rId2" w:history="1">
        <w:r>
          <w:rPr>
            <w:rStyle w:val="Hyperlink"/>
            <w:rFonts w:asciiTheme="minorHAnsi" w:hAnsiTheme="minorHAnsi"/>
            <w:color w:val="347C98"/>
            <w:sz w:val="18"/>
            <w:szCs w:val="18"/>
            <w:shd w:val="clear" w:color="auto" w:fill="FFFFFF"/>
          </w:rPr>
          <w:t>Директива 2014/32/ЕС</w:t>
        </w:r>
      </w:hyperlink>
      <w:r>
        <w:rPr>
          <w:rFonts w:asciiTheme="minorHAnsi" w:hAnsiTheme="minorHAnsi"/>
          <w:color w:val="222222"/>
          <w:sz w:val="18"/>
          <w:szCs w:val="18"/>
          <w:shd w:val="clear" w:color="auto" w:fill="FFFFFF"/>
        </w:rPr>
        <w:t xml:space="preserve"> позоваванията на отменената Директива 2004/22/ЕО се считат за позовавания на действащата директива)</w:t>
      </w:r>
      <w:r>
        <w:t>.</w:t>
      </w:r>
    </w:p>
  </w:footnote>
  <w:footnote w:id="6">
    <w:p w:rsidR="003E2FD9" w:rsidRPr="00AF2DB5" w:rsidRDefault="003E2FD9">
      <w:pPr>
        <w:pStyle w:val="FootnoteText"/>
        <w:rPr>
          <w:sz w:val="18"/>
          <w:szCs w:val="18"/>
        </w:rPr>
      </w:pPr>
      <w:r>
        <w:rPr>
          <w:rStyle w:val="FootnoteReference"/>
          <w:sz w:val="18"/>
          <w:szCs w:val="18"/>
        </w:rPr>
        <w:footnoteRef/>
      </w:r>
      <w:r>
        <w:rPr>
          <w:sz w:val="18"/>
          <w:szCs w:val="18"/>
        </w:rPr>
        <w:t xml:space="preserve"> Връзка към Safety Gate </w:t>
      </w:r>
      <w:hyperlink r:id="rId3" w:history="1">
        <w:r>
          <w:rPr>
            <w:rStyle w:val="Hyperlink"/>
            <w:sz w:val="18"/>
            <w:szCs w:val="18"/>
          </w:rPr>
          <w:t>https://ec.europa.eu/consumers/consumers_safety/safety_products/rapex/alerts/repository/content/pages/rapex/index_en.htm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D9" w:rsidRPr="00B348A7" w:rsidRDefault="003E2FD9" w:rsidP="00B55347">
    <w:pPr>
      <w:rPr>
        <w:b/>
        <w:sz w:val="28"/>
        <w:szCs w:val="28"/>
      </w:rPr>
    </w:pPr>
    <w:r>
      <w:rPr>
        <w:b/>
        <w:sz w:val="28"/>
        <w:szCs w:val="28"/>
      </w:rPr>
      <w:t>Насоки относно прилагането на член 9 от Регламент (EС) 2019/1020 по отношение на съвместните дейности за насърчаване на постигането на съответствие </w:t>
    </w:r>
  </w:p>
  <w:p w:rsidR="003E2FD9" w:rsidRPr="00325645" w:rsidRDefault="003E2FD9" w:rsidP="00B55347">
    <w:pPr>
      <w:rPr>
        <w:sz w:val="18"/>
        <w:szCs w:val="18"/>
        <w:lang w:val="en-IE"/>
      </w:rPr>
    </w:pPr>
  </w:p>
  <w:p w:rsidR="003E2FD9" w:rsidRDefault="003E2F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D9" w:rsidRDefault="003E2F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D9" w:rsidRPr="000C6DEC" w:rsidRDefault="003E2FD9" w:rsidP="00944931">
    <w:pPr>
      <w:ind w:left="-567"/>
      <w:jc w:val="center"/>
      <w:rPr>
        <w:sz w:val="36"/>
        <w:szCs w:val="36"/>
      </w:rPr>
    </w:pPr>
    <w:r>
      <w:rPr>
        <w:sz w:val="36"/>
        <w:szCs w:val="36"/>
      </w:rPr>
      <w:t>Споразумение за съвместна дейност</w:t>
    </w:r>
  </w:p>
  <w:p w:rsidR="003E2FD9" w:rsidRDefault="003E2FD9" w:rsidP="00944931">
    <w:r>
      <w:t xml:space="preserve">Управление на </w:t>
    </w:r>
    <w:r>
      <w:rPr>
        <w:i/>
      </w:rPr>
      <w:t>съвместна дейност</w:t>
    </w:r>
    <w:r>
      <w:t xml:space="preserve"> за насърчаване на постигането на съответствие съгласно член 9 от Регламент (ЕС) 2019/1020</w:t>
    </w:r>
  </w:p>
  <w:p w:rsidR="003E2FD9" w:rsidRDefault="003E2FD9" w:rsidP="00944931">
    <w:pPr>
      <w:rPr>
        <w:lang w:val="en-US"/>
      </w:rPr>
    </w:pPr>
  </w:p>
  <w:p w:rsidR="003E2FD9" w:rsidRPr="00944931" w:rsidRDefault="003E2FD9" w:rsidP="00944931">
    <w:pP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D9" w:rsidRDefault="003E2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450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78542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D86CB9"/>
    <w:multiLevelType w:val="hybridMultilevel"/>
    <w:tmpl w:val="7126490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073E060D"/>
    <w:multiLevelType w:val="hybridMultilevel"/>
    <w:tmpl w:val="9B38212C"/>
    <w:lvl w:ilvl="0" w:tplc="828A7268">
      <w:start w:val="1"/>
      <w:numFmt w:val="decimal"/>
      <w:lvlText w:val="%1)"/>
      <w:lvlJc w:val="left"/>
      <w:pPr>
        <w:ind w:left="720" w:hanging="360"/>
      </w:pPr>
      <w:rPr>
        <w:rFonts w:ascii="Times New Roman" w:hAnsi="Times New Roman" w:hint="default"/>
        <w:b w:val="0"/>
        <w:i w:val="0"/>
        <w:sz w:val="24"/>
      </w:rPr>
    </w:lvl>
    <w:lvl w:ilvl="1" w:tplc="99946FF8">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BDB73DD"/>
    <w:multiLevelType w:val="hybridMultilevel"/>
    <w:tmpl w:val="986279BC"/>
    <w:lvl w:ilvl="0" w:tplc="E54403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CF1ACB"/>
    <w:multiLevelType w:val="hybridMultilevel"/>
    <w:tmpl w:val="0360CE62"/>
    <w:lvl w:ilvl="0" w:tplc="0EAC37BE">
      <w:numFmt w:val="bullet"/>
      <w:lvlText w:val=""/>
      <w:lvlJc w:val="left"/>
      <w:pPr>
        <w:ind w:left="720" w:hanging="360"/>
      </w:pPr>
      <w:rPr>
        <w:rFonts w:ascii="Wingdings" w:eastAsiaTheme="minorHAns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9EC19E0"/>
    <w:multiLevelType w:val="hybridMultilevel"/>
    <w:tmpl w:val="1758F874"/>
    <w:lvl w:ilvl="0" w:tplc="08090011">
      <w:start w:val="1"/>
      <w:numFmt w:val="decimal"/>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A8F1E92"/>
    <w:multiLevelType w:val="hybridMultilevel"/>
    <w:tmpl w:val="09485C9C"/>
    <w:lvl w:ilvl="0" w:tplc="D810807E">
      <w:start w:val="3"/>
      <w:numFmt w:val="bullet"/>
      <w:lvlText w:val="-"/>
      <w:lvlJc w:val="left"/>
      <w:pPr>
        <w:ind w:left="720" w:hanging="360"/>
      </w:pPr>
      <w:rPr>
        <w:rFonts w:ascii="Verdana" w:eastAsiaTheme="minorHAnsi" w:hAnsi="Verdana" w:cstheme="minorBidi" w:hint="default"/>
        <w:b w:val="0"/>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C712456"/>
    <w:multiLevelType w:val="hybridMultilevel"/>
    <w:tmpl w:val="5EAC80BE"/>
    <w:lvl w:ilvl="0" w:tplc="8FB0E8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DE3ED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2D30C09"/>
    <w:multiLevelType w:val="hybridMultilevel"/>
    <w:tmpl w:val="86EC7D32"/>
    <w:lvl w:ilvl="0" w:tplc="6BC602F4">
      <w:start w:val="1"/>
      <w:numFmt w:val="lowerLetter"/>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838770C"/>
    <w:multiLevelType w:val="hybridMultilevel"/>
    <w:tmpl w:val="B6DA3D40"/>
    <w:lvl w:ilvl="0" w:tplc="8FB0E89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6B383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62B2438"/>
    <w:multiLevelType w:val="hybridMultilevel"/>
    <w:tmpl w:val="FA8ECE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486E60B2"/>
    <w:multiLevelType w:val="multilevel"/>
    <w:tmpl w:val="14347788"/>
    <w:lvl w:ilvl="0">
      <w:start w:val="1"/>
      <w:numFmt w:val="decimal"/>
      <w:pStyle w:val="Heading1"/>
      <w:lvlText w:val="%1"/>
      <w:lvlJc w:val="left"/>
      <w:pPr>
        <w:ind w:left="432" w:hanging="432"/>
      </w:pPr>
      <w:rPr>
        <w:color w:val="auto"/>
      </w:rPr>
    </w:lvl>
    <w:lvl w:ilvl="1">
      <w:start w:val="1"/>
      <w:numFmt w:val="decimal"/>
      <w:pStyle w:val="Heading2"/>
      <w:lvlText w:val="%1.%2"/>
      <w:lvlJc w:val="left"/>
      <w:pPr>
        <w:ind w:left="2277" w:hanging="576"/>
      </w:pPr>
      <w:rPr>
        <w:color w:val="auto"/>
      </w:r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4C5F1C0D"/>
    <w:multiLevelType w:val="hybridMultilevel"/>
    <w:tmpl w:val="68BC6A1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E504737A">
      <w:start w:val="1"/>
      <w:numFmt w:val="decimal"/>
      <w:lvlText w:val="%3."/>
      <w:lvlJc w:val="left"/>
      <w:pPr>
        <w:ind w:left="2745" w:hanging="765"/>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FF542F6"/>
    <w:multiLevelType w:val="hybridMultilevel"/>
    <w:tmpl w:val="13364692"/>
    <w:lvl w:ilvl="0" w:tplc="B308CD5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31F1E49"/>
    <w:multiLevelType w:val="hybridMultilevel"/>
    <w:tmpl w:val="B51C92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54DA7124"/>
    <w:multiLevelType w:val="hybridMultilevel"/>
    <w:tmpl w:val="D7E86A18"/>
    <w:lvl w:ilvl="0" w:tplc="BFFA5936">
      <w:numFmt w:val="bullet"/>
      <w:lvlText w:val="-"/>
      <w:lvlJc w:val="left"/>
      <w:pPr>
        <w:ind w:left="720" w:hanging="360"/>
      </w:pPr>
      <w:rPr>
        <w:rFonts w:ascii="Calibri" w:eastAsiaTheme="minorHAnsi" w:hAnsi="Calibri" w:cs="Calibri"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61D718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C9D2F5E"/>
    <w:multiLevelType w:val="hybridMultilevel"/>
    <w:tmpl w:val="A3081334"/>
    <w:lvl w:ilvl="0" w:tplc="99946FF8">
      <w:start w:val="1"/>
      <mc:AlternateContent>
        <mc:Choice Requires="w14">
          <w:numFmt w:val="custom" w:format="а, й, к, ..."/>
        </mc:Choice>
        <mc:Fallback>
          <w:numFmt w:val="decimal"/>
        </mc:Fallback>
      </mc:AlternateContent>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nsid w:val="5DD04568"/>
    <w:multiLevelType w:val="hybridMultilevel"/>
    <w:tmpl w:val="41DAAE5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5E9C6232"/>
    <w:multiLevelType w:val="hybridMultilevel"/>
    <w:tmpl w:val="D4FAF9AA"/>
    <w:lvl w:ilvl="0" w:tplc="E54403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EA7FB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0E74D8D"/>
    <w:multiLevelType w:val="hybridMultilevel"/>
    <w:tmpl w:val="56708394"/>
    <w:lvl w:ilvl="0" w:tplc="1F4861A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nsid w:val="64FB3184"/>
    <w:multiLevelType w:val="hybridMultilevel"/>
    <w:tmpl w:val="34841EDE"/>
    <w:lvl w:ilvl="0" w:tplc="89F2B480">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6272D6F"/>
    <w:multiLevelType w:val="hybridMultilevel"/>
    <w:tmpl w:val="005E8A8A"/>
    <w:lvl w:ilvl="0" w:tplc="32A2C2B2">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68420169"/>
    <w:multiLevelType w:val="hybridMultilevel"/>
    <w:tmpl w:val="86EC7D32"/>
    <w:lvl w:ilvl="0" w:tplc="6BC602F4">
      <w:start w:val="1"/>
      <w:numFmt w:val="low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68F42AD6"/>
    <w:multiLevelType w:val="hybridMultilevel"/>
    <w:tmpl w:val="2898D608"/>
    <w:lvl w:ilvl="0" w:tplc="04130019">
      <w:start w:val="1"/>
      <w:numFmt w:val="lowerLetter"/>
      <w:lvlText w:val="%1."/>
      <w:lvlJc w:val="left"/>
      <w:pPr>
        <w:ind w:left="1068" w:hanging="360"/>
      </w:pPr>
    </w:lvl>
    <w:lvl w:ilvl="1" w:tplc="04130013">
      <w:start w:val="1"/>
      <w:numFmt w:val="upperRoman"/>
      <w:lvlText w:val="%2."/>
      <w:lvlJc w:val="right"/>
      <w:pPr>
        <w:ind w:left="1788" w:hanging="360"/>
      </w:pPr>
    </w:lvl>
    <w:lvl w:ilvl="2" w:tplc="6CCEB384">
      <w:start w:val="1"/>
      <w:numFmt w:val="decimal"/>
      <w:lvlText w:val="%3."/>
      <w:lvlJc w:val="left"/>
      <w:pPr>
        <w:ind w:left="2688" w:hanging="360"/>
      </w:pPr>
      <w:rPr>
        <w:rFonts w:hint="default"/>
      </w:r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9">
    <w:nsid w:val="6A3B23B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BDB0758"/>
    <w:multiLevelType w:val="hybridMultilevel"/>
    <w:tmpl w:val="FC784E2E"/>
    <w:lvl w:ilvl="0" w:tplc="8FB0E8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B530CF"/>
    <w:multiLevelType w:val="hybridMultilevel"/>
    <w:tmpl w:val="97A4111C"/>
    <w:lvl w:ilvl="0" w:tplc="E5440326">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FAC33C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7"/>
  </w:num>
  <w:num w:numId="4">
    <w:abstractNumId w:val="15"/>
  </w:num>
  <w:num w:numId="5">
    <w:abstractNumId w:val="14"/>
  </w:num>
  <w:num w:numId="6">
    <w:abstractNumId w:val="19"/>
  </w:num>
  <w:num w:numId="7">
    <w:abstractNumId w:val="26"/>
  </w:num>
  <w:num w:numId="8">
    <w:abstractNumId w:val="30"/>
  </w:num>
  <w:num w:numId="9">
    <w:abstractNumId w:val="10"/>
  </w:num>
  <w:num w:numId="10">
    <w:abstractNumId w:val="3"/>
  </w:num>
  <w:num w:numId="11">
    <w:abstractNumId w:val="24"/>
  </w:num>
  <w:num w:numId="12">
    <w:abstractNumId w:val="18"/>
  </w:num>
  <w:num w:numId="13">
    <w:abstractNumId w:val="4"/>
  </w:num>
  <w:num w:numId="14">
    <w:abstractNumId w:val="20"/>
  </w:num>
  <w:num w:numId="15">
    <w:abstractNumId w:val="28"/>
  </w:num>
  <w:num w:numId="16">
    <w:abstractNumId w:val="22"/>
  </w:num>
  <w:num w:numId="17">
    <w:abstractNumId w:val="11"/>
  </w:num>
  <w:num w:numId="18">
    <w:abstractNumId w:val="9"/>
  </w:num>
  <w:num w:numId="19">
    <w:abstractNumId w:val="23"/>
  </w:num>
  <w:num w:numId="20">
    <w:abstractNumId w:val="25"/>
  </w:num>
  <w:num w:numId="21">
    <w:abstractNumId w:val="6"/>
  </w:num>
  <w:num w:numId="22">
    <w:abstractNumId w:val="13"/>
  </w:num>
  <w:num w:numId="23">
    <w:abstractNumId w:val="14"/>
  </w:num>
  <w:num w:numId="24">
    <w:abstractNumId w:val="14"/>
  </w:num>
  <w:num w:numId="25">
    <w:abstractNumId w:val="14"/>
  </w:num>
  <w:num w:numId="26">
    <w:abstractNumId w:val="31"/>
  </w:num>
  <w:num w:numId="27">
    <w:abstractNumId w:val="12"/>
  </w:num>
  <w:num w:numId="28">
    <w:abstractNumId w:val="8"/>
  </w:num>
  <w:num w:numId="29">
    <w:abstractNumId w:val="32"/>
  </w:num>
  <w:num w:numId="30">
    <w:abstractNumId w:val="29"/>
  </w:num>
  <w:num w:numId="31">
    <w:abstractNumId w:val="1"/>
  </w:num>
  <w:num w:numId="32">
    <w:abstractNumId w:val="0"/>
  </w:num>
  <w:num w:numId="33">
    <w:abstractNumId w:val="5"/>
  </w:num>
  <w:num w:numId="34">
    <w:abstractNumId w:val="17"/>
  </w:num>
  <w:num w:numId="35">
    <w:abstractNumId w:val="21"/>
  </w:num>
  <w:num w:numId="3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HK" w:vendorID="64" w:dllVersion="6" w:nlCheck="1" w:checkStyle="1"/>
  <w:activeWritingStyle w:appName="MSWord" w:lang="nl-NL"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en-HK"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nl-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50819"/>
    <w:rsid w:val="00000543"/>
    <w:rsid w:val="00004999"/>
    <w:rsid w:val="000050D3"/>
    <w:rsid w:val="0000739F"/>
    <w:rsid w:val="00007D39"/>
    <w:rsid w:val="00010DE4"/>
    <w:rsid w:val="00012CC9"/>
    <w:rsid w:val="000130EA"/>
    <w:rsid w:val="0001322E"/>
    <w:rsid w:val="000157F8"/>
    <w:rsid w:val="00023072"/>
    <w:rsid w:val="00031931"/>
    <w:rsid w:val="0003530F"/>
    <w:rsid w:val="0003617A"/>
    <w:rsid w:val="000363C5"/>
    <w:rsid w:val="000427E4"/>
    <w:rsid w:val="000435C6"/>
    <w:rsid w:val="000448D6"/>
    <w:rsid w:val="00044F3C"/>
    <w:rsid w:val="000478A7"/>
    <w:rsid w:val="000576F9"/>
    <w:rsid w:val="00057FEE"/>
    <w:rsid w:val="00062336"/>
    <w:rsid w:val="0006414D"/>
    <w:rsid w:val="000660B5"/>
    <w:rsid w:val="00067148"/>
    <w:rsid w:val="000701E3"/>
    <w:rsid w:val="000718DC"/>
    <w:rsid w:val="00071BD6"/>
    <w:rsid w:val="0007444C"/>
    <w:rsid w:val="000751AD"/>
    <w:rsid w:val="00076C7B"/>
    <w:rsid w:val="000779DE"/>
    <w:rsid w:val="0008102C"/>
    <w:rsid w:val="00081276"/>
    <w:rsid w:val="00086B56"/>
    <w:rsid w:val="00091F36"/>
    <w:rsid w:val="000926C0"/>
    <w:rsid w:val="00096DF0"/>
    <w:rsid w:val="000A270C"/>
    <w:rsid w:val="000A2B87"/>
    <w:rsid w:val="000A34E2"/>
    <w:rsid w:val="000A3661"/>
    <w:rsid w:val="000A455D"/>
    <w:rsid w:val="000A6058"/>
    <w:rsid w:val="000A6FBA"/>
    <w:rsid w:val="000A7E48"/>
    <w:rsid w:val="000B1553"/>
    <w:rsid w:val="000B163F"/>
    <w:rsid w:val="000B1DD3"/>
    <w:rsid w:val="000B21A2"/>
    <w:rsid w:val="000B53C5"/>
    <w:rsid w:val="000B5A88"/>
    <w:rsid w:val="000B623E"/>
    <w:rsid w:val="000B6D61"/>
    <w:rsid w:val="000B6F25"/>
    <w:rsid w:val="000B7E80"/>
    <w:rsid w:val="000C06F5"/>
    <w:rsid w:val="000C0DE7"/>
    <w:rsid w:val="000C244E"/>
    <w:rsid w:val="000C2512"/>
    <w:rsid w:val="000D0192"/>
    <w:rsid w:val="000D117A"/>
    <w:rsid w:val="000D4930"/>
    <w:rsid w:val="000D584F"/>
    <w:rsid w:val="000E0DD3"/>
    <w:rsid w:val="000E21F0"/>
    <w:rsid w:val="000E2C5B"/>
    <w:rsid w:val="000F043C"/>
    <w:rsid w:val="000F230D"/>
    <w:rsid w:val="000F2D8A"/>
    <w:rsid w:val="000F4692"/>
    <w:rsid w:val="000F5A89"/>
    <w:rsid w:val="00101C26"/>
    <w:rsid w:val="00111835"/>
    <w:rsid w:val="001119E6"/>
    <w:rsid w:val="00115DCF"/>
    <w:rsid w:val="001168A4"/>
    <w:rsid w:val="001267F2"/>
    <w:rsid w:val="00126BDD"/>
    <w:rsid w:val="00133181"/>
    <w:rsid w:val="00141A06"/>
    <w:rsid w:val="0014319C"/>
    <w:rsid w:val="0014382E"/>
    <w:rsid w:val="001459D8"/>
    <w:rsid w:val="00146EF4"/>
    <w:rsid w:val="00151102"/>
    <w:rsid w:val="00152B12"/>
    <w:rsid w:val="0015438A"/>
    <w:rsid w:val="00155831"/>
    <w:rsid w:val="00155FEF"/>
    <w:rsid w:val="00162ADD"/>
    <w:rsid w:val="001679DB"/>
    <w:rsid w:val="00171252"/>
    <w:rsid w:val="00172A39"/>
    <w:rsid w:val="0017330D"/>
    <w:rsid w:val="0017454F"/>
    <w:rsid w:val="00175259"/>
    <w:rsid w:val="00175EA3"/>
    <w:rsid w:val="00190946"/>
    <w:rsid w:val="00192BFE"/>
    <w:rsid w:val="001A1B9C"/>
    <w:rsid w:val="001A7A96"/>
    <w:rsid w:val="001A7D46"/>
    <w:rsid w:val="001B4E8B"/>
    <w:rsid w:val="001B5696"/>
    <w:rsid w:val="001C0424"/>
    <w:rsid w:val="001C07A0"/>
    <w:rsid w:val="001C1624"/>
    <w:rsid w:val="001C183D"/>
    <w:rsid w:val="001C21E5"/>
    <w:rsid w:val="001C3EC6"/>
    <w:rsid w:val="001C41C0"/>
    <w:rsid w:val="001D0542"/>
    <w:rsid w:val="001D23D6"/>
    <w:rsid w:val="001D2F75"/>
    <w:rsid w:val="001E0AFF"/>
    <w:rsid w:val="001E5763"/>
    <w:rsid w:val="001E71D6"/>
    <w:rsid w:val="001E7DA1"/>
    <w:rsid w:val="001F051E"/>
    <w:rsid w:val="001F099A"/>
    <w:rsid w:val="001F0BC0"/>
    <w:rsid w:val="001F3A80"/>
    <w:rsid w:val="001F4853"/>
    <w:rsid w:val="001F4E97"/>
    <w:rsid w:val="001F5537"/>
    <w:rsid w:val="001F5888"/>
    <w:rsid w:val="00202C1F"/>
    <w:rsid w:val="00203DF5"/>
    <w:rsid w:val="002118AC"/>
    <w:rsid w:val="00213289"/>
    <w:rsid w:val="002166F4"/>
    <w:rsid w:val="00220BE9"/>
    <w:rsid w:val="002251F1"/>
    <w:rsid w:val="002271B8"/>
    <w:rsid w:val="002271FF"/>
    <w:rsid w:val="00227C0D"/>
    <w:rsid w:val="002336D4"/>
    <w:rsid w:val="00233C54"/>
    <w:rsid w:val="00236302"/>
    <w:rsid w:val="00240A52"/>
    <w:rsid w:val="00240CFA"/>
    <w:rsid w:val="0024491B"/>
    <w:rsid w:val="00244CB8"/>
    <w:rsid w:val="00245595"/>
    <w:rsid w:val="00250BF2"/>
    <w:rsid w:val="00250C7C"/>
    <w:rsid w:val="00252C4C"/>
    <w:rsid w:val="002557C1"/>
    <w:rsid w:val="00255E03"/>
    <w:rsid w:val="00260106"/>
    <w:rsid w:val="002647D2"/>
    <w:rsid w:val="00264A90"/>
    <w:rsid w:val="00270C3E"/>
    <w:rsid w:val="0028129E"/>
    <w:rsid w:val="0029184D"/>
    <w:rsid w:val="00292B73"/>
    <w:rsid w:val="002945A3"/>
    <w:rsid w:val="00294973"/>
    <w:rsid w:val="00295750"/>
    <w:rsid w:val="002A1A0B"/>
    <w:rsid w:val="002A2F9C"/>
    <w:rsid w:val="002A4D27"/>
    <w:rsid w:val="002A7311"/>
    <w:rsid w:val="002B1882"/>
    <w:rsid w:val="002B21AD"/>
    <w:rsid w:val="002B2738"/>
    <w:rsid w:val="002B2D00"/>
    <w:rsid w:val="002B6170"/>
    <w:rsid w:val="002B6BE8"/>
    <w:rsid w:val="002C563B"/>
    <w:rsid w:val="002D3863"/>
    <w:rsid w:val="002D5275"/>
    <w:rsid w:val="002D5A03"/>
    <w:rsid w:val="002D5F44"/>
    <w:rsid w:val="002D6F6C"/>
    <w:rsid w:val="002D7808"/>
    <w:rsid w:val="002D7FA4"/>
    <w:rsid w:val="002E031C"/>
    <w:rsid w:val="002E272A"/>
    <w:rsid w:val="002E2E6A"/>
    <w:rsid w:val="002E3F75"/>
    <w:rsid w:val="002E4693"/>
    <w:rsid w:val="002F4051"/>
    <w:rsid w:val="002F61B0"/>
    <w:rsid w:val="002F6906"/>
    <w:rsid w:val="00303049"/>
    <w:rsid w:val="003063FB"/>
    <w:rsid w:val="00311E20"/>
    <w:rsid w:val="0031282E"/>
    <w:rsid w:val="00314EC5"/>
    <w:rsid w:val="00321CDD"/>
    <w:rsid w:val="0032461C"/>
    <w:rsid w:val="00325645"/>
    <w:rsid w:val="0032799F"/>
    <w:rsid w:val="003300A4"/>
    <w:rsid w:val="003310BB"/>
    <w:rsid w:val="00331DE9"/>
    <w:rsid w:val="00335D08"/>
    <w:rsid w:val="00342DC8"/>
    <w:rsid w:val="00350D40"/>
    <w:rsid w:val="00352190"/>
    <w:rsid w:val="00355DD3"/>
    <w:rsid w:val="003566C7"/>
    <w:rsid w:val="00356F8B"/>
    <w:rsid w:val="003579B8"/>
    <w:rsid w:val="00364AB9"/>
    <w:rsid w:val="00364EBE"/>
    <w:rsid w:val="00373859"/>
    <w:rsid w:val="003846D6"/>
    <w:rsid w:val="00385587"/>
    <w:rsid w:val="0038796C"/>
    <w:rsid w:val="0039220D"/>
    <w:rsid w:val="003936D4"/>
    <w:rsid w:val="00394B43"/>
    <w:rsid w:val="003A4726"/>
    <w:rsid w:val="003A4F9A"/>
    <w:rsid w:val="003B099E"/>
    <w:rsid w:val="003B1E98"/>
    <w:rsid w:val="003B3A5B"/>
    <w:rsid w:val="003B5259"/>
    <w:rsid w:val="003B661E"/>
    <w:rsid w:val="003B7DCC"/>
    <w:rsid w:val="003C4F1D"/>
    <w:rsid w:val="003C5FF6"/>
    <w:rsid w:val="003D0C79"/>
    <w:rsid w:val="003D3A84"/>
    <w:rsid w:val="003D5FCF"/>
    <w:rsid w:val="003D6BE2"/>
    <w:rsid w:val="003E18C5"/>
    <w:rsid w:val="003E23E9"/>
    <w:rsid w:val="003E2FD9"/>
    <w:rsid w:val="003E3A6B"/>
    <w:rsid w:val="003E51CE"/>
    <w:rsid w:val="003E591D"/>
    <w:rsid w:val="003E5A44"/>
    <w:rsid w:val="003E643E"/>
    <w:rsid w:val="003E7944"/>
    <w:rsid w:val="003E7CDE"/>
    <w:rsid w:val="003F0E0A"/>
    <w:rsid w:val="003F135A"/>
    <w:rsid w:val="003F706B"/>
    <w:rsid w:val="003F7EEA"/>
    <w:rsid w:val="004032FE"/>
    <w:rsid w:val="00403A5A"/>
    <w:rsid w:val="00404847"/>
    <w:rsid w:val="00404985"/>
    <w:rsid w:val="0041214D"/>
    <w:rsid w:val="004152D3"/>
    <w:rsid w:val="004220DE"/>
    <w:rsid w:val="00423197"/>
    <w:rsid w:val="0042482D"/>
    <w:rsid w:val="00424A8F"/>
    <w:rsid w:val="00424B65"/>
    <w:rsid w:val="00427003"/>
    <w:rsid w:val="00434CDF"/>
    <w:rsid w:val="0043561D"/>
    <w:rsid w:val="00436036"/>
    <w:rsid w:val="00436895"/>
    <w:rsid w:val="00441324"/>
    <w:rsid w:val="00442D24"/>
    <w:rsid w:val="004455E0"/>
    <w:rsid w:val="00445BCE"/>
    <w:rsid w:val="004467AE"/>
    <w:rsid w:val="0045022A"/>
    <w:rsid w:val="00450819"/>
    <w:rsid w:val="00453414"/>
    <w:rsid w:val="00455371"/>
    <w:rsid w:val="004629BA"/>
    <w:rsid w:val="00464261"/>
    <w:rsid w:val="00464F40"/>
    <w:rsid w:val="0046626B"/>
    <w:rsid w:val="0046676B"/>
    <w:rsid w:val="004668B0"/>
    <w:rsid w:val="00466F79"/>
    <w:rsid w:val="00467A1B"/>
    <w:rsid w:val="004722E2"/>
    <w:rsid w:val="00473E3A"/>
    <w:rsid w:val="00473F0B"/>
    <w:rsid w:val="004764E8"/>
    <w:rsid w:val="00483AFF"/>
    <w:rsid w:val="00484032"/>
    <w:rsid w:val="00484870"/>
    <w:rsid w:val="00485113"/>
    <w:rsid w:val="004863A4"/>
    <w:rsid w:val="004865C9"/>
    <w:rsid w:val="00487B03"/>
    <w:rsid w:val="00491265"/>
    <w:rsid w:val="004921CE"/>
    <w:rsid w:val="00492E76"/>
    <w:rsid w:val="00494B4C"/>
    <w:rsid w:val="004A223C"/>
    <w:rsid w:val="004A31E9"/>
    <w:rsid w:val="004A5D4A"/>
    <w:rsid w:val="004A638E"/>
    <w:rsid w:val="004A7D32"/>
    <w:rsid w:val="004B120A"/>
    <w:rsid w:val="004B3693"/>
    <w:rsid w:val="004B6627"/>
    <w:rsid w:val="004B6BF8"/>
    <w:rsid w:val="004C0404"/>
    <w:rsid w:val="004C247C"/>
    <w:rsid w:val="004C3953"/>
    <w:rsid w:val="004C4231"/>
    <w:rsid w:val="004D0124"/>
    <w:rsid w:val="004D122E"/>
    <w:rsid w:val="004D3C3B"/>
    <w:rsid w:val="004D791C"/>
    <w:rsid w:val="004E199D"/>
    <w:rsid w:val="004E2EFF"/>
    <w:rsid w:val="004E67B6"/>
    <w:rsid w:val="004E740B"/>
    <w:rsid w:val="004F5723"/>
    <w:rsid w:val="004F7A5B"/>
    <w:rsid w:val="00500084"/>
    <w:rsid w:val="00505262"/>
    <w:rsid w:val="00505DCB"/>
    <w:rsid w:val="005100D2"/>
    <w:rsid w:val="0051079D"/>
    <w:rsid w:val="00510FB1"/>
    <w:rsid w:val="005176E3"/>
    <w:rsid w:val="00522855"/>
    <w:rsid w:val="00525988"/>
    <w:rsid w:val="00525AAB"/>
    <w:rsid w:val="005315BA"/>
    <w:rsid w:val="00532858"/>
    <w:rsid w:val="00533A4D"/>
    <w:rsid w:val="00533B9E"/>
    <w:rsid w:val="00535EEF"/>
    <w:rsid w:val="0054030C"/>
    <w:rsid w:val="00541209"/>
    <w:rsid w:val="00541BB2"/>
    <w:rsid w:val="00542D36"/>
    <w:rsid w:val="005453D6"/>
    <w:rsid w:val="00545B45"/>
    <w:rsid w:val="00547FE3"/>
    <w:rsid w:val="0055205C"/>
    <w:rsid w:val="005520CE"/>
    <w:rsid w:val="00552E1A"/>
    <w:rsid w:val="0055515C"/>
    <w:rsid w:val="005571ED"/>
    <w:rsid w:val="00561298"/>
    <w:rsid w:val="00561E72"/>
    <w:rsid w:val="00566375"/>
    <w:rsid w:val="00573666"/>
    <w:rsid w:val="0058067F"/>
    <w:rsid w:val="00583735"/>
    <w:rsid w:val="005839DB"/>
    <w:rsid w:val="00584CF8"/>
    <w:rsid w:val="0058628C"/>
    <w:rsid w:val="00587576"/>
    <w:rsid w:val="00597FE6"/>
    <w:rsid w:val="005A112C"/>
    <w:rsid w:val="005A327F"/>
    <w:rsid w:val="005A5EB8"/>
    <w:rsid w:val="005B0672"/>
    <w:rsid w:val="005B13C7"/>
    <w:rsid w:val="005B1412"/>
    <w:rsid w:val="005B1ABB"/>
    <w:rsid w:val="005B5BDD"/>
    <w:rsid w:val="005C119F"/>
    <w:rsid w:val="005C1C97"/>
    <w:rsid w:val="005C209A"/>
    <w:rsid w:val="005C325C"/>
    <w:rsid w:val="005C4A0A"/>
    <w:rsid w:val="005C6A23"/>
    <w:rsid w:val="005C71D1"/>
    <w:rsid w:val="005D5D98"/>
    <w:rsid w:val="005D7BCB"/>
    <w:rsid w:val="005D7D20"/>
    <w:rsid w:val="005E0520"/>
    <w:rsid w:val="005E1172"/>
    <w:rsid w:val="005F65F7"/>
    <w:rsid w:val="00602C5E"/>
    <w:rsid w:val="00603475"/>
    <w:rsid w:val="0061029F"/>
    <w:rsid w:val="00613D23"/>
    <w:rsid w:val="00613DC3"/>
    <w:rsid w:val="006140EA"/>
    <w:rsid w:val="00616418"/>
    <w:rsid w:val="006233F7"/>
    <w:rsid w:val="006257F5"/>
    <w:rsid w:val="0062622A"/>
    <w:rsid w:val="00632E8B"/>
    <w:rsid w:val="006374B4"/>
    <w:rsid w:val="0064263E"/>
    <w:rsid w:val="00642B04"/>
    <w:rsid w:val="00643D07"/>
    <w:rsid w:val="0064428A"/>
    <w:rsid w:val="00644B2A"/>
    <w:rsid w:val="006456BE"/>
    <w:rsid w:val="00645AE0"/>
    <w:rsid w:val="00646CB8"/>
    <w:rsid w:val="00650D58"/>
    <w:rsid w:val="00652D03"/>
    <w:rsid w:val="0065376F"/>
    <w:rsid w:val="00653E74"/>
    <w:rsid w:val="00653F4D"/>
    <w:rsid w:val="006569EE"/>
    <w:rsid w:val="00656ED3"/>
    <w:rsid w:val="0066159C"/>
    <w:rsid w:val="006677F4"/>
    <w:rsid w:val="00673CBA"/>
    <w:rsid w:val="00675445"/>
    <w:rsid w:val="00675C44"/>
    <w:rsid w:val="00677E9C"/>
    <w:rsid w:val="00681E56"/>
    <w:rsid w:val="006820BD"/>
    <w:rsid w:val="006877D8"/>
    <w:rsid w:val="00690661"/>
    <w:rsid w:val="00693C0D"/>
    <w:rsid w:val="00694644"/>
    <w:rsid w:val="00697DC0"/>
    <w:rsid w:val="006A1B66"/>
    <w:rsid w:val="006A587A"/>
    <w:rsid w:val="006B18EA"/>
    <w:rsid w:val="006B3682"/>
    <w:rsid w:val="006B6241"/>
    <w:rsid w:val="006C3163"/>
    <w:rsid w:val="006C54B2"/>
    <w:rsid w:val="006D30A1"/>
    <w:rsid w:val="006D5838"/>
    <w:rsid w:val="006E0B28"/>
    <w:rsid w:val="006E2497"/>
    <w:rsid w:val="006E4ABA"/>
    <w:rsid w:val="006E533D"/>
    <w:rsid w:val="006E62F6"/>
    <w:rsid w:val="006E6F6E"/>
    <w:rsid w:val="006E775A"/>
    <w:rsid w:val="006F37BF"/>
    <w:rsid w:val="006F43E0"/>
    <w:rsid w:val="006F5060"/>
    <w:rsid w:val="00700FEF"/>
    <w:rsid w:val="00706C67"/>
    <w:rsid w:val="00707C06"/>
    <w:rsid w:val="00713A53"/>
    <w:rsid w:val="007143EA"/>
    <w:rsid w:val="00716F88"/>
    <w:rsid w:val="00717151"/>
    <w:rsid w:val="00720344"/>
    <w:rsid w:val="00725C04"/>
    <w:rsid w:val="007314FB"/>
    <w:rsid w:val="00734B90"/>
    <w:rsid w:val="0073538D"/>
    <w:rsid w:val="007366BB"/>
    <w:rsid w:val="00736C0F"/>
    <w:rsid w:val="00740BCE"/>
    <w:rsid w:val="0075122D"/>
    <w:rsid w:val="007514A5"/>
    <w:rsid w:val="00754669"/>
    <w:rsid w:val="00755BA0"/>
    <w:rsid w:val="007564BC"/>
    <w:rsid w:val="00762FE7"/>
    <w:rsid w:val="0076359B"/>
    <w:rsid w:val="00771677"/>
    <w:rsid w:val="007738BB"/>
    <w:rsid w:val="00774752"/>
    <w:rsid w:val="007770D2"/>
    <w:rsid w:val="00777AF6"/>
    <w:rsid w:val="007825E2"/>
    <w:rsid w:val="0078683B"/>
    <w:rsid w:val="00787D00"/>
    <w:rsid w:val="00791063"/>
    <w:rsid w:val="00791CEF"/>
    <w:rsid w:val="00791F1A"/>
    <w:rsid w:val="00793C3E"/>
    <w:rsid w:val="0079450A"/>
    <w:rsid w:val="00795556"/>
    <w:rsid w:val="007958FC"/>
    <w:rsid w:val="007A07E5"/>
    <w:rsid w:val="007A55AA"/>
    <w:rsid w:val="007A5DAC"/>
    <w:rsid w:val="007A667C"/>
    <w:rsid w:val="007B0361"/>
    <w:rsid w:val="007B0701"/>
    <w:rsid w:val="007B08FA"/>
    <w:rsid w:val="007C2DE1"/>
    <w:rsid w:val="007C3250"/>
    <w:rsid w:val="007C43EA"/>
    <w:rsid w:val="007C720F"/>
    <w:rsid w:val="007D23FF"/>
    <w:rsid w:val="007D550A"/>
    <w:rsid w:val="007D5716"/>
    <w:rsid w:val="007D5973"/>
    <w:rsid w:val="007D60CA"/>
    <w:rsid w:val="007D68B1"/>
    <w:rsid w:val="007D6AF5"/>
    <w:rsid w:val="007D75C7"/>
    <w:rsid w:val="007D763C"/>
    <w:rsid w:val="007E2E75"/>
    <w:rsid w:val="007E301C"/>
    <w:rsid w:val="007E3BF4"/>
    <w:rsid w:val="007F2D66"/>
    <w:rsid w:val="007F4004"/>
    <w:rsid w:val="007F4B04"/>
    <w:rsid w:val="0080312E"/>
    <w:rsid w:val="0080375A"/>
    <w:rsid w:val="0080686B"/>
    <w:rsid w:val="00814D2F"/>
    <w:rsid w:val="00825617"/>
    <w:rsid w:val="00826302"/>
    <w:rsid w:val="00833971"/>
    <w:rsid w:val="00833D77"/>
    <w:rsid w:val="0083467C"/>
    <w:rsid w:val="00836944"/>
    <w:rsid w:val="00840408"/>
    <w:rsid w:val="00840CA3"/>
    <w:rsid w:val="00841348"/>
    <w:rsid w:val="00841C2C"/>
    <w:rsid w:val="008427F5"/>
    <w:rsid w:val="00843941"/>
    <w:rsid w:val="008458B2"/>
    <w:rsid w:val="008533D3"/>
    <w:rsid w:val="00861C53"/>
    <w:rsid w:val="008623E9"/>
    <w:rsid w:val="00862CCE"/>
    <w:rsid w:val="008643F4"/>
    <w:rsid w:val="008653EF"/>
    <w:rsid w:val="00866A17"/>
    <w:rsid w:val="00870A2E"/>
    <w:rsid w:val="008745AB"/>
    <w:rsid w:val="00876778"/>
    <w:rsid w:val="00876965"/>
    <w:rsid w:val="00881DC6"/>
    <w:rsid w:val="008822E8"/>
    <w:rsid w:val="0088292F"/>
    <w:rsid w:val="00883167"/>
    <w:rsid w:val="0088356E"/>
    <w:rsid w:val="00885CF0"/>
    <w:rsid w:val="0088623D"/>
    <w:rsid w:val="00887848"/>
    <w:rsid w:val="0089180A"/>
    <w:rsid w:val="0089252B"/>
    <w:rsid w:val="00895C49"/>
    <w:rsid w:val="008A3B48"/>
    <w:rsid w:val="008A49DC"/>
    <w:rsid w:val="008A670E"/>
    <w:rsid w:val="008A6E42"/>
    <w:rsid w:val="008B0AAB"/>
    <w:rsid w:val="008B12BF"/>
    <w:rsid w:val="008B34B0"/>
    <w:rsid w:val="008B3D66"/>
    <w:rsid w:val="008B4B3D"/>
    <w:rsid w:val="008B622F"/>
    <w:rsid w:val="008B7997"/>
    <w:rsid w:val="008C1A08"/>
    <w:rsid w:val="008C2627"/>
    <w:rsid w:val="008C36A5"/>
    <w:rsid w:val="008C39E2"/>
    <w:rsid w:val="008C3E39"/>
    <w:rsid w:val="008C49AD"/>
    <w:rsid w:val="008C4A26"/>
    <w:rsid w:val="008D0636"/>
    <w:rsid w:val="008D0B9A"/>
    <w:rsid w:val="008D18BD"/>
    <w:rsid w:val="008D23B0"/>
    <w:rsid w:val="008D3B85"/>
    <w:rsid w:val="008D6E41"/>
    <w:rsid w:val="008E0475"/>
    <w:rsid w:val="008E27EC"/>
    <w:rsid w:val="008E6CD2"/>
    <w:rsid w:val="008E6E44"/>
    <w:rsid w:val="008E7CE4"/>
    <w:rsid w:val="008F1D7C"/>
    <w:rsid w:val="008F2834"/>
    <w:rsid w:val="008F38B5"/>
    <w:rsid w:val="008F3A7A"/>
    <w:rsid w:val="008F53C3"/>
    <w:rsid w:val="0090091B"/>
    <w:rsid w:val="00902C78"/>
    <w:rsid w:val="009047ED"/>
    <w:rsid w:val="009063EC"/>
    <w:rsid w:val="009077EE"/>
    <w:rsid w:val="00912B76"/>
    <w:rsid w:val="009130B1"/>
    <w:rsid w:val="009157BD"/>
    <w:rsid w:val="0092023F"/>
    <w:rsid w:val="00921BF8"/>
    <w:rsid w:val="009227FB"/>
    <w:rsid w:val="00925CD0"/>
    <w:rsid w:val="009261D0"/>
    <w:rsid w:val="0093543F"/>
    <w:rsid w:val="0093581D"/>
    <w:rsid w:val="00944931"/>
    <w:rsid w:val="00946052"/>
    <w:rsid w:val="00947955"/>
    <w:rsid w:val="00953A56"/>
    <w:rsid w:val="00957D51"/>
    <w:rsid w:val="009603FD"/>
    <w:rsid w:val="00961E1C"/>
    <w:rsid w:val="00962B69"/>
    <w:rsid w:val="009656AB"/>
    <w:rsid w:val="00970687"/>
    <w:rsid w:val="00972688"/>
    <w:rsid w:val="00973580"/>
    <w:rsid w:val="00975B1A"/>
    <w:rsid w:val="00976BED"/>
    <w:rsid w:val="00982E8C"/>
    <w:rsid w:val="009840B3"/>
    <w:rsid w:val="009848B8"/>
    <w:rsid w:val="00985447"/>
    <w:rsid w:val="00986896"/>
    <w:rsid w:val="009932C9"/>
    <w:rsid w:val="00994859"/>
    <w:rsid w:val="0099569F"/>
    <w:rsid w:val="009A245D"/>
    <w:rsid w:val="009A4FCD"/>
    <w:rsid w:val="009B5BF4"/>
    <w:rsid w:val="009C37BC"/>
    <w:rsid w:val="009C3E23"/>
    <w:rsid w:val="009C6E16"/>
    <w:rsid w:val="009C7D8D"/>
    <w:rsid w:val="009D1F7C"/>
    <w:rsid w:val="009D3CD7"/>
    <w:rsid w:val="009D46D9"/>
    <w:rsid w:val="009D7468"/>
    <w:rsid w:val="009E02C4"/>
    <w:rsid w:val="009E0633"/>
    <w:rsid w:val="009E0657"/>
    <w:rsid w:val="009E0828"/>
    <w:rsid w:val="009E1396"/>
    <w:rsid w:val="009E32F1"/>
    <w:rsid w:val="009E5D5C"/>
    <w:rsid w:val="009E64EA"/>
    <w:rsid w:val="009E6A1C"/>
    <w:rsid w:val="009F6E46"/>
    <w:rsid w:val="00A01B7C"/>
    <w:rsid w:val="00A01C08"/>
    <w:rsid w:val="00A041BA"/>
    <w:rsid w:val="00A1020C"/>
    <w:rsid w:val="00A165B8"/>
    <w:rsid w:val="00A17643"/>
    <w:rsid w:val="00A21157"/>
    <w:rsid w:val="00A2316D"/>
    <w:rsid w:val="00A252A1"/>
    <w:rsid w:val="00A27701"/>
    <w:rsid w:val="00A30C62"/>
    <w:rsid w:val="00A31775"/>
    <w:rsid w:val="00A317BA"/>
    <w:rsid w:val="00A332BE"/>
    <w:rsid w:val="00A34ED3"/>
    <w:rsid w:val="00A368CA"/>
    <w:rsid w:val="00A40AC7"/>
    <w:rsid w:val="00A413C2"/>
    <w:rsid w:val="00A41628"/>
    <w:rsid w:val="00A417A0"/>
    <w:rsid w:val="00A4271D"/>
    <w:rsid w:val="00A43277"/>
    <w:rsid w:val="00A447B9"/>
    <w:rsid w:val="00A503F7"/>
    <w:rsid w:val="00A5085E"/>
    <w:rsid w:val="00A5147F"/>
    <w:rsid w:val="00A516EC"/>
    <w:rsid w:val="00A522EA"/>
    <w:rsid w:val="00A5336C"/>
    <w:rsid w:val="00A56BE3"/>
    <w:rsid w:val="00A604DC"/>
    <w:rsid w:val="00A64912"/>
    <w:rsid w:val="00A651FA"/>
    <w:rsid w:val="00A66094"/>
    <w:rsid w:val="00A704E2"/>
    <w:rsid w:val="00A7105C"/>
    <w:rsid w:val="00A72AD0"/>
    <w:rsid w:val="00A75190"/>
    <w:rsid w:val="00A81228"/>
    <w:rsid w:val="00A83767"/>
    <w:rsid w:val="00A84254"/>
    <w:rsid w:val="00A865CB"/>
    <w:rsid w:val="00A87828"/>
    <w:rsid w:val="00A9113F"/>
    <w:rsid w:val="00A933CF"/>
    <w:rsid w:val="00A96000"/>
    <w:rsid w:val="00AA3181"/>
    <w:rsid w:val="00AA4621"/>
    <w:rsid w:val="00AA4814"/>
    <w:rsid w:val="00AA6A01"/>
    <w:rsid w:val="00AA7170"/>
    <w:rsid w:val="00AB1647"/>
    <w:rsid w:val="00AB6C10"/>
    <w:rsid w:val="00AC287C"/>
    <w:rsid w:val="00AC463D"/>
    <w:rsid w:val="00AC7155"/>
    <w:rsid w:val="00AC715A"/>
    <w:rsid w:val="00AC795E"/>
    <w:rsid w:val="00AD3099"/>
    <w:rsid w:val="00AD373B"/>
    <w:rsid w:val="00AE1104"/>
    <w:rsid w:val="00AE2006"/>
    <w:rsid w:val="00AE282C"/>
    <w:rsid w:val="00AE2F98"/>
    <w:rsid w:val="00AE3D7C"/>
    <w:rsid w:val="00AE758E"/>
    <w:rsid w:val="00AF02B9"/>
    <w:rsid w:val="00AF03B6"/>
    <w:rsid w:val="00AF0A7E"/>
    <w:rsid w:val="00AF2DB5"/>
    <w:rsid w:val="00AF442F"/>
    <w:rsid w:val="00AF6313"/>
    <w:rsid w:val="00AF7C87"/>
    <w:rsid w:val="00B046C1"/>
    <w:rsid w:val="00B06215"/>
    <w:rsid w:val="00B06777"/>
    <w:rsid w:val="00B11C0C"/>
    <w:rsid w:val="00B12004"/>
    <w:rsid w:val="00B12523"/>
    <w:rsid w:val="00B12990"/>
    <w:rsid w:val="00B15C3C"/>
    <w:rsid w:val="00B16BEB"/>
    <w:rsid w:val="00B21401"/>
    <w:rsid w:val="00B234F2"/>
    <w:rsid w:val="00B25EDE"/>
    <w:rsid w:val="00B27D21"/>
    <w:rsid w:val="00B3017C"/>
    <w:rsid w:val="00B32854"/>
    <w:rsid w:val="00B348A7"/>
    <w:rsid w:val="00B3539A"/>
    <w:rsid w:val="00B40533"/>
    <w:rsid w:val="00B4196D"/>
    <w:rsid w:val="00B41F11"/>
    <w:rsid w:val="00B51B61"/>
    <w:rsid w:val="00B55347"/>
    <w:rsid w:val="00B558E3"/>
    <w:rsid w:val="00B57BC5"/>
    <w:rsid w:val="00B60F4A"/>
    <w:rsid w:val="00B6123E"/>
    <w:rsid w:val="00B62BA2"/>
    <w:rsid w:val="00B64659"/>
    <w:rsid w:val="00B66E97"/>
    <w:rsid w:val="00B7769D"/>
    <w:rsid w:val="00B8022C"/>
    <w:rsid w:val="00B80368"/>
    <w:rsid w:val="00B80397"/>
    <w:rsid w:val="00B820D3"/>
    <w:rsid w:val="00B8556C"/>
    <w:rsid w:val="00B9043E"/>
    <w:rsid w:val="00B93AA4"/>
    <w:rsid w:val="00B945A7"/>
    <w:rsid w:val="00B96519"/>
    <w:rsid w:val="00B9771B"/>
    <w:rsid w:val="00B97F38"/>
    <w:rsid w:val="00BA1521"/>
    <w:rsid w:val="00BA23E4"/>
    <w:rsid w:val="00BA4511"/>
    <w:rsid w:val="00BA5A56"/>
    <w:rsid w:val="00BA7F90"/>
    <w:rsid w:val="00BB205C"/>
    <w:rsid w:val="00BB6DC8"/>
    <w:rsid w:val="00BB7A60"/>
    <w:rsid w:val="00BC02A4"/>
    <w:rsid w:val="00BC0B5B"/>
    <w:rsid w:val="00BC3C63"/>
    <w:rsid w:val="00BC3C6B"/>
    <w:rsid w:val="00BC6656"/>
    <w:rsid w:val="00BD0B14"/>
    <w:rsid w:val="00BD1C50"/>
    <w:rsid w:val="00BD1EA2"/>
    <w:rsid w:val="00BD2315"/>
    <w:rsid w:val="00BD2A3B"/>
    <w:rsid w:val="00BD47EB"/>
    <w:rsid w:val="00BD6811"/>
    <w:rsid w:val="00BE0457"/>
    <w:rsid w:val="00BE0827"/>
    <w:rsid w:val="00BE13D2"/>
    <w:rsid w:val="00BE162C"/>
    <w:rsid w:val="00BE1D46"/>
    <w:rsid w:val="00BE3E56"/>
    <w:rsid w:val="00BE4C00"/>
    <w:rsid w:val="00BE54A3"/>
    <w:rsid w:val="00BE5DCB"/>
    <w:rsid w:val="00BE6472"/>
    <w:rsid w:val="00BE6D5A"/>
    <w:rsid w:val="00BF40F9"/>
    <w:rsid w:val="00BF686E"/>
    <w:rsid w:val="00BF6E01"/>
    <w:rsid w:val="00BF7EC3"/>
    <w:rsid w:val="00C00B8B"/>
    <w:rsid w:val="00C01699"/>
    <w:rsid w:val="00C041AF"/>
    <w:rsid w:val="00C054AC"/>
    <w:rsid w:val="00C0696B"/>
    <w:rsid w:val="00C11008"/>
    <w:rsid w:val="00C11043"/>
    <w:rsid w:val="00C130E0"/>
    <w:rsid w:val="00C14042"/>
    <w:rsid w:val="00C154A5"/>
    <w:rsid w:val="00C17BD5"/>
    <w:rsid w:val="00C20B57"/>
    <w:rsid w:val="00C22BC0"/>
    <w:rsid w:val="00C25179"/>
    <w:rsid w:val="00C34C2A"/>
    <w:rsid w:val="00C35386"/>
    <w:rsid w:val="00C40089"/>
    <w:rsid w:val="00C40BB8"/>
    <w:rsid w:val="00C40C4B"/>
    <w:rsid w:val="00C40C64"/>
    <w:rsid w:val="00C419EB"/>
    <w:rsid w:val="00C423B6"/>
    <w:rsid w:val="00C515EA"/>
    <w:rsid w:val="00C55092"/>
    <w:rsid w:val="00C56E71"/>
    <w:rsid w:val="00C5707F"/>
    <w:rsid w:val="00C61B3D"/>
    <w:rsid w:val="00C62026"/>
    <w:rsid w:val="00C62C88"/>
    <w:rsid w:val="00C6305E"/>
    <w:rsid w:val="00C66A4F"/>
    <w:rsid w:val="00C66F7A"/>
    <w:rsid w:val="00C67D48"/>
    <w:rsid w:val="00C761D0"/>
    <w:rsid w:val="00C76F65"/>
    <w:rsid w:val="00C900CD"/>
    <w:rsid w:val="00C92565"/>
    <w:rsid w:val="00C92CA2"/>
    <w:rsid w:val="00C92E7B"/>
    <w:rsid w:val="00C935C2"/>
    <w:rsid w:val="00C95D9F"/>
    <w:rsid w:val="00C974DE"/>
    <w:rsid w:val="00CA12FB"/>
    <w:rsid w:val="00CA1C25"/>
    <w:rsid w:val="00CA2A4F"/>
    <w:rsid w:val="00CA3323"/>
    <w:rsid w:val="00CA45BE"/>
    <w:rsid w:val="00CA60A1"/>
    <w:rsid w:val="00CB0A2E"/>
    <w:rsid w:val="00CB0E48"/>
    <w:rsid w:val="00CB1D9E"/>
    <w:rsid w:val="00CB27CC"/>
    <w:rsid w:val="00CB417F"/>
    <w:rsid w:val="00CC1788"/>
    <w:rsid w:val="00CC196A"/>
    <w:rsid w:val="00CC40C9"/>
    <w:rsid w:val="00CC44EA"/>
    <w:rsid w:val="00CC48CD"/>
    <w:rsid w:val="00CC5355"/>
    <w:rsid w:val="00CC798C"/>
    <w:rsid w:val="00CC7B4F"/>
    <w:rsid w:val="00CD0A9F"/>
    <w:rsid w:val="00CD3815"/>
    <w:rsid w:val="00CD48E5"/>
    <w:rsid w:val="00CE43F1"/>
    <w:rsid w:val="00CE6C30"/>
    <w:rsid w:val="00CE775B"/>
    <w:rsid w:val="00CE7BDF"/>
    <w:rsid w:val="00CF3671"/>
    <w:rsid w:val="00CF6880"/>
    <w:rsid w:val="00CF743E"/>
    <w:rsid w:val="00CF7AB8"/>
    <w:rsid w:val="00CF7C8D"/>
    <w:rsid w:val="00D004EA"/>
    <w:rsid w:val="00D00DA4"/>
    <w:rsid w:val="00D044B6"/>
    <w:rsid w:val="00D046C1"/>
    <w:rsid w:val="00D24032"/>
    <w:rsid w:val="00D26246"/>
    <w:rsid w:val="00D26392"/>
    <w:rsid w:val="00D313F7"/>
    <w:rsid w:val="00D335BD"/>
    <w:rsid w:val="00D34B3D"/>
    <w:rsid w:val="00D45CD9"/>
    <w:rsid w:val="00D51F8C"/>
    <w:rsid w:val="00D525DC"/>
    <w:rsid w:val="00D62630"/>
    <w:rsid w:val="00D63139"/>
    <w:rsid w:val="00D63504"/>
    <w:rsid w:val="00D65E59"/>
    <w:rsid w:val="00D6664D"/>
    <w:rsid w:val="00D7028E"/>
    <w:rsid w:val="00D71570"/>
    <w:rsid w:val="00D71699"/>
    <w:rsid w:val="00D76402"/>
    <w:rsid w:val="00D773FA"/>
    <w:rsid w:val="00D833BB"/>
    <w:rsid w:val="00D960AD"/>
    <w:rsid w:val="00D973CB"/>
    <w:rsid w:val="00DA55E9"/>
    <w:rsid w:val="00DB0F68"/>
    <w:rsid w:val="00DB1E48"/>
    <w:rsid w:val="00DB2C4D"/>
    <w:rsid w:val="00DC16DE"/>
    <w:rsid w:val="00DD0888"/>
    <w:rsid w:val="00DD2795"/>
    <w:rsid w:val="00DD480B"/>
    <w:rsid w:val="00DD5435"/>
    <w:rsid w:val="00DD6650"/>
    <w:rsid w:val="00DD7A9A"/>
    <w:rsid w:val="00DE2289"/>
    <w:rsid w:val="00DE3698"/>
    <w:rsid w:val="00DE422F"/>
    <w:rsid w:val="00DE65CB"/>
    <w:rsid w:val="00DE7C03"/>
    <w:rsid w:val="00DF0D5B"/>
    <w:rsid w:val="00DF0DD7"/>
    <w:rsid w:val="00DF4199"/>
    <w:rsid w:val="00DF5EF2"/>
    <w:rsid w:val="00DF71DF"/>
    <w:rsid w:val="00DF79B3"/>
    <w:rsid w:val="00E00D0A"/>
    <w:rsid w:val="00E01290"/>
    <w:rsid w:val="00E02ADB"/>
    <w:rsid w:val="00E0406C"/>
    <w:rsid w:val="00E04CA8"/>
    <w:rsid w:val="00E0530D"/>
    <w:rsid w:val="00E077E4"/>
    <w:rsid w:val="00E122DD"/>
    <w:rsid w:val="00E162BF"/>
    <w:rsid w:val="00E2092E"/>
    <w:rsid w:val="00E228CF"/>
    <w:rsid w:val="00E232EB"/>
    <w:rsid w:val="00E25CEC"/>
    <w:rsid w:val="00E30361"/>
    <w:rsid w:val="00E36C0A"/>
    <w:rsid w:val="00E44DF0"/>
    <w:rsid w:val="00E459B3"/>
    <w:rsid w:val="00E46046"/>
    <w:rsid w:val="00E51F64"/>
    <w:rsid w:val="00E55AC8"/>
    <w:rsid w:val="00E56176"/>
    <w:rsid w:val="00E56FB5"/>
    <w:rsid w:val="00E6227B"/>
    <w:rsid w:val="00E64B0E"/>
    <w:rsid w:val="00E64E36"/>
    <w:rsid w:val="00E66F37"/>
    <w:rsid w:val="00E676BC"/>
    <w:rsid w:val="00E74151"/>
    <w:rsid w:val="00E751D7"/>
    <w:rsid w:val="00E80246"/>
    <w:rsid w:val="00E80523"/>
    <w:rsid w:val="00E871F7"/>
    <w:rsid w:val="00E87315"/>
    <w:rsid w:val="00E878FF"/>
    <w:rsid w:val="00E91D13"/>
    <w:rsid w:val="00E92F0A"/>
    <w:rsid w:val="00E93014"/>
    <w:rsid w:val="00E94D22"/>
    <w:rsid w:val="00E9525B"/>
    <w:rsid w:val="00E95497"/>
    <w:rsid w:val="00E958DA"/>
    <w:rsid w:val="00E963D2"/>
    <w:rsid w:val="00E964FC"/>
    <w:rsid w:val="00EA08DF"/>
    <w:rsid w:val="00EA2650"/>
    <w:rsid w:val="00EA3298"/>
    <w:rsid w:val="00EA6728"/>
    <w:rsid w:val="00EB0A91"/>
    <w:rsid w:val="00EB32FC"/>
    <w:rsid w:val="00EB3805"/>
    <w:rsid w:val="00EB4AC2"/>
    <w:rsid w:val="00EB6C24"/>
    <w:rsid w:val="00EC1532"/>
    <w:rsid w:val="00EC24E7"/>
    <w:rsid w:val="00EC315C"/>
    <w:rsid w:val="00ED4395"/>
    <w:rsid w:val="00ED7E32"/>
    <w:rsid w:val="00EE44BE"/>
    <w:rsid w:val="00EE4BF4"/>
    <w:rsid w:val="00EF04D0"/>
    <w:rsid w:val="00EF12E9"/>
    <w:rsid w:val="00EF2255"/>
    <w:rsid w:val="00EF32BF"/>
    <w:rsid w:val="00EF4C05"/>
    <w:rsid w:val="00F013E2"/>
    <w:rsid w:val="00F06C27"/>
    <w:rsid w:val="00F11ADD"/>
    <w:rsid w:val="00F1282B"/>
    <w:rsid w:val="00F16D5C"/>
    <w:rsid w:val="00F20CEC"/>
    <w:rsid w:val="00F27255"/>
    <w:rsid w:val="00F37368"/>
    <w:rsid w:val="00F3738A"/>
    <w:rsid w:val="00F37F94"/>
    <w:rsid w:val="00F46BB5"/>
    <w:rsid w:val="00F51398"/>
    <w:rsid w:val="00F529AF"/>
    <w:rsid w:val="00F53E6E"/>
    <w:rsid w:val="00F60FA0"/>
    <w:rsid w:val="00F6164D"/>
    <w:rsid w:val="00F624ED"/>
    <w:rsid w:val="00F626D5"/>
    <w:rsid w:val="00F7082C"/>
    <w:rsid w:val="00F72453"/>
    <w:rsid w:val="00F72F2B"/>
    <w:rsid w:val="00F7478A"/>
    <w:rsid w:val="00F750EB"/>
    <w:rsid w:val="00F81573"/>
    <w:rsid w:val="00F8299D"/>
    <w:rsid w:val="00F859DF"/>
    <w:rsid w:val="00F86162"/>
    <w:rsid w:val="00F90F72"/>
    <w:rsid w:val="00F91DAE"/>
    <w:rsid w:val="00F9221B"/>
    <w:rsid w:val="00F92C73"/>
    <w:rsid w:val="00FA0E5B"/>
    <w:rsid w:val="00FA2A24"/>
    <w:rsid w:val="00FA378F"/>
    <w:rsid w:val="00FA418F"/>
    <w:rsid w:val="00FB01E0"/>
    <w:rsid w:val="00FB074C"/>
    <w:rsid w:val="00FC2F72"/>
    <w:rsid w:val="00FC36E0"/>
    <w:rsid w:val="00FC4288"/>
    <w:rsid w:val="00FD0561"/>
    <w:rsid w:val="00FD1188"/>
    <w:rsid w:val="00FD1F00"/>
    <w:rsid w:val="00FD222B"/>
    <w:rsid w:val="00FD40BF"/>
    <w:rsid w:val="00FD451E"/>
    <w:rsid w:val="00FD4A1D"/>
    <w:rsid w:val="00FD7083"/>
    <w:rsid w:val="00FD7629"/>
    <w:rsid w:val="00FE1508"/>
    <w:rsid w:val="00FE2EDB"/>
    <w:rsid w:val="00FE2F66"/>
    <w:rsid w:val="00FE50CF"/>
    <w:rsid w:val="00FE64CA"/>
    <w:rsid w:val="00FF27A1"/>
    <w:rsid w:val="00FF29E1"/>
    <w:rsid w:val="00FF5C04"/>
    <w:rsid w:val="00FF68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B2"/>
    <w:pPr>
      <w:spacing w:after="0" w:line="240" w:lineRule="auto"/>
    </w:pPr>
    <w:rPr>
      <w:rFonts w:ascii="Calibri" w:hAnsi="Calibri" w:cs="Calibri"/>
    </w:rPr>
  </w:style>
  <w:style w:type="paragraph" w:styleId="Heading1">
    <w:name w:val="heading 1"/>
    <w:basedOn w:val="Normal"/>
    <w:next w:val="Normal"/>
    <w:link w:val="Heading1Char"/>
    <w:uiPriority w:val="9"/>
    <w:qFormat/>
    <w:rsid w:val="009F6E46"/>
    <w:pPr>
      <w:keepNext/>
      <w:keepLines/>
      <w:numPr>
        <w:numId w:val="5"/>
      </w:numPr>
      <w:tabs>
        <w:tab w:val="left" w:pos="-851"/>
        <w:tab w:val="left" w:pos="851"/>
      </w:tabs>
      <w:spacing w:before="36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7C720F"/>
    <w:pPr>
      <w:keepNext/>
      <w:keepLines/>
      <w:numPr>
        <w:ilvl w:val="1"/>
        <w:numId w:val="5"/>
      </w:numPr>
      <w:spacing w:before="240"/>
      <w:ind w:left="426" w:hanging="426"/>
      <w:jc w:val="both"/>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7C720F"/>
    <w:pPr>
      <w:keepNext/>
      <w:keepLines/>
      <w:numPr>
        <w:ilvl w:val="2"/>
        <w:numId w:val="5"/>
      </w:numPr>
      <w:spacing w:before="240"/>
      <w:ind w:left="426" w:hanging="426"/>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0B7E80"/>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B7E80"/>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B7E80"/>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B7E80"/>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B7E8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7E8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19"/>
    <w:pPr>
      <w:ind w:left="720"/>
      <w:contextualSpacing/>
    </w:pPr>
  </w:style>
  <w:style w:type="paragraph" w:styleId="BalloonText">
    <w:name w:val="Balloon Text"/>
    <w:basedOn w:val="Normal"/>
    <w:link w:val="BalloonTextChar"/>
    <w:uiPriority w:val="99"/>
    <w:semiHidden/>
    <w:unhideWhenUsed/>
    <w:rsid w:val="00B57B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BC5"/>
    <w:rPr>
      <w:rFonts w:ascii="Segoe UI" w:hAnsi="Segoe UI" w:cs="Segoe UI"/>
      <w:sz w:val="18"/>
      <w:szCs w:val="18"/>
    </w:rPr>
  </w:style>
  <w:style w:type="character" w:styleId="CommentReference">
    <w:name w:val="annotation reference"/>
    <w:basedOn w:val="DefaultParagraphFont"/>
    <w:uiPriority w:val="99"/>
    <w:semiHidden/>
    <w:unhideWhenUsed/>
    <w:rsid w:val="00B57BC5"/>
    <w:rPr>
      <w:sz w:val="16"/>
      <w:szCs w:val="16"/>
    </w:rPr>
  </w:style>
  <w:style w:type="paragraph" w:styleId="CommentText">
    <w:name w:val="annotation text"/>
    <w:basedOn w:val="Normal"/>
    <w:link w:val="CommentTextChar"/>
    <w:uiPriority w:val="99"/>
    <w:unhideWhenUsed/>
    <w:rsid w:val="00B57BC5"/>
    <w:rPr>
      <w:sz w:val="20"/>
      <w:szCs w:val="20"/>
    </w:rPr>
  </w:style>
  <w:style w:type="character" w:customStyle="1" w:styleId="CommentTextChar">
    <w:name w:val="Comment Text Char"/>
    <w:basedOn w:val="DefaultParagraphFont"/>
    <w:link w:val="CommentText"/>
    <w:uiPriority w:val="99"/>
    <w:rsid w:val="00B57BC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57BC5"/>
    <w:rPr>
      <w:b/>
      <w:bCs/>
    </w:rPr>
  </w:style>
  <w:style w:type="character" w:customStyle="1" w:styleId="CommentSubjectChar">
    <w:name w:val="Comment Subject Char"/>
    <w:basedOn w:val="CommentTextChar"/>
    <w:link w:val="CommentSubject"/>
    <w:uiPriority w:val="99"/>
    <w:semiHidden/>
    <w:rsid w:val="00B57BC5"/>
    <w:rPr>
      <w:rFonts w:ascii="Calibri" w:hAnsi="Calibri" w:cs="Calibri"/>
      <w:b/>
      <w:bCs/>
      <w:sz w:val="20"/>
      <w:szCs w:val="20"/>
    </w:rPr>
  </w:style>
  <w:style w:type="paragraph" w:styleId="Revision">
    <w:name w:val="Revision"/>
    <w:hidden/>
    <w:uiPriority w:val="99"/>
    <w:semiHidden/>
    <w:rsid w:val="00EA3298"/>
    <w:pPr>
      <w:spacing w:after="0" w:line="240" w:lineRule="auto"/>
    </w:pPr>
    <w:rPr>
      <w:rFonts w:ascii="Calibri" w:hAnsi="Calibri" w:cs="Calibri"/>
    </w:rPr>
  </w:style>
  <w:style w:type="paragraph" w:styleId="Header">
    <w:name w:val="header"/>
    <w:basedOn w:val="Normal"/>
    <w:link w:val="HeaderChar"/>
    <w:uiPriority w:val="99"/>
    <w:unhideWhenUsed/>
    <w:rsid w:val="00E95497"/>
    <w:pPr>
      <w:tabs>
        <w:tab w:val="center" w:pos="4819"/>
        <w:tab w:val="right" w:pos="9638"/>
      </w:tabs>
    </w:pPr>
  </w:style>
  <w:style w:type="character" w:customStyle="1" w:styleId="HeaderChar">
    <w:name w:val="Header Char"/>
    <w:basedOn w:val="DefaultParagraphFont"/>
    <w:link w:val="Header"/>
    <w:uiPriority w:val="99"/>
    <w:rsid w:val="00E95497"/>
    <w:rPr>
      <w:rFonts w:ascii="Calibri" w:hAnsi="Calibri" w:cs="Calibri"/>
    </w:rPr>
  </w:style>
  <w:style w:type="paragraph" w:styleId="Footer">
    <w:name w:val="footer"/>
    <w:basedOn w:val="Normal"/>
    <w:link w:val="FooterChar"/>
    <w:uiPriority w:val="99"/>
    <w:unhideWhenUsed/>
    <w:rsid w:val="00E95497"/>
    <w:pPr>
      <w:tabs>
        <w:tab w:val="center" w:pos="4819"/>
        <w:tab w:val="right" w:pos="9638"/>
      </w:tabs>
    </w:pPr>
  </w:style>
  <w:style w:type="character" w:customStyle="1" w:styleId="FooterChar">
    <w:name w:val="Footer Char"/>
    <w:basedOn w:val="DefaultParagraphFont"/>
    <w:link w:val="Footer"/>
    <w:uiPriority w:val="99"/>
    <w:rsid w:val="00E95497"/>
    <w:rPr>
      <w:rFonts w:ascii="Calibri" w:hAnsi="Calibri" w:cs="Calibri"/>
    </w:rPr>
  </w:style>
  <w:style w:type="character" w:customStyle="1" w:styleId="Heading1Char">
    <w:name w:val="Heading 1 Char"/>
    <w:basedOn w:val="DefaultParagraphFont"/>
    <w:link w:val="Heading1"/>
    <w:uiPriority w:val="9"/>
    <w:rsid w:val="009F6E46"/>
    <w:rPr>
      <w:rFonts w:asciiTheme="majorHAnsi" w:eastAsiaTheme="majorEastAsia" w:hAnsiTheme="majorHAnsi" w:cstheme="majorBidi"/>
      <w:b/>
      <w:sz w:val="28"/>
      <w:szCs w:val="32"/>
      <w:lang w:val="bg-BG"/>
    </w:rPr>
  </w:style>
  <w:style w:type="character" w:customStyle="1" w:styleId="Heading2Char">
    <w:name w:val="Heading 2 Char"/>
    <w:basedOn w:val="DefaultParagraphFont"/>
    <w:link w:val="Heading2"/>
    <w:uiPriority w:val="9"/>
    <w:rsid w:val="007C720F"/>
    <w:rPr>
      <w:rFonts w:ascii="Calibri" w:eastAsiaTheme="majorEastAsia" w:hAnsi="Calibri" w:cstheme="majorBidi"/>
      <w:sz w:val="26"/>
      <w:szCs w:val="26"/>
      <w:lang w:val="bg-BG"/>
    </w:rPr>
  </w:style>
  <w:style w:type="character" w:customStyle="1" w:styleId="Heading3Char">
    <w:name w:val="Heading 3 Char"/>
    <w:basedOn w:val="DefaultParagraphFont"/>
    <w:link w:val="Heading3"/>
    <w:uiPriority w:val="9"/>
    <w:rsid w:val="007C720F"/>
    <w:rPr>
      <w:rFonts w:ascii="Calibri" w:eastAsiaTheme="majorEastAsia" w:hAnsi="Calibri" w:cstheme="majorBidi"/>
      <w:szCs w:val="24"/>
      <w:lang w:val="bg-BG"/>
    </w:rPr>
  </w:style>
  <w:style w:type="character" w:customStyle="1" w:styleId="Heading4Char">
    <w:name w:val="Heading 4 Char"/>
    <w:basedOn w:val="DefaultParagraphFont"/>
    <w:link w:val="Heading4"/>
    <w:uiPriority w:val="9"/>
    <w:semiHidden/>
    <w:rsid w:val="000B7E80"/>
    <w:rPr>
      <w:rFonts w:asciiTheme="majorHAnsi" w:eastAsiaTheme="majorEastAsia" w:hAnsiTheme="majorHAnsi" w:cstheme="majorBidi"/>
      <w:i/>
      <w:iCs/>
      <w:color w:val="2E74B5" w:themeColor="accent1" w:themeShade="BF"/>
      <w:lang w:val="bg-BG"/>
    </w:rPr>
  </w:style>
  <w:style w:type="character" w:customStyle="1" w:styleId="Heading5Char">
    <w:name w:val="Heading 5 Char"/>
    <w:basedOn w:val="DefaultParagraphFont"/>
    <w:link w:val="Heading5"/>
    <w:uiPriority w:val="9"/>
    <w:semiHidden/>
    <w:rsid w:val="000B7E80"/>
    <w:rPr>
      <w:rFonts w:asciiTheme="majorHAnsi" w:eastAsiaTheme="majorEastAsia" w:hAnsiTheme="majorHAnsi" w:cstheme="majorBidi"/>
      <w:color w:val="2E74B5" w:themeColor="accent1" w:themeShade="BF"/>
      <w:lang w:val="bg-BG"/>
    </w:rPr>
  </w:style>
  <w:style w:type="character" w:customStyle="1" w:styleId="Heading6Char">
    <w:name w:val="Heading 6 Char"/>
    <w:basedOn w:val="DefaultParagraphFont"/>
    <w:link w:val="Heading6"/>
    <w:uiPriority w:val="9"/>
    <w:semiHidden/>
    <w:rsid w:val="000B7E80"/>
    <w:rPr>
      <w:rFonts w:asciiTheme="majorHAnsi" w:eastAsiaTheme="majorEastAsia" w:hAnsiTheme="majorHAnsi" w:cstheme="majorBidi"/>
      <w:color w:val="1F4D78" w:themeColor="accent1" w:themeShade="7F"/>
      <w:lang w:val="bg-BG"/>
    </w:rPr>
  </w:style>
  <w:style w:type="character" w:customStyle="1" w:styleId="Heading7Char">
    <w:name w:val="Heading 7 Char"/>
    <w:basedOn w:val="DefaultParagraphFont"/>
    <w:link w:val="Heading7"/>
    <w:uiPriority w:val="9"/>
    <w:semiHidden/>
    <w:rsid w:val="000B7E80"/>
    <w:rPr>
      <w:rFonts w:asciiTheme="majorHAnsi" w:eastAsiaTheme="majorEastAsia" w:hAnsiTheme="majorHAnsi" w:cstheme="majorBidi"/>
      <w:i/>
      <w:iCs/>
      <w:color w:val="1F4D78" w:themeColor="accent1" w:themeShade="7F"/>
      <w:lang w:val="bg-BG"/>
    </w:rPr>
  </w:style>
  <w:style w:type="character" w:customStyle="1" w:styleId="Heading8Char">
    <w:name w:val="Heading 8 Char"/>
    <w:basedOn w:val="DefaultParagraphFont"/>
    <w:link w:val="Heading8"/>
    <w:uiPriority w:val="9"/>
    <w:semiHidden/>
    <w:rsid w:val="000B7E80"/>
    <w:rPr>
      <w:rFonts w:asciiTheme="majorHAnsi" w:eastAsiaTheme="majorEastAsia" w:hAnsiTheme="majorHAnsi" w:cstheme="majorBidi"/>
      <w:color w:val="272727" w:themeColor="text1" w:themeTint="D8"/>
      <w:sz w:val="21"/>
      <w:szCs w:val="21"/>
      <w:lang w:val="bg-BG"/>
    </w:rPr>
  </w:style>
  <w:style w:type="character" w:customStyle="1" w:styleId="Heading9Char">
    <w:name w:val="Heading 9 Char"/>
    <w:basedOn w:val="DefaultParagraphFont"/>
    <w:link w:val="Heading9"/>
    <w:uiPriority w:val="9"/>
    <w:semiHidden/>
    <w:rsid w:val="000B7E80"/>
    <w:rPr>
      <w:rFonts w:asciiTheme="majorHAnsi" w:eastAsiaTheme="majorEastAsia" w:hAnsiTheme="majorHAnsi" w:cstheme="majorBidi"/>
      <w:i/>
      <w:iCs/>
      <w:color w:val="272727" w:themeColor="text1" w:themeTint="D8"/>
      <w:sz w:val="21"/>
      <w:szCs w:val="21"/>
      <w:lang w:val="bg-BG"/>
    </w:rPr>
  </w:style>
  <w:style w:type="paragraph" w:customStyle="1" w:styleId="Default">
    <w:name w:val="Default"/>
    <w:rsid w:val="000A270C"/>
    <w:pPr>
      <w:autoSpaceDE w:val="0"/>
      <w:autoSpaceDN w:val="0"/>
      <w:adjustRightInd w:val="0"/>
      <w:spacing w:after="0" w:line="240" w:lineRule="auto"/>
    </w:pPr>
    <w:rPr>
      <w:rFonts w:ascii="Arial" w:hAnsi="Arial" w:cs="Arial"/>
      <w:color w:val="000000"/>
      <w:sz w:val="24"/>
      <w:szCs w:val="24"/>
    </w:rPr>
  </w:style>
  <w:style w:type="paragraph" w:styleId="TOC1">
    <w:name w:val="toc 1"/>
    <w:basedOn w:val="Normal"/>
    <w:next w:val="Normal"/>
    <w:autoRedefine/>
    <w:uiPriority w:val="39"/>
    <w:unhideWhenUsed/>
    <w:rsid w:val="0039220D"/>
    <w:rPr>
      <w:b/>
    </w:rPr>
  </w:style>
  <w:style w:type="paragraph" w:styleId="TOC2">
    <w:name w:val="toc 2"/>
    <w:basedOn w:val="Normal"/>
    <w:next w:val="Normal"/>
    <w:autoRedefine/>
    <w:uiPriority w:val="39"/>
    <w:unhideWhenUsed/>
    <w:rsid w:val="0039220D"/>
    <w:pPr>
      <w:tabs>
        <w:tab w:val="left" w:pos="1276"/>
        <w:tab w:val="right" w:leader="dot" w:pos="9062"/>
      </w:tabs>
      <w:ind w:left="709"/>
    </w:pPr>
    <w:rPr>
      <w:noProof/>
    </w:rPr>
  </w:style>
  <w:style w:type="character" w:styleId="Hyperlink">
    <w:name w:val="Hyperlink"/>
    <w:basedOn w:val="DefaultParagraphFont"/>
    <w:uiPriority w:val="99"/>
    <w:unhideWhenUsed/>
    <w:rsid w:val="003C4F1D"/>
    <w:rPr>
      <w:color w:val="0563C1" w:themeColor="hyperlink"/>
      <w:u w:val="single"/>
    </w:rPr>
  </w:style>
  <w:style w:type="paragraph" w:customStyle="1" w:styleId="Standaard1">
    <w:name w:val="Standaard1"/>
    <w:basedOn w:val="Normal"/>
    <w:rsid w:val="00076C7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ootnoteCharacters">
    <w:name w:val="Footnote Characters"/>
    <w:rsid w:val="00734B90"/>
  </w:style>
  <w:style w:type="character" w:styleId="FootnoteReference">
    <w:name w:val="footnote reference"/>
    <w:uiPriority w:val="99"/>
    <w:rsid w:val="00734B90"/>
    <w:rPr>
      <w:vertAlign w:val="superscript"/>
    </w:rPr>
  </w:style>
  <w:style w:type="character" w:styleId="FollowedHyperlink">
    <w:name w:val="FollowedHyperlink"/>
    <w:basedOn w:val="DefaultParagraphFont"/>
    <w:uiPriority w:val="99"/>
    <w:semiHidden/>
    <w:unhideWhenUsed/>
    <w:rsid w:val="00734B90"/>
    <w:rPr>
      <w:color w:val="954F72" w:themeColor="followedHyperlink"/>
      <w:u w:val="single"/>
    </w:rPr>
  </w:style>
  <w:style w:type="paragraph" w:customStyle="1" w:styleId="doc-ti">
    <w:name w:val="doc-ti"/>
    <w:basedOn w:val="Normal"/>
    <w:rsid w:val="007D550A"/>
    <w:pPr>
      <w:spacing w:before="100" w:beforeAutospacing="1" w:after="100" w:afterAutospacing="1"/>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39220D"/>
    <w:pPr>
      <w:tabs>
        <w:tab w:val="left" w:pos="1843"/>
        <w:tab w:val="right" w:leader="dot" w:pos="9062"/>
      </w:tabs>
      <w:ind w:left="1276"/>
    </w:pPr>
    <w:rPr>
      <w:noProof/>
    </w:rPr>
  </w:style>
  <w:style w:type="paragraph" w:customStyle="1" w:styleId="FootnoteText1">
    <w:name w:val="Footnote Text1"/>
    <w:basedOn w:val="Normal"/>
    <w:next w:val="FootnoteText"/>
    <w:link w:val="FootnoteTextChar"/>
    <w:uiPriority w:val="99"/>
    <w:semiHidden/>
    <w:unhideWhenUsed/>
    <w:rsid w:val="00DB2C4D"/>
    <w:rPr>
      <w:rFonts w:ascii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DB2C4D"/>
    <w:rPr>
      <w:sz w:val="20"/>
      <w:szCs w:val="20"/>
    </w:rPr>
  </w:style>
  <w:style w:type="paragraph" w:styleId="FootnoteText">
    <w:name w:val="footnote text"/>
    <w:basedOn w:val="Normal"/>
    <w:link w:val="FootnoteTextChar1"/>
    <w:uiPriority w:val="99"/>
    <w:semiHidden/>
    <w:unhideWhenUsed/>
    <w:rsid w:val="00DB2C4D"/>
    <w:rPr>
      <w:sz w:val="20"/>
      <w:szCs w:val="20"/>
    </w:rPr>
  </w:style>
  <w:style w:type="character" w:customStyle="1" w:styleId="FootnoteTextChar1">
    <w:name w:val="Footnote Text Char1"/>
    <w:basedOn w:val="DefaultParagraphFont"/>
    <w:link w:val="FootnoteText"/>
    <w:uiPriority w:val="99"/>
    <w:semiHidden/>
    <w:rsid w:val="00DB2C4D"/>
    <w:rPr>
      <w:rFonts w:ascii="Calibri" w:hAnsi="Calibri" w:cs="Calibri"/>
      <w:sz w:val="20"/>
      <w:szCs w:val="20"/>
      <w:lang w:val="bg-BG"/>
    </w:rPr>
  </w:style>
  <w:style w:type="paragraph" w:customStyle="1" w:styleId="Standaard2">
    <w:name w:val="Standaard2"/>
    <w:basedOn w:val="Normal"/>
    <w:rsid w:val="00071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normal1">
    <w:name w:val="normal1"/>
    <w:basedOn w:val="Normal"/>
    <w:rsid w:val="000E0DD3"/>
    <w:pPr>
      <w:spacing w:before="120" w:line="312" w:lineRule="atLeast"/>
      <w:jc w:val="both"/>
    </w:pPr>
    <w:rPr>
      <w:rFonts w:ascii="Times New Roman" w:eastAsia="Times New Roman" w:hAnsi="Times New Roman" w:cs="Times New Roman"/>
      <w:sz w:val="24"/>
      <w:szCs w:val="24"/>
      <w:lang w:eastAsia="fr-FR"/>
    </w:rPr>
  </w:style>
  <w:style w:type="table" w:styleId="TableGrid">
    <w:name w:val="Table Grid"/>
    <w:basedOn w:val="TableNormal"/>
    <w:uiPriority w:val="39"/>
    <w:rsid w:val="004A2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ard3">
    <w:name w:val="Standaard3"/>
    <w:basedOn w:val="Normal"/>
    <w:rsid w:val="001E7DA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Onopgelostemelding1">
    <w:name w:val="Onopgeloste melding1"/>
    <w:basedOn w:val="DefaultParagraphFont"/>
    <w:uiPriority w:val="99"/>
    <w:semiHidden/>
    <w:unhideWhenUsed/>
    <w:rsid w:val="0093581D"/>
    <w:rPr>
      <w:color w:val="605E5C"/>
      <w:shd w:val="clear" w:color="auto" w:fill="E1DFDD"/>
    </w:rPr>
  </w:style>
  <w:style w:type="paragraph" w:styleId="NoSpacing">
    <w:name w:val="No Spacing"/>
    <w:link w:val="NoSpacingChar"/>
    <w:uiPriority w:val="1"/>
    <w:qFormat/>
    <w:rsid w:val="0045537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55371"/>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B2"/>
    <w:pPr>
      <w:spacing w:after="0" w:line="240" w:lineRule="auto"/>
    </w:pPr>
    <w:rPr>
      <w:rFonts w:ascii="Calibri" w:hAnsi="Calibri" w:cs="Calibri"/>
    </w:rPr>
  </w:style>
  <w:style w:type="paragraph" w:styleId="Heading1">
    <w:name w:val="heading 1"/>
    <w:basedOn w:val="Normal"/>
    <w:next w:val="Normal"/>
    <w:link w:val="Heading1Char"/>
    <w:uiPriority w:val="9"/>
    <w:qFormat/>
    <w:rsid w:val="009F6E46"/>
    <w:pPr>
      <w:keepNext/>
      <w:keepLines/>
      <w:numPr>
        <w:numId w:val="5"/>
      </w:numPr>
      <w:tabs>
        <w:tab w:val="left" w:pos="-851"/>
        <w:tab w:val="left" w:pos="851"/>
      </w:tabs>
      <w:spacing w:before="36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7C720F"/>
    <w:pPr>
      <w:keepNext/>
      <w:keepLines/>
      <w:numPr>
        <w:ilvl w:val="1"/>
        <w:numId w:val="5"/>
      </w:numPr>
      <w:spacing w:before="240"/>
      <w:ind w:left="426" w:hanging="426"/>
      <w:jc w:val="both"/>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7C720F"/>
    <w:pPr>
      <w:keepNext/>
      <w:keepLines/>
      <w:numPr>
        <w:ilvl w:val="2"/>
        <w:numId w:val="5"/>
      </w:numPr>
      <w:spacing w:before="240"/>
      <w:ind w:left="426" w:hanging="426"/>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0B7E80"/>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B7E80"/>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B7E80"/>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B7E80"/>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B7E8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7E8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19"/>
    <w:pPr>
      <w:ind w:left="720"/>
      <w:contextualSpacing/>
    </w:pPr>
  </w:style>
  <w:style w:type="paragraph" w:styleId="BalloonText">
    <w:name w:val="Balloon Text"/>
    <w:basedOn w:val="Normal"/>
    <w:link w:val="BalloonTextChar"/>
    <w:uiPriority w:val="99"/>
    <w:semiHidden/>
    <w:unhideWhenUsed/>
    <w:rsid w:val="00B57B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BC5"/>
    <w:rPr>
      <w:rFonts w:ascii="Segoe UI" w:hAnsi="Segoe UI" w:cs="Segoe UI"/>
      <w:sz w:val="18"/>
      <w:szCs w:val="18"/>
    </w:rPr>
  </w:style>
  <w:style w:type="character" w:styleId="CommentReference">
    <w:name w:val="annotation reference"/>
    <w:basedOn w:val="DefaultParagraphFont"/>
    <w:uiPriority w:val="99"/>
    <w:semiHidden/>
    <w:unhideWhenUsed/>
    <w:rsid w:val="00B57BC5"/>
    <w:rPr>
      <w:sz w:val="16"/>
      <w:szCs w:val="16"/>
    </w:rPr>
  </w:style>
  <w:style w:type="paragraph" w:styleId="CommentText">
    <w:name w:val="annotation text"/>
    <w:basedOn w:val="Normal"/>
    <w:link w:val="CommentTextChar"/>
    <w:uiPriority w:val="99"/>
    <w:unhideWhenUsed/>
    <w:rsid w:val="00B57BC5"/>
    <w:rPr>
      <w:sz w:val="20"/>
      <w:szCs w:val="20"/>
    </w:rPr>
  </w:style>
  <w:style w:type="character" w:customStyle="1" w:styleId="CommentTextChar">
    <w:name w:val="Comment Text Char"/>
    <w:basedOn w:val="DefaultParagraphFont"/>
    <w:link w:val="CommentText"/>
    <w:uiPriority w:val="99"/>
    <w:rsid w:val="00B57BC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57BC5"/>
    <w:rPr>
      <w:b/>
      <w:bCs/>
    </w:rPr>
  </w:style>
  <w:style w:type="character" w:customStyle="1" w:styleId="CommentSubjectChar">
    <w:name w:val="Comment Subject Char"/>
    <w:basedOn w:val="CommentTextChar"/>
    <w:link w:val="CommentSubject"/>
    <w:uiPriority w:val="99"/>
    <w:semiHidden/>
    <w:rsid w:val="00B57BC5"/>
    <w:rPr>
      <w:rFonts w:ascii="Calibri" w:hAnsi="Calibri" w:cs="Calibri"/>
      <w:b/>
      <w:bCs/>
      <w:sz w:val="20"/>
      <w:szCs w:val="20"/>
    </w:rPr>
  </w:style>
  <w:style w:type="paragraph" w:styleId="Revision">
    <w:name w:val="Revision"/>
    <w:hidden/>
    <w:uiPriority w:val="99"/>
    <w:semiHidden/>
    <w:rsid w:val="00EA3298"/>
    <w:pPr>
      <w:spacing w:after="0" w:line="240" w:lineRule="auto"/>
    </w:pPr>
    <w:rPr>
      <w:rFonts w:ascii="Calibri" w:hAnsi="Calibri" w:cs="Calibri"/>
    </w:rPr>
  </w:style>
  <w:style w:type="paragraph" w:styleId="Header">
    <w:name w:val="header"/>
    <w:basedOn w:val="Normal"/>
    <w:link w:val="HeaderChar"/>
    <w:uiPriority w:val="99"/>
    <w:unhideWhenUsed/>
    <w:rsid w:val="00E95497"/>
    <w:pPr>
      <w:tabs>
        <w:tab w:val="center" w:pos="4819"/>
        <w:tab w:val="right" w:pos="9638"/>
      </w:tabs>
    </w:pPr>
  </w:style>
  <w:style w:type="character" w:customStyle="1" w:styleId="HeaderChar">
    <w:name w:val="Header Char"/>
    <w:basedOn w:val="DefaultParagraphFont"/>
    <w:link w:val="Header"/>
    <w:uiPriority w:val="99"/>
    <w:rsid w:val="00E95497"/>
    <w:rPr>
      <w:rFonts w:ascii="Calibri" w:hAnsi="Calibri" w:cs="Calibri"/>
    </w:rPr>
  </w:style>
  <w:style w:type="paragraph" w:styleId="Footer">
    <w:name w:val="footer"/>
    <w:basedOn w:val="Normal"/>
    <w:link w:val="FooterChar"/>
    <w:uiPriority w:val="99"/>
    <w:unhideWhenUsed/>
    <w:rsid w:val="00E95497"/>
    <w:pPr>
      <w:tabs>
        <w:tab w:val="center" w:pos="4819"/>
        <w:tab w:val="right" w:pos="9638"/>
      </w:tabs>
    </w:pPr>
  </w:style>
  <w:style w:type="character" w:customStyle="1" w:styleId="FooterChar">
    <w:name w:val="Footer Char"/>
    <w:basedOn w:val="DefaultParagraphFont"/>
    <w:link w:val="Footer"/>
    <w:uiPriority w:val="99"/>
    <w:rsid w:val="00E95497"/>
    <w:rPr>
      <w:rFonts w:ascii="Calibri" w:hAnsi="Calibri" w:cs="Calibri"/>
    </w:rPr>
  </w:style>
  <w:style w:type="character" w:customStyle="1" w:styleId="Heading1Char">
    <w:name w:val="Heading 1 Char"/>
    <w:basedOn w:val="DefaultParagraphFont"/>
    <w:link w:val="Heading1"/>
    <w:uiPriority w:val="9"/>
    <w:rsid w:val="009F6E46"/>
    <w:rPr>
      <w:rFonts w:asciiTheme="majorHAnsi" w:eastAsiaTheme="majorEastAsia" w:hAnsiTheme="majorHAnsi" w:cstheme="majorBidi"/>
      <w:b/>
      <w:sz w:val="28"/>
      <w:szCs w:val="32"/>
      <w:lang w:val="bg-BG"/>
    </w:rPr>
  </w:style>
  <w:style w:type="character" w:customStyle="1" w:styleId="Heading2Char">
    <w:name w:val="Heading 2 Char"/>
    <w:basedOn w:val="DefaultParagraphFont"/>
    <w:link w:val="Heading2"/>
    <w:uiPriority w:val="9"/>
    <w:rsid w:val="007C720F"/>
    <w:rPr>
      <w:rFonts w:ascii="Calibri" w:eastAsiaTheme="majorEastAsia" w:hAnsi="Calibri" w:cstheme="majorBidi"/>
      <w:sz w:val="26"/>
      <w:szCs w:val="26"/>
      <w:lang w:val="bg-BG"/>
    </w:rPr>
  </w:style>
  <w:style w:type="character" w:customStyle="1" w:styleId="Heading3Char">
    <w:name w:val="Heading 3 Char"/>
    <w:basedOn w:val="DefaultParagraphFont"/>
    <w:link w:val="Heading3"/>
    <w:uiPriority w:val="9"/>
    <w:rsid w:val="007C720F"/>
    <w:rPr>
      <w:rFonts w:ascii="Calibri" w:eastAsiaTheme="majorEastAsia" w:hAnsi="Calibri" w:cstheme="majorBidi"/>
      <w:szCs w:val="24"/>
      <w:lang w:val="bg-BG"/>
    </w:rPr>
  </w:style>
  <w:style w:type="character" w:customStyle="1" w:styleId="Heading4Char">
    <w:name w:val="Heading 4 Char"/>
    <w:basedOn w:val="DefaultParagraphFont"/>
    <w:link w:val="Heading4"/>
    <w:uiPriority w:val="9"/>
    <w:semiHidden/>
    <w:rsid w:val="000B7E80"/>
    <w:rPr>
      <w:rFonts w:asciiTheme="majorHAnsi" w:eastAsiaTheme="majorEastAsia" w:hAnsiTheme="majorHAnsi" w:cstheme="majorBidi"/>
      <w:i/>
      <w:iCs/>
      <w:color w:val="2E74B5" w:themeColor="accent1" w:themeShade="BF"/>
      <w:lang w:val="bg-BG"/>
    </w:rPr>
  </w:style>
  <w:style w:type="character" w:customStyle="1" w:styleId="Heading5Char">
    <w:name w:val="Heading 5 Char"/>
    <w:basedOn w:val="DefaultParagraphFont"/>
    <w:link w:val="Heading5"/>
    <w:uiPriority w:val="9"/>
    <w:semiHidden/>
    <w:rsid w:val="000B7E80"/>
    <w:rPr>
      <w:rFonts w:asciiTheme="majorHAnsi" w:eastAsiaTheme="majorEastAsia" w:hAnsiTheme="majorHAnsi" w:cstheme="majorBidi"/>
      <w:color w:val="2E74B5" w:themeColor="accent1" w:themeShade="BF"/>
      <w:lang w:val="bg-BG"/>
    </w:rPr>
  </w:style>
  <w:style w:type="character" w:customStyle="1" w:styleId="Heading6Char">
    <w:name w:val="Heading 6 Char"/>
    <w:basedOn w:val="DefaultParagraphFont"/>
    <w:link w:val="Heading6"/>
    <w:uiPriority w:val="9"/>
    <w:semiHidden/>
    <w:rsid w:val="000B7E80"/>
    <w:rPr>
      <w:rFonts w:asciiTheme="majorHAnsi" w:eastAsiaTheme="majorEastAsia" w:hAnsiTheme="majorHAnsi" w:cstheme="majorBidi"/>
      <w:color w:val="1F4D78" w:themeColor="accent1" w:themeShade="7F"/>
      <w:lang w:val="bg-BG"/>
    </w:rPr>
  </w:style>
  <w:style w:type="character" w:customStyle="1" w:styleId="Heading7Char">
    <w:name w:val="Heading 7 Char"/>
    <w:basedOn w:val="DefaultParagraphFont"/>
    <w:link w:val="Heading7"/>
    <w:uiPriority w:val="9"/>
    <w:semiHidden/>
    <w:rsid w:val="000B7E80"/>
    <w:rPr>
      <w:rFonts w:asciiTheme="majorHAnsi" w:eastAsiaTheme="majorEastAsia" w:hAnsiTheme="majorHAnsi" w:cstheme="majorBidi"/>
      <w:i/>
      <w:iCs/>
      <w:color w:val="1F4D78" w:themeColor="accent1" w:themeShade="7F"/>
      <w:lang w:val="bg-BG"/>
    </w:rPr>
  </w:style>
  <w:style w:type="character" w:customStyle="1" w:styleId="Heading8Char">
    <w:name w:val="Heading 8 Char"/>
    <w:basedOn w:val="DefaultParagraphFont"/>
    <w:link w:val="Heading8"/>
    <w:uiPriority w:val="9"/>
    <w:semiHidden/>
    <w:rsid w:val="000B7E80"/>
    <w:rPr>
      <w:rFonts w:asciiTheme="majorHAnsi" w:eastAsiaTheme="majorEastAsia" w:hAnsiTheme="majorHAnsi" w:cstheme="majorBidi"/>
      <w:color w:val="272727" w:themeColor="text1" w:themeTint="D8"/>
      <w:sz w:val="21"/>
      <w:szCs w:val="21"/>
      <w:lang w:val="bg-BG"/>
    </w:rPr>
  </w:style>
  <w:style w:type="character" w:customStyle="1" w:styleId="Heading9Char">
    <w:name w:val="Heading 9 Char"/>
    <w:basedOn w:val="DefaultParagraphFont"/>
    <w:link w:val="Heading9"/>
    <w:uiPriority w:val="9"/>
    <w:semiHidden/>
    <w:rsid w:val="000B7E80"/>
    <w:rPr>
      <w:rFonts w:asciiTheme="majorHAnsi" w:eastAsiaTheme="majorEastAsia" w:hAnsiTheme="majorHAnsi" w:cstheme="majorBidi"/>
      <w:i/>
      <w:iCs/>
      <w:color w:val="272727" w:themeColor="text1" w:themeTint="D8"/>
      <w:sz w:val="21"/>
      <w:szCs w:val="21"/>
      <w:lang w:val="bg-BG"/>
    </w:rPr>
  </w:style>
  <w:style w:type="paragraph" w:customStyle="1" w:styleId="Default">
    <w:name w:val="Default"/>
    <w:rsid w:val="000A270C"/>
    <w:pPr>
      <w:autoSpaceDE w:val="0"/>
      <w:autoSpaceDN w:val="0"/>
      <w:adjustRightInd w:val="0"/>
      <w:spacing w:after="0" w:line="240" w:lineRule="auto"/>
    </w:pPr>
    <w:rPr>
      <w:rFonts w:ascii="Arial" w:hAnsi="Arial" w:cs="Arial"/>
      <w:color w:val="000000"/>
      <w:sz w:val="24"/>
      <w:szCs w:val="24"/>
    </w:rPr>
  </w:style>
  <w:style w:type="paragraph" w:styleId="TOC1">
    <w:name w:val="toc 1"/>
    <w:basedOn w:val="Normal"/>
    <w:next w:val="Normal"/>
    <w:autoRedefine/>
    <w:uiPriority w:val="39"/>
    <w:unhideWhenUsed/>
    <w:rsid w:val="0039220D"/>
    <w:rPr>
      <w:b/>
    </w:rPr>
  </w:style>
  <w:style w:type="paragraph" w:styleId="TOC2">
    <w:name w:val="toc 2"/>
    <w:basedOn w:val="Normal"/>
    <w:next w:val="Normal"/>
    <w:autoRedefine/>
    <w:uiPriority w:val="39"/>
    <w:unhideWhenUsed/>
    <w:rsid w:val="0039220D"/>
    <w:pPr>
      <w:tabs>
        <w:tab w:val="left" w:pos="1276"/>
        <w:tab w:val="right" w:leader="dot" w:pos="9062"/>
      </w:tabs>
      <w:ind w:left="709"/>
    </w:pPr>
    <w:rPr>
      <w:noProof/>
    </w:rPr>
  </w:style>
  <w:style w:type="character" w:styleId="Hyperlink">
    <w:name w:val="Hyperlink"/>
    <w:basedOn w:val="DefaultParagraphFont"/>
    <w:uiPriority w:val="99"/>
    <w:unhideWhenUsed/>
    <w:rsid w:val="003C4F1D"/>
    <w:rPr>
      <w:color w:val="0563C1" w:themeColor="hyperlink"/>
      <w:u w:val="single"/>
    </w:rPr>
  </w:style>
  <w:style w:type="paragraph" w:customStyle="1" w:styleId="Standaard1">
    <w:name w:val="Standaard1"/>
    <w:basedOn w:val="Normal"/>
    <w:rsid w:val="00076C7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ootnoteCharacters">
    <w:name w:val="Footnote Characters"/>
    <w:rsid w:val="00734B90"/>
  </w:style>
  <w:style w:type="character" w:styleId="FootnoteReference">
    <w:name w:val="footnote reference"/>
    <w:uiPriority w:val="99"/>
    <w:rsid w:val="00734B90"/>
    <w:rPr>
      <w:vertAlign w:val="superscript"/>
    </w:rPr>
  </w:style>
  <w:style w:type="character" w:styleId="FollowedHyperlink">
    <w:name w:val="FollowedHyperlink"/>
    <w:basedOn w:val="DefaultParagraphFont"/>
    <w:uiPriority w:val="99"/>
    <w:semiHidden/>
    <w:unhideWhenUsed/>
    <w:rsid w:val="00734B90"/>
    <w:rPr>
      <w:color w:val="954F72" w:themeColor="followedHyperlink"/>
      <w:u w:val="single"/>
    </w:rPr>
  </w:style>
  <w:style w:type="paragraph" w:customStyle="1" w:styleId="doc-ti">
    <w:name w:val="doc-ti"/>
    <w:basedOn w:val="Normal"/>
    <w:rsid w:val="007D550A"/>
    <w:pPr>
      <w:spacing w:before="100" w:beforeAutospacing="1" w:after="100" w:afterAutospacing="1"/>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39220D"/>
    <w:pPr>
      <w:tabs>
        <w:tab w:val="left" w:pos="1843"/>
        <w:tab w:val="right" w:leader="dot" w:pos="9062"/>
      </w:tabs>
      <w:ind w:left="1276"/>
    </w:pPr>
    <w:rPr>
      <w:noProof/>
    </w:rPr>
  </w:style>
  <w:style w:type="paragraph" w:customStyle="1" w:styleId="FootnoteText1">
    <w:name w:val="Footnote Text1"/>
    <w:basedOn w:val="Normal"/>
    <w:next w:val="FootnoteText"/>
    <w:link w:val="FootnoteTextChar"/>
    <w:uiPriority w:val="99"/>
    <w:semiHidden/>
    <w:unhideWhenUsed/>
    <w:rsid w:val="00DB2C4D"/>
    <w:rPr>
      <w:rFonts w:ascii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DB2C4D"/>
    <w:rPr>
      <w:sz w:val="20"/>
      <w:szCs w:val="20"/>
    </w:rPr>
  </w:style>
  <w:style w:type="paragraph" w:styleId="FootnoteText">
    <w:name w:val="footnote text"/>
    <w:basedOn w:val="Normal"/>
    <w:link w:val="FootnoteTextChar1"/>
    <w:uiPriority w:val="99"/>
    <w:semiHidden/>
    <w:unhideWhenUsed/>
    <w:rsid w:val="00DB2C4D"/>
    <w:rPr>
      <w:sz w:val="20"/>
      <w:szCs w:val="20"/>
    </w:rPr>
  </w:style>
  <w:style w:type="character" w:customStyle="1" w:styleId="FootnoteTextChar1">
    <w:name w:val="Footnote Text Char1"/>
    <w:basedOn w:val="DefaultParagraphFont"/>
    <w:link w:val="FootnoteText"/>
    <w:uiPriority w:val="99"/>
    <w:semiHidden/>
    <w:rsid w:val="00DB2C4D"/>
    <w:rPr>
      <w:rFonts w:ascii="Calibri" w:hAnsi="Calibri" w:cs="Calibri"/>
      <w:sz w:val="20"/>
      <w:szCs w:val="20"/>
      <w:lang w:val="bg-BG"/>
    </w:rPr>
  </w:style>
  <w:style w:type="paragraph" w:customStyle="1" w:styleId="Standaard2">
    <w:name w:val="Standaard2"/>
    <w:basedOn w:val="Normal"/>
    <w:rsid w:val="00071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normal1">
    <w:name w:val="normal1"/>
    <w:basedOn w:val="Normal"/>
    <w:rsid w:val="000E0DD3"/>
    <w:pPr>
      <w:spacing w:before="120" w:line="312" w:lineRule="atLeast"/>
      <w:jc w:val="both"/>
    </w:pPr>
    <w:rPr>
      <w:rFonts w:ascii="Times New Roman" w:eastAsia="Times New Roman" w:hAnsi="Times New Roman" w:cs="Times New Roman"/>
      <w:sz w:val="24"/>
      <w:szCs w:val="24"/>
      <w:lang w:eastAsia="fr-FR"/>
    </w:rPr>
  </w:style>
  <w:style w:type="table" w:styleId="TableGrid">
    <w:name w:val="Table Grid"/>
    <w:basedOn w:val="TableNormal"/>
    <w:uiPriority w:val="39"/>
    <w:rsid w:val="004A2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ard3">
    <w:name w:val="Standaard3"/>
    <w:basedOn w:val="Normal"/>
    <w:rsid w:val="001E7DA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Onopgelostemelding1">
    <w:name w:val="Onopgeloste melding1"/>
    <w:basedOn w:val="DefaultParagraphFont"/>
    <w:uiPriority w:val="99"/>
    <w:semiHidden/>
    <w:unhideWhenUsed/>
    <w:rsid w:val="0093581D"/>
    <w:rPr>
      <w:color w:val="605E5C"/>
      <w:shd w:val="clear" w:color="auto" w:fill="E1DFDD"/>
    </w:rPr>
  </w:style>
  <w:style w:type="paragraph" w:styleId="NoSpacing">
    <w:name w:val="No Spacing"/>
    <w:link w:val="NoSpacingChar"/>
    <w:uiPriority w:val="1"/>
    <w:qFormat/>
    <w:rsid w:val="0045537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5537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0597">
      <w:bodyDiv w:val="1"/>
      <w:marLeft w:val="0"/>
      <w:marRight w:val="0"/>
      <w:marTop w:val="0"/>
      <w:marBottom w:val="0"/>
      <w:divBdr>
        <w:top w:val="none" w:sz="0" w:space="0" w:color="auto"/>
        <w:left w:val="none" w:sz="0" w:space="0" w:color="auto"/>
        <w:bottom w:val="none" w:sz="0" w:space="0" w:color="auto"/>
        <w:right w:val="none" w:sz="0" w:space="0" w:color="auto"/>
      </w:divBdr>
    </w:div>
    <w:div w:id="176123292">
      <w:bodyDiv w:val="1"/>
      <w:marLeft w:val="0"/>
      <w:marRight w:val="0"/>
      <w:marTop w:val="0"/>
      <w:marBottom w:val="0"/>
      <w:divBdr>
        <w:top w:val="none" w:sz="0" w:space="0" w:color="auto"/>
        <w:left w:val="none" w:sz="0" w:space="0" w:color="auto"/>
        <w:bottom w:val="none" w:sz="0" w:space="0" w:color="auto"/>
        <w:right w:val="none" w:sz="0" w:space="0" w:color="auto"/>
      </w:divBdr>
    </w:div>
    <w:div w:id="327711978">
      <w:bodyDiv w:val="1"/>
      <w:marLeft w:val="0"/>
      <w:marRight w:val="0"/>
      <w:marTop w:val="0"/>
      <w:marBottom w:val="0"/>
      <w:divBdr>
        <w:top w:val="none" w:sz="0" w:space="0" w:color="auto"/>
        <w:left w:val="none" w:sz="0" w:space="0" w:color="auto"/>
        <w:bottom w:val="none" w:sz="0" w:space="0" w:color="auto"/>
        <w:right w:val="none" w:sz="0" w:space="0" w:color="auto"/>
      </w:divBdr>
    </w:div>
    <w:div w:id="424033739">
      <w:bodyDiv w:val="1"/>
      <w:marLeft w:val="0"/>
      <w:marRight w:val="0"/>
      <w:marTop w:val="0"/>
      <w:marBottom w:val="0"/>
      <w:divBdr>
        <w:top w:val="none" w:sz="0" w:space="0" w:color="auto"/>
        <w:left w:val="none" w:sz="0" w:space="0" w:color="auto"/>
        <w:bottom w:val="none" w:sz="0" w:space="0" w:color="auto"/>
        <w:right w:val="none" w:sz="0" w:space="0" w:color="auto"/>
      </w:divBdr>
    </w:div>
    <w:div w:id="748884676">
      <w:bodyDiv w:val="1"/>
      <w:marLeft w:val="0"/>
      <w:marRight w:val="0"/>
      <w:marTop w:val="0"/>
      <w:marBottom w:val="0"/>
      <w:divBdr>
        <w:top w:val="none" w:sz="0" w:space="0" w:color="auto"/>
        <w:left w:val="none" w:sz="0" w:space="0" w:color="auto"/>
        <w:bottom w:val="none" w:sz="0" w:space="0" w:color="auto"/>
        <w:right w:val="none" w:sz="0" w:space="0" w:color="auto"/>
      </w:divBdr>
    </w:div>
    <w:div w:id="786512258">
      <w:bodyDiv w:val="1"/>
      <w:marLeft w:val="0"/>
      <w:marRight w:val="0"/>
      <w:marTop w:val="0"/>
      <w:marBottom w:val="0"/>
      <w:divBdr>
        <w:top w:val="none" w:sz="0" w:space="0" w:color="auto"/>
        <w:left w:val="none" w:sz="0" w:space="0" w:color="auto"/>
        <w:bottom w:val="none" w:sz="0" w:space="0" w:color="auto"/>
        <w:right w:val="none" w:sz="0" w:space="0" w:color="auto"/>
      </w:divBdr>
    </w:div>
    <w:div w:id="994996380">
      <w:bodyDiv w:val="1"/>
      <w:marLeft w:val="0"/>
      <w:marRight w:val="0"/>
      <w:marTop w:val="0"/>
      <w:marBottom w:val="0"/>
      <w:divBdr>
        <w:top w:val="none" w:sz="0" w:space="0" w:color="auto"/>
        <w:left w:val="none" w:sz="0" w:space="0" w:color="auto"/>
        <w:bottom w:val="none" w:sz="0" w:space="0" w:color="auto"/>
        <w:right w:val="none" w:sz="0" w:space="0" w:color="auto"/>
      </w:divBdr>
    </w:div>
    <w:div w:id="1141919969">
      <w:bodyDiv w:val="1"/>
      <w:marLeft w:val="0"/>
      <w:marRight w:val="0"/>
      <w:marTop w:val="0"/>
      <w:marBottom w:val="0"/>
      <w:divBdr>
        <w:top w:val="none" w:sz="0" w:space="0" w:color="auto"/>
        <w:left w:val="none" w:sz="0" w:space="0" w:color="auto"/>
        <w:bottom w:val="none" w:sz="0" w:space="0" w:color="auto"/>
        <w:right w:val="none" w:sz="0" w:space="0" w:color="auto"/>
      </w:divBdr>
    </w:div>
    <w:div w:id="1247807248">
      <w:bodyDiv w:val="1"/>
      <w:marLeft w:val="0"/>
      <w:marRight w:val="0"/>
      <w:marTop w:val="0"/>
      <w:marBottom w:val="0"/>
      <w:divBdr>
        <w:top w:val="none" w:sz="0" w:space="0" w:color="auto"/>
        <w:left w:val="none" w:sz="0" w:space="0" w:color="auto"/>
        <w:bottom w:val="none" w:sz="0" w:space="0" w:color="auto"/>
        <w:right w:val="none" w:sz="0" w:space="0" w:color="auto"/>
      </w:divBdr>
    </w:div>
    <w:div w:id="1349717218">
      <w:bodyDiv w:val="1"/>
      <w:marLeft w:val="0"/>
      <w:marRight w:val="0"/>
      <w:marTop w:val="0"/>
      <w:marBottom w:val="0"/>
      <w:divBdr>
        <w:top w:val="none" w:sz="0" w:space="0" w:color="auto"/>
        <w:left w:val="none" w:sz="0" w:space="0" w:color="auto"/>
        <w:bottom w:val="none" w:sz="0" w:space="0" w:color="auto"/>
        <w:right w:val="none" w:sz="0" w:space="0" w:color="auto"/>
      </w:divBdr>
      <w:divsChild>
        <w:div w:id="1957328423">
          <w:marLeft w:val="0"/>
          <w:marRight w:val="0"/>
          <w:marTop w:val="0"/>
          <w:marBottom w:val="0"/>
          <w:divBdr>
            <w:top w:val="none" w:sz="0" w:space="0" w:color="auto"/>
            <w:left w:val="none" w:sz="0" w:space="0" w:color="auto"/>
            <w:bottom w:val="none" w:sz="0" w:space="0" w:color="auto"/>
            <w:right w:val="none" w:sz="0" w:space="0" w:color="auto"/>
          </w:divBdr>
          <w:divsChild>
            <w:div w:id="965164246">
              <w:marLeft w:val="0"/>
              <w:marRight w:val="0"/>
              <w:marTop w:val="0"/>
              <w:marBottom w:val="0"/>
              <w:divBdr>
                <w:top w:val="none" w:sz="0" w:space="0" w:color="auto"/>
                <w:left w:val="none" w:sz="0" w:space="0" w:color="auto"/>
                <w:bottom w:val="none" w:sz="0" w:space="0" w:color="auto"/>
                <w:right w:val="none" w:sz="0" w:space="0" w:color="auto"/>
              </w:divBdr>
              <w:divsChild>
                <w:div w:id="1927498568">
                  <w:marLeft w:val="0"/>
                  <w:marRight w:val="0"/>
                  <w:marTop w:val="0"/>
                  <w:marBottom w:val="0"/>
                  <w:divBdr>
                    <w:top w:val="none" w:sz="0" w:space="0" w:color="auto"/>
                    <w:left w:val="none" w:sz="0" w:space="0" w:color="auto"/>
                    <w:bottom w:val="none" w:sz="0" w:space="0" w:color="auto"/>
                    <w:right w:val="none" w:sz="0" w:space="0" w:color="auto"/>
                  </w:divBdr>
                  <w:divsChild>
                    <w:div w:id="6388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02018">
      <w:bodyDiv w:val="1"/>
      <w:marLeft w:val="0"/>
      <w:marRight w:val="0"/>
      <w:marTop w:val="0"/>
      <w:marBottom w:val="0"/>
      <w:divBdr>
        <w:top w:val="none" w:sz="0" w:space="0" w:color="auto"/>
        <w:left w:val="none" w:sz="0" w:space="0" w:color="auto"/>
        <w:bottom w:val="none" w:sz="0" w:space="0" w:color="auto"/>
        <w:right w:val="none" w:sz="0" w:space="0" w:color="auto"/>
      </w:divBdr>
    </w:div>
    <w:div w:id="1530951740">
      <w:bodyDiv w:val="1"/>
      <w:marLeft w:val="0"/>
      <w:marRight w:val="0"/>
      <w:marTop w:val="0"/>
      <w:marBottom w:val="0"/>
      <w:divBdr>
        <w:top w:val="none" w:sz="0" w:space="0" w:color="auto"/>
        <w:left w:val="none" w:sz="0" w:space="0" w:color="auto"/>
        <w:bottom w:val="none" w:sz="0" w:space="0" w:color="auto"/>
        <w:right w:val="none" w:sz="0" w:space="0" w:color="auto"/>
      </w:divBdr>
    </w:div>
    <w:div w:id="1753355221">
      <w:bodyDiv w:val="1"/>
      <w:marLeft w:val="0"/>
      <w:marRight w:val="0"/>
      <w:marTop w:val="0"/>
      <w:marBottom w:val="0"/>
      <w:divBdr>
        <w:top w:val="none" w:sz="0" w:space="0" w:color="auto"/>
        <w:left w:val="none" w:sz="0" w:space="0" w:color="auto"/>
        <w:bottom w:val="none" w:sz="0" w:space="0" w:color="auto"/>
        <w:right w:val="none" w:sz="0" w:space="0" w:color="auto"/>
      </w:divBdr>
      <w:divsChild>
        <w:div w:id="308631471">
          <w:marLeft w:val="0"/>
          <w:marRight w:val="0"/>
          <w:marTop w:val="0"/>
          <w:marBottom w:val="0"/>
          <w:divBdr>
            <w:top w:val="none" w:sz="0" w:space="0" w:color="auto"/>
            <w:left w:val="none" w:sz="0" w:space="0" w:color="auto"/>
            <w:bottom w:val="none" w:sz="0" w:space="0" w:color="auto"/>
            <w:right w:val="none" w:sz="0" w:space="0" w:color="auto"/>
          </w:divBdr>
          <w:divsChild>
            <w:div w:id="478038475">
              <w:marLeft w:val="0"/>
              <w:marRight w:val="0"/>
              <w:marTop w:val="0"/>
              <w:marBottom w:val="0"/>
              <w:divBdr>
                <w:top w:val="none" w:sz="0" w:space="0" w:color="auto"/>
                <w:left w:val="none" w:sz="0" w:space="0" w:color="auto"/>
                <w:bottom w:val="none" w:sz="0" w:space="0" w:color="auto"/>
                <w:right w:val="none" w:sz="0" w:space="0" w:color="auto"/>
              </w:divBdr>
              <w:divsChild>
                <w:div w:id="124080982">
                  <w:marLeft w:val="0"/>
                  <w:marRight w:val="0"/>
                  <w:marTop w:val="0"/>
                  <w:marBottom w:val="0"/>
                  <w:divBdr>
                    <w:top w:val="none" w:sz="0" w:space="0" w:color="auto"/>
                    <w:left w:val="none" w:sz="0" w:space="0" w:color="auto"/>
                    <w:bottom w:val="none" w:sz="0" w:space="0" w:color="auto"/>
                    <w:right w:val="none" w:sz="0" w:space="0" w:color="auto"/>
                  </w:divBdr>
                  <w:divsChild>
                    <w:div w:id="894510009">
                      <w:marLeft w:val="-150"/>
                      <w:marRight w:val="-150"/>
                      <w:marTop w:val="0"/>
                      <w:marBottom w:val="0"/>
                      <w:divBdr>
                        <w:top w:val="none" w:sz="0" w:space="0" w:color="auto"/>
                        <w:left w:val="none" w:sz="0" w:space="0" w:color="auto"/>
                        <w:bottom w:val="none" w:sz="0" w:space="0" w:color="auto"/>
                        <w:right w:val="none" w:sz="0" w:space="0" w:color="auto"/>
                      </w:divBdr>
                      <w:divsChild>
                        <w:div w:id="1683052114">
                          <w:marLeft w:val="0"/>
                          <w:marRight w:val="0"/>
                          <w:marTop w:val="0"/>
                          <w:marBottom w:val="0"/>
                          <w:divBdr>
                            <w:top w:val="none" w:sz="0" w:space="0" w:color="auto"/>
                            <w:left w:val="none" w:sz="0" w:space="0" w:color="auto"/>
                            <w:bottom w:val="none" w:sz="0" w:space="0" w:color="auto"/>
                            <w:right w:val="none" w:sz="0" w:space="0" w:color="auto"/>
                          </w:divBdr>
                          <w:divsChild>
                            <w:div w:id="202909531">
                              <w:marLeft w:val="0"/>
                              <w:marRight w:val="0"/>
                              <w:marTop w:val="0"/>
                              <w:marBottom w:val="0"/>
                              <w:divBdr>
                                <w:top w:val="none" w:sz="0" w:space="0" w:color="auto"/>
                                <w:left w:val="none" w:sz="0" w:space="0" w:color="auto"/>
                                <w:bottom w:val="none" w:sz="0" w:space="0" w:color="auto"/>
                                <w:right w:val="none" w:sz="0" w:space="0" w:color="auto"/>
                              </w:divBdr>
                              <w:divsChild>
                                <w:div w:id="398331091">
                                  <w:marLeft w:val="0"/>
                                  <w:marRight w:val="0"/>
                                  <w:marTop w:val="0"/>
                                  <w:marBottom w:val="300"/>
                                  <w:divBdr>
                                    <w:top w:val="none" w:sz="0" w:space="0" w:color="auto"/>
                                    <w:left w:val="none" w:sz="0" w:space="0" w:color="auto"/>
                                    <w:bottom w:val="none" w:sz="0" w:space="0" w:color="auto"/>
                                    <w:right w:val="none" w:sz="0" w:space="0" w:color="auto"/>
                                  </w:divBdr>
                                  <w:divsChild>
                                    <w:div w:id="1500459696">
                                      <w:marLeft w:val="0"/>
                                      <w:marRight w:val="0"/>
                                      <w:marTop w:val="0"/>
                                      <w:marBottom w:val="0"/>
                                      <w:divBdr>
                                        <w:top w:val="none" w:sz="0" w:space="0" w:color="auto"/>
                                        <w:left w:val="none" w:sz="0" w:space="0" w:color="auto"/>
                                        <w:bottom w:val="none" w:sz="0" w:space="0" w:color="auto"/>
                                        <w:right w:val="none" w:sz="0" w:space="0" w:color="auto"/>
                                      </w:divBdr>
                                      <w:divsChild>
                                        <w:div w:id="779908150">
                                          <w:marLeft w:val="0"/>
                                          <w:marRight w:val="0"/>
                                          <w:marTop w:val="0"/>
                                          <w:marBottom w:val="0"/>
                                          <w:divBdr>
                                            <w:top w:val="none" w:sz="0" w:space="0" w:color="auto"/>
                                            <w:left w:val="none" w:sz="0" w:space="0" w:color="auto"/>
                                            <w:bottom w:val="none" w:sz="0" w:space="0" w:color="auto"/>
                                            <w:right w:val="none" w:sz="0" w:space="0" w:color="auto"/>
                                          </w:divBdr>
                                          <w:divsChild>
                                            <w:div w:id="718868666">
                                              <w:marLeft w:val="0"/>
                                              <w:marRight w:val="0"/>
                                              <w:marTop w:val="0"/>
                                              <w:marBottom w:val="0"/>
                                              <w:divBdr>
                                                <w:top w:val="none" w:sz="0" w:space="0" w:color="auto"/>
                                                <w:left w:val="none" w:sz="0" w:space="0" w:color="auto"/>
                                                <w:bottom w:val="none" w:sz="0" w:space="0" w:color="auto"/>
                                                <w:right w:val="none" w:sz="0" w:space="0" w:color="auto"/>
                                              </w:divBdr>
                                              <w:divsChild>
                                                <w:div w:id="424233857">
                                                  <w:marLeft w:val="0"/>
                                                  <w:marRight w:val="0"/>
                                                  <w:marTop w:val="0"/>
                                                  <w:marBottom w:val="0"/>
                                                  <w:divBdr>
                                                    <w:top w:val="none" w:sz="0" w:space="0" w:color="auto"/>
                                                    <w:left w:val="none" w:sz="0" w:space="0" w:color="auto"/>
                                                    <w:bottom w:val="none" w:sz="0" w:space="0" w:color="auto"/>
                                                    <w:right w:val="none" w:sz="0" w:space="0" w:color="auto"/>
                                                  </w:divBdr>
                                                  <w:divsChild>
                                                    <w:div w:id="844563113">
                                                      <w:marLeft w:val="0"/>
                                                      <w:marRight w:val="0"/>
                                                      <w:marTop w:val="0"/>
                                                      <w:marBottom w:val="0"/>
                                                      <w:divBdr>
                                                        <w:top w:val="none" w:sz="0" w:space="0" w:color="auto"/>
                                                        <w:left w:val="none" w:sz="0" w:space="0" w:color="auto"/>
                                                        <w:bottom w:val="none" w:sz="0" w:space="0" w:color="auto"/>
                                                        <w:right w:val="none" w:sz="0" w:space="0" w:color="auto"/>
                                                      </w:divBdr>
                                                      <w:divsChild>
                                                        <w:div w:id="735125484">
                                                          <w:marLeft w:val="0"/>
                                                          <w:marRight w:val="0"/>
                                                          <w:marTop w:val="0"/>
                                                          <w:marBottom w:val="0"/>
                                                          <w:divBdr>
                                                            <w:top w:val="none" w:sz="0" w:space="0" w:color="auto"/>
                                                            <w:left w:val="none" w:sz="0" w:space="0" w:color="auto"/>
                                                            <w:bottom w:val="none" w:sz="0" w:space="0" w:color="auto"/>
                                                            <w:right w:val="none" w:sz="0" w:space="0" w:color="auto"/>
                                                          </w:divBdr>
                                                          <w:divsChild>
                                                            <w:div w:id="505559162">
                                                              <w:marLeft w:val="0"/>
                                                              <w:marRight w:val="0"/>
                                                              <w:marTop w:val="0"/>
                                                              <w:marBottom w:val="0"/>
                                                              <w:divBdr>
                                                                <w:top w:val="none" w:sz="0" w:space="0" w:color="auto"/>
                                                                <w:left w:val="none" w:sz="0" w:space="0" w:color="auto"/>
                                                                <w:bottom w:val="none" w:sz="0" w:space="0" w:color="auto"/>
                                                                <w:right w:val="none" w:sz="0" w:space="0" w:color="auto"/>
                                                              </w:divBdr>
                                                              <w:divsChild>
                                                                <w:div w:id="1086614503">
                                                                  <w:marLeft w:val="0"/>
                                                                  <w:marRight w:val="0"/>
                                                                  <w:marTop w:val="0"/>
                                                                  <w:marBottom w:val="0"/>
                                                                  <w:divBdr>
                                                                    <w:top w:val="none" w:sz="0" w:space="0" w:color="auto"/>
                                                                    <w:left w:val="none" w:sz="0" w:space="0" w:color="auto"/>
                                                                    <w:bottom w:val="none" w:sz="0" w:space="0" w:color="auto"/>
                                                                    <w:right w:val="none" w:sz="0" w:space="0" w:color="auto"/>
                                                                  </w:divBdr>
                                                                  <w:divsChild>
                                                                    <w:div w:id="58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163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nsumers/consumers_safety/safety_products/rapex/alerts/repository/content/pages/rapex/index_en.htm" TargetMode="External"/><Relationship Id="rId2" Type="http://schemas.openxmlformats.org/officeDocument/2006/relationships/hyperlink" Target="https://eur-lex.europa.eu/legal-content/BG/TXT/?uri=CELEX:32014L0032" TargetMode="External"/><Relationship Id="rId1" Type="http://schemas.openxmlformats.org/officeDocument/2006/relationships/hyperlink" Target="https://eur-lex.europa.eu/legal-content/BG/TXT/?uri=CELEX:32014L003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60C00-EB0A-4B38-8098-1ECE46AB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6380</Words>
  <Characters>36372</Characters>
  <Application>Microsoft Office Word</Application>
  <DocSecurity>0</DocSecurity>
  <Lines>303</Lines>
  <Paragraphs>85</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Título</vt:lpstr>
      </vt:variant>
      <vt:variant>
        <vt:i4>1</vt:i4>
      </vt:variant>
    </vt:vector>
  </HeadingPairs>
  <TitlesOfParts>
    <vt:vector size="4" baseType="lpstr">
      <vt:lpstr>Насоки относно прилагането на член 9 от Регламент (EС) 2019/1020 по отношение на съвместните дейности за насърчаване на постигането на съответствие</vt:lpstr>
      <vt:lpstr/>
      <vt:lpstr/>
      <vt:lpstr/>
    </vt:vector>
  </TitlesOfParts>
  <Company>Secrétariat Général</Company>
  <LinksUpToDate>false</LinksUpToDate>
  <CharactersWithSpaces>42667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Насоки относно прилагането на член 9 от Регламент (EС) 2019/1020 по отношение на съвместните дейности за насърчаване на постигането на съответствие</dc:title>
  <dc:subject/>
  <dc:creator>SAAD Nawal</dc:creator>
  <cp:keywords/>
  <dc:description/>
  <cp:lastModifiedBy>ETch</cp:lastModifiedBy>
  <cp:revision>3</cp:revision>
  <cp:lastPrinted>2021-04-28T18:54:00Z</cp:lastPrinted>
  <dcterms:created xsi:type="dcterms:W3CDTF">2021-06-22T07:16:00Z</dcterms:created>
  <dcterms:modified xsi:type="dcterms:W3CDTF">2021-08-31T12:39:00Z</dcterms:modified>
</cp:coreProperties>
</file>