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9" w:rsidRDefault="000B495D" w:rsidP="005B0F32">
      <w:pPr>
        <w:pStyle w:val="Heading110"/>
        <w:keepNext/>
        <w:keepLines/>
        <w:jc w:val="both"/>
      </w:pPr>
      <w:bookmarkStart w:id="0" w:name="bookmark0"/>
      <w:r>
        <w:rPr>
          <w:rStyle w:val="Heading11"/>
          <w:b/>
        </w:rPr>
        <w:t xml:space="preserve">Покана </w:t>
      </w:r>
      <w:r>
        <w:rPr>
          <w:rStyle w:val="Heading11"/>
          <w:b/>
        </w:rPr>
        <w:t>за представяне на кандидатури</w:t>
      </w:r>
      <w:r>
        <w:rPr>
          <w:rStyle w:val="Heading11"/>
          <w:b/>
        </w:rPr>
        <w:t xml:space="preserve"> </w:t>
      </w:r>
      <w:r>
        <w:rPr>
          <w:rStyle w:val="Heading11"/>
          <w:b/>
          <w:lang w:val="bg-BG"/>
        </w:rPr>
        <w:t>за ч</w:t>
      </w:r>
      <w:bookmarkStart w:id="1" w:name="_GoBack"/>
      <w:bookmarkEnd w:id="1"/>
      <w:r w:rsidR="00901547">
        <w:rPr>
          <w:rStyle w:val="Heading11"/>
          <w:b/>
        </w:rPr>
        <w:t xml:space="preserve">ленове на Комитета за оценка на риска (КОР) и Комитета за социално-икономически анализ (КСИА): </w:t>
      </w:r>
      <w:bookmarkEnd w:id="0"/>
    </w:p>
    <w:p w:rsidR="00D41299" w:rsidRDefault="00901547" w:rsidP="005B0F32">
      <w:pPr>
        <w:pStyle w:val="Bodytext10"/>
        <w:jc w:val="both"/>
      </w:pPr>
      <w:r>
        <w:rPr>
          <w:rStyle w:val="Bodytext1"/>
        </w:rPr>
        <w:t>Искате ли да участвате в научната оценка на ЕС относно употребата на химикали? Искате ли да допринесете за опазването на човешкото здраве и околната среда? Искате ли да се присъедините към ключовите комитети на ЕС по безопасност на химичното вещество?</w:t>
      </w:r>
    </w:p>
    <w:p w:rsidR="00D41299" w:rsidRDefault="00901547" w:rsidP="005B0F32">
      <w:pPr>
        <w:pStyle w:val="Bodytext10"/>
        <w:spacing w:after="0"/>
        <w:jc w:val="both"/>
      </w:pPr>
      <w:r>
        <w:rPr>
          <w:rStyle w:val="Bodytext1"/>
        </w:rPr>
        <w:t>Търсим:</w:t>
      </w:r>
    </w:p>
    <w:p w:rsidR="00D41299" w:rsidRDefault="00901547" w:rsidP="005B0F32">
      <w:pPr>
        <w:pStyle w:val="Bodytext10"/>
        <w:numPr>
          <w:ilvl w:val="0"/>
          <w:numId w:val="1"/>
        </w:numPr>
        <w:tabs>
          <w:tab w:val="left" w:pos="750"/>
        </w:tabs>
        <w:spacing w:after="0" w:line="223" w:lineRule="auto"/>
        <w:ind w:left="740" w:hanging="360"/>
        <w:jc w:val="both"/>
      </w:pPr>
      <w:r>
        <w:rPr>
          <w:rStyle w:val="Bodytext1"/>
          <w:b/>
        </w:rPr>
        <w:t xml:space="preserve">Експерти </w:t>
      </w:r>
      <w:r>
        <w:rPr>
          <w:rStyle w:val="Bodytext1"/>
        </w:rPr>
        <w:t>по оценка на риска за човека и околната среда от химикали (включително вещества, свързани с питейна вода и отпадъчни батерии), хигиена на работното място, оценка на експозицията на химикали,</w:t>
      </w:r>
    </w:p>
    <w:p w:rsidR="00D41299" w:rsidRDefault="00901547" w:rsidP="005B0F32">
      <w:pPr>
        <w:pStyle w:val="Bodytext10"/>
        <w:numPr>
          <w:ilvl w:val="0"/>
          <w:numId w:val="1"/>
        </w:numPr>
        <w:tabs>
          <w:tab w:val="left" w:pos="750"/>
        </w:tabs>
        <w:spacing w:after="360" w:line="204" w:lineRule="auto"/>
        <w:ind w:left="740" w:hanging="360"/>
        <w:jc w:val="both"/>
      </w:pPr>
      <w:r>
        <w:rPr>
          <w:rStyle w:val="Bodytext1"/>
          <w:b/>
        </w:rPr>
        <w:t xml:space="preserve">Експерти </w:t>
      </w:r>
      <w:r>
        <w:rPr>
          <w:rStyle w:val="Bodytext1"/>
        </w:rPr>
        <w:t>по заместване на вещества, пораждащи сериозно безпокойство (SVHC) и анализ на алтернативи, както и социално-икономически анализ</w:t>
      </w:r>
    </w:p>
    <w:p w:rsidR="00D41299" w:rsidRDefault="00901547" w:rsidP="005B0F32">
      <w:pPr>
        <w:pStyle w:val="Heading210"/>
        <w:keepNext/>
        <w:keepLines/>
        <w:spacing w:after="460"/>
        <w:ind w:firstLine="0"/>
        <w:jc w:val="both"/>
      </w:pPr>
      <w:bookmarkStart w:id="2" w:name="bookmark2"/>
      <w:r>
        <w:rPr>
          <w:rStyle w:val="Heading21"/>
          <w:b/>
        </w:rPr>
        <w:t>Крайният срок за подаване на заявления за настоящата покана е 8 април 2024 г., 12.00 ч. хелзинкско време (11,00 ч. централноевропейско време).</w:t>
      </w:r>
      <w:bookmarkEnd w:id="2"/>
    </w:p>
    <w:p w:rsidR="00D41299" w:rsidRDefault="00901547" w:rsidP="005B0F32">
      <w:pPr>
        <w:pStyle w:val="Bodytext10"/>
        <w:jc w:val="both"/>
      </w:pPr>
      <w:r>
        <w:rPr>
          <w:rStyle w:val="Bodytext1"/>
        </w:rPr>
        <w:t>Комитетът за оценка на риска (КОР) изготвя становища на Европейската агенция по химикали (ECHA) относно опасностите и рисковете от веществата за човешкото здраве и околната среда, а Комитетът за социално-икономически анализ (КСИА) изготвя становищата на ECHA, свързани със социално-</w:t>
      </w:r>
      <w:r>
        <w:rPr>
          <w:rStyle w:val="Bodytext1"/>
        </w:rPr>
        <w:softHyphen/>
        <w:t xml:space="preserve">икономическото въздействие на евентуални регулаторни действия по отношение на химикалите. По-специално КОР и КСИА имат за задача да изготвят и приемат становища относно </w:t>
      </w:r>
      <w:r>
        <w:rPr>
          <w:rStyle w:val="Bodytext1"/>
          <w:b/>
        </w:rPr>
        <w:t xml:space="preserve">ограниченията </w:t>
      </w:r>
      <w:r>
        <w:rPr>
          <w:rStyle w:val="Bodytext1"/>
        </w:rPr>
        <w:t xml:space="preserve">и </w:t>
      </w:r>
      <w:r>
        <w:rPr>
          <w:rStyle w:val="Bodytext1"/>
          <w:b/>
        </w:rPr>
        <w:t xml:space="preserve">заявленията за разрешения. </w:t>
      </w:r>
      <w:r>
        <w:rPr>
          <w:rStyle w:val="Bodytext1"/>
        </w:rPr>
        <w:t xml:space="preserve">Освен това КОР издава становища относно </w:t>
      </w:r>
      <w:r>
        <w:rPr>
          <w:rStyle w:val="Bodytext1"/>
          <w:b/>
        </w:rPr>
        <w:t>хармонизираното класифициране и етикетиране, относно материалите, влизащи в контакт с питейна вода, и относно граничните стойности на професионална експозиция (ГСПЕ)</w:t>
      </w:r>
      <w:r>
        <w:rPr>
          <w:rStyle w:val="Bodytext1"/>
        </w:rPr>
        <w:t>. Становищата на КОР и КСИА предоставят научна информация на Европейската комисия при вземането на нейните регулаторни решения.</w:t>
      </w:r>
    </w:p>
    <w:p w:rsidR="00D41299" w:rsidRDefault="00901547" w:rsidP="005B0F32">
      <w:pPr>
        <w:pStyle w:val="Bodytext10"/>
        <w:jc w:val="both"/>
      </w:pPr>
      <w:r>
        <w:rPr>
          <w:rStyle w:val="Bodytext1"/>
        </w:rPr>
        <w:t>Членовете на двата комитета са висококвалифицирани, специализирани и независими научни експерти в различни области, свързани с рисковете от химикали за човешкото здраве и околната среда, както и за социално-икономическия анализ. Те се назначават в лично качество като независими експерти</w:t>
      </w:r>
      <w:r>
        <w:rPr>
          <w:rStyle w:val="Bodytext1"/>
        </w:rPr>
        <w:footnoteReference w:id="1"/>
      </w:r>
      <w:r>
        <w:rPr>
          <w:rStyle w:val="Bodytext1"/>
        </w:rPr>
        <w:t>.</w:t>
      </w:r>
    </w:p>
    <w:p w:rsidR="00D41299" w:rsidRDefault="00901547" w:rsidP="005B0F32">
      <w:pPr>
        <w:pStyle w:val="Bodytext10"/>
        <w:jc w:val="both"/>
      </w:pPr>
      <w:r>
        <w:rPr>
          <w:rStyle w:val="Bodytext1"/>
        </w:rPr>
        <w:t>КОР и КСИА имат за цел да разполагат с широк спектър от съответни експертни познания сред своите членове. В допълнение към членовете, номинирани от държавите членки, КОР и КСИА могат да изберат най-много петима допълнителни членове, избрани въз основа на техните специфични компетенции.</w:t>
      </w:r>
    </w:p>
    <w:p w:rsidR="00D41299" w:rsidRDefault="00901547" w:rsidP="005B0F32">
      <w:pPr>
        <w:pStyle w:val="Bodytext10"/>
        <w:jc w:val="both"/>
      </w:pPr>
      <w:r>
        <w:rPr>
          <w:rStyle w:val="Bodytext1"/>
        </w:rPr>
        <w:t>Настоящата покана за представяне на кандидатури има за цел да определи подходящи кандидати, които да бъдат назначени като членове на КОР или КСИА.</w:t>
      </w:r>
    </w:p>
    <w:p w:rsidR="00D41299" w:rsidRDefault="00901547" w:rsidP="005B0F32">
      <w:pPr>
        <w:pStyle w:val="Heading210"/>
        <w:keepNext/>
        <w:keepLines/>
        <w:numPr>
          <w:ilvl w:val="0"/>
          <w:numId w:val="2"/>
        </w:numPr>
        <w:tabs>
          <w:tab w:val="left" w:pos="742"/>
        </w:tabs>
        <w:ind w:firstLine="380"/>
        <w:jc w:val="both"/>
      </w:pPr>
      <w:bookmarkStart w:id="3" w:name="bookmark4"/>
      <w:r>
        <w:rPr>
          <w:rStyle w:val="Heading21"/>
          <w:b/>
        </w:rPr>
        <w:lastRenderedPageBreak/>
        <w:t>ОПИСАНИЕ НА ЗАДАЧИТЕ</w:t>
      </w:r>
      <w:bookmarkEnd w:id="3"/>
    </w:p>
    <w:p w:rsidR="00D41299" w:rsidRDefault="00901547" w:rsidP="005B0F32">
      <w:pPr>
        <w:pStyle w:val="Bodytext10"/>
        <w:spacing w:after="0"/>
        <w:jc w:val="both"/>
      </w:pPr>
      <w:r>
        <w:rPr>
          <w:rStyle w:val="Bodytext1"/>
        </w:rPr>
        <w:t xml:space="preserve">Ако бъдете избран, ще работите като </w:t>
      </w:r>
      <w:r w:rsidR="007E6C9D">
        <w:rPr>
          <w:rStyle w:val="Bodytext1"/>
          <w:lang w:val="bg-BG"/>
        </w:rPr>
        <w:t xml:space="preserve">допълнителен </w:t>
      </w:r>
      <w:r>
        <w:rPr>
          <w:rStyle w:val="Bodytext1"/>
          <w:i/>
        </w:rPr>
        <w:t>член</w:t>
      </w:r>
      <w:r>
        <w:rPr>
          <w:rStyle w:val="Bodytext1"/>
        </w:rPr>
        <w:t xml:space="preserve"> на </w:t>
      </w:r>
      <w:r>
        <w:rPr>
          <w:rStyle w:val="Bodytext1"/>
          <w:i/>
        </w:rPr>
        <w:t>Комитета за оценка на риска на ECHA или на</w:t>
      </w:r>
      <w:r>
        <w:rPr>
          <w:rStyle w:val="Bodytext1"/>
        </w:rPr>
        <w:t xml:space="preserve"> </w:t>
      </w:r>
      <w:r>
        <w:rPr>
          <w:rStyle w:val="Bodytext1"/>
          <w:i/>
        </w:rPr>
        <w:t>Комитета за социално-икономически анализ</w:t>
      </w:r>
      <w:r>
        <w:rPr>
          <w:rStyle w:val="Bodytext1"/>
        </w:rPr>
        <w:t>. По-специално, от вас ще се изисква да поемете активна роля в следните задачи:</w:t>
      </w:r>
    </w:p>
    <w:p w:rsidR="00D41299" w:rsidRDefault="00901547" w:rsidP="005B0F32">
      <w:pPr>
        <w:pStyle w:val="Bodytext10"/>
        <w:numPr>
          <w:ilvl w:val="0"/>
          <w:numId w:val="3"/>
        </w:numPr>
        <w:tabs>
          <w:tab w:val="left" w:pos="726"/>
        </w:tabs>
        <w:spacing w:after="140" w:line="240" w:lineRule="auto"/>
        <w:ind w:left="740" w:hanging="360"/>
        <w:jc w:val="both"/>
      </w:pPr>
      <w:r>
        <w:rPr>
          <w:rStyle w:val="Bodytext1"/>
        </w:rPr>
        <w:t>Действа като (</w:t>
      </w:r>
      <w:proofErr w:type="spellStart"/>
      <w:r>
        <w:rPr>
          <w:rStyle w:val="Bodytext1"/>
        </w:rPr>
        <w:t>съ</w:t>
      </w:r>
      <w:proofErr w:type="spellEnd"/>
      <w:r>
        <w:rPr>
          <w:rStyle w:val="Bodytext1"/>
        </w:rPr>
        <w:t xml:space="preserve">)докладчик от името на </w:t>
      </w:r>
      <w:proofErr w:type="spellStart"/>
      <w:r>
        <w:rPr>
          <w:rStyle w:val="Bodytext1"/>
        </w:rPr>
        <w:t>съответн</w:t>
      </w:r>
      <w:r w:rsidR="007E6C9D">
        <w:rPr>
          <w:rStyle w:val="Bodytext1"/>
          <w:lang w:val="bg-BG"/>
        </w:rPr>
        <w:t>ия</w:t>
      </w:r>
      <w:proofErr w:type="spellEnd"/>
      <w:r w:rsidR="007E6C9D">
        <w:rPr>
          <w:rStyle w:val="Bodytext1"/>
          <w:lang w:val="bg-BG"/>
        </w:rPr>
        <w:t xml:space="preserve"> комитет</w:t>
      </w:r>
      <w:r>
        <w:rPr>
          <w:rStyle w:val="Bodytext1"/>
        </w:rPr>
        <w:t>, изготвя научни становища относно ограниченията (включително относно батериите), заявления за разрешение и (за КОР) определяне на гранични стойности на професионална експозиция и становища относно материалите, влизащи в контакт с питейна вода, в екипи с редовни членове на КОР и КСИА.</w:t>
      </w:r>
    </w:p>
    <w:p w:rsidR="00D41299" w:rsidRDefault="00901547" w:rsidP="005B0F32">
      <w:pPr>
        <w:pStyle w:val="Bodytext10"/>
        <w:numPr>
          <w:ilvl w:val="0"/>
          <w:numId w:val="3"/>
        </w:numPr>
        <w:tabs>
          <w:tab w:val="left" w:pos="726"/>
        </w:tabs>
        <w:spacing w:after="140" w:line="206" w:lineRule="auto"/>
        <w:ind w:left="740" w:hanging="360"/>
        <w:jc w:val="both"/>
      </w:pPr>
      <w:r>
        <w:rPr>
          <w:rStyle w:val="Bodytext1"/>
        </w:rPr>
        <w:t>Подготовка и участие в пленарни заседания, работни групи и други дейности на коми</w:t>
      </w:r>
      <w:proofErr w:type="spellStart"/>
      <w:r w:rsidR="007E6C9D">
        <w:rPr>
          <w:rStyle w:val="Bodytext1"/>
          <w:lang w:val="bg-BG"/>
        </w:rPr>
        <w:t>тетите</w:t>
      </w:r>
      <w:proofErr w:type="spellEnd"/>
      <w:r>
        <w:rPr>
          <w:rStyle w:val="Bodytext1"/>
        </w:rPr>
        <w:footnoteReference w:id="2"/>
      </w:r>
      <w:r>
        <w:rPr>
          <w:rStyle w:val="Bodytext1"/>
        </w:rPr>
        <w:t>.</w:t>
      </w:r>
    </w:p>
    <w:p w:rsidR="00D41299" w:rsidRDefault="00901547" w:rsidP="005B0F32">
      <w:pPr>
        <w:pStyle w:val="Bodytext10"/>
        <w:numPr>
          <w:ilvl w:val="0"/>
          <w:numId w:val="3"/>
        </w:numPr>
        <w:tabs>
          <w:tab w:val="left" w:pos="726"/>
        </w:tabs>
        <w:spacing w:after="280" w:line="204" w:lineRule="auto"/>
        <w:ind w:left="740" w:hanging="360"/>
        <w:jc w:val="both"/>
      </w:pPr>
      <w:r>
        <w:rPr>
          <w:rStyle w:val="Bodytext1"/>
        </w:rPr>
        <w:t>Допринася със своя експертен опит и съвети по време на срещи и по време на писмени консултации с комитетите по искане на секретариата на ECHA.</w:t>
      </w:r>
    </w:p>
    <w:p w:rsidR="00D41299" w:rsidRDefault="00901547" w:rsidP="005B0F32">
      <w:pPr>
        <w:pStyle w:val="Bodytext10"/>
        <w:spacing w:after="220"/>
        <w:jc w:val="both"/>
      </w:pPr>
      <w:r>
        <w:rPr>
          <w:rStyle w:val="Bodytext1"/>
        </w:rPr>
        <w:t xml:space="preserve">Одобрените кандидати ще имат </w:t>
      </w:r>
      <w:r w:rsidR="007E6C9D">
        <w:rPr>
          <w:rStyle w:val="Bodytext1"/>
          <w:lang w:val="bg-BG"/>
        </w:rPr>
        <w:t>мандат</w:t>
      </w:r>
      <w:r>
        <w:rPr>
          <w:rStyle w:val="Bodytext1"/>
        </w:rPr>
        <w:t xml:space="preserve"> от 3 години, считано от датата на назначаването им.</w:t>
      </w:r>
    </w:p>
    <w:p w:rsidR="00D41299" w:rsidRDefault="00901547" w:rsidP="005B0F32">
      <w:pPr>
        <w:pStyle w:val="Bodytext10"/>
        <w:spacing w:after="280"/>
        <w:jc w:val="both"/>
      </w:pPr>
      <w:r>
        <w:rPr>
          <w:rStyle w:val="Bodytext1"/>
        </w:rPr>
        <w:t>Работният език на комисиите е английски.</w:t>
      </w:r>
    </w:p>
    <w:p w:rsidR="00D41299" w:rsidRDefault="00901547" w:rsidP="005B0F32">
      <w:pPr>
        <w:pStyle w:val="Bodytext10"/>
        <w:spacing w:after="460"/>
        <w:jc w:val="both"/>
      </w:pPr>
      <w:r>
        <w:rPr>
          <w:rStyle w:val="Bodytext1"/>
        </w:rPr>
        <w:t>Като се има предвид натовареността и сложността на задачите, от успешните канди</w:t>
      </w:r>
      <w:r w:rsidR="007E6C9D">
        <w:rPr>
          <w:rStyle w:val="Bodytext1"/>
        </w:rPr>
        <w:t xml:space="preserve">дати се очаква да отделят до 50 </w:t>
      </w:r>
      <w:r>
        <w:rPr>
          <w:rStyle w:val="Bodytext1"/>
        </w:rPr>
        <w:t>% от работното си време за работата на коми</w:t>
      </w:r>
      <w:proofErr w:type="spellStart"/>
      <w:r w:rsidR="007E6C9D">
        <w:rPr>
          <w:rStyle w:val="Bodytext1"/>
          <w:lang w:val="bg-BG"/>
        </w:rPr>
        <w:t>тетите</w:t>
      </w:r>
      <w:proofErr w:type="spellEnd"/>
      <w:r>
        <w:rPr>
          <w:rStyle w:val="Bodytext1"/>
        </w:rPr>
        <w:t>.</w:t>
      </w:r>
    </w:p>
    <w:p w:rsidR="00D41299" w:rsidRDefault="00901547" w:rsidP="005B0F32">
      <w:pPr>
        <w:pStyle w:val="Bodytext10"/>
        <w:numPr>
          <w:ilvl w:val="0"/>
          <w:numId w:val="2"/>
        </w:numPr>
        <w:tabs>
          <w:tab w:val="left" w:pos="752"/>
        </w:tabs>
        <w:spacing w:after="280"/>
        <w:ind w:firstLine="380"/>
        <w:jc w:val="both"/>
      </w:pPr>
      <w:r>
        <w:rPr>
          <w:rStyle w:val="Bodytext1"/>
          <w:b/>
        </w:rPr>
        <w:t>ИЗИСКВАНИЯ</w:t>
      </w:r>
    </w:p>
    <w:p w:rsidR="00D41299" w:rsidRDefault="00901547" w:rsidP="005B0F32">
      <w:pPr>
        <w:pStyle w:val="Bodytext10"/>
        <w:numPr>
          <w:ilvl w:val="0"/>
          <w:numId w:val="4"/>
        </w:numPr>
        <w:tabs>
          <w:tab w:val="left" w:pos="410"/>
        </w:tabs>
        <w:spacing w:after="220"/>
        <w:jc w:val="both"/>
      </w:pPr>
      <w:r>
        <w:rPr>
          <w:rStyle w:val="Bodytext1"/>
          <w:b/>
        </w:rPr>
        <w:t>Изисквани квалификации и професионален опит</w:t>
      </w:r>
    </w:p>
    <w:p w:rsidR="00D41299" w:rsidRDefault="00901547" w:rsidP="005B0F32">
      <w:pPr>
        <w:pStyle w:val="Heading210"/>
        <w:keepNext/>
        <w:keepLines/>
        <w:spacing w:after="0"/>
        <w:ind w:firstLine="0"/>
        <w:jc w:val="both"/>
      </w:pPr>
      <w:bookmarkStart w:id="4" w:name="bookmark6"/>
      <w:r>
        <w:rPr>
          <w:rStyle w:val="Heading21"/>
          <w:b/>
        </w:rPr>
        <w:t>КОР:</w:t>
      </w:r>
      <w:bookmarkEnd w:id="4"/>
    </w:p>
    <w:p w:rsidR="00D41299" w:rsidRDefault="00901547" w:rsidP="005B0F32">
      <w:pPr>
        <w:pStyle w:val="Bodytext10"/>
        <w:spacing w:after="280"/>
        <w:jc w:val="both"/>
      </w:pPr>
      <w:r>
        <w:rPr>
          <w:rStyle w:val="Bodytext1"/>
        </w:rPr>
        <w:t>Вашите академични квалификации следва да бъдат от значение за регулаторната рамка на ЕС относно химикалите, включително относно ограниченията (съгласно Регламента REACH и Регламента за батериите), заявленията за разрешение, хармонизираното класифициране и етикетиране, граничните стойности на професионална експозиция и Директивата за питейната вода. Изискват се академични квалификации, свързани с работата на КОР и/или най-малко 10 години професионален опит в следните области: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7"/>
        </w:tabs>
        <w:spacing w:after="80"/>
        <w:ind w:firstLine="380"/>
        <w:jc w:val="both"/>
      </w:pPr>
      <w:r>
        <w:rPr>
          <w:rStyle w:val="Bodytext1"/>
        </w:rPr>
        <w:t>Оценка на риска за човешкото здраве и околната среда;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7"/>
        </w:tabs>
        <w:spacing w:after="80"/>
        <w:ind w:firstLine="380"/>
        <w:jc w:val="both"/>
      </w:pPr>
      <w:r>
        <w:rPr>
          <w:rStyle w:val="Bodytext1"/>
        </w:rPr>
        <w:t>Питейна вода и материали, които влизат в контакт с нея;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7"/>
        </w:tabs>
        <w:spacing w:after="80"/>
        <w:ind w:firstLine="380"/>
        <w:jc w:val="both"/>
      </w:pPr>
      <w:r>
        <w:rPr>
          <w:rStyle w:val="Bodytext1"/>
        </w:rPr>
        <w:t>Батерии и отпадъчни батерии;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7"/>
        </w:tabs>
        <w:spacing w:after="80"/>
        <w:ind w:firstLine="380"/>
        <w:jc w:val="both"/>
      </w:pPr>
      <w:proofErr w:type="spellStart"/>
      <w:r>
        <w:rPr>
          <w:rStyle w:val="Bodytext1"/>
        </w:rPr>
        <w:t>Екотоксикология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биоразграждане</w:t>
      </w:r>
      <w:proofErr w:type="spellEnd"/>
      <w:r>
        <w:rPr>
          <w:rStyle w:val="Bodytext1"/>
        </w:rPr>
        <w:t xml:space="preserve"> и съдба в околната среда;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7"/>
        </w:tabs>
        <w:spacing w:after="80"/>
        <w:ind w:firstLine="380"/>
        <w:jc w:val="both"/>
      </w:pPr>
      <w:r>
        <w:rPr>
          <w:rStyle w:val="Bodytext1"/>
        </w:rPr>
        <w:t>Трудова медицина;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7"/>
        </w:tabs>
        <w:spacing w:after="80"/>
        <w:ind w:firstLine="380"/>
        <w:jc w:val="both"/>
      </w:pPr>
      <w:r>
        <w:rPr>
          <w:rStyle w:val="Bodytext1"/>
        </w:rPr>
        <w:t>Оценка на риска от рак;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7"/>
        </w:tabs>
        <w:spacing w:after="180"/>
        <w:ind w:firstLine="380"/>
        <w:jc w:val="both"/>
      </w:pPr>
      <w:r>
        <w:rPr>
          <w:rStyle w:val="Bodytext1"/>
        </w:rPr>
        <w:lastRenderedPageBreak/>
        <w:t>Епидемиология.</w:t>
      </w:r>
    </w:p>
    <w:p w:rsidR="00D41299" w:rsidRDefault="00901547" w:rsidP="005B0F32">
      <w:pPr>
        <w:pStyle w:val="Heading210"/>
        <w:keepNext/>
        <w:keepLines/>
        <w:spacing w:after="0" w:line="271" w:lineRule="auto"/>
        <w:ind w:firstLine="0"/>
        <w:jc w:val="both"/>
      </w:pPr>
      <w:bookmarkStart w:id="5" w:name="bookmark8"/>
      <w:r>
        <w:rPr>
          <w:rStyle w:val="Heading21"/>
          <w:b/>
        </w:rPr>
        <w:t>КСИА:</w:t>
      </w:r>
      <w:bookmarkEnd w:id="5"/>
    </w:p>
    <w:p w:rsidR="00D41299" w:rsidRDefault="00901547" w:rsidP="005B0F32">
      <w:pPr>
        <w:pStyle w:val="Bodytext10"/>
        <w:spacing w:after="0" w:line="271" w:lineRule="auto"/>
        <w:jc w:val="both"/>
      </w:pPr>
      <w:r>
        <w:rPr>
          <w:rStyle w:val="Bodytext1"/>
        </w:rPr>
        <w:t>Изисква се кандидатите да притежават академични квалификации, свързани с работата на КСИА, и/или да могат да докажат значителен професионален опит в една или повече от следните области: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1"/>
        </w:tabs>
        <w:spacing w:after="0" w:line="158" w:lineRule="auto"/>
        <w:ind w:firstLine="380"/>
        <w:jc w:val="both"/>
      </w:pPr>
      <w:r>
        <w:rPr>
          <w:rStyle w:val="Bodytext1"/>
        </w:rPr>
        <w:t>Анализ на техническата и икономическата осъществимост на алтернативите;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1"/>
        </w:tabs>
        <w:spacing w:after="0" w:line="209" w:lineRule="auto"/>
        <w:ind w:firstLine="380"/>
        <w:jc w:val="both"/>
      </w:pPr>
      <w:r>
        <w:rPr>
          <w:rStyle w:val="Bodytext1"/>
        </w:rPr>
        <w:t>Познания за заместването на пораждащи безпокойство вещества, като например SVHC;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1"/>
        </w:tabs>
        <w:spacing w:after="0" w:line="209" w:lineRule="auto"/>
        <w:ind w:firstLine="380"/>
        <w:jc w:val="both"/>
      </w:pPr>
      <w:r>
        <w:rPr>
          <w:rStyle w:val="Bodytext1"/>
        </w:rPr>
        <w:t>Икономика, по-специално социална, обществена, екологична или здравна икономика;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31"/>
        </w:tabs>
        <w:spacing w:after="0" w:line="209" w:lineRule="auto"/>
        <w:ind w:firstLine="380"/>
        <w:jc w:val="both"/>
      </w:pPr>
      <w:r>
        <w:rPr>
          <w:rStyle w:val="Bodytext1"/>
        </w:rPr>
        <w:t>Методологии за анализ на разходите и ползите от регулирането;</w:t>
      </w:r>
    </w:p>
    <w:p w:rsidR="00D41299" w:rsidRDefault="00901547" w:rsidP="005B0F32">
      <w:pPr>
        <w:pStyle w:val="Bodytext10"/>
        <w:numPr>
          <w:ilvl w:val="0"/>
          <w:numId w:val="5"/>
        </w:numPr>
        <w:tabs>
          <w:tab w:val="left" w:pos="740"/>
        </w:tabs>
        <w:spacing w:after="340" w:line="264" w:lineRule="auto"/>
        <w:ind w:left="740" w:hanging="360"/>
        <w:jc w:val="both"/>
      </w:pPr>
      <w:r>
        <w:rPr>
          <w:rStyle w:val="Bodytext1"/>
        </w:rPr>
        <w:t xml:space="preserve">Техническият опит в различни видове технологии за батерии, включително етапа на отпадъците, ще се счита за </w:t>
      </w:r>
      <w:r w:rsidR="007E6C9D" w:rsidRPr="007E6C9D">
        <w:rPr>
          <w:rStyle w:val="Bodytext1"/>
        </w:rPr>
        <w:t>предимство</w:t>
      </w:r>
      <w:r>
        <w:rPr>
          <w:rStyle w:val="Bodytext1"/>
        </w:rPr>
        <w:t>.</w:t>
      </w:r>
    </w:p>
    <w:p w:rsidR="00D41299" w:rsidRDefault="00901547" w:rsidP="005B0F32">
      <w:pPr>
        <w:pStyle w:val="Heading210"/>
        <w:keepNext/>
        <w:keepLines/>
        <w:numPr>
          <w:ilvl w:val="0"/>
          <w:numId w:val="4"/>
        </w:numPr>
        <w:tabs>
          <w:tab w:val="left" w:pos="416"/>
        </w:tabs>
        <w:spacing w:after="80"/>
        <w:ind w:firstLine="0"/>
        <w:jc w:val="both"/>
      </w:pPr>
      <w:bookmarkStart w:id="6" w:name="bookmark10"/>
      <w:r>
        <w:rPr>
          <w:rStyle w:val="Heading21"/>
          <w:b/>
        </w:rPr>
        <w:t>Общи компетенции</w:t>
      </w:r>
      <w:bookmarkEnd w:id="6"/>
    </w:p>
    <w:p w:rsidR="00D41299" w:rsidRDefault="00901547" w:rsidP="005B0F32">
      <w:pPr>
        <w:pStyle w:val="Bodytext10"/>
        <w:numPr>
          <w:ilvl w:val="0"/>
          <w:numId w:val="6"/>
        </w:numPr>
        <w:tabs>
          <w:tab w:val="left" w:pos="731"/>
        </w:tabs>
        <w:spacing w:after="80" w:line="161" w:lineRule="auto"/>
        <w:ind w:firstLine="380"/>
        <w:jc w:val="both"/>
      </w:pPr>
      <w:r>
        <w:rPr>
          <w:rStyle w:val="Bodytext1"/>
        </w:rPr>
        <w:t>Способност за ефективна работа в мултидисциплинарен експертен екип;</w:t>
      </w:r>
    </w:p>
    <w:p w:rsidR="00D41299" w:rsidRDefault="00901547" w:rsidP="005B0F32">
      <w:pPr>
        <w:pStyle w:val="Bodytext10"/>
        <w:numPr>
          <w:ilvl w:val="0"/>
          <w:numId w:val="6"/>
        </w:numPr>
        <w:tabs>
          <w:tab w:val="left" w:pos="731"/>
        </w:tabs>
        <w:spacing w:after="80" w:line="161" w:lineRule="auto"/>
        <w:ind w:firstLine="380"/>
        <w:jc w:val="both"/>
      </w:pPr>
      <w:r>
        <w:rPr>
          <w:rStyle w:val="Bodytext1"/>
        </w:rPr>
        <w:t>Способност за водене на преговори и изграждане на консенсус по сложни въпроси;</w:t>
      </w:r>
    </w:p>
    <w:p w:rsidR="00D41299" w:rsidRDefault="00901547" w:rsidP="005B0F32">
      <w:pPr>
        <w:pStyle w:val="Bodytext10"/>
        <w:numPr>
          <w:ilvl w:val="0"/>
          <w:numId w:val="6"/>
        </w:numPr>
        <w:tabs>
          <w:tab w:val="left" w:pos="731"/>
        </w:tabs>
        <w:spacing w:after="80" w:line="161" w:lineRule="auto"/>
        <w:ind w:firstLine="380"/>
        <w:jc w:val="both"/>
      </w:pPr>
      <w:r>
        <w:rPr>
          <w:rStyle w:val="Bodytext1"/>
        </w:rPr>
        <w:t xml:space="preserve">Способност за </w:t>
      </w:r>
      <w:r w:rsidR="007E6C9D">
        <w:rPr>
          <w:rStyle w:val="Bodytext1"/>
          <w:lang w:val="bg-BG"/>
        </w:rPr>
        <w:t>изпълнение</w:t>
      </w:r>
      <w:r>
        <w:rPr>
          <w:rStyle w:val="Bodytext1"/>
        </w:rPr>
        <w:t xml:space="preserve"> на </w:t>
      </w:r>
      <w:r w:rsidR="007E6C9D">
        <w:rPr>
          <w:rStyle w:val="Bodytext1"/>
          <w:lang w:val="bg-BG"/>
        </w:rPr>
        <w:t xml:space="preserve">работни </w:t>
      </w:r>
      <w:r>
        <w:rPr>
          <w:rStyle w:val="Bodytext1"/>
        </w:rPr>
        <w:t>графици;</w:t>
      </w:r>
    </w:p>
    <w:p w:rsidR="00D41299" w:rsidRDefault="00901547" w:rsidP="005B0F32">
      <w:pPr>
        <w:pStyle w:val="Bodytext10"/>
        <w:numPr>
          <w:ilvl w:val="0"/>
          <w:numId w:val="6"/>
        </w:numPr>
        <w:tabs>
          <w:tab w:val="left" w:pos="731"/>
        </w:tabs>
        <w:spacing w:after="400" w:line="161" w:lineRule="auto"/>
        <w:ind w:firstLine="380"/>
        <w:jc w:val="both"/>
      </w:pPr>
      <w:r>
        <w:rPr>
          <w:rStyle w:val="Bodytext1"/>
        </w:rPr>
        <w:t>Много добри умения в писмен и говорим английски език.</w:t>
      </w:r>
    </w:p>
    <w:p w:rsidR="00D41299" w:rsidRDefault="00901547" w:rsidP="005B0F32">
      <w:pPr>
        <w:pStyle w:val="Heading210"/>
        <w:keepNext/>
        <w:keepLines/>
        <w:numPr>
          <w:ilvl w:val="0"/>
          <w:numId w:val="4"/>
        </w:numPr>
        <w:tabs>
          <w:tab w:val="left" w:pos="406"/>
        </w:tabs>
        <w:spacing w:after="80"/>
        <w:ind w:firstLine="0"/>
        <w:jc w:val="both"/>
      </w:pPr>
      <w:bookmarkStart w:id="7" w:name="bookmark12"/>
      <w:r>
        <w:rPr>
          <w:rStyle w:val="Heading21"/>
          <w:b/>
        </w:rPr>
        <w:t>Желан експертен опит/опит</w:t>
      </w:r>
      <w:bookmarkEnd w:id="7"/>
    </w:p>
    <w:p w:rsidR="00D41299" w:rsidRDefault="00901547" w:rsidP="005B0F32">
      <w:pPr>
        <w:pStyle w:val="Bodytext10"/>
        <w:spacing w:after="80"/>
        <w:ind w:firstLine="380"/>
        <w:jc w:val="both"/>
      </w:pPr>
      <w:r>
        <w:rPr>
          <w:rStyle w:val="Bodytext1"/>
        </w:rPr>
        <w:t>Следните допълнителни области на експертен опит/опит се считат за предимство за настоящата покана:</w:t>
      </w:r>
    </w:p>
    <w:p w:rsidR="00D41299" w:rsidRDefault="00901547" w:rsidP="005B0F32">
      <w:pPr>
        <w:pStyle w:val="Bodytext10"/>
        <w:numPr>
          <w:ilvl w:val="0"/>
          <w:numId w:val="7"/>
        </w:numPr>
        <w:tabs>
          <w:tab w:val="left" w:pos="740"/>
        </w:tabs>
        <w:spacing w:after="80" w:line="206" w:lineRule="auto"/>
        <w:ind w:left="740" w:hanging="360"/>
        <w:jc w:val="both"/>
      </w:pPr>
      <w:r>
        <w:rPr>
          <w:rStyle w:val="Bodytext1"/>
        </w:rPr>
        <w:t xml:space="preserve">Опит в работата на </w:t>
      </w:r>
      <w:proofErr w:type="spellStart"/>
      <w:r>
        <w:rPr>
          <w:rStyle w:val="Bodytext1"/>
        </w:rPr>
        <w:t>науч</w:t>
      </w:r>
      <w:r w:rsidR="007E6C9D">
        <w:rPr>
          <w:rStyle w:val="Bodytext1"/>
          <w:lang w:val="bg-BG"/>
        </w:rPr>
        <w:t>ен</w:t>
      </w:r>
      <w:proofErr w:type="spellEnd"/>
      <w:r>
        <w:rPr>
          <w:rStyle w:val="Bodytext1"/>
        </w:rPr>
        <w:t xml:space="preserve"> и регулатор</w:t>
      </w:r>
      <w:proofErr w:type="spellStart"/>
      <w:r w:rsidR="007E6C9D">
        <w:rPr>
          <w:rStyle w:val="Bodytext1"/>
          <w:lang w:val="bg-BG"/>
        </w:rPr>
        <w:t>ен</w:t>
      </w:r>
      <w:proofErr w:type="spellEnd"/>
      <w:r>
        <w:rPr>
          <w:rStyle w:val="Bodytext1"/>
        </w:rPr>
        <w:t xml:space="preserve"> комитет на национално или международно равнище;</w:t>
      </w:r>
    </w:p>
    <w:p w:rsidR="00D41299" w:rsidRDefault="00901547" w:rsidP="005B0F32">
      <w:pPr>
        <w:pStyle w:val="Bodytext10"/>
        <w:numPr>
          <w:ilvl w:val="0"/>
          <w:numId w:val="7"/>
        </w:numPr>
        <w:tabs>
          <w:tab w:val="left" w:pos="740"/>
        </w:tabs>
        <w:spacing w:after="80" w:line="206" w:lineRule="auto"/>
        <w:ind w:left="740" w:hanging="360"/>
        <w:jc w:val="both"/>
      </w:pPr>
      <w:r>
        <w:rPr>
          <w:rStyle w:val="Bodytext1"/>
        </w:rPr>
        <w:t>Опит в публичната служба на държава — членка на ЕС/държава от ЕИП-ЕАСТ, или в академичните среди;</w:t>
      </w:r>
    </w:p>
    <w:p w:rsidR="00D41299" w:rsidRDefault="00901547" w:rsidP="005B0F32">
      <w:pPr>
        <w:pStyle w:val="Bodytext10"/>
        <w:numPr>
          <w:ilvl w:val="0"/>
          <w:numId w:val="7"/>
        </w:numPr>
        <w:tabs>
          <w:tab w:val="left" w:pos="740"/>
        </w:tabs>
        <w:spacing w:after="400" w:line="199" w:lineRule="auto"/>
        <w:ind w:left="740" w:hanging="360"/>
        <w:jc w:val="both"/>
      </w:pPr>
      <w:r>
        <w:rPr>
          <w:rStyle w:val="Bodytext1"/>
        </w:rPr>
        <w:t>Съответен промишлен или консултантски опит в областта на химикалите (когато не е в противоречие с критериите за допустимост, посочени в раздел 3 по-долу).</w:t>
      </w:r>
    </w:p>
    <w:p w:rsidR="00D41299" w:rsidRDefault="00901547" w:rsidP="005B0F32">
      <w:pPr>
        <w:pStyle w:val="Heading210"/>
        <w:keepNext/>
        <w:keepLines/>
        <w:numPr>
          <w:ilvl w:val="0"/>
          <w:numId w:val="2"/>
        </w:numPr>
        <w:tabs>
          <w:tab w:val="left" w:pos="762"/>
        </w:tabs>
        <w:ind w:firstLine="380"/>
        <w:jc w:val="both"/>
      </w:pPr>
      <w:bookmarkStart w:id="8" w:name="bookmark14"/>
      <w:r>
        <w:rPr>
          <w:rStyle w:val="Heading21"/>
          <w:b/>
        </w:rPr>
        <w:t>КОНФЛИКТ НА ИНТЕРЕСИ</w:t>
      </w:r>
      <w:bookmarkEnd w:id="8"/>
    </w:p>
    <w:p w:rsidR="00D41299" w:rsidRDefault="00901547" w:rsidP="005B0F32">
      <w:pPr>
        <w:pStyle w:val="Bodytext10"/>
        <w:spacing w:after="220"/>
        <w:jc w:val="both"/>
      </w:pPr>
      <w:r>
        <w:rPr>
          <w:rStyle w:val="Bodytext1"/>
        </w:rPr>
        <w:t>Прилагат се правилата на политиката на ECHA за предотвратяване и управление на конфликт на интереси</w:t>
      </w:r>
      <w:r>
        <w:rPr>
          <w:rStyle w:val="Bodytext1"/>
          <w:b/>
          <w:sz w:val="14"/>
        </w:rPr>
        <w:footnoteReference w:id="3"/>
      </w:r>
      <w:r>
        <w:rPr>
          <w:rStyle w:val="Bodytext1"/>
        </w:rPr>
        <w:t>. Това включва прилагането на общи критерии за изключване за кандидати за членство в органите на ECHA (вж. приложение II към горепосочения документ). Поради това Ви приканваме да ги проверите внимателно на уебсайта на</w:t>
      </w:r>
      <w:hyperlink r:id="rId7" w:history="1">
        <w:r>
          <w:rPr>
            <w:rStyle w:val="Bodytext1"/>
          </w:rPr>
          <w:t xml:space="preserve"> </w:t>
        </w:r>
        <w:r>
          <w:rPr>
            <w:rStyle w:val="Bodytext1"/>
            <w:color w:val="0000FF"/>
            <w:u w:val="single"/>
          </w:rPr>
          <w:t>ECHA на адрес http://echa.europa.eu/about-us/the-way-we-</w:t>
        </w:r>
      </w:hyperlink>
      <w:r>
        <w:rPr>
          <w:rStyle w:val="Bodytext1"/>
          <w:color w:val="0000FF"/>
          <w:u w:val="single"/>
        </w:rPr>
        <w:t xml:space="preserve"> </w:t>
      </w:r>
      <w:hyperlink r:id="rId8" w:history="1">
        <w:r>
          <w:rPr>
            <w:rStyle w:val="Bodytext1"/>
            <w:color w:val="0000FF"/>
            <w:u w:val="single"/>
          </w:rPr>
          <w:t>Работа/процедури и политики/конфликти на интереси</w:t>
        </w:r>
        <w:r>
          <w:rPr>
            <w:rStyle w:val="Bodytext1"/>
          </w:rPr>
          <w:t>.</w:t>
        </w:r>
      </w:hyperlink>
      <w:r>
        <w:rPr>
          <w:rStyle w:val="Bodytext1"/>
        </w:rPr>
        <w:t xml:space="preserve"> Това означава, че критериите за допустимост за комитетите на ECHA ще се прилагат при назначаването на нови </w:t>
      </w:r>
      <w:r w:rsidR="007E6C9D">
        <w:rPr>
          <w:rStyle w:val="Bodytext1"/>
          <w:lang w:val="bg-BG"/>
        </w:rPr>
        <w:t>допълнителни</w:t>
      </w:r>
      <w:r>
        <w:rPr>
          <w:rStyle w:val="Bodytext1"/>
        </w:rPr>
        <w:t xml:space="preserve"> членове въз основа на попълнени </w:t>
      </w:r>
      <w:r>
        <w:rPr>
          <w:rStyle w:val="Bodytext1"/>
        </w:rPr>
        <w:lastRenderedPageBreak/>
        <w:t>декларации за интерес.</w:t>
      </w:r>
    </w:p>
    <w:p w:rsidR="00D41299" w:rsidRDefault="00901547" w:rsidP="005B0F32">
      <w:pPr>
        <w:pStyle w:val="Heading210"/>
        <w:keepNext/>
        <w:keepLines/>
        <w:numPr>
          <w:ilvl w:val="0"/>
          <w:numId w:val="2"/>
        </w:numPr>
        <w:tabs>
          <w:tab w:val="left" w:pos="772"/>
        </w:tabs>
        <w:ind w:firstLine="380"/>
        <w:jc w:val="both"/>
      </w:pPr>
      <w:bookmarkStart w:id="9" w:name="bookmark16"/>
      <w:r>
        <w:rPr>
          <w:rStyle w:val="Heading21"/>
          <w:b/>
        </w:rPr>
        <w:t>ВЪЗНАГРАЖДЕНИЕ</w:t>
      </w:r>
      <w:bookmarkEnd w:id="9"/>
    </w:p>
    <w:p w:rsidR="00D41299" w:rsidRPr="007E6C9D" w:rsidRDefault="00901547" w:rsidP="005B0F32">
      <w:pPr>
        <w:pStyle w:val="Bodytext10"/>
        <w:spacing w:after="220"/>
        <w:jc w:val="both"/>
      </w:pPr>
      <w:r w:rsidRPr="007E6C9D">
        <w:rPr>
          <w:rStyle w:val="Bodytext1"/>
        </w:rPr>
        <w:t>Възнаграждението на номинираните кандидати зависи от техните професионални условия.</w:t>
      </w:r>
    </w:p>
    <w:p w:rsidR="00D41299" w:rsidRPr="007E6C9D" w:rsidRDefault="00901547" w:rsidP="005B0F32">
      <w:pPr>
        <w:pStyle w:val="Bodytext10"/>
        <w:spacing w:after="80"/>
        <w:jc w:val="both"/>
      </w:pPr>
      <w:r w:rsidRPr="007E6C9D">
        <w:rPr>
          <w:rStyle w:val="Bodytext1"/>
        </w:rPr>
        <w:t xml:space="preserve">Успешно издържали кандидати, </w:t>
      </w:r>
      <w:r w:rsidRPr="007E6C9D">
        <w:rPr>
          <w:rStyle w:val="Bodytext1"/>
          <w:u w:val="single"/>
        </w:rPr>
        <w:t>наети в публичната служба</w:t>
      </w:r>
      <w:r w:rsidRPr="007E6C9D">
        <w:rPr>
          <w:rStyle w:val="Bodytext1"/>
        </w:rPr>
        <w:t xml:space="preserve"> на компетентен орган на държава членка</w:t>
      </w:r>
      <w:r w:rsidR="0092667C" w:rsidRPr="007E6C9D">
        <w:rPr>
          <w:rStyle w:val="Bodytext1"/>
          <w:lang w:val="bg-BG"/>
        </w:rPr>
        <w:t xml:space="preserve"> </w:t>
      </w:r>
      <w:r w:rsidRPr="007E6C9D">
        <w:rPr>
          <w:rStyle w:val="Bodytext1"/>
        </w:rPr>
        <w:t xml:space="preserve">(КОДЧ) съгласно Регламента REACH или публичен орган, определен от КОДЧ, ще получава възнаграждение в съответствие с Решението на управителния съвет на ECHA относно финансовите договорености за прехвърляне на част от таксите към държавите членки </w:t>
      </w:r>
      <w:r w:rsidRPr="007E6C9D">
        <w:t>(MB/41/2020</w:t>
      </w:r>
      <w:hyperlink r:id="rId9" w:history="1">
        <w:r w:rsidRPr="007E6C9D">
          <w:rPr>
            <w:rStyle w:val="Bodytext1"/>
          </w:rPr>
          <w:t>).</w:t>
        </w:r>
      </w:hyperlink>
      <w:r w:rsidR="007E6C9D">
        <w:rPr>
          <w:lang w:val="bg-BG"/>
        </w:rPr>
        <w:t xml:space="preserve"> </w:t>
      </w:r>
      <w:r w:rsidRPr="007E6C9D">
        <w:rPr>
          <w:rStyle w:val="Bodytext1"/>
        </w:rPr>
        <w:t>Прехвърлянето на такси има за цел да компенсира КОДЧ (или други публични органи, определени от тях) за работата на докладчика в КОР и КСИА; такова прехвърляне между КОДЧ и друг публичен орган се решава на национално равнище.</w:t>
      </w:r>
    </w:p>
    <w:p w:rsidR="00D41299" w:rsidRDefault="00901547" w:rsidP="005B0F32">
      <w:pPr>
        <w:pStyle w:val="Bodytext10"/>
        <w:spacing w:after="280"/>
        <w:jc w:val="both"/>
      </w:pPr>
      <w:r w:rsidRPr="007E6C9D">
        <w:rPr>
          <w:rStyle w:val="Bodytext1"/>
        </w:rPr>
        <w:t xml:space="preserve">Одобрените кандидати, които </w:t>
      </w:r>
      <w:r w:rsidRPr="007E6C9D">
        <w:rPr>
          <w:rStyle w:val="Bodytext1"/>
          <w:u w:val="single"/>
        </w:rPr>
        <w:t>не са наети на работа в публичната служба</w:t>
      </w:r>
      <w:r w:rsidRPr="007E6C9D">
        <w:rPr>
          <w:rStyle w:val="Bodytext1"/>
        </w:rPr>
        <w:t xml:space="preserve"> на държава — членка на ЕС, или на държава от ЕИП-ЕАСТ, ще получават възнаграждение за участие в заседанията на КОР/КСИА (при ставка 450 EUR на ден, включително уеб-базирани заседания) и за всеки действителен работен ден до определен таван, както е посочено в Решението на управителния съвет</w:t>
      </w:r>
      <w:hyperlink r:id="rId10" w:history="1">
        <w:r w:rsidRPr="007E6C9D">
          <w:rPr>
            <w:rStyle w:val="Bodytext1"/>
          </w:rPr>
          <w:t xml:space="preserve"> </w:t>
        </w:r>
        <w:r w:rsidRPr="007E6C9D">
          <w:rPr>
            <w:rStyle w:val="Bodytext1"/>
            <w:color w:val="0000FF"/>
            <w:u w:val="single"/>
          </w:rPr>
          <w:t>(MB/35/2023)</w:t>
        </w:r>
        <w:r w:rsidRPr="007E6C9D">
          <w:rPr>
            <w:rStyle w:val="Bodytext1"/>
          </w:rPr>
          <w:t>.</w:t>
        </w:r>
      </w:hyperlink>
    </w:p>
    <w:p w:rsidR="00D41299" w:rsidRDefault="00901547" w:rsidP="005B0F32">
      <w:pPr>
        <w:pStyle w:val="Bodytext10"/>
        <w:spacing w:after="280" w:line="271" w:lineRule="auto"/>
        <w:jc w:val="both"/>
      </w:pPr>
      <w:r>
        <w:rPr>
          <w:rStyle w:val="Bodytext1"/>
        </w:rPr>
        <w:t xml:space="preserve">Освен това за всички съвместно избрани членове пътните разноски и разходите за настаняване ще бъдат възстановени в съответствие с документа на управителния съвет на ECHA </w:t>
      </w:r>
      <w:hyperlink r:id="rId11" w:history="1">
        <w:r>
          <w:rPr>
            <w:rStyle w:val="Bodytext1"/>
          </w:rPr>
          <w:t>(</w:t>
        </w:r>
        <w:r>
          <w:rPr>
            <w:rStyle w:val="Bodytext1"/>
            <w:color w:val="0000FF"/>
            <w:u w:val="single"/>
          </w:rPr>
          <w:t>MB/14/2018</w:t>
        </w:r>
        <w:r>
          <w:rPr>
            <w:rStyle w:val="Bodytext1"/>
          </w:rPr>
          <w:t>)</w:t>
        </w:r>
      </w:hyperlink>
      <w:r>
        <w:rPr>
          <w:rStyle w:val="Bodytext1"/>
        </w:rPr>
        <w:t>.</w:t>
      </w:r>
    </w:p>
    <w:p w:rsidR="00D41299" w:rsidRDefault="00901547" w:rsidP="005B0F32">
      <w:pPr>
        <w:pStyle w:val="Heading210"/>
        <w:keepNext/>
        <w:keepLines/>
        <w:numPr>
          <w:ilvl w:val="0"/>
          <w:numId w:val="2"/>
        </w:numPr>
        <w:tabs>
          <w:tab w:val="left" w:pos="726"/>
        </w:tabs>
        <w:spacing w:after="280"/>
        <w:ind w:firstLine="380"/>
        <w:jc w:val="both"/>
      </w:pPr>
      <w:bookmarkStart w:id="10" w:name="bookmark18"/>
      <w:r>
        <w:rPr>
          <w:rStyle w:val="Heading21"/>
          <w:b/>
        </w:rPr>
        <w:t>КАК ДА КАНДИДАТСТВАТЕ</w:t>
      </w:r>
      <w:bookmarkEnd w:id="10"/>
    </w:p>
    <w:p w:rsidR="00D41299" w:rsidRDefault="00901547" w:rsidP="005B0F32">
      <w:pPr>
        <w:pStyle w:val="Bodytext10"/>
        <w:spacing w:after="280" w:line="240" w:lineRule="auto"/>
        <w:jc w:val="both"/>
      </w:pPr>
      <w:r>
        <w:rPr>
          <w:rStyle w:val="Bodytext1"/>
        </w:rPr>
        <w:t>Кандидатурите следва да бъдат подадени чрез уеб</w:t>
      </w:r>
      <w:hyperlink r:id="rId12" w:history="1">
        <w:r>
          <w:rPr>
            <w:rStyle w:val="Bodytext1"/>
          </w:rPr>
          <w:t xml:space="preserve"> </w:t>
        </w:r>
        <w:r>
          <w:rPr>
            <w:rStyle w:val="Bodytext1"/>
            <w:color w:val="0000FF"/>
            <w:u w:val="single"/>
          </w:rPr>
          <w:t>формуляр,</w:t>
        </w:r>
        <w:r>
          <w:rPr>
            <w:rStyle w:val="Bodytext1"/>
            <w:color w:val="0000FF"/>
          </w:rPr>
          <w:t xml:space="preserve"> </w:t>
        </w:r>
      </w:hyperlink>
      <w:r>
        <w:rPr>
          <w:rStyle w:val="Bodytext1"/>
        </w:rPr>
        <w:t>към който</w:t>
      </w:r>
      <w:r>
        <w:rPr>
          <w:rStyle w:val="Bodytext1"/>
          <w:color w:val="0000FF"/>
        </w:rPr>
        <w:t xml:space="preserve"> </w:t>
      </w:r>
      <w:r>
        <w:rPr>
          <w:rStyle w:val="Bodytext1"/>
        </w:rPr>
        <w:t>следва да бъде приложена автобиография</w:t>
      </w:r>
      <w:r w:rsidR="0092667C">
        <w:rPr>
          <w:rStyle w:val="Bodytext1"/>
          <w:lang w:val="bg-BG"/>
        </w:rPr>
        <w:t xml:space="preserve"> </w:t>
      </w:r>
      <w:r>
        <w:t>"https://europa.eu/europass/en"</w:t>
      </w:r>
      <w:r>
        <w:rPr>
          <w:rStyle w:val="Bodytext1"/>
        </w:rPr>
        <w:t xml:space="preserve"> </w:t>
      </w:r>
      <w:r>
        <w:rPr>
          <w:rStyle w:val="Bodytext1"/>
          <w:color w:val="0000FF"/>
          <w:u w:val="single"/>
        </w:rPr>
        <w:t>„</w:t>
      </w:r>
      <w:proofErr w:type="spellStart"/>
      <w:r>
        <w:rPr>
          <w:rStyle w:val="Bodytext1"/>
          <w:color w:val="0000FF"/>
          <w:u w:val="single"/>
        </w:rPr>
        <w:t>Европас</w:t>
      </w:r>
      <w:proofErr w:type="spellEnd"/>
      <w:r>
        <w:rPr>
          <w:rStyle w:val="Bodytext1"/>
          <w:color w:val="0000FF"/>
          <w:u w:val="single"/>
        </w:rPr>
        <w:t xml:space="preserve">“ до </w:t>
      </w:r>
      <w:r>
        <w:rPr>
          <w:rStyle w:val="Bodytext1"/>
          <w:b/>
        </w:rPr>
        <w:t>8 април 2024 г., 12,00 ч., хелзинкско време</w:t>
      </w:r>
      <w:r>
        <w:rPr>
          <w:rStyle w:val="Bodytext1"/>
        </w:rPr>
        <w:t>. Ще бъдат разгледани само правилно попълнени онлайн формуляри.</w:t>
      </w:r>
    </w:p>
    <w:p w:rsidR="00D41299" w:rsidRDefault="00901547" w:rsidP="005B0F32">
      <w:pPr>
        <w:pStyle w:val="Bodytext10"/>
        <w:spacing w:after="280"/>
        <w:jc w:val="both"/>
      </w:pPr>
      <w:r>
        <w:rPr>
          <w:rStyle w:val="Bodytext1"/>
        </w:rPr>
        <w:t>Заявяването на интерес по настоящата покана няма да бъде прието след изтичането на крайния срок.</w:t>
      </w:r>
    </w:p>
    <w:p w:rsidR="00D41299" w:rsidRDefault="00901547" w:rsidP="005B0F32">
      <w:pPr>
        <w:pStyle w:val="Bodytext10"/>
        <w:spacing w:after="280"/>
        <w:jc w:val="both"/>
      </w:pPr>
      <w:r>
        <w:rPr>
          <w:rStyle w:val="Bodytext1"/>
          <w:b/>
          <w:i/>
        </w:rPr>
        <w:t>Потенциалните кандидати могат да изпращат всякакви въпроси на</w:t>
      </w:r>
      <w:hyperlink r:id="rId13" w:history="1">
        <w:r>
          <w:rPr>
            <w:rStyle w:val="Bodytext1"/>
            <w:b/>
            <w:i/>
          </w:rPr>
          <w:t xml:space="preserve"> </w:t>
        </w:r>
        <w:r>
          <w:rPr>
            <w:rStyle w:val="Bodytext1"/>
            <w:b/>
            <w:i/>
            <w:color w:val="0000FF"/>
            <w:u w:val="single"/>
          </w:rPr>
          <w:t>expert-calls@echa.europa.eu</w:t>
        </w:r>
        <w:r>
          <w:rPr>
            <w:rStyle w:val="Bodytext1"/>
          </w:rPr>
          <w:t>.</w:t>
        </w:r>
      </w:hyperlink>
    </w:p>
    <w:p w:rsidR="00D41299" w:rsidRDefault="00901547" w:rsidP="005B0F32">
      <w:pPr>
        <w:pStyle w:val="Heading210"/>
        <w:keepNext/>
        <w:keepLines/>
        <w:numPr>
          <w:ilvl w:val="0"/>
          <w:numId w:val="2"/>
        </w:numPr>
        <w:tabs>
          <w:tab w:val="left" w:pos="726"/>
        </w:tabs>
        <w:spacing w:after="200"/>
        <w:ind w:firstLine="380"/>
        <w:jc w:val="both"/>
      </w:pPr>
      <w:bookmarkStart w:id="11" w:name="bookmark20"/>
      <w:r>
        <w:rPr>
          <w:rStyle w:val="Heading21"/>
          <w:b/>
        </w:rPr>
        <w:t>ПРОЦЕДУРА ЗА ПОДБОР</w:t>
      </w:r>
      <w:bookmarkEnd w:id="11"/>
    </w:p>
    <w:p w:rsidR="00D41299" w:rsidRDefault="00901547" w:rsidP="005B0F32">
      <w:pPr>
        <w:pStyle w:val="Bodytext10"/>
        <w:spacing w:after="280"/>
        <w:jc w:val="both"/>
      </w:pPr>
      <w:r>
        <w:rPr>
          <w:rStyle w:val="Bodytext1"/>
        </w:rPr>
        <w:t>Кандидат</w:t>
      </w:r>
      <w:proofErr w:type="spellStart"/>
      <w:r w:rsidR="00586A1C">
        <w:rPr>
          <w:rStyle w:val="Bodytext1"/>
          <w:lang w:val="bg-BG"/>
        </w:rPr>
        <w:t>урите</w:t>
      </w:r>
      <w:proofErr w:type="spellEnd"/>
      <w:r>
        <w:rPr>
          <w:rStyle w:val="Bodytext1"/>
        </w:rPr>
        <w:t xml:space="preserve"> ще бъдат прегледани въз основа на заявения от тях интерес и приложените автобиографии и могат да бъдат поканени от Агенцията на телефонно интервю. Кандидатите, които участват в събеседвания, ще бъдат помолени да подадат формуляр за декларация за интереси в съответствие с раздел 3 по-горе.</w:t>
      </w:r>
    </w:p>
    <w:p w:rsidR="00D41299" w:rsidRDefault="00901547" w:rsidP="005B0F32">
      <w:pPr>
        <w:pStyle w:val="Bodytext10"/>
        <w:spacing w:after="280"/>
        <w:jc w:val="both"/>
      </w:pPr>
      <w:r>
        <w:rPr>
          <w:rStyle w:val="Bodytext1"/>
        </w:rPr>
        <w:t>В резултат на процеса на подбор ще бъде изготвен списък с подходящи кандидати.</w:t>
      </w:r>
    </w:p>
    <w:p w:rsidR="00D41299" w:rsidRDefault="00901547" w:rsidP="005B0F32">
      <w:pPr>
        <w:pStyle w:val="Bodytext10"/>
        <w:spacing w:after="280"/>
        <w:jc w:val="both"/>
      </w:pPr>
      <w:r>
        <w:rPr>
          <w:rStyle w:val="Bodytext1"/>
        </w:rPr>
        <w:t>КОР и КСИА ще назначат до 5 членове, всеки от които от списъка на подходящите кандидати. Назначаването се очаква най-късно през септември 2024 г.</w:t>
      </w:r>
    </w:p>
    <w:sectPr w:rsidR="00D41299">
      <w:headerReference w:type="default" r:id="rId14"/>
      <w:footerReference w:type="default" r:id="rId15"/>
      <w:pgSz w:w="11900" w:h="16840"/>
      <w:pgMar w:top="2122" w:right="1088" w:bottom="1172" w:left="1092" w:header="0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D1" w:rsidRDefault="00491DD1">
      <w:r>
        <w:separator/>
      </w:r>
    </w:p>
  </w:endnote>
  <w:endnote w:type="continuationSeparator" w:id="0">
    <w:p w:rsidR="00491DD1" w:rsidRDefault="0049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99" w:rsidRDefault="00901547">
    <w:pPr>
      <w:spacing w:line="1" w:lineRule="exact"/>
    </w:pPr>
    <w:r>
      <w:rPr>
        <w:noProof/>
        <w:lang w:val="bg-BG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2051050</wp:posOffset>
              </wp:positionH>
              <wp:positionV relativeFrom="page">
                <wp:posOffset>10257155</wp:posOffset>
              </wp:positionV>
              <wp:extent cx="3441065" cy="79375"/>
              <wp:effectExtent l="0" t="0" r="0" b="0"/>
              <wp:wrapNone/>
              <wp:docPr id="3" name="Форма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06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1299" w:rsidRDefault="00901547">
                          <w:pPr>
                            <w:pStyle w:val="Headerorfooter20"/>
                            <w:rPr>
                              <w:sz w:val="13"/>
                            </w:rPr>
                          </w:pPr>
                          <w:r>
                            <w:rPr>
                              <w:rStyle w:val="Headerorfooter2"/>
                              <w:rFonts w:ascii="Verdana" w:eastAsia="Verdana" w:hAnsi="Verdana" w:cs="Verdana"/>
                              <w:sz w:val="13"/>
                            </w:rPr>
                            <w:t xml:space="preserve">Пощенска кутия 400, FI-00121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Verdana" w:eastAsia="Verdana" w:hAnsi="Verdana" w:cs="Verdana"/>
                              <w:sz w:val="13"/>
                            </w:rPr>
                            <w:t>Helsinki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Verdana" w:eastAsia="Verdana" w:hAnsi="Verdana" w:cs="Verdana"/>
                              <w:sz w:val="13"/>
                            </w:rPr>
                            <w:t>, Финландия | тел. + 358 9 686180 | echa.europa.eu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Форма 3" o:spid="_x0000_s1027" type="#_x0000_t202" style="position:absolute;margin-left:161.5pt;margin-top:807.65pt;width:270.95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LqrgEAAC0DAAAOAAAAZHJzL2Uyb0RvYy54bWysUl1u2zAMfh+wOwh6X+wk/VmNOMGKosWA&#10;YivQ9QCKLMUCLFEQ1dh522F6gB1g2BnSG5VSflp0b8NeaIqkP34fydlisB1bq4AGXM3Ho5Iz5SQ0&#10;xq1q/vDj+tNnzjAK14gOnKr5RiFfzD9+mPW+UhNooWtUYATisOp9zdsYfVUUKFtlBY7AK0dJDcGK&#10;SM+wKpogekK3XTEpy7Oih9D4AFIhUvRql+TzjK+1kvG71qgi62pO3GK2IdtlssV8JqpVEL41ck9D&#10;/AMLK4yjpkeoKxEFewzmLyhrZAAEHUcSbAFaG6myBlIzLt+puW+FV1kLDQf9cUz4/2Dlt/VdYKap&#10;+ZQzJyytaPu0/fP8c/t7+4tN03x6jxWV3XsqjMMlDLTnQxwpmGQPOtj0JUGM8jTpzXG6aohMUnB6&#10;cjIuz045k5Q7v5ienyaU4vVnHzDeKLAsOTUPtLw8U7G+xbgrPZSkXg6uTdeleGK4Y5K8OCyHrOjI&#10;cgnNhsj3tOaaO7pDzrqvjqaYLuLghIOz3DupB/ovj5H65PYJfAe170k7yQL295OW/vadq16vfP4C&#10;AAD//wMAUEsDBBQABgAIAAAAIQDqoQSD3wAAAA0BAAAPAAAAZHJzL2Rvd25yZXYueG1sTI/BTsMw&#10;EETvSPyDtUjcqNME0hDiVKgSF260CImbG2/jCHsd2W6a/D3uCY47M5p902xna9iEPgyOBKxXGTCk&#10;zqmBegGfh7eHCliIkpQ0jlDAggG27e1NI2vlLvSB0z72LJVQqKUAHeNYcx46jVaGlRuRkndy3sqY&#10;Tt9z5eUllVvD8ywruZUDpQ9ajrjT2P3sz1bAZv5yOAbc4fdp6rwelsq8L0Lc382vL8AizvEvDFf8&#10;hA5tYjq6M6nAjIAiL9KWmIxy/VQAS5GqfHwGdrxK+aYC3jb8/4r2FwAA//8DAFBLAQItABQABgAI&#10;AAAAIQC2gziS/gAAAOEBAAATAAAAAAAAAAAAAAAAAAAAAABbQ29udGVudF9UeXBlc10ueG1sUEsB&#10;Ai0AFAAGAAgAAAAhADj9If/WAAAAlAEAAAsAAAAAAAAAAAAAAAAALwEAAF9yZWxzLy5yZWxzUEsB&#10;Ai0AFAAGAAgAAAAhADTHEuquAQAALQMAAA4AAAAAAAAAAAAAAAAALgIAAGRycy9lMm9Eb2MueG1s&#10;UEsBAi0AFAAGAAgAAAAhAOqhBIPfAAAADQEAAA8AAAAAAAAAAAAAAAAACAQAAGRycy9kb3ducmV2&#10;LnhtbFBLBQYAAAAABAAEAPMAAAAUBQAAAAA=&#10;" filled="f" stroked="f">
              <v:textbox style="mso-fit-shape-to-text:t" inset="0,0,0,0">
                <w:txbxContent>
                  <w:p w:rsidR="00D41299" w:rsidRDefault="00901547">
                    <w:pPr>
                      <w:pStyle w:val="Headerorfooter20"/>
                      <w:rPr>
                        <w:sz w:val="13"/>
                      </w:rPr>
                    </w:pPr>
                    <w:r>
                      <w:rPr>
                        <w:rStyle w:val="Headerorfooter2"/>
                        <w:rFonts w:ascii="Verdana" w:eastAsia="Verdana" w:hAnsi="Verdana" w:cs="Verdana"/>
                        <w:sz w:val="13"/>
                      </w:rPr>
                      <w:t xml:space="preserve">Пощенска кутия 400, FI-00121 </w:t>
                    </w:r>
                    <w:proofErr w:type="spellStart"/>
                    <w:r>
                      <w:rPr>
                        <w:rStyle w:val="Headerorfooter2"/>
                        <w:rFonts w:ascii="Verdana" w:eastAsia="Verdana" w:hAnsi="Verdana" w:cs="Verdana"/>
                        <w:sz w:val="13"/>
                      </w:rPr>
                      <w:t>Helsinki</w:t>
                    </w:r>
                    <w:proofErr w:type="spellEnd"/>
                    <w:r>
                      <w:rPr>
                        <w:rStyle w:val="Headerorfooter2"/>
                        <w:rFonts w:ascii="Verdana" w:eastAsia="Verdana" w:hAnsi="Verdana" w:cs="Verdana"/>
                        <w:sz w:val="13"/>
                      </w:rPr>
                      <w:t>, Финландия | тел. + 358 9 686180 | echa.europa.eu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D1" w:rsidRDefault="00491DD1">
      <w:r>
        <w:separator/>
      </w:r>
    </w:p>
  </w:footnote>
  <w:footnote w:type="continuationSeparator" w:id="0">
    <w:p w:rsidR="00491DD1" w:rsidRDefault="00491DD1">
      <w:r>
        <w:continuationSeparator/>
      </w:r>
    </w:p>
  </w:footnote>
  <w:footnote w:id="1">
    <w:p w:rsidR="00D41299" w:rsidRDefault="00901547">
      <w:pPr>
        <w:pStyle w:val="Footnote10"/>
      </w:pPr>
      <w:r>
        <w:rPr>
          <w:rStyle w:val="Footnote1"/>
          <w:color w:val="000000"/>
          <w:sz w:val="20"/>
          <w:u w:val="none"/>
        </w:rPr>
        <w:footnoteRef/>
      </w:r>
      <w:r>
        <w:rPr>
          <w:rStyle w:val="Footnote1"/>
          <w:color w:val="000000"/>
          <w:sz w:val="20"/>
          <w:u w:val="none"/>
        </w:rPr>
        <w:t xml:space="preserve"> </w:t>
      </w:r>
      <w:r>
        <w:rPr>
          <w:rStyle w:val="Footnote1"/>
          <w:color w:val="000000"/>
          <w:u w:val="none"/>
        </w:rPr>
        <w:t>В членове 85, 87 и 88 от Регламент REACH (№ 1907/2006) се прави преглед на създаването на комитети на ECHA и на членството в тях.</w:t>
      </w:r>
      <w:hyperlink r:id="rId1" w:history="1">
        <w:r>
          <w:rPr>
            <w:rStyle w:val="Footnote1"/>
            <w:color w:val="000000"/>
            <w:u w:val="none"/>
          </w:rPr>
          <w:t xml:space="preserve"> </w:t>
        </w:r>
        <w:r>
          <w:rPr>
            <w:rStyle w:val="Footnote1"/>
          </w:rPr>
          <w:t>https://echa.europa.eu/regulations/reach/legislation</w:t>
        </w:r>
      </w:hyperlink>
    </w:p>
  </w:footnote>
  <w:footnote w:id="2">
    <w:p w:rsidR="00D41299" w:rsidRDefault="00901547">
      <w:pPr>
        <w:pStyle w:val="Footnote10"/>
      </w:pPr>
      <w:r>
        <w:rPr>
          <w:rStyle w:val="Footnote1"/>
          <w:color w:val="000000"/>
          <w:sz w:val="20"/>
          <w:u w:val="none"/>
        </w:rPr>
        <w:footnoteRef/>
      </w:r>
      <w:r>
        <w:rPr>
          <w:rStyle w:val="Footnote1"/>
          <w:color w:val="000000"/>
          <w:sz w:val="20"/>
          <w:u w:val="none"/>
        </w:rPr>
        <w:t xml:space="preserve"> </w:t>
      </w:r>
      <w:r>
        <w:rPr>
          <w:rStyle w:val="Footnote1"/>
          <w:color w:val="000000"/>
          <w:u w:val="none"/>
        </w:rPr>
        <w:t>Вж. предварителния график на заседанията на КОР и КСИА:</w:t>
      </w:r>
      <w:hyperlink r:id="rId2" w:history="1">
        <w:r>
          <w:rPr>
            <w:rStyle w:val="Footnote1"/>
            <w:color w:val="000000"/>
            <w:u w:val="none"/>
          </w:rPr>
          <w:t xml:space="preserve"> </w:t>
        </w:r>
        <w:r>
          <w:rPr>
            <w:rStyle w:val="Footnote1"/>
          </w:rPr>
          <w:t>https://echa.europa.eu/meetings-of-the-rac/2024</w:t>
        </w:r>
      </w:hyperlink>
      <w:r>
        <w:rPr>
          <w:rStyle w:val="Footnote1"/>
        </w:rPr>
        <w:t xml:space="preserve"> </w:t>
      </w:r>
      <w:r>
        <w:rPr>
          <w:rStyle w:val="Footnote1"/>
          <w:color w:val="000000"/>
          <w:u w:val="none"/>
        </w:rPr>
        <w:t>и</w:t>
      </w:r>
      <w:hyperlink r:id="rId3" w:history="1">
        <w:r>
          <w:rPr>
            <w:rStyle w:val="Footnote1"/>
            <w:color w:val="000000"/>
            <w:u w:val="none"/>
          </w:rPr>
          <w:t xml:space="preserve"> </w:t>
        </w:r>
      </w:hyperlink>
      <w:r>
        <w:rPr>
          <w:rStyle w:val="Footnote1"/>
        </w:rPr>
        <w:t xml:space="preserve"> </w:t>
      </w:r>
      <w:hyperlink r:id="rId4" w:history="1">
        <w:proofErr w:type="spellStart"/>
        <w:r>
          <w:rPr>
            <w:rStyle w:val="Footnote1"/>
          </w:rPr>
          <w:t>the-seac</w:t>
        </w:r>
        <w:proofErr w:type="spellEnd"/>
        <w:r>
          <w:rPr>
            <w:rStyle w:val="Footnote1"/>
          </w:rPr>
          <w:t>/2024</w:t>
        </w:r>
      </w:hyperlink>
    </w:p>
  </w:footnote>
  <w:footnote w:id="3">
    <w:p w:rsidR="00D41299" w:rsidRDefault="00901547">
      <w:pPr>
        <w:pStyle w:val="Footnote10"/>
        <w:spacing w:line="240" w:lineRule="auto"/>
      </w:pPr>
      <w:r>
        <w:rPr>
          <w:rStyle w:val="Footnote1"/>
          <w:color w:val="000000"/>
          <w:sz w:val="20"/>
          <w:u w:val="none"/>
        </w:rPr>
        <w:footnoteRef/>
      </w:r>
      <w:hyperlink r:id="rId5" w:history="1">
        <w:r>
          <w:rPr>
            <w:rStyle w:val="Footnote1"/>
          </w:rPr>
          <w:t>https://echa.europa.eu/documents/10162/27315551/mb_19_2023-</w:t>
        </w:r>
      </w:hyperlink>
    </w:p>
    <w:p w:rsidR="00D41299" w:rsidRDefault="00491DD1">
      <w:pPr>
        <w:pStyle w:val="Footnote10"/>
        <w:spacing w:line="240" w:lineRule="auto"/>
      </w:pPr>
      <w:hyperlink r:id="rId6" w:history="1">
        <w:r w:rsidR="00901547">
          <w:rPr>
            <w:rStyle w:val="Footnote1"/>
          </w:rPr>
          <w:t>2_annex_1_coi_policy_en.pdf/278eb049—3ce2-c0f2-fce5-e1e3151dae5e?t=1690522212162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99" w:rsidRDefault="00901547">
    <w:pPr>
      <w:spacing w:line="1" w:lineRule="exact"/>
    </w:pPr>
    <w:r>
      <w:rPr>
        <w:noProof/>
        <w:lang w:val="bg-BG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542925</wp:posOffset>
              </wp:positionV>
              <wp:extent cx="2081530" cy="536575"/>
              <wp:effectExtent l="0" t="0" r="0" b="0"/>
              <wp:wrapNone/>
              <wp:docPr id="1" name="Форм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1530" cy="536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1299" w:rsidRDefault="00901547">
                          <w:pPr>
                            <w:pStyle w:val="Headerorfooter20"/>
                            <w:rPr>
                              <w:sz w:val="8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color w:val="00437C"/>
                              <w:sz w:val="80"/>
                            </w:rPr>
                            <w:t>ECHA</w:t>
                          </w:r>
                        </w:p>
                        <w:p w:rsidR="00D41299" w:rsidRDefault="00901547">
                          <w:pPr>
                            <w:pStyle w:val="Headerorfooter20"/>
                            <w:rPr>
                              <w:sz w:val="14"/>
                            </w:rPr>
                          </w:pPr>
                          <w:r>
                            <w:rPr>
                              <w:rStyle w:val="Headerorfooter2"/>
                              <w:rFonts w:ascii="Verdana" w:eastAsia="Verdana" w:hAnsi="Verdana" w:cs="Verdana"/>
                              <w:b/>
                              <w:color w:val="042957"/>
                              <w:sz w:val="14"/>
                            </w:rPr>
                            <w:t>ЕВРОПЕЙСКА АГЕНЦИЯ ПО ХИМИКАЛИТЕ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Форма 1" o:spid="_x0000_s1026" type="#_x0000_t202" style="position:absolute;margin-left:56.15pt;margin-top:42.75pt;width:163.9pt;height:42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g3qwEAACcDAAAOAAAAZHJzL2Uyb0RvYy54bWysUlFu2zAM/R/QOwj6b+ykSFsYcYoWRYsC&#10;RTeg2wEUWYoFWKIgqrHz18P0ADvA0DNkNxqlOOmw/Q37oSmSfnx85OJqsB3bqIAGXM2nk5Iz5SQ0&#10;xq1r/u3r3eklZxiFa0QHTtV8q5BfLU8+LXpfqRm00DUqMAJxWPW+5m2MvioKlK2yAifglaOkhmBF&#10;pGdYF00QPaHbrpiV5XnRQ2h8AKkQKXq7T/JlxtdayfhZa1SRdTUnbjHbkO0q2WK5ENU6CN8aOdIQ&#10;/8DCCuOo6RHqVkTBXoL5C8oaGQBBx4kEW4DWRqo8A00zLf+Y5rkVXuVZSBz0R5nw/8HKp82XwExD&#10;u+PMCUsr2r3t3n++7n7svrNp0qf3WFHZs6fCONzAkGrHOFIwjT3oYNOXBmKUJ6W3R3XVEJmk4Ky8&#10;nM7PKCUpNz87n1/ME0zx8bcPGO8VWJacmgfaXhZVbB4x7ksPJamZgzvTdSmeKO6pJC8Oq2Hkt4Jm&#10;S7R7WnDNHV0gZ92DI/3SLRyccHBWo5PA0V+/RGqQ+ybUPdTYjLaRmY+Xk9b9+ztXfdz38hcAAAD/&#10;/wMAUEsDBBQABgAIAAAAIQCrkDQn3QAAAAoBAAAPAAAAZHJzL2Rvd25yZXYueG1sTI/LTsMwEEX3&#10;SPyDNZXYUTulpVGIU6FKbNhRKiR2bjyNo/oR2W6a/D3DCpZX9+jOmXo3OctGjKkPXkKxFMDQt0H3&#10;vpNw/Hx7LIGlrLxWNniUMGOCXXN/V6tKh5v/wPGQO0YjPlVKgsl5qDhPrUGn0jIM6Kk7h+hUphg7&#10;rqO60bizfCXEM3eq93TBqAH3BtvL4eokbKevgEPCPX6fxzaafi7t+yzlw2J6fQGWccp/MPzqkzo0&#10;5HQKV68Ts5SL1ROhEsrNBhgB67UogJ2o2QoBvKn5/xeaHwAAAP//AwBQSwECLQAUAAYACAAAACEA&#10;toM4kv4AAADhAQAAEwAAAAAAAAAAAAAAAAAAAAAAW0NvbnRlbnRfVHlwZXNdLnhtbFBLAQItABQA&#10;BgAIAAAAIQA4/SH/1gAAAJQBAAALAAAAAAAAAAAAAAAAAC8BAABfcmVscy8ucmVsc1BLAQItABQA&#10;BgAIAAAAIQB9/vg3qwEAACcDAAAOAAAAAAAAAAAAAAAAAC4CAABkcnMvZTJvRG9jLnhtbFBLAQIt&#10;ABQABgAIAAAAIQCrkDQn3QAAAAoBAAAPAAAAAAAAAAAAAAAAAAUEAABkcnMvZG93bnJldi54bWxQ&#10;SwUGAAAAAAQABADzAAAADwUAAAAA&#10;" filled="f" stroked="f">
              <v:textbox style="mso-fit-shape-to-text:t" inset="0,0,0,0">
                <w:txbxContent>
                  <w:p w:rsidR="00D41299" w:rsidRDefault="00901547">
                    <w:pPr>
                      <w:pStyle w:val="Headerorfooter20"/>
                      <w:rPr>
                        <w:sz w:val="8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color w:val="00437C"/>
                        <w:sz w:val="80"/>
                      </w:rPr>
                      <w:t>ECHA</w:t>
                    </w:r>
                  </w:p>
                  <w:p w:rsidR="00D41299" w:rsidRDefault="00901547">
                    <w:pPr>
                      <w:pStyle w:val="Headerorfooter20"/>
                      <w:rPr>
                        <w:sz w:val="14"/>
                      </w:rPr>
                    </w:pPr>
                    <w:r>
                      <w:rPr>
                        <w:rStyle w:val="Headerorfooter2"/>
                        <w:rFonts w:ascii="Verdana" w:eastAsia="Verdana" w:hAnsi="Verdana" w:cs="Verdana"/>
                        <w:b/>
                        <w:color w:val="042957"/>
                        <w:sz w:val="14"/>
                      </w:rPr>
                      <w:t>ЕВРОПЕЙСКА АГЕНЦИЯ ПО ХИМИКАЛИТЕ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FB6"/>
    <w:multiLevelType w:val="multilevel"/>
    <w:tmpl w:val="F704EF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25E0A"/>
    <w:multiLevelType w:val="multilevel"/>
    <w:tmpl w:val="D34825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0084B"/>
    <w:multiLevelType w:val="multilevel"/>
    <w:tmpl w:val="B0A2CC5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B0C40"/>
    <w:multiLevelType w:val="multilevel"/>
    <w:tmpl w:val="500070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1C3DED"/>
    <w:multiLevelType w:val="multilevel"/>
    <w:tmpl w:val="F22891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74701"/>
    <w:multiLevelType w:val="multilevel"/>
    <w:tmpl w:val="5358ED16"/>
    <w:lvl w:ilvl="0">
      <w:start w:val="1"/>
      <w:numFmt w:val="lowerLetter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F03426"/>
    <w:multiLevelType w:val="multilevel"/>
    <w:tmpl w:val="B56C9E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99"/>
    <w:rsid w:val="000B495D"/>
    <w:rsid w:val="00491DD1"/>
    <w:rsid w:val="005041C7"/>
    <w:rsid w:val="00586A1C"/>
    <w:rsid w:val="005B0F32"/>
    <w:rsid w:val="007E6C9D"/>
    <w:rsid w:val="00901547"/>
    <w:rsid w:val="0092667C"/>
    <w:rsid w:val="00D41299"/>
    <w:rsid w:val="00E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1251F"/>
  <w15:docId w15:val="{01A26413-AEB6-4579-AA7F-8814FCD9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1">
    <w:name w:val="Footnote|1_"/>
    <w:basedOn w:val="DefaultParagraphFont"/>
    <w:link w:val="Footnote10"/>
    <w:rPr>
      <w:rFonts w:ascii="Verdana" w:eastAsia="Verdana" w:hAnsi="Verdana" w:cs="Verdana"/>
      <w:b w:val="0"/>
      <w:i w:val="0"/>
      <w:smallCaps w:val="0"/>
      <w:strike w:val="0"/>
      <w:color w:val="0000FF"/>
      <w:sz w:val="18"/>
      <w:u w:val="single"/>
    </w:rPr>
  </w:style>
  <w:style w:type="character" w:customStyle="1" w:styleId="Heading11">
    <w:name w:val="Heading #1|1_"/>
    <w:basedOn w:val="DefaultParagraphFont"/>
    <w:link w:val="Heading110"/>
    <w:rPr>
      <w:rFonts w:ascii="Verdana" w:eastAsia="Verdana" w:hAnsi="Verdana" w:cs="Verdana"/>
      <w:b/>
      <w:i w:val="0"/>
      <w:smallCaps w:val="0"/>
      <w:strike w:val="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character" w:customStyle="1" w:styleId="Bodytext1">
    <w:name w:val="Body text|1_"/>
    <w:basedOn w:val="DefaultParagraphFont"/>
    <w:link w:val="Bodytext10"/>
    <w:rPr>
      <w:rFonts w:ascii="Verdana" w:eastAsia="Verdana" w:hAnsi="Verdana" w:cs="Verdana"/>
      <w:b w:val="0"/>
      <w:i w:val="0"/>
      <w:smallCaps w:val="0"/>
      <w:strike w:val="0"/>
      <w:sz w:val="20"/>
      <w:u w:val="none"/>
    </w:rPr>
  </w:style>
  <w:style w:type="character" w:customStyle="1" w:styleId="Heading21">
    <w:name w:val="Heading #2|1_"/>
    <w:basedOn w:val="DefaultParagraphFont"/>
    <w:link w:val="Heading210"/>
    <w:rPr>
      <w:rFonts w:ascii="Verdana" w:eastAsia="Verdana" w:hAnsi="Verdana" w:cs="Verdana"/>
      <w:b/>
      <w:i w:val="0"/>
      <w:smallCaps w:val="0"/>
      <w:strike w:val="0"/>
      <w:sz w:val="20"/>
      <w:u w:val="none"/>
    </w:rPr>
  </w:style>
  <w:style w:type="paragraph" w:customStyle="1" w:styleId="Footnote10">
    <w:name w:val="Footnote|1"/>
    <w:basedOn w:val="Normal"/>
    <w:link w:val="Footnote1"/>
    <w:pPr>
      <w:spacing w:line="230" w:lineRule="auto"/>
    </w:pPr>
    <w:rPr>
      <w:rFonts w:ascii="Verdana" w:eastAsia="Verdana" w:hAnsi="Verdana" w:cs="Verdana"/>
      <w:color w:val="0000FF"/>
      <w:sz w:val="18"/>
      <w:u w:val="single"/>
    </w:rPr>
  </w:style>
  <w:style w:type="paragraph" w:customStyle="1" w:styleId="Heading110">
    <w:name w:val="Heading #1|1"/>
    <w:basedOn w:val="Normal"/>
    <w:link w:val="Heading11"/>
    <w:pPr>
      <w:spacing w:before="280" w:after="260" w:line="276" w:lineRule="auto"/>
      <w:outlineLvl w:val="0"/>
    </w:pPr>
    <w:rPr>
      <w:rFonts w:ascii="Verdana" w:eastAsia="Verdana" w:hAnsi="Verdana" w:cs="Verdana"/>
      <w:b/>
    </w:r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customStyle="1" w:styleId="Bodytext10">
    <w:name w:val="Body text|1"/>
    <w:basedOn w:val="Normal"/>
    <w:link w:val="Bodytext1"/>
    <w:pPr>
      <w:spacing w:after="260" w:line="276" w:lineRule="auto"/>
    </w:pPr>
    <w:rPr>
      <w:rFonts w:ascii="Verdana" w:eastAsia="Verdana" w:hAnsi="Verdana" w:cs="Verdana"/>
      <w:sz w:val="20"/>
    </w:rPr>
  </w:style>
  <w:style w:type="paragraph" w:customStyle="1" w:styleId="Heading210">
    <w:name w:val="Heading #2|1"/>
    <w:basedOn w:val="Normal"/>
    <w:link w:val="Heading21"/>
    <w:pPr>
      <w:spacing w:after="220" w:line="276" w:lineRule="auto"/>
      <w:ind w:firstLine="190"/>
      <w:outlineLvl w:val="1"/>
    </w:pPr>
    <w:rPr>
      <w:rFonts w:ascii="Verdana" w:eastAsia="Verdana" w:hAnsi="Verdana" w:cs="Verdana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E467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F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67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about-us/the-way-we-work/procedures-and-policies/conflicts-of-interest" TargetMode="External"/><Relationship Id="rId13" Type="http://schemas.openxmlformats.org/officeDocument/2006/relationships/hyperlink" Target="mailto:expert-calls@ech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ha.europa.eu/about-us/the-way-we-work/procedures-and-policies/conflicts-of-interest" TargetMode="External"/><Relationship Id="rId12" Type="http://schemas.openxmlformats.org/officeDocument/2006/relationships/hyperlink" Target="http://comments.echa.europa.eu/comments_cms/ExpressionsOfInterestRACSEAC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ha.europa.eu/documents/10162/3235122/final_mb_18_2018_echa_guide_for_reimbursement_mb50_en.pdf/15edea51-e43d-d8a9-a72c-8d74fe1ea24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cha.europa.eu/documents/10162/66703223/final_mb_35_2023_decision_remuneration_co_opted_member_en.pdf/ba5cef20-930a-4c5b-fc9d-f5746868aa9f?t=1707139976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a.europa.eu/documents/10162/31603647/final_mb_41_2020_revised_decision_tof_en.pdf/3cf193b6-5557-775f-8cdc-4dfec617d5f6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ha.europa.eu/about-us/who-we-are/committee-for-socio-economic-analysis/meetings-of-the-seac/2024" TargetMode="External"/><Relationship Id="rId2" Type="http://schemas.openxmlformats.org/officeDocument/2006/relationships/hyperlink" Target="https://echa.europa.eu/meetings-of-the-rac/2024" TargetMode="External"/><Relationship Id="rId1" Type="http://schemas.openxmlformats.org/officeDocument/2006/relationships/hyperlink" Target="https://echa.europa.eu/regulations/reach/legislation" TargetMode="External"/><Relationship Id="rId6" Type="http://schemas.openxmlformats.org/officeDocument/2006/relationships/hyperlink" Target="https://echa.europa.eu/documents/10162/27315551/mb_19_2023-2_annex_1_coi_policy_en.pdf/278eb049-3ce2-c0f2-fce5-e1e3151dae5e?t=1690522212162" TargetMode="External"/><Relationship Id="rId5" Type="http://schemas.openxmlformats.org/officeDocument/2006/relationships/hyperlink" Target="https://echa.europa.eu/documents/10162/27315551/mb_19_2023-2_annex_1_coi_policy_en.pdf/278eb049-3ce2-c0f2-fce5-e1e3151dae5e?t=1690522212162" TargetMode="External"/><Relationship Id="rId4" Type="http://schemas.openxmlformats.org/officeDocument/2006/relationships/hyperlink" Target="https://echa.europa.eu/about-us/who-we-are/committee-for-socio-economic-analysis/meetings-of-the-seac/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Horozova</dc:creator>
  <cp:lastModifiedBy>Da se smeni</cp:lastModifiedBy>
  <cp:revision>2</cp:revision>
  <dcterms:created xsi:type="dcterms:W3CDTF">2024-03-11T10:06:00Z</dcterms:created>
  <dcterms:modified xsi:type="dcterms:W3CDTF">2024-03-11T10:06:00Z</dcterms:modified>
</cp:coreProperties>
</file>