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6E" w:rsidRPr="00210A9D" w:rsidRDefault="00210A9D">
      <w:pPr>
        <w:spacing w:before="48" w:after="216" w:line="232" w:lineRule="exact"/>
        <w:jc w:val="center"/>
        <w:textAlignment w:val="baseline"/>
        <w:rPr>
          <w:rFonts w:ascii="Arial" w:eastAsia="Arial" w:hAnsi="Arial"/>
          <w:b/>
          <w:color w:val="000000"/>
          <w:sz w:val="19"/>
          <w:lang w:val="en-GB"/>
        </w:rPr>
      </w:pPr>
      <w:bookmarkStart w:id="0" w:name="_GoBack"/>
      <w:r w:rsidRPr="00210A9D">
        <w:rPr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34" type="#_x0000_t202" style="position:absolute;left:0;text-align:left;margin-left:41.05pt;margin-top:788.35pt;width:514pt;height:9.2pt;z-index:-251662848;mso-wrap-distance-left:0;mso-wrap-distance-right:0;mso-position-horizontal-relative:page;mso-position-vertical-relative:page" filled="f" stroked="f">
            <v:textbox inset="0,0,0,0">
              <w:txbxContent>
                <w:p w:rsidR="0085086E" w:rsidRDefault="009342BD">
                  <w:pPr>
                    <w:spacing w:before="1" w:line="172" w:lineRule="exact"/>
                    <w:ind w:left="288"/>
                    <w:textAlignment w:val="baseline"/>
                    <w:rPr>
                      <w:rFonts w:ascii="Arial" w:eastAsia="Arial" w:hAnsi="Arial"/>
                      <w:color w:val="000000"/>
                      <w:spacing w:val="4"/>
                      <w:sz w:val="16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S.C. GLOBAL INNOVATION SOLUTION S.R.L.</w:t>
                  </w:r>
                </w:p>
              </w:txbxContent>
            </v:textbox>
            <w10:wrap type="square" anchorx="page" anchory="page"/>
          </v:shape>
        </w:pict>
      </w:r>
      <w:r w:rsidRPr="00210A9D">
        <w:rPr>
          <w:lang w:val="en-GB"/>
        </w:rPr>
        <w:pict>
          <v:line id="_x0000_s1033" style="position:absolute;left:0;text-align:left;z-index:251654656;mso-position-horizontal-relative:text;mso-position-vertical-relative:text" from="0,743.35pt" to="514.05pt,743.35pt" strokecolor="#475057" strokeweight=".5pt"/>
        </w:pict>
      </w:r>
      <w:r w:rsidRPr="00210A9D">
        <w:rPr>
          <w:lang w:val="en-GB"/>
        </w:rPr>
        <w:pict>
          <v:line id="_x0000_s1032" style="position:absolute;left:0;text-align:left;z-index:251655680;mso-position-horizontal-relative:text;mso-position-vertical-relative:text" from="84.45pt,745.5pt" to="152.7pt,745.5pt" strokecolor="#4d6371" strokeweight=".25pt"/>
        </w:pict>
      </w:r>
      <w:r w:rsidRPr="00210A9D">
        <w:rPr>
          <w:lang w:val="en-GB"/>
        </w:rPr>
        <w:pict>
          <v:line id="_x0000_s1031" style="position:absolute;left:0;text-align:left;z-index:251656704;mso-position-horizontal-relative:text;mso-position-vertical-relative:text" from="238.05pt,746pt" to="283.7pt,746pt" strokecolor="#728595" strokeweight=".25pt"/>
        </w:pict>
      </w:r>
      <w:r w:rsidRPr="00210A9D">
        <w:rPr>
          <w:lang w:val="en-GB"/>
        </w:rPr>
        <w:pict>
          <v:line id="_x0000_s1030" style="position:absolute;left:0;text-align:left;z-index:251657728;mso-position-horizontal-relative:text;mso-position-vertical-relative:text" from="486.25pt,746.5pt" to="514.05pt,746.5pt" strokecolor="#697a84" strokeweight=".25pt"/>
        </w:pict>
      </w:r>
      <w:r w:rsidRPr="00210A9D">
        <w:rPr>
          <w:lang w:val="en-GB"/>
        </w:rPr>
        <w:pict>
          <v:line id="_x0000_s1029" style="position:absolute;left:0;text-align:left;z-index:251658752;mso-position-horizontal-relative:text;mso-position-vertical-relative:text" from="412.8pt,746.5pt" to="434.7pt,746.5pt" strokecolor="#8997a7" strokeweight=".25pt"/>
        </w:pict>
      </w:r>
      <w:r w:rsidR="009342BD" w:rsidRPr="00210A9D">
        <w:rPr>
          <w:rFonts w:ascii="Arial" w:eastAsia="Arial" w:hAnsi="Arial"/>
          <w:b/>
          <w:color w:val="000000"/>
          <w:sz w:val="19"/>
          <w:lang w:val="en-GB"/>
        </w:rPr>
        <w:t>STUDY ON DISPERSION OF POLLUTANTS IN THE ATMOSPHERE</w:t>
      </w:r>
      <w:r w:rsidR="009342BD" w:rsidRPr="00210A9D">
        <w:rPr>
          <w:rFonts w:ascii="Arial" w:eastAsia="Arial" w:hAnsi="Arial"/>
          <w:b/>
          <w:color w:val="000000"/>
          <w:sz w:val="19"/>
          <w:lang w:val="en-GB"/>
        </w:rPr>
        <w:br/>
      </w:r>
      <w:r w:rsidR="009342BD" w:rsidRPr="00210A9D">
        <w:rPr>
          <w:rFonts w:ascii="Arial" w:eastAsia="Arial" w:hAnsi="Arial"/>
          <w:b/>
          <w:i/>
          <w:color w:val="000000"/>
          <w:sz w:val="19"/>
          <w:lang w:val="en-GB"/>
        </w:rPr>
        <w:t>for the objective</w:t>
      </w:r>
      <w:r w:rsidR="009342BD" w:rsidRPr="00210A9D">
        <w:rPr>
          <w:rFonts w:ascii="Arial" w:eastAsia="Arial" w:hAnsi="Arial"/>
          <w:b/>
          <w:i/>
          <w:color w:val="000000"/>
          <w:sz w:val="19"/>
          <w:lang w:val="en-GB"/>
        </w:rPr>
        <w:br/>
      </w:r>
      <w:r w:rsidR="009342BD" w:rsidRPr="00210A9D">
        <w:rPr>
          <w:rFonts w:ascii="Arial" w:eastAsia="Arial" w:hAnsi="Arial"/>
          <w:b/>
          <w:color w:val="000000"/>
          <w:sz w:val="19"/>
          <w:lang w:val="en-GB"/>
        </w:rPr>
        <w:t xml:space="preserve">S.C. GREEN OIL AND LUBES S.R.L. </w:t>
      </w:r>
      <w:r w:rsidR="009342BD" w:rsidRPr="00210A9D">
        <w:rPr>
          <w:rFonts w:ascii="Arial" w:eastAsia="Arial" w:hAnsi="Arial"/>
          <w:b/>
          <w:color w:val="000000"/>
          <w:sz w:val="19"/>
          <w:lang w:val="en-GB"/>
        </w:rPr>
        <w:br/>
        <w:t>Waste oil recycling plant, the Municipality of Oltenița, County of Călărași</w:t>
      </w:r>
    </w:p>
    <w:p w:rsidR="0085086E" w:rsidRPr="00210A9D" w:rsidRDefault="00210A9D">
      <w:pPr>
        <w:spacing w:before="1133" w:line="454" w:lineRule="exact"/>
        <w:jc w:val="center"/>
        <w:textAlignment w:val="baseline"/>
        <w:rPr>
          <w:rFonts w:ascii="Arial" w:eastAsia="Arial" w:hAnsi="Arial"/>
          <w:b/>
          <w:color w:val="000000"/>
          <w:spacing w:val="-3"/>
          <w:w w:val="95"/>
          <w:sz w:val="39"/>
          <w:lang w:val="en-GB"/>
        </w:rPr>
      </w:pPr>
      <w:r w:rsidRPr="00210A9D">
        <w:rPr>
          <w:lang w:val="en-GB"/>
        </w:rPr>
        <w:pict>
          <v:line id="_x0000_s1028" style="position:absolute;left:0;text-align:left;z-index:251659776;mso-position-horizontal-relative:page;mso-position-vertical-relative:page" from="413.3pt,94.1pt" to="533.8pt,94.1pt" strokecolor="#444541" strokeweight=".5pt">
            <w10:wrap anchorx="page" anchory="page"/>
          </v:line>
        </w:pict>
      </w:r>
      <w:r w:rsidRPr="00210A9D">
        <w:rPr>
          <w:lang w:val="en-GB"/>
        </w:rPr>
        <w:pict>
          <v:line id="_x0000_s1027" style="position:absolute;left:0;text-align:left;z-index:251660800;mso-position-horizontal-relative:page;mso-position-vertical-relative:page" from="67.7pt,94.55pt" to="401.35pt,94.55pt" strokecolor="#39444b" strokeweight=".5pt">
            <w10:wrap anchorx="page" anchory="page"/>
          </v:line>
        </w:pict>
      </w:r>
      <w:r w:rsidRPr="00210A9D">
        <w:rPr>
          <w:lang w:val="en-GB"/>
        </w:rPr>
        <w:pict>
          <v:line id="_x0000_s1026" style="position:absolute;left:0;text-align:left;z-index:251661824;mso-position-horizontal-relative:page;mso-position-vertical-relative:page" from="324pt,95.05pt" to="533.8pt,95.05pt" strokecolor="#3a4347" strokeweight=".5pt">
            <w10:wrap anchorx="page" anchory="page"/>
          </v:line>
        </w:pict>
      </w:r>
      <w:r w:rsidR="009342BD" w:rsidRPr="00210A9D">
        <w:rPr>
          <w:rFonts w:ascii="Arial" w:eastAsia="Arial" w:hAnsi="Arial"/>
          <w:b/>
          <w:color w:val="000000"/>
          <w:sz w:val="39"/>
          <w:lang w:val="en-GB"/>
        </w:rPr>
        <w:t>ANNEXES</w:t>
      </w:r>
    </w:p>
    <w:p w:rsidR="0085086E" w:rsidRPr="00210A9D" w:rsidRDefault="00210A9D">
      <w:pPr>
        <w:spacing w:before="522" w:line="300" w:lineRule="exact"/>
        <w:jc w:val="center"/>
        <w:textAlignment w:val="baseline"/>
        <w:rPr>
          <w:rFonts w:ascii="Arial" w:eastAsia="Arial" w:hAnsi="Arial"/>
          <w:b/>
          <w:color w:val="000000"/>
          <w:sz w:val="23"/>
          <w:lang w:val="en-GB"/>
        </w:rPr>
      </w:pP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Annex no. 10 - </w:t>
      </w:r>
      <w:r w:rsidRPr="00210A9D">
        <w:rPr>
          <w:rFonts w:ascii="Arial" w:eastAsia="Arial" w:hAnsi="Arial"/>
          <w:color w:val="000000"/>
          <w:sz w:val="23"/>
          <w:lang w:val="en-GB"/>
        </w:rPr>
        <w:t xml:space="preserve">The spatial distribution of SO2 concentration in the air for internal sources </w:t>
      </w:r>
      <w:r w:rsidRPr="00210A9D">
        <w:rPr>
          <w:rFonts w:ascii="Arial" w:eastAsia="Arial" w:hAnsi="Arial"/>
          <w:color w:val="000000"/>
          <w:sz w:val="23"/>
          <w:lang w:val="en-GB"/>
        </w:rPr>
        <w:br/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>Annex no. 11 - The spatial distribution of NOx concentration in the air for the analysed scenarios - internal sources</w:t>
      </w:r>
      <w:r>
        <w:rPr>
          <w:rFonts w:ascii="Arial" w:eastAsia="Arial" w:hAnsi="Arial"/>
          <w:b/>
          <w:color w:val="000000"/>
          <w:sz w:val="23"/>
          <w:lang w:val="en-GB"/>
        </w:rPr>
        <w:t xml:space="preserve"> 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Annex no. 12 - </w:t>
      </w:r>
      <w:r w:rsidRPr="00210A9D">
        <w:rPr>
          <w:rFonts w:ascii="Arial" w:eastAsia="Arial" w:hAnsi="Arial"/>
          <w:color w:val="000000"/>
          <w:sz w:val="23"/>
          <w:lang w:val="en-GB"/>
        </w:rPr>
        <w:t xml:space="preserve">The spatial distribution of CO concentration in the air for the analysed scenarios </w:t>
      </w:r>
      <w:r w:rsidRPr="00210A9D">
        <w:rPr>
          <w:rFonts w:ascii="Arial" w:eastAsia="Arial" w:hAnsi="Arial"/>
          <w:color w:val="000000"/>
          <w:sz w:val="24"/>
          <w:lang w:val="en-GB"/>
        </w:rPr>
        <w:t xml:space="preserve"> </w:t>
      </w:r>
      <w:r w:rsidRPr="00210A9D">
        <w:rPr>
          <w:rFonts w:ascii="Arial" w:eastAsia="Arial" w:hAnsi="Arial"/>
          <w:color w:val="000000"/>
          <w:sz w:val="24"/>
          <w:lang w:val="en-GB"/>
        </w:rPr>
        <w:br/>
        <w:t xml:space="preserve"> </w:t>
      </w:r>
      <w:r w:rsidRPr="00210A9D">
        <w:rPr>
          <w:rFonts w:ascii="Arial" w:eastAsia="Arial" w:hAnsi="Arial"/>
          <w:color w:val="000000"/>
          <w:sz w:val="24"/>
          <w:lang w:val="en-GB"/>
        </w:rPr>
        <w:br/>
      </w:r>
      <w:r w:rsidRPr="00210A9D">
        <w:rPr>
          <w:rFonts w:ascii="Arial" w:eastAsia="Arial" w:hAnsi="Arial"/>
          <w:color w:val="000000"/>
          <w:sz w:val="23"/>
          <w:lang w:val="en-GB"/>
        </w:rPr>
        <w:t xml:space="preserve">internal sources 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Annex no. 13 - The spatial distribution of Pm10 powder concentration in the air for the analysed 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br/>
        <w:t>scenarios - internal sources</w:t>
      </w:r>
      <w:r>
        <w:rPr>
          <w:rFonts w:ascii="Arial" w:eastAsia="Arial" w:hAnsi="Arial"/>
          <w:b/>
          <w:color w:val="000000"/>
          <w:sz w:val="23"/>
          <w:lang w:val="en-GB"/>
        </w:rPr>
        <w:t xml:space="preserve"> 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>Annex no. 14 - The spatial distribution of SO2 concentration in the air for the analysed scenarios - external sources</w:t>
      </w:r>
      <w:r>
        <w:rPr>
          <w:rFonts w:ascii="Arial" w:eastAsia="Arial" w:hAnsi="Arial"/>
          <w:b/>
          <w:color w:val="000000"/>
          <w:sz w:val="23"/>
          <w:lang w:val="en-GB"/>
        </w:rPr>
        <w:t xml:space="preserve"> 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Annex no. 15 - </w:t>
      </w:r>
      <w:r w:rsidRPr="00210A9D">
        <w:rPr>
          <w:rFonts w:ascii="Arial" w:eastAsia="Arial" w:hAnsi="Arial"/>
          <w:color w:val="000000"/>
          <w:sz w:val="23"/>
          <w:lang w:val="en-GB"/>
        </w:rPr>
        <w:t xml:space="preserve">The spatial distribution of NOx concentration in the air for the analysed scenarios - </w:t>
      </w:r>
      <w:r w:rsidRPr="00210A9D">
        <w:rPr>
          <w:rFonts w:ascii="Arial" w:eastAsia="Arial" w:hAnsi="Arial"/>
          <w:color w:val="000000"/>
          <w:sz w:val="24"/>
          <w:lang w:val="en-GB"/>
        </w:rPr>
        <w:t xml:space="preserve"> </w:t>
      </w:r>
      <w:r w:rsidRPr="00210A9D">
        <w:rPr>
          <w:rFonts w:ascii="Arial" w:eastAsia="Arial" w:hAnsi="Arial"/>
          <w:color w:val="000000"/>
          <w:sz w:val="24"/>
          <w:lang w:val="en-GB"/>
        </w:rPr>
        <w:br/>
      </w:r>
      <w:r w:rsidRPr="00210A9D">
        <w:rPr>
          <w:rFonts w:ascii="Arial" w:eastAsia="Arial" w:hAnsi="Arial"/>
          <w:color w:val="000000"/>
          <w:sz w:val="23"/>
          <w:lang w:val="en-GB"/>
        </w:rPr>
        <w:t xml:space="preserve">external sources </w:t>
      </w:r>
      <w:r w:rsidRPr="00210A9D">
        <w:rPr>
          <w:rFonts w:ascii="Arial" w:eastAsia="Arial" w:hAnsi="Arial"/>
          <w:color w:val="000000"/>
          <w:sz w:val="23"/>
          <w:lang w:val="en-GB"/>
        </w:rPr>
        <w:br/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Annex no. 16 - </w:t>
      </w:r>
      <w:r w:rsidRPr="00210A9D">
        <w:rPr>
          <w:rFonts w:ascii="Arial" w:eastAsia="Arial" w:hAnsi="Arial"/>
          <w:color w:val="000000"/>
          <w:sz w:val="23"/>
          <w:lang w:val="en-GB"/>
        </w:rPr>
        <w:t>The spatial distribution of CO concentration in the air for the analysed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 scenarios </w:t>
      </w:r>
      <w:r w:rsidRPr="00210A9D">
        <w:rPr>
          <w:rFonts w:ascii="Arial" w:eastAsia="Arial" w:hAnsi="Arial"/>
          <w:color w:val="000000"/>
          <w:sz w:val="24"/>
          <w:lang w:val="en-GB"/>
        </w:rPr>
        <w:t xml:space="preserve"> </w:t>
      </w:r>
      <w:r w:rsidRPr="00210A9D">
        <w:rPr>
          <w:rFonts w:ascii="Arial" w:eastAsia="Arial" w:hAnsi="Arial"/>
          <w:color w:val="000000"/>
          <w:sz w:val="24"/>
          <w:lang w:val="en-GB"/>
        </w:rPr>
        <w:br/>
      </w:r>
      <w:r w:rsidRPr="00210A9D">
        <w:rPr>
          <w:rFonts w:ascii="Arial" w:eastAsia="Arial" w:hAnsi="Arial"/>
          <w:color w:val="000000"/>
          <w:sz w:val="23"/>
          <w:lang w:val="en-GB"/>
        </w:rPr>
        <w:t xml:space="preserve">external sources 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Annex no. 17 - </w:t>
      </w:r>
      <w:r w:rsidRPr="00210A9D">
        <w:rPr>
          <w:rFonts w:ascii="Arial" w:eastAsia="Arial" w:hAnsi="Arial"/>
          <w:color w:val="000000"/>
          <w:sz w:val="23"/>
          <w:lang w:val="en-GB"/>
        </w:rPr>
        <w:t xml:space="preserve">The spatial distribution of PM10 powder concentration in the air for the analysed </w:t>
      </w:r>
      <w:r w:rsidRPr="00210A9D">
        <w:rPr>
          <w:rFonts w:ascii="Arial" w:eastAsia="Arial" w:hAnsi="Arial"/>
          <w:color w:val="000000"/>
          <w:sz w:val="23"/>
          <w:lang w:val="en-GB"/>
        </w:rPr>
        <w:br/>
        <w:t xml:space="preserve">scenarios 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- external sources 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br/>
        <w:t xml:space="preserve">Annex no. 18 - </w:t>
      </w:r>
      <w:r w:rsidRPr="00210A9D">
        <w:rPr>
          <w:rFonts w:ascii="Arial" w:eastAsia="Arial" w:hAnsi="Arial"/>
          <w:color w:val="000000"/>
          <w:sz w:val="24"/>
          <w:lang w:val="en-GB"/>
        </w:rPr>
        <w:t xml:space="preserve"> </w:t>
      </w:r>
      <w:r w:rsidRPr="00210A9D">
        <w:rPr>
          <w:rFonts w:ascii="Arial" w:eastAsia="Arial" w:hAnsi="Arial"/>
          <w:color w:val="000000"/>
          <w:sz w:val="24"/>
          <w:lang w:val="en-GB"/>
        </w:rPr>
        <w:br/>
      </w:r>
      <w:r w:rsidRPr="00210A9D">
        <w:rPr>
          <w:rFonts w:ascii="Arial" w:eastAsia="Arial" w:hAnsi="Arial"/>
          <w:color w:val="000000"/>
          <w:sz w:val="23"/>
          <w:lang w:val="en-GB"/>
        </w:rPr>
        <w:t xml:space="preserve">The spatial distribution of SO2 concentration in the air for the analysed scenarios - </w:t>
      </w:r>
      <w:r w:rsidRPr="00210A9D">
        <w:rPr>
          <w:rFonts w:ascii="Arial" w:eastAsia="Arial" w:hAnsi="Arial"/>
          <w:color w:val="000000"/>
          <w:sz w:val="24"/>
          <w:lang w:val="en-GB"/>
        </w:rPr>
        <w:t xml:space="preserve"> </w:t>
      </w:r>
      <w:r w:rsidRPr="00210A9D">
        <w:rPr>
          <w:rFonts w:ascii="Arial" w:eastAsia="Arial" w:hAnsi="Arial"/>
          <w:color w:val="000000"/>
          <w:sz w:val="24"/>
          <w:lang w:val="en-GB"/>
        </w:rPr>
        <w:br/>
      </w:r>
      <w:r w:rsidRPr="00210A9D">
        <w:rPr>
          <w:rFonts w:ascii="Arial" w:eastAsia="Arial" w:hAnsi="Arial"/>
          <w:color w:val="000000"/>
          <w:sz w:val="23"/>
          <w:lang w:val="en-GB"/>
        </w:rPr>
        <w:t>cumulative impact</w:t>
      </w:r>
      <w:r w:rsidRPr="00210A9D">
        <w:rPr>
          <w:rFonts w:ascii="Arial" w:eastAsia="Arial" w:hAnsi="Arial"/>
          <w:color w:val="000000"/>
          <w:sz w:val="23"/>
          <w:lang w:val="en-GB"/>
        </w:rPr>
        <w:br/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Annex no. 19 - </w:t>
      </w:r>
      <w:r w:rsidRPr="00210A9D">
        <w:rPr>
          <w:rFonts w:ascii="Arial" w:eastAsia="Arial" w:hAnsi="Arial"/>
          <w:color w:val="000000"/>
          <w:sz w:val="24"/>
          <w:lang w:val="en-GB"/>
        </w:rPr>
        <w:t xml:space="preserve"> </w:t>
      </w:r>
      <w:r w:rsidRPr="00210A9D">
        <w:rPr>
          <w:rFonts w:ascii="Arial" w:eastAsia="Arial" w:hAnsi="Arial"/>
          <w:color w:val="000000"/>
          <w:sz w:val="24"/>
          <w:lang w:val="en-GB"/>
        </w:rPr>
        <w:br/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>The spatial distribution of NOx concentration in the air for the analysed scenarios - cumulative impact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br/>
        <w:t xml:space="preserve">Annex no. 20 - The </w:t>
      </w:r>
      <w:r w:rsidRPr="00210A9D">
        <w:rPr>
          <w:rFonts w:ascii="Arial" w:eastAsia="Arial" w:hAnsi="Arial"/>
          <w:color w:val="000000"/>
          <w:sz w:val="23"/>
          <w:lang w:val="en-GB"/>
        </w:rPr>
        <w:t>spatial distribution of CO concentration in the air for the analysed scenarios</w:t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 - </w:t>
      </w:r>
      <w:r w:rsidRPr="00210A9D">
        <w:rPr>
          <w:rFonts w:ascii="Arial" w:eastAsia="Arial" w:hAnsi="Arial"/>
          <w:color w:val="000000"/>
          <w:sz w:val="24"/>
          <w:lang w:val="en-GB"/>
        </w:rPr>
        <w:t xml:space="preserve"> </w:t>
      </w:r>
      <w:r w:rsidRPr="00210A9D">
        <w:rPr>
          <w:rFonts w:ascii="Arial" w:eastAsia="Arial" w:hAnsi="Arial"/>
          <w:color w:val="000000"/>
          <w:sz w:val="24"/>
          <w:lang w:val="en-GB"/>
        </w:rPr>
        <w:br/>
      </w:r>
      <w:r w:rsidRPr="00210A9D">
        <w:rPr>
          <w:rFonts w:ascii="Arial" w:eastAsia="Arial" w:hAnsi="Arial"/>
          <w:color w:val="000000"/>
          <w:sz w:val="23"/>
          <w:lang w:val="en-GB"/>
        </w:rPr>
        <w:t>cumulative impact</w:t>
      </w:r>
      <w:r w:rsidRPr="00210A9D">
        <w:rPr>
          <w:rFonts w:ascii="Arial" w:eastAsia="Arial" w:hAnsi="Arial"/>
          <w:color w:val="000000"/>
          <w:sz w:val="23"/>
          <w:lang w:val="en-GB"/>
        </w:rPr>
        <w:br/>
      </w:r>
      <w:r w:rsidRPr="00210A9D">
        <w:rPr>
          <w:rFonts w:ascii="Arial" w:eastAsia="Arial" w:hAnsi="Arial"/>
          <w:b/>
          <w:color w:val="000000"/>
          <w:sz w:val="23"/>
          <w:lang w:val="en-GB"/>
        </w:rPr>
        <w:t xml:space="preserve">Annex no. 21 - </w:t>
      </w:r>
      <w:r w:rsidRPr="00210A9D">
        <w:rPr>
          <w:rFonts w:ascii="Arial" w:eastAsia="Arial" w:hAnsi="Arial"/>
          <w:color w:val="000000"/>
          <w:sz w:val="23"/>
          <w:lang w:val="en-GB"/>
        </w:rPr>
        <w:t xml:space="preserve">The spatial distribution of PM10 powder concentration in the air for the analysed </w:t>
      </w:r>
      <w:r w:rsidRPr="00210A9D">
        <w:rPr>
          <w:rFonts w:ascii="Arial" w:eastAsia="Arial" w:hAnsi="Arial"/>
          <w:color w:val="000000"/>
          <w:sz w:val="23"/>
          <w:lang w:val="en-GB"/>
        </w:rPr>
        <w:br/>
        <w:t>scenarios — cumulative impact</w:t>
      </w:r>
      <w:bookmarkEnd w:id="0"/>
    </w:p>
    <w:sectPr w:rsidR="0085086E" w:rsidRPr="00210A9D">
      <w:pgSz w:w="11904" w:h="16843"/>
      <w:pgMar w:top="680" w:right="803" w:bottom="906" w:left="82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85086E"/>
    <w:rsid w:val="00210A9D"/>
    <w:rsid w:val="0085086E"/>
    <w:rsid w:val="0093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lenoi3</cp:lastModifiedBy>
  <cp:revision>3</cp:revision>
  <dcterms:created xsi:type="dcterms:W3CDTF">2018-11-19T14:16:00Z</dcterms:created>
  <dcterms:modified xsi:type="dcterms:W3CDTF">2018-11-21T12:22:00Z</dcterms:modified>
</cp:coreProperties>
</file>