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66E" w:rsidRPr="00035D2D" w:rsidRDefault="00B9266E" w:rsidP="00960FE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  <w:lang w:val="bg-BG"/>
        </w:rPr>
      </w:pPr>
      <w:r w:rsidRPr="00035D2D">
        <w:rPr>
          <w:rFonts w:ascii="Times New Roman" w:hAnsi="Times New Roman" w:cs="Times New Roman"/>
          <w:i/>
          <w:iCs/>
          <w:sz w:val="24"/>
          <w:szCs w:val="24"/>
          <w:u w:val="single"/>
          <w:lang w:val="bg-BG"/>
        </w:rPr>
        <w:t>Превод от румънски език</w:t>
      </w:r>
    </w:p>
    <w:p w:rsidR="00623422" w:rsidRPr="00035D2D" w:rsidRDefault="00623422" w:rsidP="00960FE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  <w:lang w:val="bg-BG"/>
        </w:rPr>
      </w:pPr>
    </w:p>
    <w:p w:rsidR="00B9266E" w:rsidRPr="00035D2D" w:rsidRDefault="00B9266E" w:rsidP="00960FE4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>Инж. ВАЛЕ ЙОАН                                                                         № 81 от 22.08.2018</w:t>
      </w:r>
    </w:p>
    <w:p w:rsidR="00B9266E" w:rsidRPr="00035D2D" w:rsidRDefault="00B9266E" w:rsidP="00960FE4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 xml:space="preserve">Общ. Букурещ,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/>
        </w:rPr>
        <w:t>ул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/>
        </w:rPr>
        <w:t>Воила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/>
        </w:rPr>
        <w:t xml:space="preserve"> № 5</w:t>
      </w:r>
    </w:p>
    <w:p w:rsidR="00B9266E" w:rsidRPr="00035D2D" w:rsidRDefault="00B9266E" w:rsidP="00960FE4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>Бл. 32, вх. Б, ет. 1</w:t>
      </w:r>
      <w:r w:rsidR="00623422" w:rsidRPr="00035D2D">
        <w:rPr>
          <w:rFonts w:ascii="Times New Roman" w:hAnsi="Times New Roman" w:cs="Times New Roman"/>
          <w:sz w:val="24"/>
          <w:szCs w:val="24"/>
          <w:lang w:val="ro-RO"/>
        </w:rPr>
        <w:t>, ap. 21</w:t>
      </w:r>
      <w:r w:rsidRPr="00035D2D">
        <w:rPr>
          <w:rFonts w:ascii="Times New Roman" w:hAnsi="Times New Roman" w:cs="Times New Roman"/>
          <w:sz w:val="24"/>
          <w:szCs w:val="24"/>
          <w:lang w:val="bg-BG"/>
        </w:rPr>
        <w:t>, сектор 4</w:t>
      </w:r>
    </w:p>
    <w:p w:rsidR="00B9266E" w:rsidRPr="00035D2D" w:rsidRDefault="00B9266E" w:rsidP="00960FE4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>Телефон 0721795565</w:t>
      </w:r>
    </w:p>
    <w:p w:rsidR="00B9266E" w:rsidRPr="00035D2D" w:rsidRDefault="00B9266E" w:rsidP="00960FE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i/>
          <w:sz w:val="24"/>
          <w:szCs w:val="24"/>
          <w:lang w:val="bg-BG"/>
        </w:rPr>
        <w:t>РЕФЕРАТ</w:t>
      </w:r>
    </w:p>
    <w:p w:rsidR="00B9266E" w:rsidRPr="00035D2D" w:rsidRDefault="00B9266E" w:rsidP="00960FE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Относно проверката за качество на най-важното изискване </w:t>
      </w:r>
    </w:p>
    <w:p w:rsidR="00B9266E" w:rsidRPr="00035D2D" w:rsidRDefault="00B9266E" w:rsidP="00960FE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„ПОЖАРНА БЕЗОПАСНОСТ“ </w:t>
      </w:r>
      <w:r w:rsidRPr="00035D2D">
        <w:rPr>
          <w:rFonts w:ascii="Times New Roman" w:hAnsi="Times New Roman" w:cs="Times New Roman"/>
          <w:sz w:val="24"/>
          <w:szCs w:val="24"/>
          <w:lang w:val="bg-BG"/>
        </w:rPr>
        <w:t>на проекта № 1057/2018 фаза DTAC</w:t>
      </w:r>
    </w:p>
    <w:p w:rsidR="00B9266E" w:rsidRPr="00035D2D" w:rsidRDefault="00B9266E" w:rsidP="00960FE4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Фабрика за рециклиране на отработени масла</w:t>
      </w:r>
    </w:p>
    <w:p w:rsidR="00B9266E" w:rsidRPr="00035D2D" w:rsidRDefault="00B9266E" w:rsidP="00F721EA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  <w:t>Идентификационни данни</w:t>
      </w:r>
    </w:p>
    <w:p w:rsidR="00B9266E" w:rsidRPr="00035D2D" w:rsidRDefault="00B9266E" w:rsidP="00F721EA">
      <w:pPr>
        <w:pStyle w:val="Listparagraf"/>
        <w:spacing w:after="0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НА ГЛАВЕН ПРОЕКТАНТ И НА СПЕЦИАЛИСТИТЕ: </w:t>
      </w:r>
      <w:r w:rsidRPr="00035D2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SC </w:t>
      </w:r>
      <w:proofErr w:type="spellStart"/>
      <w:r w:rsidRPr="00035D2D">
        <w:rPr>
          <w:rFonts w:ascii="Times New Roman" w:hAnsi="Times New Roman" w:cs="Times New Roman"/>
          <w:bCs/>
          <w:sz w:val="24"/>
          <w:szCs w:val="24"/>
          <w:lang w:val="bg-BG"/>
        </w:rPr>
        <w:t>Pureworld</w:t>
      </w:r>
      <w:proofErr w:type="spellEnd"/>
      <w:r w:rsidRPr="00035D2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Pr="00035D2D">
        <w:rPr>
          <w:rFonts w:ascii="Times New Roman" w:hAnsi="Times New Roman" w:cs="Times New Roman"/>
          <w:bCs/>
          <w:sz w:val="24"/>
          <w:szCs w:val="24"/>
          <w:lang w:val="bg-BG"/>
        </w:rPr>
        <w:t>Engineering</w:t>
      </w:r>
      <w:proofErr w:type="spellEnd"/>
      <w:r w:rsidRPr="00035D2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SRL </w:t>
      </w:r>
      <w:proofErr w:type="spellStart"/>
      <w:r w:rsidRPr="00035D2D">
        <w:rPr>
          <w:rFonts w:ascii="Times New Roman" w:hAnsi="Times New Roman" w:cs="Times New Roman"/>
          <w:bCs/>
          <w:sz w:val="24"/>
          <w:szCs w:val="24"/>
          <w:lang w:val="bg-BG"/>
        </w:rPr>
        <w:t>Плоиещ</w:t>
      </w:r>
      <w:proofErr w:type="spellEnd"/>
      <w:r w:rsidRPr="00035D2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</w:p>
    <w:p w:rsidR="00B9266E" w:rsidRPr="00035D2D" w:rsidRDefault="00B9266E" w:rsidP="00136F70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 xml:space="preserve">Бенефициент- </w:t>
      </w:r>
      <w:r w:rsidRPr="00035D2D">
        <w:rPr>
          <w:rFonts w:ascii="Times New Roman" w:hAnsi="Times New Roman" w:cs="Times New Roman"/>
          <w:b/>
          <w:sz w:val="24"/>
          <w:szCs w:val="24"/>
          <w:lang w:val="bg-BG"/>
        </w:rPr>
        <w:t>SC GREEN OIL AND LUBES SRL</w:t>
      </w:r>
      <w:r w:rsidRPr="00035D2D">
        <w:rPr>
          <w:rFonts w:ascii="Times New Roman" w:hAnsi="Times New Roman" w:cs="Times New Roman"/>
          <w:sz w:val="24"/>
          <w:szCs w:val="24"/>
          <w:lang w:val="bg-BG"/>
        </w:rPr>
        <w:t>, ул. Антон Павлович Чехов 2 Е, сектор 1, Букурещ, ЕИК RO 34450328, Сериен № в Търговският Регистър J40/5301/2015</w:t>
      </w:r>
    </w:p>
    <w:p w:rsidR="00B9266E" w:rsidRPr="00035D2D" w:rsidRDefault="00B9266E" w:rsidP="00136F70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 xml:space="preserve">Разположение – общ.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/>
        </w:rPr>
        <w:t>Олтеница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/>
        </w:rPr>
        <w:t xml:space="preserve">, окръг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/>
        </w:rPr>
        <w:t>Кълъраш</w:t>
      </w:r>
      <w:proofErr w:type="spellEnd"/>
    </w:p>
    <w:p w:rsidR="00B9266E" w:rsidRPr="00035D2D" w:rsidRDefault="00B9266E" w:rsidP="00136F70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/>
        </w:rPr>
        <w:t>Дата на явяване за проверка - 20.08.2018г.</w:t>
      </w:r>
    </w:p>
    <w:p w:rsidR="00B9266E" w:rsidRPr="00035D2D" w:rsidRDefault="00B9266E" w:rsidP="0044269B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  <w:t>Основни характеристики на проекта и на конструкцията</w:t>
      </w:r>
    </w:p>
    <w:p w:rsidR="00B9266E" w:rsidRPr="00035D2D" w:rsidRDefault="00B9266E" w:rsidP="0044269B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u w:val="single"/>
          <w:lang w:val="bg-BG"/>
        </w:rPr>
        <w:t>Категория и клас по важност</w:t>
      </w:r>
      <w:r w:rsidRPr="00035D2D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B9266E" w:rsidRPr="00035D2D" w:rsidRDefault="00B9266E" w:rsidP="00166BED">
      <w:pPr>
        <w:pStyle w:val="Listparagraf"/>
        <w:spacing w:after="0"/>
        <w:ind w:left="1080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Съгласно Правителствено решение № 766/1997 „ </w:t>
      </w:r>
      <w:r w:rsidRPr="00035D2D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Решение за приемане на правила, относно качеството в строителството“, Анекс 3, анализираната </w:t>
      </w:r>
      <w:r w:rsidR="00623422" w:rsidRPr="00035D2D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обект</w:t>
      </w:r>
      <w:r w:rsidRPr="00035D2D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влиза в рамките на категорията по важност „С“ нормална. </w:t>
      </w:r>
    </w:p>
    <w:p w:rsidR="00B9266E" w:rsidRPr="00035D2D" w:rsidRDefault="00B9266E" w:rsidP="00166BED">
      <w:pPr>
        <w:pStyle w:val="Listparagraf"/>
        <w:spacing w:after="0"/>
        <w:ind w:left="1080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Pr="00035D2D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Класът по важност на конструкцията е клас “III”, съгласно таблица 5.1 от кодекс P100/1/2006 – Кодекса на систематичното проектиране. </w:t>
      </w:r>
    </w:p>
    <w:p w:rsidR="00B9266E" w:rsidRPr="00035D2D" w:rsidRDefault="00B9266E" w:rsidP="00B62BF6">
      <w:pPr>
        <w:pStyle w:val="Listparagraf"/>
        <w:spacing w:after="0"/>
        <w:ind w:left="1080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bg-BG"/>
        </w:rPr>
      </w:pPr>
      <w:r w:rsidRPr="00035D2D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bg-BG"/>
        </w:rPr>
        <w:t>Типове и специфични особености на конструкциите:</w:t>
      </w:r>
    </w:p>
    <w:p w:rsidR="00623422" w:rsidRPr="00035D2D" w:rsidRDefault="00623422" w:rsidP="00623422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sz w:val="24"/>
          <w:szCs w:val="24"/>
          <w:lang w:val="bg-BG"/>
        </w:rPr>
        <w:t>Тип конструкция: производство и депониране – с функциониране:</w:t>
      </w:r>
    </w:p>
    <w:p w:rsidR="00B9266E" w:rsidRPr="00035D2D" w:rsidRDefault="00B9266E" w:rsidP="00623422">
      <w:pPr>
        <w:pStyle w:val="Listparagraf"/>
        <w:spacing w:after="0"/>
        <w:ind w:left="108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>Основна дейност:  Производство на масла чрез рециклиране на отработени масла;</w:t>
      </w:r>
    </w:p>
    <w:p w:rsidR="00B9266E" w:rsidRPr="00035D2D" w:rsidRDefault="00B9266E" w:rsidP="00C06047">
      <w:pPr>
        <w:pStyle w:val="Listparagraf"/>
        <w:spacing w:after="0"/>
        <w:ind w:left="108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>Вторична дейност: депониране, манипулиране, приемане и доставка на суровини, междинни  продукти и крайни продукти за МПС-та;</w:t>
      </w:r>
    </w:p>
    <w:p w:rsidR="00B9266E" w:rsidRPr="00035D2D" w:rsidRDefault="00B9266E" w:rsidP="00C06047">
      <w:pPr>
        <w:pStyle w:val="Listparagraf"/>
        <w:spacing w:after="0"/>
        <w:ind w:left="108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 xml:space="preserve">Свързани дейности: административна сграда, командна зала, подсигуряване на комунални услуги. </w:t>
      </w:r>
    </w:p>
    <w:p w:rsidR="00B9266E" w:rsidRPr="00035D2D" w:rsidRDefault="00B9266E" w:rsidP="00C06047">
      <w:pPr>
        <w:pStyle w:val="Listparagraf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sz w:val="24"/>
          <w:szCs w:val="24"/>
          <w:lang w:val="bg-BG"/>
        </w:rPr>
        <w:t>СГРАДИ</w:t>
      </w:r>
      <w:r w:rsidR="00623422" w:rsidRPr="00035D2D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:rsidR="00B9266E" w:rsidRPr="00035D2D" w:rsidRDefault="00B9266E" w:rsidP="00C845DC">
      <w:pPr>
        <w:pStyle w:val="Listparagraf"/>
        <w:spacing w:after="0"/>
        <w:ind w:left="1080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"/>
        <w:gridCol w:w="2472"/>
        <w:gridCol w:w="1748"/>
        <w:gridCol w:w="1576"/>
        <w:gridCol w:w="1892"/>
        <w:gridCol w:w="1581"/>
      </w:tblGrid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Брой нива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Височина, м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Размери, м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Застроена площ, м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2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Разработена площ, м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2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Обем, м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3</w:t>
            </w:r>
          </w:p>
        </w:tc>
      </w:tr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Административни сгради 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Партер Н=5,50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29,70 х 18,45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Ас=547,97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V=2900</w:t>
            </w:r>
          </w:p>
        </w:tc>
      </w:tr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Смесени сгради, лаборатории, контролна зала, 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съблекални, санитарни възли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Партер Н=5,50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30,70 х 9,60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 = 300,00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V=1650</w:t>
            </w:r>
          </w:p>
        </w:tc>
      </w:tr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Електрическа подстанция заедно с 2 затворена бокса по 3 дължини РТ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Партер (място за кабели) + 1 Е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Н=9,30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Нр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=5,50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Партер 30,70х22,80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Етаж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30,70х11,80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Отвън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2х(6,00х6,30)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Ас=762,40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етаж = 358,40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Аd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=1101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V= 5200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(стойност за цялата сграда: Подстанция+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Командната зала) </w:t>
            </w:r>
          </w:p>
        </w:tc>
      </w:tr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Място за пожарна помпа 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Партер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= 5,00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20,70х11,1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Ас=191,10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Аd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= 229,77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V=955</w:t>
            </w:r>
          </w:p>
        </w:tc>
      </w:tr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Ателие поддръжка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Партер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корнизи=9,30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=10,30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30,20х15,20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Ас=459,04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V=3400 </w:t>
            </w:r>
          </w:p>
        </w:tc>
      </w:tr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Кабина пазач и сигурност +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Партер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= 4,50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5,00х5,00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Ас=25,00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V=52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Фабрика водород  </w:t>
            </w:r>
          </w:p>
          <w:p w:rsidR="00D32E5D" w:rsidRPr="00035D2D" w:rsidRDefault="00D32E5D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Зала с компресор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Партер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корнизи=9,5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=10,8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15,30х25,72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6,90х9,25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Ас=394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Ас=63,83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Общо Ас =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V=3100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9266E" w:rsidRPr="00035D2D" w:rsidTr="0048262E">
        <w:tc>
          <w:tcPr>
            <w:tcW w:w="44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24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Сгради комунални услуги</w:t>
            </w:r>
          </w:p>
        </w:tc>
        <w:tc>
          <w:tcPr>
            <w:tcW w:w="1748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Партер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Н=13,52 и 15,50 корниз</w:t>
            </w:r>
          </w:p>
        </w:tc>
        <w:tc>
          <w:tcPr>
            <w:tcW w:w="1576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44,65х14,70</w:t>
            </w:r>
          </w:p>
        </w:tc>
        <w:tc>
          <w:tcPr>
            <w:tcW w:w="189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Ас=656,35</w:t>
            </w:r>
          </w:p>
        </w:tc>
        <w:tc>
          <w:tcPr>
            <w:tcW w:w="1581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V=8932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B9266E" w:rsidRPr="00035D2D" w:rsidRDefault="00B9266E" w:rsidP="00C845DC">
      <w:pPr>
        <w:pStyle w:val="Listparagraf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sz w:val="24"/>
          <w:szCs w:val="24"/>
          <w:lang w:val="bg-BG"/>
        </w:rPr>
        <w:t>ДЕПО ЗА ТЕЧНИ ВЕЩЕСТВА, НА ОТКРИТО</w:t>
      </w:r>
    </w:p>
    <w:tbl>
      <w:tblPr>
        <w:tblW w:w="0" w:type="auto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"/>
        <w:gridCol w:w="2972"/>
        <w:gridCol w:w="1957"/>
        <w:gridCol w:w="22"/>
        <w:gridCol w:w="1268"/>
        <w:gridCol w:w="33"/>
        <w:gridCol w:w="1440"/>
        <w:gridCol w:w="10"/>
        <w:gridCol w:w="1604"/>
      </w:tblGrid>
      <w:tr w:rsidR="00035D2D" w:rsidRPr="00035D2D" w:rsidTr="0048262E">
        <w:tc>
          <w:tcPr>
            <w:tcW w:w="450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972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1979" w:type="dxa"/>
            <w:gridSpan w:val="2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Брой резервоари</w:t>
            </w:r>
          </w:p>
        </w:tc>
        <w:tc>
          <w:tcPr>
            <w:tcW w:w="1260" w:type="dxa"/>
            <w:gridSpan w:val="2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Диаметър м</w:t>
            </w:r>
          </w:p>
        </w:tc>
        <w:tc>
          <w:tcPr>
            <w:tcW w:w="1440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Височина м</w:t>
            </w:r>
          </w:p>
        </w:tc>
        <w:tc>
          <w:tcPr>
            <w:tcW w:w="1614" w:type="dxa"/>
            <w:gridSpan w:val="2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Обем Резервоар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bg-BG"/>
              </w:rPr>
              <w:t>3</w:t>
            </w:r>
          </w:p>
        </w:tc>
      </w:tr>
      <w:tr w:rsidR="00035D2D" w:rsidRPr="00035D2D" w:rsidTr="0048262E">
        <w:trPr>
          <w:trHeight w:val="139"/>
        </w:trPr>
        <w:tc>
          <w:tcPr>
            <w:tcW w:w="450" w:type="dxa"/>
            <w:vMerge w:val="restart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2972" w:type="dxa"/>
            <w:vMerge w:val="restart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Депо за отработени масла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Категория депо D4 с капацитет между 2501-12500 м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Течност клас IV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3 резервоара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Във една вана, разделена с </w:t>
            </w:r>
            <w:r w:rsidR="00D32E5D"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бетонови диги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една вана за всеки резервоар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93" w:type="dxa"/>
            <w:gridSpan w:val="7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Депо с 3 цилиндрични вертикални резервоара термично изолирани, с фиксиран  капак, капацитет 3 х 2020 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 5454 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или 4908 тона</w:t>
            </w:r>
          </w:p>
        </w:tc>
      </w:tr>
      <w:tr w:rsidR="00035D2D" w:rsidRPr="00035D2D" w:rsidTr="0048262E">
        <w:trPr>
          <w:trHeight w:val="138"/>
        </w:trPr>
        <w:tc>
          <w:tcPr>
            <w:tcW w:w="450" w:type="dxa"/>
            <w:vMerge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72" w:type="dxa"/>
            <w:vMerge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57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цилиндрични вертикални резервоара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101 1А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100 1В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100 1С </w:t>
            </w:r>
          </w:p>
        </w:tc>
        <w:tc>
          <w:tcPr>
            <w:tcW w:w="1255" w:type="dxa"/>
            <w:gridSpan w:val="2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 =13,00</w:t>
            </w:r>
          </w:p>
        </w:tc>
        <w:tc>
          <w:tcPr>
            <w:tcW w:w="1477" w:type="dxa"/>
            <w:gridSpan w:val="3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= 15,20</w:t>
            </w:r>
          </w:p>
        </w:tc>
        <w:tc>
          <w:tcPr>
            <w:tcW w:w="1604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=2020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пол. -1818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</w:tc>
      </w:tr>
      <w:tr w:rsidR="00035D2D" w:rsidRPr="00035D2D" w:rsidTr="0048262E">
        <w:trPr>
          <w:trHeight w:val="139"/>
        </w:trPr>
        <w:tc>
          <w:tcPr>
            <w:tcW w:w="450" w:type="dxa"/>
            <w:vMerge w:val="restart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2972" w:type="dxa"/>
            <w:vMerge w:val="restart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Депо за краен продукт масла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Капацитет 4х999 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Капацитет 2501-12500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Течност клас IV(трудно дестилиран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4 резервоара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Във една вана, разделена с 3 бетонови диги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една вана за всеки резервоар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93" w:type="dxa"/>
            <w:gridSpan w:val="7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4 цилиндрични вертикални резервоара термично изолирани, с фиксиран  капак</w:t>
            </w:r>
            <w:r w:rsidR="00D32E5D"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х 999 м</w:t>
            </w:r>
            <w:r w:rsidR="00D32E5D"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, капацитет 3996 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 използван  3599 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или 3239 тона</w:t>
            </w:r>
          </w:p>
        </w:tc>
      </w:tr>
      <w:tr w:rsidR="00035D2D" w:rsidRPr="00035D2D" w:rsidTr="0048262E">
        <w:trPr>
          <w:trHeight w:val="138"/>
        </w:trPr>
        <w:tc>
          <w:tcPr>
            <w:tcW w:w="450" w:type="dxa"/>
            <w:vMerge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72" w:type="dxa"/>
            <w:vMerge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57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 цилиндрични вертикални резервоара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Т 100 2А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100 2В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100 3А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100 3В </w:t>
            </w:r>
          </w:p>
        </w:tc>
        <w:tc>
          <w:tcPr>
            <w:tcW w:w="1255" w:type="dxa"/>
            <w:gridSpan w:val="2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D =10,00</w:t>
            </w:r>
          </w:p>
        </w:tc>
        <w:tc>
          <w:tcPr>
            <w:tcW w:w="1477" w:type="dxa"/>
            <w:gridSpan w:val="3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= 12,70</w:t>
            </w:r>
          </w:p>
        </w:tc>
        <w:tc>
          <w:tcPr>
            <w:tcW w:w="1604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=999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пол. -899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</w:tc>
      </w:tr>
      <w:tr w:rsidR="00035D2D" w:rsidRPr="00035D2D" w:rsidTr="0048262E">
        <w:trPr>
          <w:trHeight w:val="139"/>
        </w:trPr>
        <w:tc>
          <w:tcPr>
            <w:tcW w:w="450" w:type="dxa"/>
            <w:vMerge w:val="restart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2972" w:type="dxa"/>
            <w:vMerge w:val="restart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Депо други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4 вертикални цилиндрични резервоара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други продукти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Клас LIII- LIV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D5-501-2500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тежки и леки масла нафта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собствена вана от стоманобетон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93" w:type="dxa"/>
            <w:gridSpan w:val="7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4 цилиндрични вертикални резервоара термично изолирани, с фиксиран  капак, </w:t>
            </w:r>
          </w:p>
        </w:tc>
      </w:tr>
      <w:tr w:rsidR="00035D2D" w:rsidRPr="00035D2D" w:rsidTr="0048262E">
        <w:trPr>
          <w:trHeight w:val="138"/>
        </w:trPr>
        <w:tc>
          <w:tcPr>
            <w:tcW w:w="450" w:type="dxa"/>
            <w:vMerge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72" w:type="dxa"/>
            <w:vMerge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57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101 4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100 5А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100 5В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100 6  </w:t>
            </w:r>
          </w:p>
        </w:tc>
        <w:tc>
          <w:tcPr>
            <w:tcW w:w="1255" w:type="dxa"/>
            <w:gridSpan w:val="2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 =8,00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 =6,5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 =6,5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 =8,00</w:t>
            </w:r>
          </w:p>
        </w:tc>
        <w:tc>
          <w:tcPr>
            <w:tcW w:w="1477" w:type="dxa"/>
            <w:gridSpan w:val="3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= 10,20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Н= 8,00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Н= 8,00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= 10,20</w:t>
            </w:r>
          </w:p>
        </w:tc>
        <w:tc>
          <w:tcPr>
            <w:tcW w:w="1604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= 513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= 266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= 266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= 513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35D2D" w:rsidRPr="00035D2D" w:rsidTr="0048262E">
        <w:trPr>
          <w:trHeight w:val="139"/>
        </w:trPr>
        <w:tc>
          <w:tcPr>
            <w:tcW w:w="450" w:type="dxa"/>
            <w:vMerge w:val="restart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72" w:type="dxa"/>
            <w:vMerge w:val="restart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Депо. Масла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 вертикални цилиндрични резервоара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Клас II-IV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D4 с 2501-12.000 м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Течност клас IV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3 резервоара 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Собствена вана с  разделителна дига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93" w:type="dxa"/>
            <w:gridSpan w:val="7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 цилиндрични вертикални резервоара х 2000 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 xml:space="preserve">3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термично изолирани, с фиксиран  капак, капацитет 1800 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1620 тона</w:t>
            </w:r>
          </w:p>
        </w:tc>
      </w:tr>
      <w:tr w:rsidR="00035D2D" w:rsidRPr="00035D2D" w:rsidTr="0048262E">
        <w:trPr>
          <w:trHeight w:val="138"/>
        </w:trPr>
        <w:tc>
          <w:tcPr>
            <w:tcW w:w="450" w:type="dxa"/>
            <w:vMerge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72" w:type="dxa"/>
            <w:vMerge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57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R 100 </w:t>
            </w:r>
            <w:smartTag w:uri="urn:schemas-microsoft-com:office:smarttags" w:element="metricconverter">
              <w:smartTagPr>
                <w:attr w:name="ProductID" w:val="3C"/>
              </w:smartTagPr>
              <w:r w:rsidRPr="00035D2D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3C</w:t>
              </w:r>
            </w:smartTag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R 100 </w:t>
            </w:r>
            <w:smartTag w:uri="urn:schemas-microsoft-com:office:smarttags" w:element="metricconverter">
              <w:smartTagPr>
                <w:attr w:name="ProductID" w:val="2C"/>
              </w:smartTagPr>
              <w:r w:rsidRPr="00035D2D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2C</w:t>
              </w:r>
            </w:smartTag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1255" w:type="dxa"/>
            <w:gridSpan w:val="2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 =13</w:t>
            </w:r>
          </w:p>
        </w:tc>
        <w:tc>
          <w:tcPr>
            <w:tcW w:w="1477" w:type="dxa"/>
            <w:gridSpan w:val="3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 = 15,20</w:t>
            </w:r>
          </w:p>
        </w:tc>
        <w:tc>
          <w:tcPr>
            <w:tcW w:w="1604" w:type="dxa"/>
          </w:tcPr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=2020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  <w:p w:rsidR="00B9266E" w:rsidRPr="00035D2D" w:rsidRDefault="00B9266E" w:rsidP="0048262E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V пол. -1818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t>3</w:t>
            </w:r>
          </w:p>
        </w:tc>
      </w:tr>
    </w:tbl>
    <w:p w:rsidR="00B9266E" w:rsidRPr="00035D2D" w:rsidRDefault="00B9266E" w:rsidP="00C845DC">
      <w:pPr>
        <w:pStyle w:val="Listparagraf"/>
        <w:spacing w:after="0"/>
        <w:ind w:left="1080"/>
        <w:rPr>
          <w:rFonts w:ascii="Times New Roman" w:hAnsi="Times New Roman" w:cs="Times New Roman"/>
          <w:sz w:val="24"/>
          <w:szCs w:val="24"/>
          <w:lang w:val="bg-BG"/>
        </w:rPr>
      </w:pPr>
    </w:p>
    <w:p w:rsidR="00B9266E" w:rsidRPr="00035D2D" w:rsidRDefault="00B9266E" w:rsidP="0016128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ВАНИ ЗА ЗАДЪРЖАНЕ ОТ СТОМАНОБЕТОН </w:t>
      </w:r>
    </w:p>
    <w:p w:rsidR="00B9266E" w:rsidRPr="00035D2D" w:rsidRDefault="00B9266E" w:rsidP="0016128E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Pr="00035D2D">
        <w:rPr>
          <w:rFonts w:ascii="Times New Roman" w:hAnsi="Times New Roman" w:cs="Times New Roman"/>
          <w:sz w:val="24"/>
          <w:szCs w:val="24"/>
          <w:lang w:val="bg-BG"/>
        </w:rPr>
        <w:t>Имайки е предвид, че депонираните продукти в резервоарите са течни влизат в рамките на Р118 клас LIII-LIV, с температура на възпламеняване над 55</w:t>
      </w:r>
      <w:r w:rsidRPr="00035D2D">
        <w:rPr>
          <w:rFonts w:ascii="Times New Roman" w:hAnsi="Times New Roman" w:cs="Times New Roman"/>
          <w:sz w:val="24"/>
          <w:szCs w:val="24"/>
          <w:rtl/>
          <w:lang w:val="bg-BG" w:bidi="he-IL"/>
        </w:rPr>
        <w:t>֯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С (отработените масла са брутни, тежки или леки, температурата за възпламеняване е 200</w:t>
      </w:r>
      <w:r w:rsidRPr="00035D2D">
        <w:rPr>
          <w:rFonts w:ascii="Times New Roman" w:hAnsi="Times New Roman" w:cs="Times New Roman"/>
          <w:sz w:val="24"/>
          <w:szCs w:val="24"/>
          <w:rtl/>
          <w:lang w:val="bg-BG" w:bidi="he-IL"/>
        </w:rPr>
        <w:t>֯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С), положени са усилия за изработването на вани за задържане от стоманобетон  с размери 107,50х19,20 м в които са разположени:</w:t>
      </w:r>
    </w:p>
    <w:p w:rsidR="00B9266E" w:rsidRPr="00035D2D" w:rsidRDefault="00B9266E" w:rsidP="00E11E34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5 резервоара х 2020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,</w:t>
      </w:r>
    </w:p>
    <w:p w:rsidR="00B9266E" w:rsidRPr="00035D2D" w:rsidRDefault="00B9266E" w:rsidP="00E11E34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4 резервоара х 999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, 1</w:t>
      </w:r>
    </w:p>
    <w:p w:rsidR="00B9266E" w:rsidRPr="00035D2D" w:rsidRDefault="00B9266E" w:rsidP="00E11E34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Резервоар х 515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,</w:t>
      </w:r>
    </w:p>
    <w:p w:rsidR="00B9266E" w:rsidRPr="00035D2D" w:rsidRDefault="00B9266E" w:rsidP="00E11E34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3 резервоара х 226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,</w:t>
      </w:r>
    </w:p>
    <w:p w:rsidR="00B9266E" w:rsidRPr="00035D2D" w:rsidRDefault="00B9266E" w:rsidP="00373BCC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Общият капаците на депониране V</w:t>
      </w:r>
      <w:r w:rsidR="00D32E5D" w:rsidRPr="00035D2D">
        <w:rPr>
          <w:rFonts w:ascii="Times New Roman" w:hAnsi="Times New Roman" w:cs="Times New Roman"/>
          <w:sz w:val="24"/>
          <w:szCs w:val="24"/>
          <w:lang w:val="bg-BG" w:bidi="he-IL"/>
        </w:rPr>
        <w:t>=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15289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и обем за продукти при натоварване 90% на резервоара от 13760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, общо тегло G-12384 тона депото се вписва съгласно таблица 6.2.21 от P118 в категория D3 с капацитет за течности клас III-IV между 12501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– 150,000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b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sz w:val="24"/>
          <w:szCs w:val="24"/>
          <w:lang w:val="bg-BG" w:bidi="he-IL"/>
        </w:rPr>
        <w:t>ТЕХНОЛОГИЧНИ СЪОРЪЖЕНИЯ НА ОТКРИТО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3150"/>
        <w:gridCol w:w="2070"/>
        <w:gridCol w:w="2875"/>
      </w:tblGrid>
      <w:tr w:rsidR="00B9266E" w:rsidRPr="00035D2D" w:rsidTr="0048262E">
        <w:tc>
          <w:tcPr>
            <w:tcW w:w="53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№</w:t>
            </w:r>
          </w:p>
        </w:tc>
        <w:tc>
          <w:tcPr>
            <w:tcW w:w="315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Наименование </w:t>
            </w:r>
          </w:p>
        </w:tc>
        <w:tc>
          <w:tcPr>
            <w:tcW w:w="207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Фази </w:t>
            </w:r>
          </w:p>
        </w:tc>
        <w:tc>
          <w:tcPr>
            <w:tcW w:w="287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Капацитет </w:t>
            </w:r>
          </w:p>
        </w:tc>
      </w:tr>
      <w:tr w:rsidR="00B9266E" w:rsidRPr="00035D2D" w:rsidTr="0048262E">
        <w:tc>
          <w:tcPr>
            <w:tcW w:w="53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lastRenderedPageBreak/>
              <w:t>1</w:t>
            </w:r>
          </w:p>
        </w:tc>
        <w:tc>
          <w:tcPr>
            <w:tcW w:w="315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Съоръжение за дестилиране</w:t>
            </w:r>
          </w:p>
        </w:tc>
        <w:tc>
          <w:tcPr>
            <w:tcW w:w="207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Дехидратация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Разделяне на леки масла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Възстановяване дестилат средно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Възстановяване на тежък дестилат</w:t>
            </w:r>
          </w:p>
        </w:tc>
        <w:tc>
          <w:tcPr>
            <w:tcW w:w="287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Вход: 200</w:t>
            </w:r>
            <w:r w:rsidR="002E6183"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тона на ден отработени масла с автоцистерни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Изход: приблизително 184,5 тона на ден дехидратирани масла за захранване секцията Разделяне на леки масла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Изход: приблизително 10,5 тона на ден леко масло за депониране за дестилация/ захранване инсталация за въглерод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Вход: приблизително 174 тона на ден средно дестилат от разделителя на леки масла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Изход: приблизително 74,2 тона на ден средно дестилат към резервоар средно на ден дестилат за захранване на Инсталация за въглерод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Вход: приблизително 99,8 тона на ден тежък дестилат от основата на разделителя  на среден дестилат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Изход: приблизително 23,7 тона на ден тежко смазочно масло (HLO)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Към резервоари HLO и /или разпределяне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Изход: приблизително 76 тона на ден тежък дестилат за захранване на Инсталация за въглерод</w:t>
            </w:r>
          </w:p>
        </w:tc>
      </w:tr>
      <w:tr w:rsidR="00B9266E" w:rsidRPr="00035D2D" w:rsidTr="0048262E">
        <w:tc>
          <w:tcPr>
            <w:tcW w:w="53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2</w:t>
            </w:r>
          </w:p>
        </w:tc>
        <w:tc>
          <w:tcPr>
            <w:tcW w:w="315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Инсталация за въглерод</w:t>
            </w:r>
          </w:p>
        </w:tc>
        <w:tc>
          <w:tcPr>
            <w:tcW w:w="207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Обра</w:t>
            </w:r>
            <w:r w:rsidR="002E6183"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бо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тка на отработените масла с въглерод в реактори с фиксиран слой от катализатори (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Nimo-Como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I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DeMet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)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Фракциониране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lastRenderedPageBreak/>
              <w:t xml:space="preserve">Инсталации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амини</w:t>
            </w:r>
            <w:proofErr w:type="spellEnd"/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Факла газ</w:t>
            </w:r>
          </w:p>
        </w:tc>
        <w:tc>
          <w:tcPr>
            <w:tcW w:w="287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lastRenderedPageBreak/>
              <w:t>Вход 183 тона на ден дестилати, масло от секцията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Възстановяване на дестилат средно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Изход: 165 тона на ден масла от основата на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хидротрат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SN-150&amp;SN-500 за дистрибуция</w:t>
            </w:r>
          </w:p>
          <w:p w:rsidR="002E6183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lastRenderedPageBreak/>
              <w:t xml:space="preserve">-7,8 тона на ден остатъчен газ с Н2 &amp; </w:t>
            </w:r>
          </w:p>
          <w:p w:rsidR="00B9266E" w:rsidRPr="00035D2D" w:rsidRDefault="002E6183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9</w:t>
            </w:r>
            <w:r w:rsidR="00B9266E"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,78 тона на ден природен газ, използван като гориво за горелката на пещта за загряване на термична течност на високи температури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- 8,84 тона на ден природен газ, използван като гориво  за горелката на пещта за загряване на термична течност на ниски температури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- 6,04 тона на ден природен газ използван като гориво  за горелките на парните казаните и за горелките за пилотна газовата факла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</w:tc>
      </w:tr>
      <w:tr w:rsidR="00B9266E" w:rsidRPr="00035D2D" w:rsidTr="0048262E">
        <w:tc>
          <w:tcPr>
            <w:tcW w:w="53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lastRenderedPageBreak/>
              <w:t>3</w:t>
            </w:r>
          </w:p>
        </w:tc>
        <w:tc>
          <w:tcPr>
            <w:tcW w:w="315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Фабрика за въглерод</w:t>
            </w:r>
          </w:p>
        </w:tc>
        <w:tc>
          <w:tcPr>
            <w:tcW w:w="207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Електролиза на водата в присъствието на  калиев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хидроксид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(КОН)</w:t>
            </w:r>
          </w:p>
        </w:tc>
        <w:tc>
          <w:tcPr>
            <w:tcW w:w="287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Вход: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-3 тона на година излиза (разтвор 25% КОН) – оценка 1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-60 тона на ден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деминарализирана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вода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Изход: 1,08 тона на ден Н2- капацитет на проектиране на Фабриката за Н2 (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макс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. Консумация Н2=0,96 тона на ден)</w:t>
            </w:r>
          </w:p>
        </w:tc>
      </w:tr>
      <w:tr w:rsidR="00B9266E" w:rsidRPr="00035D2D" w:rsidTr="0048262E">
        <w:tc>
          <w:tcPr>
            <w:tcW w:w="53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4</w:t>
            </w:r>
          </w:p>
        </w:tc>
        <w:tc>
          <w:tcPr>
            <w:tcW w:w="315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Инсталация за отстраняване на SO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bg-BG" w:bidi="he-IL"/>
              </w:rPr>
              <w:t>2</w:t>
            </w:r>
          </w:p>
        </w:tc>
        <w:tc>
          <w:tcPr>
            <w:tcW w:w="207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Секция абсорбция за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сероочистване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на  остатъчни газове. Прието е решение за обработка със сода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каустик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горене H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bg-BG" w:bidi="he-IL"/>
              </w:rPr>
              <w:t>2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S  </w:t>
            </w:r>
          </w:p>
        </w:tc>
        <w:tc>
          <w:tcPr>
            <w:tcW w:w="287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Вход: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- приблизително 185 тона на ден остатъчни газове от пещта за загряване на термични течности с висока температура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-9 тона на ден сода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каустик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( разтвор 32%) за допълване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-96 тона на ден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деминерализирана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вода за допълване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Изход: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lastRenderedPageBreak/>
              <w:t xml:space="preserve">-приблизително 65  тона на ден дренаж от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сероочистени</w:t>
            </w:r>
            <w:proofErr w:type="spellEnd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остатъчни газове</w:t>
            </w:r>
          </w:p>
        </w:tc>
      </w:tr>
    </w:tbl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sz w:val="24"/>
          <w:szCs w:val="24"/>
          <w:lang w:val="bg-BG" w:bidi="he-IL"/>
        </w:rPr>
      </w:pP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b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sz w:val="24"/>
          <w:szCs w:val="24"/>
          <w:lang w:val="bg-BG" w:bidi="he-IL"/>
        </w:rPr>
        <w:t>КОНСТРУКЦИИ ЗА</w:t>
      </w:r>
      <w:r w:rsidRPr="00035D2D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КОМУНАЛНИ УСЛУГИ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 xml:space="preserve">Пречиствателна станция 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– обхваща сепаратор на въглеводороди, които ще третират дъждовната вода събрана от алеите  на завода;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Водна система за гасене на пожари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, обхваща мястото на помпите, станция за пяна и резервоар за вода 2 резервоара х 250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;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 xml:space="preserve">Трансформатор 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– обхваща 2 точ</w:t>
      </w:r>
      <w:r w:rsidR="00F40E36" w:rsidRPr="00035D2D">
        <w:rPr>
          <w:rFonts w:ascii="Times New Roman" w:hAnsi="Times New Roman" w:cs="Times New Roman"/>
          <w:sz w:val="24"/>
          <w:szCs w:val="24"/>
          <w:lang w:val="bg-BG" w:bidi="he-IL"/>
        </w:rPr>
        <w:t>к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и на преобразуване ( средно напрежение/ ниско напрежение) и електрическо свързване на обектива, прикрепен към електрическата подстанция и разделяне с противопожарна стена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 xml:space="preserve">Охладителна кула – 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обхваща охладителна инсталация на технологичната вода, която върви в инсталацията</w:t>
      </w: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;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 xml:space="preserve">Водна система- 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обхваща обществената водна мрежа, станция за херметизация и общ технологичен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водоразпределител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;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Платформа товарене/разтоварване –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обхваща зона за достъп на автоцистерните за разтоварване на суровини (отработени масла) и товарене на финални продукти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Кантар за МПС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Достъп, портал, вътрешни алеи за движение</w:t>
      </w:r>
    </w:p>
    <w:p w:rsidR="00B9266E" w:rsidRPr="00035D2D" w:rsidRDefault="00B9266E" w:rsidP="00B22EB7">
      <w:pPr>
        <w:spacing w:after="0"/>
        <w:ind w:left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Място за паркиране на автомобила </w:t>
      </w:r>
    </w:p>
    <w:p w:rsidR="00B9266E" w:rsidRPr="00035D2D" w:rsidRDefault="00B9266E" w:rsidP="00A82B08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8 пожарни отделения: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5"/>
        <w:gridCol w:w="5518"/>
        <w:gridCol w:w="3117"/>
      </w:tblGrid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№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Наименование 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Застроена площ м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 w:bidi="he-IL"/>
              </w:rPr>
              <w:t>21</w:t>
            </w:r>
          </w:p>
        </w:tc>
      </w:tr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 xml:space="preserve">Отделение 1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Административна сграда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Ас = 547,96</w:t>
            </w:r>
          </w:p>
        </w:tc>
      </w:tr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2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>Отделение 2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Смесена сграда, лаборатория, контролна зала, съблекални, санитарен възел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Ас = 300,00</w:t>
            </w:r>
          </w:p>
        </w:tc>
      </w:tr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3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>Отделение 3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Електрическа подстанция заедно а 2 затворени бокса на 3 страни с РТ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Ас = 762,40</w:t>
            </w:r>
          </w:p>
        </w:tc>
      </w:tr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4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</w:t>
            </w: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>Отделение 4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 Място за противопожарни помпи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Ас = 220,18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</w:tc>
      </w:tr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5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>Отделение 5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Отделение поддръжка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Ас = 459,04</w:t>
            </w:r>
          </w:p>
        </w:tc>
      </w:tr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6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>Отделение 6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Кабината на пазача и сигурност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Ас = 25,00</w:t>
            </w:r>
          </w:p>
        </w:tc>
      </w:tr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7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 xml:space="preserve">Отделение 7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Фабрика за въглерод и стая за компресор за въглерода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Ас = 457,83</w:t>
            </w:r>
          </w:p>
        </w:tc>
      </w:tr>
      <w:tr w:rsidR="00B9266E" w:rsidRPr="00035D2D" w:rsidTr="0048262E">
        <w:tc>
          <w:tcPr>
            <w:tcW w:w="71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8</w:t>
            </w:r>
          </w:p>
        </w:tc>
        <w:tc>
          <w:tcPr>
            <w:tcW w:w="551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 xml:space="preserve">Отделение 8 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Сграда 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комунални услуги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Ас= 656,35</w:t>
            </w:r>
          </w:p>
        </w:tc>
      </w:tr>
    </w:tbl>
    <w:p w:rsidR="00B9266E" w:rsidRPr="00035D2D" w:rsidRDefault="00B9266E" w:rsidP="00B44368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</w:p>
    <w:p w:rsidR="00B9266E" w:rsidRPr="00035D2D" w:rsidRDefault="00B9266E" w:rsidP="00B44368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lastRenderedPageBreak/>
        <w:tab/>
        <w:t xml:space="preserve">Депо за отработени масла, рафинирани масла, охладителни и пречиствателни инсталации, рампа за автомобили и резервоари за вода за гасене на пожари и/или съоръжения на открито </w:t>
      </w:r>
    </w:p>
    <w:p w:rsidR="00B9266E" w:rsidRPr="00035D2D" w:rsidRDefault="00B9266E" w:rsidP="00B44368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ab/>
        <w:t>Ниво на риска (категория) за пожари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4282"/>
        <w:gridCol w:w="2312"/>
        <w:gridCol w:w="2300"/>
      </w:tblGrid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№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>Конструкция/ съоръжение/инсталация/ депо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>Категория опасност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he-IL"/>
              </w:rPr>
              <w:t>Риск от пожар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Административна сграда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2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Смесена сграда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Лаборатория- среден риск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Контролна зала – малък риск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Съблекалня – малък риск</w:t>
            </w:r>
          </w:p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Санитарен възел – малък риск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3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Електрическа подстанция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Е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4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Място за противопожарни помпи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Е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5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Ателие поддръжка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Е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6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Кабина достъп, Охрана и Сигурност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7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Зала компресор за въглерода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А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Много 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8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Система за дестилиране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С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9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Инсталация за </w:t>
            </w:r>
            <w:proofErr w:type="spellStart"/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Хидротретиране</w:t>
            </w:r>
            <w:proofErr w:type="spellEnd"/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С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10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Фабрика въглерод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А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Много 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11 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Инсталация за отстраняване на SO</w:t>
            </w:r>
            <w:r w:rsidRPr="00035D2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bg-BG" w:bidi="he-IL"/>
              </w:rPr>
              <w:t>2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А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Много 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12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Депо за суровини – отработени масла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С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13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Депо за базови масла - рафинирани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С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14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Депо за фракции от масла  на фазите и дизеловото гориво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С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15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Рампа за МПС-та за товарене/разтоварване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С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16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Пречиствателна станция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Е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17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Охладителна кула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Е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18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Трансформатори с масло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С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Голям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19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Резервоар с вода за гасене на пожари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Е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20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Система с технологична вода и битова вода 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Е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  <w:tr w:rsidR="00B9266E" w:rsidRPr="00035D2D" w:rsidTr="0048262E">
        <w:tc>
          <w:tcPr>
            <w:tcW w:w="456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21</w:t>
            </w:r>
          </w:p>
        </w:tc>
        <w:tc>
          <w:tcPr>
            <w:tcW w:w="428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Кантар МПС</w:t>
            </w:r>
          </w:p>
        </w:tc>
        <w:tc>
          <w:tcPr>
            <w:tcW w:w="2312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Категория Е</w:t>
            </w:r>
          </w:p>
        </w:tc>
        <w:tc>
          <w:tcPr>
            <w:tcW w:w="2300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Малък Риск</w:t>
            </w:r>
          </w:p>
        </w:tc>
      </w:tr>
    </w:tbl>
    <w:p w:rsidR="00B9266E" w:rsidRPr="00035D2D" w:rsidRDefault="00B9266E" w:rsidP="00B44368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</w:p>
    <w:p w:rsidR="00B9266E" w:rsidRPr="00035D2D" w:rsidRDefault="00B9266E" w:rsidP="00B44368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u w:val="single"/>
          <w:lang w:val="bg-BG" w:bidi="he-IL"/>
        </w:rPr>
        <w:t>Нивото на устойчивост на пожари  на конструкцията/ отделението за пожари:</w:t>
      </w:r>
    </w:p>
    <w:p w:rsidR="00B9266E" w:rsidRPr="00035D2D" w:rsidRDefault="00B9266E" w:rsidP="00B44368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bidi="he-IL"/>
        </w:rPr>
        <w:t>В съответствие с минималните условия посочени в чл. 2.1.9. от нормативният акт Р118/1999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:</w:t>
      </w:r>
    </w:p>
    <w:p w:rsidR="00B9266E" w:rsidRPr="00035D2D" w:rsidRDefault="00B9266E" w:rsidP="00B44368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5"/>
        <w:gridCol w:w="5428"/>
        <w:gridCol w:w="3117"/>
      </w:tblGrid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№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Конструкция 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Ниво на устойчивост на пожари на сградите/ устойчивост на огън</w:t>
            </w:r>
          </w:p>
        </w:tc>
      </w:tr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1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Административна сграда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Ниво II RF</w:t>
            </w:r>
          </w:p>
        </w:tc>
      </w:tr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2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 xml:space="preserve">Смесена сграда, Лаборатория- контролна зала, съблекални и санитарни възли 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Ниво II RF</w:t>
            </w:r>
          </w:p>
        </w:tc>
      </w:tr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lastRenderedPageBreak/>
              <w:t>3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Електрическа подстанция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Ниво II RF</w:t>
            </w:r>
          </w:p>
        </w:tc>
      </w:tr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4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Място за противопожарна помпа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Ниво II RF</w:t>
            </w:r>
          </w:p>
        </w:tc>
      </w:tr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5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Ателие за поддръжка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Ниво II RF</w:t>
            </w:r>
          </w:p>
        </w:tc>
      </w:tr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6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Кабина, достъп, Охрана и Сигурност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Ниво II RF</w:t>
            </w:r>
          </w:p>
        </w:tc>
      </w:tr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7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Фабрика въглерод, Стая с компресор за въглерода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Ниво II RF</w:t>
            </w:r>
          </w:p>
        </w:tc>
      </w:tr>
      <w:tr w:rsidR="00B9266E" w:rsidRPr="00035D2D" w:rsidTr="0048262E">
        <w:tc>
          <w:tcPr>
            <w:tcW w:w="805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8</w:t>
            </w:r>
          </w:p>
        </w:tc>
        <w:tc>
          <w:tcPr>
            <w:tcW w:w="5428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  <w:r w:rsidRPr="00035D2D"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  <w:t>Зона комунални услуги</w:t>
            </w:r>
          </w:p>
        </w:tc>
        <w:tc>
          <w:tcPr>
            <w:tcW w:w="3117" w:type="dxa"/>
          </w:tcPr>
          <w:p w:rsidR="00B9266E" w:rsidRPr="00035D2D" w:rsidRDefault="00B9266E" w:rsidP="0048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bidi="he-IL"/>
              </w:rPr>
            </w:pPr>
          </w:p>
        </w:tc>
      </w:tr>
    </w:tbl>
    <w:p w:rsidR="00B9266E" w:rsidRPr="00035D2D" w:rsidRDefault="00B9266E" w:rsidP="00B44368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</w:t>
      </w:r>
    </w:p>
    <w:p w:rsidR="00B9266E" w:rsidRPr="00035D2D" w:rsidRDefault="00B9266E" w:rsidP="00B44368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Нивото на оборудването снабдено с технически средства за защита против пожари:</w:t>
      </w:r>
    </w:p>
    <w:p w:rsidR="00B9266E" w:rsidRPr="00035D2D" w:rsidRDefault="00B9266E" w:rsidP="008355E8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Ще  гарантира откриването и сигнализирането на пожар и при поява на газ, чрез Общо оборудване  за контрол и сигнализация при пожари и газ FGDS , монтирано в контролната зала и с препредаване на 2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пожароизвестителни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повторители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FCAP в административната сграда и в кабината за сигурност с визуализация на 2 пана и представяне на контрол-оператор FGWS за FGDS в контролната зала и кабината за сигурност. Предвидени са и детектори за водород, сероводород, за пламък, дим и дим и топлина, ръчно задействане, вътрешна и външна сирена.</w:t>
      </w:r>
    </w:p>
    <w:p w:rsidR="00B9266E" w:rsidRPr="00035D2D" w:rsidRDefault="00B9266E" w:rsidP="008355E8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Система за гасене на пожари ще обхване цялата площ чрез реализиране на водна мрежа с външни надземни хидранти тип пръстен. </w:t>
      </w:r>
    </w:p>
    <w:p w:rsidR="00B9266E" w:rsidRPr="00035D2D" w:rsidRDefault="00B9266E" w:rsidP="008355E8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Нужната вода за мрежата от хидранти  (26 бр.) ще бъде подсигурена от резервоара за вода – метална конструкция с капацитет 250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предвидена със система за автоматична индикация на нивото на топлина, помпена група с електропомпа с дебит 108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/час на 8 бара (главна) и една моторна помпа 108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/час  (резерва), с една пилотна помпа тип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Jokey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от 10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/час за поддръжка на налягането в мрежата. </w:t>
      </w:r>
    </w:p>
    <w:p w:rsidR="00B9266E" w:rsidRPr="00035D2D" w:rsidRDefault="00B9266E" w:rsidP="008355E8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Вода за системата за гасене на пожари с пяна за захранване на вътрешните генератори от резервоарите от 4 парка, кула TFAS 3000 и фиксираните генератори от ваните за задържане ще бъде подсигурено от друг метален резервоар с капацитет 350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 xml:space="preserve">3 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от собствената помпена група. Пенообразуващата концентрирана течност, за приготвянето на пяна се прави със смесител и разпръскването на пяната ще бъде подсигурено от отделна помпена група с 2 електропомпи х 108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/час всяка ( главни помпи) с каскадно пускане, една моторна помпа (резерва) от 216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3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/час пяната се пренася по отделни тръби  по трасето за водата за пожари. </w:t>
      </w:r>
    </w:p>
    <w:p w:rsidR="00B9266E" w:rsidRPr="00035D2D" w:rsidRDefault="00B9266E" w:rsidP="008355E8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Предвидени са и 9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струйници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 с автоматично действие и 10 генератора с пяна за ваните от резервоара </w:t>
      </w:r>
    </w:p>
    <w:p w:rsidR="00B9266E" w:rsidRPr="00035D2D" w:rsidRDefault="00B9266E" w:rsidP="008355E8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Суха колона предвидена за структури с няколко нива на технологични инсталации за преработване на отработени масла захранвана от мрежата с хидрантите. </w:t>
      </w:r>
    </w:p>
    <w:p w:rsidR="00B9266E" w:rsidRPr="00035D2D" w:rsidRDefault="00B9266E" w:rsidP="00475D44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Ще бъде предвидено и една фиксирана инсталация за гасене  с краища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sprinkler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отворени за 2 поста за товарене /разтоварване на оборудване с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електроклапани</w:t>
      </w:r>
      <w:proofErr w:type="spellEnd"/>
    </w:p>
    <w:p w:rsidR="00B9266E" w:rsidRPr="00035D2D" w:rsidRDefault="00B9266E" w:rsidP="008355E8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Oчакваната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пожарогасителна система ще бъде полуавтоматична, ще се монтират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електроклапани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с бързо отваряне за разпръскване на вода или пяна води до гасене чрез PLC, всмукана и разпръсната от помпите, тъй като те са предвидени с вентили монтирани в нормално отворено положение. </w:t>
      </w:r>
    </w:p>
    <w:p w:rsidR="00B9266E" w:rsidRPr="00035D2D" w:rsidRDefault="00B9266E" w:rsidP="008355E8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Възстановяване на резервата от вода се прави в рамките на 24 часа</w:t>
      </w:r>
    </w:p>
    <w:p w:rsidR="00B9266E" w:rsidRPr="00035D2D" w:rsidRDefault="00B9266E" w:rsidP="00ED3C72">
      <w:pPr>
        <w:pStyle w:val="Listparagraf"/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Максимална продължителност на действие на инсталацията за гасене на пожари</w:t>
      </w:r>
    </w:p>
    <w:p w:rsidR="00B9266E" w:rsidRPr="00035D2D" w:rsidRDefault="00B9266E" w:rsidP="00ED3C72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lastRenderedPageBreak/>
        <w:t>За външните хидранти 188 мин.,</w:t>
      </w:r>
    </w:p>
    <w:p w:rsidR="00B9266E" w:rsidRPr="00035D2D" w:rsidRDefault="00B9266E" w:rsidP="00ED3C72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За фиксираната охлаждаща система 60 мин. </w:t>
      </w:r>
    </w:p>
    <w:p w:rsidR="00B9266E" w:rsidRPr="00035D2D" w:rsidRDefault="00B9266E" w:rsidP="00ED3C72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Вътрешна инсталация с пяна   60 мин.</w:t>
      </w:r>
    </w:p>
    <w:p w:rsidR="00B9266E" w:rsidRPr="00035D2D" w:rsidRDefault="00B9266E" w:rsidP="00ED3C72">
      <w:pPr>
        <w:pStyle w:val="List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За инсталацията за гасене на пожари с пяна в 3 етапа от по 15 минути ( 45 мин)</w:t>
      </w:r>
    </w:p>
    <w:p w:rsidR="00B9266E" w:rsidRPr="00035D2D" w:rsidRDefault="00B9266E" w:rsidP="00A9227B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Ще бъдат подсигурени преносими  пожарогасители  с прах Р6 и с въглероден двуокис G5 и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превозими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пожарогасители Р50 за гасене огнища АВСЕ и с пяна преносими SM 6 и превозим SM 50 за огнища тип В</w:t>
      </w:r>
    </w:p>
    <w:p w:rsidR="00B9266E" w:rsidRPr="00035D2D" w:rsidRDefault="00B9266E" w:rsidP="00A9227B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ab/>
        <w:t>В административните части  ще има по  1 пожарогасител с прах Р6 за 250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2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, но не по -малко по 2 на етаж, по един G5 на  TEG  и обслужване, един пожарогасител  с пяна SM 50 и един SM 6 при генератора </w:t>
      </w:r>
      <w:r w:rsidRPr="00035D2D">
        <w:rPr>
          <w:rFonts w:ascii="Times New Roman" w:hAnsi="Times New Roman" w:cs="Times New Roman"/>
          <w:sz w:val="24"/>
          <w:szCs w:val="24"/>
          <w:lang w:bidi="he-IL"/>
        </w:rPr>
        <w:t>Diesel</w:t>
      </w:r>
      <w:r w:rsidRPr="00035D2D">
        <w:rPr>
          <w:rFonts w:ascii="Times New Roman" w:hAnsi="Times New Roman" w:cs="Times New Roman"/>
          <w:sz w:val="24"/>
          <w:szCs w:val="24"/>
          <w:lang w:val="ru-RU" w:bidi="he-IL"/>
        </w:rPr>
        <w:t xml:space="preserve">, 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един пожарогасител Р50 на РТ</w:t>
      </w:r>
    </w:p>
    <w:p w:rsidR="00B9266E" w:rsidRPr="00035D2D" w:rsidRDefault="00B9266E" w:rsidP="00A9227B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ab/>
        <w:t>В помещението за продукция и депониране,  един пожарогасител Р6 на 200 м</w:t>
      </w:r>
      <w:r w:rsidRPr="00035D2D">
        <w:rPr>
          <w:rFonts w:ascii="Times New Roman" w:hAnsi="Times New Roman" w:cs="Times New Roman"/>
          <w:sz w:val="24"/>
          <w:szCs w:val="24"/>
          <w:vertAlign w:val="superscript"/>
          <w:lang w:val="bg-BG" w:bidi="he-IL"/>
        </w:rPr>
        <w:t>2</w:t>
      </w: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 и по 2 пожарогасителя Р50</w:t>
      </w:r>
    </w:p>
    <w:p w:rsidR="00B9266E" w:rsidRPr="00035D2D" w:rsidRDefault="00B9266E" w:rsidP="008B0C6E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u w:val="single"/>
          <w:lang w:val="bg-BG" w:bidi="he-IL"/>
        </w:rPr>
        <w:t>Документи за проверка :</w:t>
      </w:r>
    </w:p>
    <w:p w:rsidR="00B9266E" w:rsidRPr="00035D2D" w:rsidRDefault="00B9266E" w:rsidP="0013014C">
      <w:pPr>
        <w:pStyle w:val="Listparagraf"/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-плана за пожарна безопасност</w:t>
      </w:r>
    </w:p>
    <w:p w:rsidR="00B9266E" w:rsidRPr="00035D2D" w:rsidRDefault="00B9266E" w:rsidP="0013014C">
      <w:pPr>
        <w:pStyle w:val="Listparagraf"/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 xml:space="preserve">- техническа памет и планове, архитектура, инсталации за пожарна безопасност (детектор, сензори и средства за гасене). </w:t>
      </w:r>
    </w:p>
    <w:p w:rsidR="00B9266E" w:rsidRPr="00035D2D" w:rsidRDefault="00B9266E" w:rsidP="0013014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4. Заключения от проверките:</w:t>
      </w:r>
    </w:p>
    <w:p w:rsidR="00B9266E" w:rsidRPr="00035D2D" w:rsidRDefault="00B9266E" w:rsidP="0013014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ab/>
        <w:t>В следствие на проверката се установява, че проектът, на съответната проверена фаза се подписва и подпечатва от проверяващият.</w:t>
      </w:r>
    </w:p>
    <w:p w:rsidR="00B9266E" w:rsidRPr="00035D2D" w:rsidRDefault="00B9266E" w:rsidP="0013014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</w:p>
    <w:p w:rsidR="00B9266E" w:rsidRPr="00035D2D" w:rsidRDefault="00B9266E" w:rsidP="0013014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Получих 2 екземпляра                               Предадох 2 екземпляра</w:t>
      </w:r>
    </w:p>
    <w:p w:rsidR="00B9266E" w:rsidRPr="00035D2D" w:rsidRDefault="00B9266E" w:rsidP="0013014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>Инвеститор Проектант                         Проверено технически помощник</w:t>
      </w:r>
    </w:p>
    <w:p w:rsidR="00B9266E" w:rsidRPr="00035D2D" w:rsidRDefault="00B9266E" w:rsidP="0013014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ab/>
      </w: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ab/>
      </w: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ab/>
      </w: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ab/>
      </w: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ab/>
      </w:r>
      <w:r w:rsidRPr="00035D2D"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  <w:tab/>
        <w:t>Инж. Вела Йоан</w:t>
      </w:r>
    </w:p>
    <w:p w:rsidR="00B9266E" w:rsidRPr="00035D2D" w:rsidRDefault="00B9266E" w:rsidP="001A3406">
      <w:pPr>
        <w:pStyle w:val="Listparagraf"/>
        <w:spacing w:after="0"/>
        <w:ind w:left="1080" w:right="48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>Кръгъл печат /ВАЛИ И. ЙОАН*РУМЪНИЯ*</w:t>
      </w:r>
    </w:p>
    <w:p w:rsidR="00B9266E" w:rsidRPr="00035D2D" w:rsidRDefault="00B9266E" w:rsidP="001A3406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035D2D">
        <w:rPr>
          <w:rFonts w:ascii="Times New Roman" w:hAnsi="Times New Roman" w:cs="Times New Roman"/>
          <w:sz w:val="24"/>
          <w:szCs w:val="24"/>
          <w:lang w:val="bg-BG"/>
        </w:rPr>
        <w:t>№ 05089* ИНЖ. ПРОВЕРЯВАЩ ПРОЕКТИ/</w:t>
      </w:r>
    </w:p>
    <w:p w:rsidR="00B9266E" w:rsidRPr="00035D2D" w:rsidRDefault="00B9266E" w:rsidP="001A3406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Триъгълен печат / Инспекторат за Извънредни Ситуации</w:t>
      </w:r>
    </w:p>
    <w:p w:rsidR="00B9266E" w:rsidRPr="00035D2D" w:rsidRDefault="00B9266E" w:rsidP="001A3406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Окръг </w:t>
      </w:r>
      <w:proofErr w:type="spellStart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Кълъраш</w:t>
      </w:r>
      <w:proofErr w:type="spellEnd"/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/ подпис / не се чете/ </w:t>
      </w:r>
    </w:p>
    <w:p w:rsidR="00B9266E" w:rsidRPr="00035D2D" w:rsidRDefault="00B9266E" w:rsidP="001A3406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>29 август 2018</w:t>
      </w:r>
    </w:p>
    <w:p w:rsidR="00B9266E" w:rsidRPr="00035D2D" w:rsidRDefault="00B9266E" w:rsidP="00BE3E3C">
      <w:pPr>
        <w:spacing w:after="0"/>
        <w:rPr>
          <w:rFonts w:ascii="Times New Roman" w:hAnsi="Times New Roman" w:cs="Times New Roman"/>
          <w:sz w:val="24"/>
          <w:szCs w:val="24"/>
          <w:lang w:val="bg-BG" w:bidi="he-IL"/>
        </w:rPr>
      </w:pPr>
      <w:r w:rsidRPr="00035D2D">
        <w:rPr>
          <w:rFonts w:ascii="Times New Roman" w:hAnsi="Times New Roman" w:cs="Times New Roman"/>
          <w:sz w:val="24"/>
          <w:szCs w:val="24"/>
          <w:lang w:val="bg-BG" w:bidi="he-IL"/>
        </w:rPr>
        <w:t xml:space="preserve">Забележка на преводача: на всяка страница са положени горе цитираните печати </w:t>
      </w:r>
    </w:p>
    <w:p w:rsidR="00B9266E" w:rsidRPr="00035D2D" w:rsidRDefault="00B9266E" w:rsidP="0013014C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bCs/>
          <w:sz w:val="24"/>
          <w:szCs w:val="24"/>
          <w:lang w:val="bg-BG" w:bidi="he-IL"/>
        </w:rPr>
      </w:pPr>
    </w:p>
    <w:p w:rsidR="00B81D60" w:rsidRPr="003558AB" w:rsidRDefault="00B81D60" w:rsidP="00B81D60">
      <w:pPr>
        <w:widowControl w:val="0"/>
        <w:tabs>
          <w:tab w:val="left" w:pos="4900"/>
          <w:tab w:val="left" w:pos="5423"/>
        </w:tabs>
        <w:kinsoku w:val="0"/>
        <w:overflowPunct w:val="0"/>
        <w:autoSpaceDE w:val="0"/>
        <w:autoSpaceDN w:val="0"/>
        <w:adjustRightInd w:val="0"/>
        <w:spacing w:before="79" w:after="0" w:line="240" w:lineRule="auto"/>
        <w:ind w:left="140"/>
        <w:jc w:val="center"/>
        <w:rPr>
          <w:rFonts w:ascii="Times New Roman" w:hAnsi="Times New Roman" w:cs="Times New Roman"/>
          <w:sz w:val="20"/>
          <w:szCs w:val="20"/>
          <w:lang w:val="bg-BG" w:eastAsia="ro-RO"/>
        </w:rPr>
      </w:pPr>
      <w:r w:rsidRPr="002E4A82">
        <w:rPr>
          <w:rFonts w:ascii="Times New Roman" w:hAnsi="Times New Roman" w:cs="Times New Roman"/>
          <w:sz w:val="20"/>
          <w:szCs w:val="20"/>
          <w:lang w:eastAsia="ro-RO"/>
        </w:rPr>
        <w:t>Sf</w:t>
      </w:r>
      <w:r w:rsidRPr="003558AB">
        <w:rPr>
          <w:rFonts w:ascii="Times New Roman" w:hAnsi="Times New Roman" w:cs="Times New Roman"/>
          <w:sz w:val="20"/>
          <w:szCs w:val="20"/>
          <w:lang w:val="bg-BG" w:eastAsia="ro-RO"/>
        </w:rPr>
        <w:t>â</w:t>
      </w:r>
      <w:r w:rsidRPr="002E4A82">
        <w:rPr>
          <w:rFonts w:ascii="Times New Roman" w:hAnsi="Times New Roman" w:cs="Times New Roman"/>
          <w:sz w:val="20"/>
          <w:szCs w:val="20"/>
          <w:lang w:eastAsia="ro-RO"/>
        </w:rPr>
        <w:t>r</w:t>
      </w:r>
      <w:r w:rsidRPr="003558AB">
        <w:rPr>
          <w:rFonts w:ascii="Times New Roman" w:hAnsi="Times New Roman" w:cs="Times New Roman"/>
          <w:sz w:val="20"/>
          <w:szCs w:val="20"/>
          <w:lang w:val="bg-BG" w:eastAsia="ro-RO"/>
        </w:rPr>
        <w:t>ș</w:t>
      </w:r>
      <w:proofErr w:type="spellStart"/>
      <w:r w:rsidRPr="002E4A82">
        <w:rPr>
          <w:rFonts w:ascii="Times New Roman" w:hAnsi="Times New Roman" w:cs="Times New Roman"/>
          <w:sz w:val="20"/>
          <w:szCs w:val="20"/>
          <w:lang w:eastAsia="ro-RO"/>
        </w:rPr>
        <w:t>itul</w:t>
      </w:r>
      <w:proofErr w:type="spellEnd"/>
      <w:r w:rsidRPr="003558AB">
        <w:rPr>
          <w:rFonts w:ascii="Times New Roman" w:hAnsi="Times New Roman" w:cs="Times New Roman"/>
          <w:sz w:val="20"/>
          <w:szCs w:val="20"/>
          <w:lang w:val="bg-BG" w:eastAsia="ro-RO"/>
        </w:rPr>
        <w:t xml:space="preserve"> </w:t>
      </w:r>
      <w:proofErr w:type="spellStart"/>
      <w:r w:rsidRPr="002E4A82">
        <w:rPr>
          <w:rFonts w:ascii="Times New Roman" w:hAnsi="Times New Roman" w:cs="Times New Roman"/>
          <w:sz w:val="20"/>
          <w:szCs w:val="20"/>
          <w:lang w:eastAsia="ro-RO"/>
        </w:rPr>
        <w:t>traducerii</w:t>
      </w:r>
      <w:proofErr w:type="spellEnd"/>
      <w:r w:rsidRPr="003558AB">
        <w:rPr>
          <w:rFonts w:ascii="Times New Roman" w:hAnsi="Times New Roman" w:cs="Times New Roman"/>
          <w:sz w:val="20"/>
          <w:szCs w:val="20"/>
          <w:lang w:val="bg-BG" w:eastAsia="ro-RO"/>
        </w:rPr>
        <w:t>/Край на превода</w:t>
      </w:r>
    </w:p>
    <w:tbl>
      <w:tblPr>
        <w:tblW w:w="5170" w:type="pct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5"/>
        <w:gridCol w:w="4967"/>
      </w:tblGrid>
      <w:tr w:rsidR="00B81D60" w:rsidRPr="005B0112" w:rsidTr="00D32D8C">
        <w:trPr>
          <w:trHeight w:val="1096"/>
        </w:trPr>
        <w:tc>
          <w:tcPr>
            <w:tcW w:w="2492" w:type="pct"/>
          </w:tcPr>
          <w:p w:rsidR="00B81D60" w:rsidRPr="005B0112" w:rsidRDefault="00B81D60" w:rsidP="00D32D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Subsemnata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Todorova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Veronika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interpret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gramStart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ș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traduc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ă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tor</w:t>
            </w:r>
            <w:proofErr w:type="gram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autorizat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bulgar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ă î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temeiul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autoriza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ț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. 37 635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din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11.06.2015,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eliberat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Ministerul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Justi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ț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din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Rom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â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certific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exactitatea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traducerii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efectuat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din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rom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â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ă î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bulgar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ă,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textul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prezentat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fost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tradus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complet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ă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omisiuni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ș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prin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traducere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î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nscrisului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-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fost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denaturat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ț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inutul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ș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E4A82">
              <w:rPr>
                <w:rFonts w:ascii="Times New Roman" w:hAnsi="Times New Roman" w:cs="Times New Roman"/>
                <w:sz w:val="20"/>
                <w:szCs w:val="20"/>
              </w:rPr>
              <w:t>sensul</w:t>
            </w:r>
            <w:proofErr w:type="spellEnd"/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</w:p>
          <w:p w:rsidR="00B81D60" w:rsidRPr="005B0112" w:rsidRDefault="00B81D60" w:rsidP="00D32D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5B011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508" w:type="pct"/>
          </w:tcPr>
          <w:p w:rsidR="00B81D60" w:rsidRPr="002E4A82" w:rsidRDefault="00B81D60" w:rsidP="00D32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2E4A8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Долуподписаната, Тодорова Вероника, лицензиран преводач на български език, въ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з основа на разрешение номер 37</w:t>
            </w:r>
            <w:r w:rsidRPr="002E4A8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635 от 11.06.2015г., издадено от Министерство на Правосъдието в Румъния, удостоверявам точността на превода от румънски на български език, и че представеният документ е изцяло преведен, без пропуски и чрез превода на документа не са изопачени съдържанието и смисъла му.</w:t>
            </w:r>
          </w:p>
          <w:p w:rsidR="00B81D60" w:rsidRPr="00A71FFE" w:rsidRDefault="00B81D60" w:rsidP="00D32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B81D60" w:rsidRPr="005B0112" w:rsidRDefault="00B81D60" w:rsidP="00B81D60">
      <w:pPr>
        <w:spacing w:after="0" w:line="240" w:lineRule="auto"/>
        <w:ind w:left="2124"/>
        <w:rPr>
          <w:rFonts w:ascii="Times New Roman" w:hAnsi="Times New Roman" w:cs="Times New Roman"/>
          <w:sz w:val="20"/>
          <w:szCs w:val="20"/>
          <w:lang w:val="ru-RU"/>
        </w:rPr>
      </w:pPr>
      <w:r w:rsidRPr="002E4A82">
        <w:rPr>
          <w:rFonts w:ascii="Times New Roman" w:hAnsi="Times New Roman" w:cs="Times New Roman"/>
          <w:sz w:val="20"/>
          <w:szCs w:val="20"/>
        </w:rPr>
        <w:t>INTERPRET</w:t>
      </w:r>
      <w:r w:rsidRPr="005B0112">
        <w:rPr>
          <w:rFonts w:ascii="Times New Roman" w:hAnsi="Times New Roman" w:cs="Times New Roman"/>
          <w:sz w:val="20"/>
          <w:szCs w:val="20"/>
          <w:lang w:val="ru-RU"/>
        </w:rPr>
        <w:t xml:space="preserve"> Ș</w:t>
      </w:r>
      <w:r w:rsidRPr="002E4A82">
        <w:rPr>
          <w:rFonts w:ascii="Times New Roman" w:hAnsi="Times New Roman" w:cs="Times New Roman"/>
          <w:sz w:val="20"/>
          <w:szCs w:val="20"/>
        </w:rPr>
        <w:t>I</w:t>
      </w:r>
      <w:r w:rsidRPr="005B011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E4A82">
        <w:rPr>
          <w:rFonts w:ascii="Times New Roman" w:hAnsi="Times New Roman" w:cs="Times New Roman"/>
          <w:sz w:val="20"/>
          <w:szCs w:val="20"/>
        </w:rPr>
        <w:t>TRADUC</w:t>
      </w:r>
      <w:r w:rsidRPr="005B0112">
        <w:rPr>
          <w:rFonts w:ascii="Times New Roman" w:hAnsi="Times New Roman" w:cs="Times New Roman"/>
          <w:sz w:val="20"/>
          <w:szCs w:val="20"/>
          <w:lang w:val="ru-RU"/>
        </w:rPr>
        <w:t>Ă</w:t>
      </w:r>
      <w:r w:rsidRPr="002E4A82">
        <w:rPr>
          <w:rFonts w:ascii="Times New Roman" w:hAnsi="Times New Roman" w:cs="Times New Roman"/>
          <w:sz w:val="20"/>
          <w:szCs w:val="20"/>
        </w:rPr>
        <w:t>TOR</w:t>
      </w:r>
      <w:r w:rsidRPr="005B011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E4A82">
        <w:rPr>
          <w:rFonts w:ascii="Times New Roman" w:hAnsi="Times New Roman" w:cs="Times New Roman"/>
          <w:sz w:val="20"/>
          <w:szCs w:val="20"/>
        </w:rPr>
        <w:t>AUTORIZAT</w:t>
      </w:r>
      <w:r w:rsidRPr="005B0112">
        <w:rPr>
          <w:rFonts w:ascii="Times New Roman" w:hAnsi="Times New Roman" w:cs="Times New Roman"/>
          <w:sz w:val="20"/>
          <w:szCs w:val="20"/>
          <w:lang w:val="ru-RU"/>
        </w:rPr>
        <w:t xml:space="preserve"> / ЛИЦЕНЗИРАН ПРЕВОДАЧ</w:t>
      </w:r>
    </w:p>
    <w:p w:rsidR="00B81D60" w:rsidRPr="002E4A82" w:rsidRDefault="00B81D60" w:rsidP="00B81D6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E4A82">
        <w:rPr>
          <w:rFonts w:ascii="Times New Roman" w:hAnsi="Times New Roman" w:cs="Times New Roman"/>
          <w:sz w:val="20"/>
          <w:szCs w:val="20"/>
        </w:rPr>
        <w:t>TODOROVA VERONIKA/ТОДОРОВА ВЕРОНИКА,</w:t>
      </w:r>
    </w:p>
    <w:p w:rsidR="00B81D60" w:rsidRPr="00641AD7" w:rsidRDefault="00B81D60" w:rsidP="00B81D60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B81D60" w:rsidRPr="00035D2D" w:rsidRDefault="00B81D60" w:rsidP="004D59F6">
      <w:pPr>
        <w:jc w:val="right"/>
        <w:rPr>
          <w:lang w:val="bg-BG" w:bidi="he-IL"/>
        </w:rPr>
      </w:pPr>
      <w:bookmarkStart w:id="0" w:name="_GoBack"/>
      <w:bookmarkEnd w:id="0"/>
    </w:p>
    <w:sectPr w:rsidR="00B81D60" w:rsidRPr="00035D2D" w:rsidSect="004E35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?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4734A"/>
    <w:multiLevelType w:val="hybridMultilevel"/>
    <w:tmpl w:val="543A8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B5980"/>
    <w:multiLevelType w:val="hybridMultilevel"/>
    <w:tmpl w:val="B91877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940F59"/>
    <w:multiLevelType w:val="hybridMultilevel"/>
    <w:tmpl w:val="8EBA07A8"/>
    <w:lvl w:ilvl="0" w:tplc="0970574A">
      <w:start w:val="1"/>
      <w:numFmt w:val="bullet"/>
      <w:lvlText w:val="-"/>
      <w:lvlJc w:val="left"/>
      <w:pPr>
        <w:ind w:left="1080" w:hanging="360"/>
      </w:pPr>
      <w:rPr>
        <w:rFonts w:ascii="Times New Roman" w:eastAsia="等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1963"/>
    <w:rsid w:val="00005D5B"/>
    <w:rsid w:val="000063D8"/>
    <w:rsid w:val="00014DBE"/>
    <w:rsid w:val="00021EB3"/>
    <w:rsid w:val="00035D2D"/>
    <w:rsid w:val="0005605C"/>
    <w:rsid w:val="00062A26"/>
    <w:rsid w:val="00065AED"/>
    <w:rsid w:val="000718AB"/>
    <w:rsid w:val="00090537"/>
    <w:rsid w:val="000917AC"/>
    <w:rsid w:val="00096024"/>
    <w:rsid w:val="000A5BC9"/>
    <w:rsid w:val="000D18EB"/>
    <w:rsid w:val="000D5331"/>
    <w:rsid w:val="000F5937"/>
    <w:rsid w:val="00111A7E"/>
    <w:rsid w:val="0013014C"/>
    <w:rsid w:val="00136F70"/>
    <w:rsid w:val="00155C61"/>
    <w:rsid w:val="001562F7"/>
    <w:rsid w:val="0016128E"/>
    <w:rsid w:val="00166BED"/>
    <w:rsid w:val="00166E84"/>
    <w:rsid w:val="001938FF"/>
    <w:rsid w:val="001A3406"/>
    <w:rsid w:val="001A546A"/>
    <w:rsid w:val="001F4439"/>
    <w:rsid w:val="001F579C"/>
    <w:rsid w:val="001F7A69"/>
    <w:rsid w:val="00201547"/>
    <w:rsid w:val="002033F8"/>
    <w:rsid w:val="00244DF4"/>
    <w:rsid w:val="00296F27"/>
    <w:rsid w:val="002A71B9"/>
    <w:rsid w:val="002E3F6F"/>
    <w:rsid w:val="002E6183"/>
    <w:rsid w:val="002F3387"/>
    <w:rsid w:val="002F3E1A"/>
    <w:rsid w:val="00314005"/>
    <w:rsid w:val="00325022"/>
    <w:rsid w:val="003416A8"/>
    <w:rsid w:val="00373BCC"/>
    <w:rsid w:val="00374F91"/>
    <w:rsid w:val="003C178D"/>
    <w:rsid w:val="003D5560"/>
    <w:rsid w:val="0041692F"/>
    <w:rsid w:val="0044269B"/>
    <w:rsid w:val="00443DAD"/>
    <w:rsid w:val="00465C82"/>
    <w:rsid w:val="00470796"/>
    <w:rsid w:val="00474399"/>
    <w:rsid w:val="00475D44"/>
    <w:rsid w:val="0048262E"/>
    <w:rsid w:val="004945C7"/>
    <w:rsid w:val="004C0F1B"/>
    <w:rsid w:val="004D59F6"/>
    <w:rsid w:val="004E358B"/>
    <w:rsid w:val="004F0E04"/>
    <w:rsid w:val="00506878"/>
    <w:rsid w:val="00523435"/>
    <w:rsid w:val="0053750B"/>
    <w:rsid w:val="00537FAB"/>
    <w:rsid w:val="00546AEB"/>
    <w:rsid w:val="00550E3A"/>
    <w:rsid w:val="00556175"/>
    <w:rsid w:val="0055726E"/>
    <w:rsid w:val="00585D06"/>
    <w:rsid w:val="005926D3"/>
    <w:rsid w:val="005C3B59"/>
    <w:rsid w:val="005F222F"/>
    <w:rsid w:val="005F36EF"/>
    <w:rsid w:val="00604B17"/>
    <w:rsid w:val="0060519C"/>
    <w:rsid w:val="00623422"/>
    <w:rsid w:val="006329FE"/>
    <w:rsid w:val="00637900"/>
    <w:rsid w:val="006448D7"/>
    <w:rsid w:val="00654C9A"/>
    <w:rsid w:val="00667BC6"/>
    <w:rsid w:val="00674C20"/>
    <w:rsid w:val="00691A16"/>
    <w:rsid w:val="006C3E63"/>
    <w:rsid w:val="006C6174"/>
    <w:rsid w:val="006D5A70"/>
    <w:rsid w:val="006D5DC0"/>
    <w:rsid w:val="006D78C4"/>
    <w:rsid w:val="006F1681"/>
    <w:rsid w:val="006F7419"/>
    <w:rsid w:val="007040CD"/>
    <w:rsid w:val="00717393"/>
    <w:rsid w:val="0072165B"/>
    <w:rsid w:val="00754F41"/>
    <w:rsid w:val="0078650B"/>
    <w:rsid w:val="007D0A51"/>
    <w:rsid w:val="00824512"/>
    <w:rsid w:val="008355E8"/>
    <w:rsid w:val="008408E0"/>
    <w:rsid w:val="00861FFC"/>
    <w:rsid w:val="00867906"/>
    <w:rsid w:val="008776D1"/>
    <w:rsid w:val="00887040"/>
    <w:rsid w:val="008A1153"/>
    <w:rsid w:val="008A16CA"/>
    <w:rsid w:val="008A1CC8"/>
    <w:rsid w:val="008B0C6E"/>
    <w:rsid w:val="008B251A"/>
    <w:rsid w:val="008D7EE5"/>
    <w:rsid w:val="0092499D"/>
    <w:rsid w:val="00926BAA"/>
    <w:rsid w:val="00960FE4"/>
    <w:rsid w:val="00986C40"/>
    <w:rsid w:val="0099629D"/>
    <w:rsid w:val="009B1079"/>
    <w:rsid w:val="00A00824"/>
    <w:rsid w:val="00A07934"/>
    <w:rsid w:val="00A11036"/>
    <w:rsid w:val="00A45874"/>
    <w:rsid w:val="00A82B08"/>
    <w:rsid w:val="00A9227B"/>
    <w:rsid w:val="00A95F0C"/>
    <w:rsid w:val="00AA796E"/>
    <w:rsid w:val="00AB30A0"/>
    <w:rsid w:val="00AB757B"/>
    <w:rsid w:val="00AD1D3E"/>
    <w:rsid w:val="00AF2CA0"/>
    <w:rsid w:val="00AF3CA5"/>
    <w:rsid w:val="00B22EB7"/>
    <w:rsid w:val="00B44368"/>
    <w:rsid w:val="00B5179A"/>
    <w:rsid w:val="00B528F2"/>
    <w:rsid w:val="00B62BF6"/>
    <w:rsid w:val="00B767B3"/>
    <w:rsid w:val="00B81D60"/>
    <w:rsid w:val="00B9187C"/>
    <w:rsid w:val="00B9266E"/>
    <w:rsid w:val="00BC0B0C"/>
    <w:rsid w:val="00BE3E3C"/>
    <w:rsid w:val="00C06047"/>
    <w:rsid w:val="00C168AB"/>
    <w:rsid w:val="00C47A81"/>
    <w:rsid w:val="00C845DC"/>
    <w:rsid w:val="00C8644F"/>
    <w:rsid w:val="00CC35AC"/>
    <w:rsid w:val="00CC6286"/>
    <w:rsid w:val="00CD6409"/>
    <w:rsid w:val="00CF058F"/>
    <w:rsid w:val="00CF31FF"/>
    <w:rsid w:val="00D029B3"/>
    <w:rsid w:val="00D03019"/>
    <w:rsid w:val="00D32E5D"/>
    <w:rsid w:val="00D63216"/>
    <w:rsid w:val="00D90064"/>
    <w:rsid w:val="00DA16DC"/>
    <w:rsid w:val="00DB136F"/>
    <w:rsid w:val="00DC2D9D"/>
    <w:rsid w:val="00DD5C0A"/>
    <w:rsid w:val="00E11E34"/>
    <w:rsid w:val="00E13C48"/>
    <w:rsid w:val="00E204D1"/>
    <w:rsid w:val="00E45FCD"/>
    <w:rsid w:val="00E512FA"/>
    <w:rsid w:val="00E64CC8"/>
    <w:rsid w:val="00E71AEA"/>
    <w:rsid w:val="00E7750E"/>
    <w:rsid w:val="00ED157C"/>
    <w:rsid w:val="00ED1963"/>
    <w:rsid w:val="00ED3C72"/>
    <w:rsid w:val="00ED7614"/>
    <w:rsid w:val="00EE5518"/>
    <w:rsid w:val="00EF2318"/>
    <w:rsid w:val="00F06297"/>
    <w:rsid w:val="00F25F72"/>
    <w:rsid w:val="00F40B20"/>
    <w:rsid w:val="00F40E36"/>
    <w:rsid w:val="00F67BB3"/>
    <w:rsid w:val="00F721EA"/>
    <w:rsid w:val="00F839C7"/>
    <w:rsid w:val="00F907B4"/>
    <w:rsid w:val="00FB1A23"/>
    <w:rsid w:val="00FC49C5"/>
    <w:rsid w:val="00FC5F94"/>
    <w:rsid w:val="00FD6835"/>
    <w:rsid w:val="00FE1C82"/>
    <w:rsid w:val="00FE5552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C1B4C8"/>
  <w15:docId w15:val="{24049F33-DBAE-4BF1-9359-23593143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等?" w:hAnsi="Calibri" w:cs="Arial"/>
        <w:lang w:val="ro-RO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358B"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F721EA"/>
    <w:pPr>
      <w:ind w:left="720"/>
      <w:contextualSpacing/>
    </w:pPr>
  </w:style>
  <w:style w:type="table" w:styleId="Tabelgril">
    <w:name w:val="Table Grid"/>
    <w:basedOn w:val="TabelNormal"/>
    <w:uiPriority w:val="99"/>
    <w:rsid w:val="00C84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2388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Превод от румънски език</vt:lpstr>
    </vt:vector>
  </TitlesOfParts>
  <Company/>
  <LinksUpToDate>false</LinksUpToDate>
  <CharactersWithSpaces>16207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Превод от румънски език</dc:title>
  <dc:subject/>
  <dc:creator>veronika todorova</dc:creator>
  <cp:keywords/>
  <dc:description/>
  <cp:lastModifiedBy>Veronika</cp:lastModifiedBy>
  <cp:revision>8</cp:revision>
  <dcterms:created xsi:type="dcterms:W3CDTF">2018-11-21T18:20:00Z</dcterms:created>
  <dcterms:modified xsi:type="dcterms:W3CDTF">2018-11-22T06:28:00Z</dcterms:modified>
</cp:coreProperties>
</file>