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jc w:val="center"/>
        <w:rPr>
          <w:b/>
          <w:color w:val="0000FF"/>
          <w:lang w:val="en-GB"/>
        </w:rPr>
      </w:pPr>
      <w:bookmarkStart w:id="0" w:name="_GoBack"/>
      <w:bookmarkEnd w:id="0"/>
      <w:r>
        <w:rPr>
          <w:b/>
          <w:color w:val="0000FF"/>
        </w:rPr>
        <w:t>РЕЗЮМЕ</w:t>
      </w:r>
    </w:p>
    <w:p>
      <w:pPr>
        <w:jc w:val="center"/>
        <w:rPr>
          <w:b/>
          <w:color w:val="0000FF"/>
          <w:lang w:val="en-GB"/>
        </w:rPr>
      </w:pPr>
    </w:p>
    <w:p>
      <w:pPr>
        <w:pStyle w:val="BodyTextIndent2"/>
        <w:ind w:firstLine="0"/>
        <w:jc w:val="both"/>
        <w:rPr>
          <w:rFonts w:ascii="Times New Roman" w:hAnsi="Times New Roman"/>
          <w:b/>
          <w:szCs w:val="24"/>
        </w:rPr>
      </w:pPr>
      <w:r>
        <w:rPr>
          <w:rFonts w:ascii="Times New Roman" w:hAnsi="Times New Roman"/>
          <w:b/>
          <w:szCs w:val="24"/>
        </w:rPr>
        <w:t>Националният доклад за състоянието и опазването на околната среда през 2024 г. е разработен в съответствие с чл. 22, ал. 1 от Закона за опазване на околната среда.</w:t>
      </w:r>
    </w:p>
    <w:p>
      <w:pPr>
        <w:pStyle w:val="BodyTextIndent2"/>
        <w:ind w:firstLine="0"/>
        <w:jc w:val="both"/>
        <w:rPr>
          <w:rFonts w:ascii="Times New Roman" w:hAnsi="Times New Roman"/>
          <w:b/>
          <w:szCs w:val="24"/>
        </w:rPr>
      </w:pPr>
    </w:p>
    <w:p>
      <w:pPr>
        <w:pStyle w:val="BodyTextIndent2"/>
        <w:spacing w:before="120"/>
        <w:ind w:firstLine="0"/>
        <w:jc w:val="both"/>
        <w:rPr>
          <w:rFonts w:ascii="Times New Roman" w:hAnsi="Times New Roman"/>
          <w:snapToGrid w:val="0"/>
          <w:szCs w:val="24"/>
          <w:lang w:eastAsia="zh-CN"/>
        </w:rPr>
      </w:pPr>
      <w:r>
        <w:rPr>
          <w:rFonts w:ascii="Times New Roman" w:hAnsi="Times New Roman"/>
          <w:snapToGrid w:val="0"/>
          <w:szCs w:val="24"/>
          <w:lang w:eastAsia="zh-CN"/>
        </w:rPr>
        <w:t xml:space="preserve">Националният доклад </w:t>
      </w:r>
      <w:r>
        <w:rPr>
          <w:rFonts w:ascii="Times New Roman" w:hAnsi="Times New Roman"/>
          <w:snapToGrid w:val="0"/>
          <w:szCs w:val="24"/>
          <w:lang w:val="en-US" w:eastAsia="zh-CN"/>
        </w:rPr>
        <w:t>e</w:t>
      </w:r>
      <w:r>
        <w:rPr>
          <w:rFonts w:ascii="Times New Roman" w:hAnsi="Times New Roman"/>
          <w:snapToGrid w:val="0"/>
          <w:szCs w:val="24"/>
          <w:lang w:eastAsia="zh-CN"/>
        </w:rPr>
        <w:t xml:space="preserve"> предназначен да информира обществеността и държавните институции за състоянието и рисковете за околната среда и природните ресурси, както и да насочи вниманието към ефективност и целесъобразност на провежданата политика за защита на околната среда.</w:t>
      </w:r>
    </w:p>
    <w:p>
      <w:pPr>
        <w:autoSpaceDE w:val="0"/>
        <w:autoSpaceDN w:val="0"/>
        <w:adjustRightInd w:val="0"/>
        <w:spacing w:before="120"/>
        <w:jc w:val="both"/>
      </w:pPr>
      <w:r>
        <w:t>Целта, от една страна, е ясно формулиране на въпросите, свързани с взаимодействието между обществото и околната среда, а от друга – да се представи информация за състоянието на околната среда в страната, съпоставима с оценките на общоевропейско ниво.</w:t>
      </w:r>
    </w:p>
    <w:p>
      <w:pPr>
        <w:autoSpaceDE w:val="0"/>
        <w:autoSpaceDN w:val="0"/>
        <w:adjustRightInd w:val="0"/>
        <w:spacing w:before="120"/>
        <w:jc w:val="both"/>
      </w:pPr>
      <w:r>
        <w:t xml:space="preserve">В структурата му са включени основно екологични индикатори и методологии, прилагани в оценъчните доклади на Европейската агенция по околна среда. </w:t>
      </w:r>
      <w:r>
        <w:rPr>
          <w:snapToGrid w:val="0"/>
          <w:lang w:eastAsia="zh-CN"/>
        </w:rPr>
        <w:t>С избор на подходящи индикатори се цели да се обхване комплекса от връзка между източници и фактори на въздействие върху компонентите на околната среда, екосистемите и човешкото здраве, както и мерки за опазване на околната среда.</w:t>
      </w:r>
    </w:p>
    <w:p>
      <w:pPr>
        <w:autoSpaceDE w:val="0"/>
        <w:autoSpaceDN w:val="0"/>
        <w:adjustRightInd w:val="0"/>
        <w:spacing w:before="120"/>
        <w:jc w:val="both"/>
      </w:pPr>
      <w:r>
        <w:t>Докладът включва 16 раздела, обхващащи основни екологични направления, като са формулирани „ключови въпроси” от обществен интерес. Оценката на индикаторите е направена за подходящи времеви периоди и са изведени тенденции и заключения, които формират „ключови послания” по съответните екологични теми.</w:t>
      </w:r>
    </w:p>
    <w:p>
      <w:pPr>
        <w:spacing w:before="120"/>
        <w:jc w:val="both"/>
        <w:rPr>
          <w:bCs/>
        </w:rPr>
      </w:pPr>
      <w:r>
        <w:t>С оглед по-добра достъпност и по-лесно възприемане, анализите са придружени с множество фигури, диаграми, графики и карти. Ключовите послания в доклада са визуализирани със символик</w:t>
      </w:r>
      <w:r>
        <w:rPr>
          <w:bCs/>
        </w:rPr>
        <w:t>а, отразяваща тенденциите в екологичните процеси:</w:t>
      </w:r>
      <w:r>
        <w:rPr>
          <w:bCs/>
        </w:rPr>
        <w:br/>
        <w:t>положителни (</w:t>
      </w:r>
      <w:r>
        <w:rPr>
          <w:noProof/>
        </w:rPr>
        <w:drawing>
          <wp:inline distT="0" distB="0" distL="0" distR="0">
            <wp:extent cx="222885" cy="222885"/>
            <wp:effectExtent l="0" t="0" r="0" b="0"/>
            <wp:docPr id="4" name="Picture 2" descr="smil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mile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85" cy="222885"/>
                    </a:xfrm>
                    <a:prstGeom prst="rect">
                      <a:avLst/>
                    </a:prstGeom>
                    <a:noFill/>
                    <a:ln>
                      <a:noFill/>
                    </a:ln>
                  </pic:spPr>
                </pic:pic>
              </a:graphicData>
            </a:graphic>
          </wp:inline>
        </w:drawing>
      </w:r>
      <w:r>
        <w:rPr>
          <w:bCs/>
        </w:rPr>
        <w:t>), отрицателни (</w:t>
      </w:r>
      <w:r>
        <w:rPr>
          <w:noProof/>
        </w:rPr>
        <w:drawing>
          <wp:inline distT="0" distB="0" distL="0" distR="0">
            <wp:extent cx="230505" cy="230505"/>
            <wp:effectExtent l="0" t="0" r="0" b="0"/>
            <wp:docPr id="5" name="Picture 4" descr="s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a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r>
        <w:rPr>
          <w:bCs/>
        </w:rPr>
        <w:t>) и без промяна (</w:t>
      </w:r>
      <w:r>
        <w:rPr>
          <w:i/>
          <w:noProof/>
        </w:rPr>
        <w:drawing>
          <wp:inline distT="0" distB="0" distL="0" distR="0">
            <wp:extent cx="230505" cy="230505"/>
            <wp:effectExtent l="0" t="0" r="0" b="0"/>
            <wp:docPr id="6" name="Picture 11" descr="g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oo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r>
        <w:rPr>
          <w:bCs/>
        </w:rPr>
        <w:t>).</w:t>
      </w:r>
    </w:p>
    <w:p>
      <w:pPr>
        <w:jc w:val="both"/>
      </w:pPr>
      <w:r>
        <w:t>Съдържанието на Националния доклад е разработено основно от ИАОС и МОСВ, вкл. ПУДООС и НИМХ, подпомагани от Междуведомствена работна група, включваща широк кръг представители на компетентни министерства и структури към тях (МЕ, АУЕР, АЯР, МИИ, МЗ, НЦРРЗ, МЗХ, ИАГ, МТС, МРРБ, МИР, МТСП, МОН), Националния статистически институт, както и научни екипи на ИБЕИ при БАН и Националния природонаучен музей при БАН.</w:t>
      </w:r>
    </w:p>
    <w:p>
      <w:pPr>
        <w:spacing w:before="120"/>
        <w:jc w:val="both"/>
      </w:pPr>
      <w:r>
        <w:t>Националният доклад за състоянието и опазването на околната среда през 2024 г. се издава през 2026 г., поради необходимото техническо време за обработка и анализ на информацията за различните индикатори. За повечето от индикаторите се използва статистическа информация, която се изготвя в края на 2025 г. и началото на 2026 г.</w:t>
      </w:r>
    </w:p>
    <w:p>
      <w:pPr>
        <w:jc w:val="both"/>
      </w:pPr>
    </w:p>
    <w:p>
      <w:pPr>
        <w:jc w:val="both"/>
        <w:rPr>
          <w:b/>
          <w:i/>
          <w:u w:val="single"/>
        </w:rPr>
      </w:pPr>
      <w:r>
        <w:rPr>
          <w:b/>
          <w:i/>
          <w:u w:val="single"/>
        </w:rPr>
        <w:t>Раздел „Емисии на вредни вещества и качество на атмосферния въздух“</w:t>
      </w:r>
    </w:p>
    <w:p>
      <w:pPr>
        <w:jc w:val="both"/>
        <w:rPr>
          <w:i/>
          <w:sz w:val="20"/>
        </w:rPr>
      </w:pPr>
      <w:r>
        <w:rPr>
          <w:b/>
          <w:noProof/>
        </w:rPr>
        <w:drawing>
          <wp:inline distT="0" distB="0" distL="0" distR="0">
            <wp:extent cx="230505" cy="230505"/>
            <wp:effectExtent l="0" t="0" r="0" b="0"/>
            <wp:docPr id="7" name="Picture 7" descr="smil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mile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r>
        <w:t xml:space="preserve"> Ангажиментите на България по </w:t>
      </w:r>
      <w:r>
        <w:rPr>
          <w:bCs/>
        </w:rPr>
        <w:t xml:space="preserve">Директива (ЕС) 2016/2284 и по изменения Гьотеборгски протокол към Конвенцията за трансгранично замърсяване на въздуха на далечни разстояния (КТЗВДР) за нивата на емисиите на </w:t>
      </w:r>
      <w:r>
        <w:t>SO</w:t>
      </w:r>
      <w:r>
        <w:rPr>
          <w:vertAlign w:val="subscript"/>
        </w:rPr>
        <w:t>2</w:t>
      </w:r>
      <w:r>
        <w:t>, NO</w:t>
      </w:r>
      <w:r>
        <w:rPr>
          <w:vertAlign w:val="subscript"/>
        </w:rPr>
        <w:t>x</w:t>
      </w:r>
      <w:r>
        <w:t xml:space="preserve">, </w:t>
      </w:r>
      <w:r>
        <w:rPr>
          <w:color w:val="333333"/>
          <w:shd w:val="clear" w:color="auto" w:fill="FFFFFF"/>
        </w:rPr>
        <w:t>НМЛОС</w:t>
      </w:r>
      <w:r>
        <w:t xml:space="preserve"> и </w:t>
      </w:r>
      <w:r>
        <w:rPr>
          <w:bCs/>
        </w:rPr>
        <w:t>ФПЧ</w:t>
      </w:r>
      <w:r>
        <w:rPr>
          <w:bCs/>
          <w:vertAlign w:val="subscript"/>
        </w:rPr>
        <w:t>2.5</w:t>
      </w:r>
      <w:r>
        <w:rPr>
          <w:bCs/>
        </w:rPr>
        <w:t xml:space="preserve"> </w:t>
      </w:r>
      <w:r>
        <w:t>за 2024 г. са изпълнени.</w:t>
      </w:r>
    </w:p>
    <w:p>
      <w:pPr>
        <w:jc w:val="both"/>
        <w:rPr>
          <w:bCs/>
        </w:rPr>
      </w:pPr>
      <w:r>
        <w:rPr>
          <w:noProof/>
        </w:rPr>
        <w:drawing>
          <wp:inline distT="0" distB="0" distL="0" distR="0">
            <wp:extent cx="230505" cy="230505"/>
            <wp:effectExtent l="0" t="0" r="0" b="0"/>
            <wp:docPr id="8" name="Picture 28" descr="state-g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tate-good.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r>
        <w:t xml:space="preserve"> През 2024 г. беше приложена създадената от екип от учени от НИМХ Методика за </w:t>
      </w:r>
      <w:r>
        <w:rPr>
          <w:bCs/>
        </w:rPr>
        <w:t>определяне на превишенията на пределно допустимите стойности на ФПЧ</w:t>
      </w:r>
      <w:r>
        <w:rPr>
          <w:bCs/>
          <w:vertAlign w:val="subscript"/>
        </w:rPr>
        <w:t>10</w:t>
      </w:r>
      <w:r>
        <w:rPr>
          <w:bCs/>
        </w:rPr>
        <w:t>, които се дължат на емисии от природни източници – пустинен прах. Общият брой на редуцираните превишения за 2024 г., които се дължат на пренос на пустинен прах, е 136 в 40 от станциите за мониторинг, за които е приложена методиката.</w:t>
      </w:r>
    </w:p>
    <w:p>
      <w:pPr>
        <w:jc w:val="both"/>
      </w:pPr>
      <w:r>
        <w:rPr>
          <w:noProof/>
        </w:rPr>
        <w:drawing>
          <wp:inline distT="0" distB="0" distL="0" distR="0">
            <wp:extent cx="230505" cy="230505"/>
            <wp:effectExtent l="0" t="0" r="0" b="0"/>
            <wp:docPr id="9" name="Picture 9" descr="state-moder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ate-moderate.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r>
        <w:t> </w:t>
      </w:r>
      <w:r>
        <w:rPr>
          <w:bCs/>
          <w:lang w:val="ru-RU"/>
        </w:rPr>
        <w:t>Все още малък дял от населението (7,37</w:t>
      </w:r>
      <w:r>
        <w:rPr>
          <w:bCs/>
        </w:rPr>
        <w:t> </w:t>
      </w:r>
      <w:r>
        <w:rPr>
          <w:bCs/>
          <w:lang w:val="ru-RU"/>
        </w:rPr>
        <w:t>%) е изложен на наднормени нива на замърсяване с ФПЧ</w:t>
      </w:r>
      <w:r>
        <w:rPr>
          <w:bCs/>
          <w:vertAlign w:val="subscript"/>
          <w:lang w:val="ru-RU"/>
        </w:rPr>
        <w:t>10</w:t>
      </w:r>
      <w:r>
        <w:rPr>
          <w:bCs/>
          <w:lang w:val="ru-RU"/>
        </w:rPr>
        <w:t>.</w:t>
      </w:r>
    </w:p>
    <w:p>
      <w:pPr>
        <w:jc w:val="both"/>
        <w:rPr>
          <w:bCs/>
          <w:noProof/>
        </w:rPr>
      </w:pPr>
      <w:r>
        <w:rPr>
          <w:noProof/>
        </w:rPr>
        <w:lastRenderedPageBreak/>
        <w:drawing>
          <wp:inline distT="0" distB="0" distL="0" distR="0">
            <wp:extent cx="230505" cy="230505"/>
            <wp:effectExtent l="0" t="0" r="0" b="0"/>
            <wp:docPr id="10" name="Picture 18" descr="state-g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tate-good.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r>
        <w:t> </w:t>
      </w:r>
      <w:r>
        <w:rPr>
          <w:bCs/>
          <w:noProof/>
        </w:rPr>
        <w:t>В 26 от общо 28 общини, включени в наказателната процедура на Европейската комисия за неспазване на нормите по показател ФПЧ, е постигнато съответствие с нормите през 2024 г.</w:t>
      </w:r>
      <w:r>
        <w:rPr>
          <w:bCs/>
          <w:noProof/>
          <w:lang w:eastAsia="en-US"/>
        </w:rPr>
        <w:t xml:space="preserve"> (Т</w:t>
      </w:r>
      <w:r>
        <w:rPr>
          <w:bCs/>
          <w:noProof/>
          <w:lang w:val="ru-RU"/>
        </w:rPr>
        <w:t>ова са: Асено</w:t>
      </w:r>
      <w:r>
        <w:rPr>
          <w:bCs/>
          <w:noProof/>
        </w:rPr>
        <w:t>в</w:t>
      </w:r>
      <w:r>
        <w:rPr>
          <w:bCs/>
          <w:noProof/>
          <w:lang w:val="ru-RU"/>
        </w:rPr>
        <w:t xml:space="preserve">град, Благоевград, Бургас, Варна, Девня, Велико Търново, Горна Оряховица, Видин, Враца, Гълъбово, Димитровград, Добрич, Ловеч, Плевен, </w:t>
      </w:r>
      <w:r>
        <w:rPr>
          <w:bCs/>
          <w:noProof/>
        </w:rPr>
        <w:t>Пирдоп,</w:t>
      </w:r>
      <w:r>
        <w:rPr>
          <w:bCs/>
          <w:noProof/>
          <w:lang w:val="ru-RU"/>
        </w:rPr>
        <w:t xml:space="preserve"> Шумен, Кърджали, Несебър, Пазарджик, </w:t>
      </w:r>
      <w:r>
        <w:rPr>
          <w:bCs/>
          <w:noProof/>
        </w:rPr>
        <w:t xml:space="preserve">Сливен, </w:t>
      </w:r>
      <w:r>
        <w:rPr>
          <w:bCs/>
          <w:noProof/>
          <w:lang w:val="ru-RU"/>
        </w:rPr>
        <w:t>Стара Загора, Хасково, Русе, Смолян, София и Перник</w:t>
      </w:r>
      <w:r>
        <w:rPr>
          <w:bCs/>
          <w:noProof/>
        </w:rPr>
        <w:t>).</w:t>
      </w:r>
    </w:p>
    <w:p>
      <w:pPr>
        <w:jc w:val="both"/>
      </w:pPr>
    </w:p>
    <w:p>
      <w:pPr>
        <w:jc w:val="both"/>
        <w:rPr>
          <w:b/>
          <w:i/>
          <w:u w:val="single"/>
        </w:rPr>
      </w:pPr>
      <w:r>
        <w:rPr>
          <w:b/>
          <w:i/>
          <w:u w:val="single"/>
        </w:rPr>
        <w:t>Раздел „Изменение на климата“</w:t>
      </w:r>
    </w:p>
    <w:p>
      <w:pPr>
        <w:jc w:val="both"/>
      </w:pPr>
      <w:r>
        <w:rPr>
          <w:noProof/>
          <w:sz w:val="20"/>
          <w:szCs w:val="20"/>
        </w:rPr>
        <w:drawing>
          <wp:inline distT="0" distB="0" distL="0" distR="0">
            <wp:extent cx="230505" cy="230505"/>
            <wp:effectExtent l="0" t="0" r="0" b="0"/>
            <wp:docPr id="11" name="Picture 11" descr="state-g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tate-good.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r>
        <w:t xml:space="preserve"> През 2024 г. са емитирани общи емисии на </w:t>
      </w:r>
      <w:r>
        <w:rPr>
          <w:bCs/>
          <w:lang w:eastAsia="en-US"/>
        </w:rPr>
        <w:t>парникови газове</w:t>
      </w:r>
      <w:r>
        <w:t xml:space="preserve"> – 43 340.31 Gg CO</w:t>
      </w:r>
      <w:r>
        <w:rPr>
          <w:vertAlign w:val="subscript"/>
        </w:rPr>
        <w:t>2</w:t>
      </w:r>
      <w:r>
        <w:t>-екв. или 62</w:t>
      </w:r>
      <w:r>
        <w:rPr>
          <w:color w:val="222222"/>
        </w:rPr>
        <w:t>.28</w:t>
      </w:r>
      <w:r>
        <w:t> % от емисиите през базовата 1988°г. България има необходимия резерв, който осигурява изпълнение на поетите международни ангажименти.</w:t>
      </w:r>
    </w:p>
    <w:p>
      <w:pPr>
        <w:jc w:val="both"/>
      </w:pPr>
      <w:r>
        <w:rPr>
          <w:noProof/>
        </w:rPr>
        <w:drawing>
          <wp:inline distT="0" distB="0" distL="0" distR="0">
            <wp:extent cx="230505" cy="230505"/>
            <wp:effectExtent l="0" t="0" r="0" b="0"/>
            <wp:docPr id="12" name="Picture 26" descr="state-b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ate-bad.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r>
        <w:t> </w:t>
      </w:r>
      <w:r>
        <w:rPr>
          <w:noProof/>
        </w:rPr>
        <w:t>С</w:t>
      </w:r>
      <w:r>
        <w:t>редната годишна температура за ниската част от страната е 13</w:t>
      </w:r>
      <w:r>
        <w:rPr>
          <w:color w:val="222222"/>
        </w:rPr>
        <w:t>.8</w:t>
      </w:r>
      <w:r>
        <w:t>°С, което е с 1</w:t>
      </w:r>
      <w:r>
        <w:rPr>
          <w:color w:val="222222"/>
        </w:rPr>
        <w:t>.8</w:t>
      </w:r>
      <w:r>
        <w:t>°С над нормата. Наблюдава се устойчива положителна тенденция на изменение на този индикатор.</w:t>
      </w:r>
    </w:p>
    <w:p>
      <w:pPr>
        <w:shd w:val="clear" w:color="auto" w:fill="FFFFFF"/>
        <w:tabs>
          <w:tab w:val="left" w:pos="0"/>
        </w:tabs>
        <w:jc w:val="both"/>
      </w:pPr>
    </w:p>
    <w:p>
      <w:pPr>
        <w:shd w:val="clear" w:color="auto" w:fill="FFFFFF"/>
        <w:tabs>
          <w:tab w:val="left" w:pos="0"/>
        </w:tabs>
        <w:jc w:val="both"/>
        <w:rPr>
          <w:b/>
          <w:i/>
          <w:u w:val="single"/>
          <w:lang w:eastAsia="ar-SA"/>
        </w:rPr>
      </w:pPr>
      <w:r>
        <w:rPr>
          <w:b/>
          <w:i/>
          <w:u w:val="single"/>
        </w:rPr>
        <w:t>Раздел „Управление на водните ресурси и качество на водите“</w:t>
      </w:r>
    </w:p>
    <w:p>
      <w:pPr>
        <w:widowControl w:val="0"/>
        <w:tabs>
          <w:tab w:val="left" w:pos="567"/>
        </w:tabs>
        <w:jc w:val="both"/>
        <w:rPr>
          <w:rFonts w:eastAsia="Calibri"/>
          <w:color w:val="000000"/>
          <w:lang w:eastAsia="ar-SA"/>
        </w:rPr>
      </w:pPr>
      <w:r>
        <w:rPr>
          <w:noProof/>
        </w:rPr>
        <w:drawing>
          <wp:inline distT="0" distB="0" distL="0" distR="0">
            <wp:extent cx="230505" cy="230505"/>
            <wp:effectExtent l="0" t="0" r="0" b="0"/>
            <wp:docPr id="13" name="Picture 10" descr="smil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mile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r>
        <w:t> </w:t>
      </w:r>
      <w:r>
        <w:rPr>
          <w:rFonts w:eastAsia="Calibri"/>
          <w:color w:val="000000"/>
          <w:lang w:eastAsia="ar-SA"/>
        </w:rPr>
        <w:t>Общият индекс на експлоатация на водните ресурси в периода 1991-2024</w:t>
      </w:r>
      <w:r>
        <w:rPr>
          <w:szCs w:val="20"/>
        </w:rPr>
        <w:t> </w:t>
      </w:r>
      <w:r>
        <w:rPr>
          <w:rFonts w:eastAsia="Calibri"/>
          <w:color w:val="000000"/>
          <w:lang w:eastAsia="ar-SA"/>
        </w:rPr>
        <w:t>г. е под 10</w:t>
      </w:r>
      <w:r>
        <w:rPr>
          <w:szCs w:val="20"/>
        </w:rPr>
        <w:t> </w:t>
      </w:r>
      <w:r>
        <w:rPr>
          <w:rFonts w:eastAsia="Calibri"/>
          <w:color w:val="000000"/>
          <w:lang w:eastAsia="ar-SA"/>
        </w:rPr>
        <w:t>%, което означава, че няма стрес върху възобновимите пресни водни ресурси на България. Въпреки, че няма натиск върху водните ресурси на национално равнище, недостиг на вода може да се наблюдава в определени райони с недостатъчни ресурси, висока гъстота на населението и интензивни промишлени дейности, както и други фактори</w:t>
      </w:r>
    </w:p>
    <w:p>
      <w:pPr>
        <w:widowControl w:val="0"/>
        <w:tabs>
          <w:tab w:val="left" w:pos="567"/>
        </w:tabs>
        <w:jc w:val="both"/>
        <w:rPr>
          <w:rFonts w:eastAsia="Calibri"/>
          <w:color w:val="000000"/>
          <w:lang w:eastAsia="ar-SA"/>
        </w:rPr>
      </w:pPr>
      <w:r>
        <w:rPr>
          <w:noProof/>
        </w:rPr>
        <w:drawing>
          <wp:inline distT="0" distB="0" distL="0" distR="0">
            <wp:extent cx="230505" cy="230505"/>
            <wp:effectExtent l="0" t="0" r="0" b="0"/>
            <wp:docPr id="14" name="Picture 14" descr="smil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mile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r>
        <w:t> </w:t>
      </w:r>
      <w:r>
        <w:rPr>
          <w:rFonts w:eastAsia="Calibri"/>
          <w:color w:val="000000"/>
          <w:lang w:eastAsia="ar-SA"/>
        </w:rPr>
        <w:t>България се отличава с относително значими пресни водни ресурси в сравнение с други европейски страни, както по абсолютен обем, така и на човек от населението. През 2024 г. пресните водни ресурси</w:t>
      </w:r>
      <w:r>
        <w:rPr>
          <w:rFonts w:eastAsia="Calibri"/>
          <w:color w:val="000000"/>
          <w:lang w:eastAsia="ar-SA"/>
        </w:rPr>
        <w:footnoteReference w:id="1"/>
      </w:r>
      <w:r>
        <w:rPr>
          <w:rFonts w:eastAsia="Calibri"/>
          <w:color w:val="000000"/>
          <w:lang w:eastAsia="ar-SA"/>
        </w:rPr>
        <w:t xml:space="preserve"> средно на човек в България се оценяват на 13 884 м</w:t>
      </w:r>
      <w:r>
        <w:rPr>
          <w:rFonts w:eastAsia="Calibri"/>
          <w:color w:val="000000"/>
          <w:vertAlign w:val="superscript"/>
          <w:lang w:eastAsia="ar-SA"/>
        </w:rPr>
        <w:t>3</w:t>
      </w:r>
      <w:r>
        <w:rPr>
          <w:rFonts w:eastAsia="Calibri"/>
          <w:color w:val="000000"/>
          <w:lang w:eastAsia="ar-SA"/>
        </w:rPr>
        <w:t>, включително дунавските води и друг външен приток.</w:t>
      </w:r>
    </w:p>
    <w:p>
      <w:pPr>
        <w:widowControl w:val="0"/>
        <w:tabs>
          <w:tab w:val="left" w:pos="567"/>
        </w:tabs>
        <w:jc w:val="both"/>
      </w:pPr>
      <w:r>
        <w:rPr>
          <w:noProof/>
        </w:rPr>
        <w:drawing>
          <wp:inline distT="0" distB="0" distL="0" distR="0">
            <wp:extent cx="230505" cy="230505"/>
            <wp:effectExtent l="0" t="0" r="0" b="0"/>
            <wp:docPr id="15" name="Picture 15" descr="smil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mile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r>
        <w:t> </w:t>
      </w:r>
      <w:r>
        <w:rPr>
          <w:lang w:val="ru-RU"/>
        </w:rPr>
        <w:t>През периода 1996-20</w:t>
      </w:r>
      <w:r>
        <w:t>24 </w:t>
      </w:r>
      <w:r>
        <w:rPr>
          <w:lang w:val="ru-RU"/>
        </w:rPr>
        <w:t xml:space="preserve">г. се запазва тенденцията, наблюдавана през последните години за подобряване на качеството на повърхностните и </w:t>
      </w:r>
      <w:r>
        <w:t xml:space="preserve">подземните </w:t>
      </w:r>
      <w:r>
        <w:rPr>
          <w:lang w:val="ru-RU"/>
        </w:rPr>
        <w:t>води.</w:t>
      </w:r>
    </w:p>
    <w:p>
      <w:pPr>
        <w:widowControl w:val="0"/>
        <w:tabs>
          <w:tab w:val="left" w:pos="567"/>
        </w:tabs>
        <w:jc w:val="both"/>
        <w:rPr>
          <w:b/>
        </w:rPr>
      </w:pPr>
      <w:r>
        <w:rPr>
          <w:noProof/>
        </w:rPr>
        <w:drawing>
          <wp:inline distT="0" distB="0" distL="0" distR="0">
            <wp:extent cx="230505" cy="230505"/>
            <wp:effectExtent l="0" t="0" r="0" b="0"/>
            <wp:docPr id="16" name="Picture 16" descr="smil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mile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r>
        <w:t> Осъществява се интегрирано управление на водите на национално ниво и координацията при  управление на водите на басейново ниво, както и международно сътрудничество във връзка прилагане на европейското законодателство и националната политика по управление на водите.</w:t>
      </w:r>
    </w:p>
    <w:p>
      <w:pPr>
        <w:tabs>
          <w:tab w:val="left" w:pos="567"/>
        </w:tabs>
        <w:jc w:val="both"/>
      </w:pPr>
      <w:r>
        <w:rPr>
          <w:b/>
          <w:noProof/>
        </w:rPr>
        <w:drawing>
          <wp:inline distT="0" distB="0" distL="0" distR="0">
            <wp:extent cx="230505" cy="230505"/>
            <wp:effectExtent l="0" t="0" r="0" b="0"/>
            <wp:docPr id="17" name="Picture 17" descr="smil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mile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r>
        <w:t> През 2024 г. не са регистрирани епидемични взривове, свързани с питейните води.</w:t>
      </w:r>
    </w:p>
    <w:p>
      <w:pPr>
        <w:widowControl w:val="0"/>
        <w:tabs>
          <w:tab w:val="left" w:pos="567"/>
        </w:tabs>
        <w:overflowPunct w:val="0"/>
        <w:adjustRightInd w:val="0"/>
        <w:jc w:val="both"/>
        <w:textAlignment w:val="baseline"/>
      </w:pPr>
      <w:r>
        <w:rPr>
          <w:b/>
          <w:noProof/>
        </w:rPr>
        <w:drawing>
          <wp:inline distT="0" distB="0" distL="0" distR="0">
            <wp:extent cx="230505" cy="230505"/>
            <wp:effectExtent l="0" t="0" r="0" b="0"/>
            <wp:docPr id="18" name="Picture 18" descr="smil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mile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r>
        <w:t> През 2024 г. 93 зони за къпане са класифицирани, като такива с „отлично“ качество.</w:t>
      </w:r>
    </w:p>
    <w:p>
      <w:pPr>
        <w:widowControl w:val="0"/>
        <w:overflowPunct w:val="0"/>
        <w:adjustRightInd w:val="0"/>
        <w:jc w:val="both"/>
        <w:textAlignment w:val="baseline"/>
      </w:pPr>
    </w:p>
    <w:p>
      <w:pPr>
        <w:shd w:val="clear" w:color="auto" w:fill="FFFFFF"/>
        <w:tabs>
          <w:tab w:val="left" w:pos="0"/>
        </w:tabs>
        <w:jc w:val="both"/>
        <w:rPr>
          <w:b/>
          <w:i/>
          <w:u w:val="single"/>
          <w:lang w:eastAsia="ar-SA"/>
        </w:rPr>
      </w:pPr>
      <w:r>
        <w:rPr>
          <w:b/>
          <w:i/>
          <w:u w:val="single"/>
          <w:lang w:eastAsia="ar-SA"/>
        </w:rPr>
        <w:t>Раздел „Земеползване и състояние на почвите“</w:t>
      </w:r>
    </w:p>
    <w:p>
      <w:pPr>
        <w:shd w:val="clear" w:color="auto" w:fill="FFFFFF"/>
        <w:tabs>
          <w:tab w:val="left" w:pos="567"/>
        </w:tabs>
        <w:jc w:val="both"/>
        <w:rPr>
          <w:b/>
          <w:color w:val="000000"/>
        </w:rPr>
      </w:pPr>
      <w:r>
        <w:rPr>
          <w:b/>
          <w:noProof/>
        </w:rPr>
        <w:drawing>
          <wp:inline distT="0" distB="0" distL="0" distR="0">
            <wp:extent cx="246380" cy="246380"/>
            <wp:effectExtent l="0" t="0" r="0" b="0"/>
            <wp:docPr id="19" name="Picture 19" descr="smil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mile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6380" cy="246380"/>
                    </a:xfrm>
                    <a:prstGeom prst="rect">
                      <a:avLst/>
                    </a:prstGeom>
                    <a:noFill/>
                    <a:ln>
                      <a:noFill/>
                    </a:ln>
                  </pic:spPr>
                </pic:pic>
              </a:graphicData>
            </a:graphic>
          </wp:inline>
        </w:drawing>
      </w:r>
      <w:r>
        <w:tab/>
      </w:r>
      <w:r>
        <w:rPr>
          <w:bCs/>
          <w:color w:val="000000"/>
        </w:rPr>
        <w:t>В периода 2012</w:t>
      </w:r>
      <w:r>
        <w:rPr>
          <w:color w:val="000000"/>
        </w:rPr>
        <w:t> </w:t>
      </w:r>
      <w:r>
        <w:rPr>
          <w:bCs/>
          <w:color w:val="000000"/>
        </w:rPr>
        <w:t>-</w:t>
      </w:r>
      <w:r>
        <w:rPr>
          <w:color w:val="000000"/>
        </w:rPr>
        <w:t> </w:t>
      </w:r>
      <w:r>
        <w:rPr>
          <w:bCs/>
          <w:color w:val="000000"/>
        </w:rPr>
        <w:t>2024</w:t>
      </w:r>
      <w:r>
        <w:rPr>
          <w:color w:val="000000"/>
        </w:rPr>
        <w:t> </w:t>
      </w:r>
      <w:r>
        <w:rPr>
          <w:bCs/>
          <w:color w:val="000000"/>
        </w:rPr>
        <w:t>г. се наблюдава трайна тенденция на запазване на площите, заети с обработваеми земи и намаляване на необработваемите земи. В сравнение с 2023</w:t>
      </w:r>
      <w:r>
        <w:rPr>
          <w:color w:val="000000"/>
        </w:rPr>
        <w:t> </w:t>
      </w:r>
      <w:r>
        <w:rPr>
          <w:bCs/>
          <w:color w:val="000000"/>
        </w:rPr>
        <w:t>г., се наблюдава леко увеличение на обработваемите земи (с 0,2</w:t>
      </w:r>
      <w:r>
        <w:rPr>
          <w:color w:val="000000"/>
        </w:rPr>
        <w:t> </w:t>
      </w:r>
      <w:r>
        <w:rPr>
          <w:bCs/>
          <w:color w:val="000000"/>
        </w:rPr>
        <w:t>%).</w:t>
      </w:r>
    </w:p>
    <w:p>
      <w:pPr>
        <w:tabs>
          <w:tab w:val="left" w:pos="567"/>
        </w:tabs>
        <w:jc w:val="both"/>
      </w:pPr>
      <w:r>
        <w:rPr>
          <w:noProof/>
        </w:rPr>
        <w:drawing>
          <wp:inline distT="0" distB="0" distL="0" distR="0">
            <wp:extent cx="230505" cy="230505"/>
            <wp:effectExtent l="0" t="0" r="0" b="0"/>
            <wp:docPr id="20" name="Picture 20" descr="Description: smil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escription: smile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r>
        <w:rPr>
          <w:noProof/>
        </w:rPr>
        <w:t xml:space="preserve"> </w:t>
      </w:r>
      <w:r>
        <w:t>В периода 2005</w:t>
      </w:r>
      <w:r>
        <w:rPr>
          <w:bCs/>
        </w:rPr>
        <w:t> </w:t>
      </w:r>
      <w:r>
        <w:t>-</w:t>
      </w:r>
      <w:r>
        <w:rPr>
          <w:bCs/>
        </w:rPr>
        <w:t> </w:t>
      </w:r>
      <w:r>
        <w:t>2024</w:t>
      </w:r>
      <w:r>
        <w:rPr>
          <w:color w:val="000000"/>
        </w:rPr>
        <w:t> </w:t>
      </w:r>
      <w:r>
        <w:t xml:space="preserve">г. почвите в страната са в сравнително добро екологично състояние по отношение на запасеност с биогенни елементи/органично вещество, </w:t>
      </w:r>
      <w:r>
        <w:rPr>
          <w:color w:val="000000"/>
        </w:rPr>
        <w:t>така и по отношение на замърсяване с тежки метали, металоиди и устойчиви органични замърсители.</w:t>
      </w:r>
    </w:p>
    <w:p>
      <w:pPr>
        <w:tabs>
          <w:tab w:val="left" w:pos="567"/>
        </w:tabs>
        <w:jc w:val="both"/>
      </w:pPr>
      <w:r>
        <w:rPr>
          <w:noProof/>
        </w:rPr>
        <w:lastRenderedPageBreak/>
        <w:drawing>
          <wp:inline distT="0" distB="0" distL="0" distR="0">
            <wp:extent cx="230505" cy="230505"/>
            <wp:effectExtent l="0" t="0" r="0" b="0"/>
            <wp:docPr id="21" name="Picture 21" descr="state-g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tate-good.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r>
        <w:t> За периода 2014-2024 г. са констатирани положителни тенденции по отношение на цялостния процес на управление на складовете за забранени и с изтекъл срок на годност продукти за растителна защита (ПРЗ) и площите около тях.</w:t>
      </w:r>
    </w:p>
    <w:p>
      <w:pPr>
        <w:shd w:val="clear" w:color="auto" w:fill="FFFFFF"/>
        <w:tabs>
          <w:tab w:val="left" w:pos="0"/>
        </w:tabs>
        <w:jc w:val="both"/>
        <w:rPr>
          <w:color w:val="000000"/>
        </w:rPr>
      </w:pPr>
      <w:r>
        <w:rPr>
          <w:noProof/>
          <w:color w:val="000000"/>
        </w:rPr>
        <w:drawing>
          <wp:inline distT="0" distB="0" distL="0" distR="0">
            <wp:extent cx="238760" cy="238760"/>
            <wp:effectExtent l="0" t="0" r="0" b="0"/>
            <wp:docPr id="22" name="Picture 22" descr="Description: g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escription: goo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760" cy="238760"/>
                    </a:xfrm>
                    <a:prstGeom prst="rect">
                      <a:avLst/>
                    </a:prstGeom>
                    <a:noFill/>
                    <a:ln>
                      <a:noFill/>
                    </a:ln>
                  </pic:spPr>
                </pic:pic>
              </a:graphicData>
            </a:graphic>
          </wp:inline>
        </w:drawing>
      </w:r>
      <w:r>
        <w:rPr>
          <w:color w:val="000000"/>
        </w:rPr>
        <w:t>През 2024 г. броят на нововъзникналите и активизирани свлачища е леко намалял спрямо 2023 г.</w:t>
      </w:r>
      <w:r>
        <w:rPr>
          <w:rFonts w:eastAsia="Calibri"/>
        </w:rPr>
        <w:t xml:space="preserve"> От общия брой регистрирани свлачища </w:t>
      </w:r>
      <w:r>
        <w:rPr>
          <w:rFonts w:eastAsia="Calibri"/>
          <w:lang w:val="ru-RU"/>
        </w:rPr>
        <w:t>(2 248</w:t>
      </w:r>
      <w:r>
        <w:rPr>
          <w:rFonts w:eastAsia="Calibri"/>
        </w:rPr>
        <w:t xml:space="preserve"> бр.</w:t>
      </w:r>
      <w:r>
        <w:rPr>
          <w:rFonts w:eastAsia="Calibri"/>
          <w:lang w:val="ru-RU"/>
        </w:rPr>
        <w:t>)</w:t>
      </w:r>
      <w:r>
        <w:rPr>
          <w:rFonts w:eastAsia="Calibri"/>
        </w:rPr>
        <w:t>,</w:t>
      </w:r>
      <w:r>
        <w:rPr>
          <w:rFonts w:eastAsia="Calibri"/>
          <w:lang w:val="ru-RU"/>
        </w:rPr>
        <w:t xml:space="preserve"> </w:t>
      </w:r>
      <w:r>
        <w:rPr>
          <w:rFonts w:eastAsia="Calibri"/>
        </w:rPr>
        <w:t>1 316 бр. (59 % от общия брой) с площ около 16 428 ha (74 % от общата площ) са в урбанизирани територии. Останалите 932 бр. с площ около 5 689 ha, са разпространени по републикански и общински пътища, и частично – в земеделски и горски територии.</w:t>
      </w:r>
    </w:p>
    <w:p>
      <w:pPr>
        <w:tabs>
          <w:tab w:val="left" w:pos="567"/>
        </w:tabs>
        <w:jc w:val="both"/>
      </w:pPr>
      <w:r>
        <w:rPr>
          <w:noProof/>
        </w:rPr>
        <w:drawing>
          <wp:inline distT="0" distB="0" distL="0" distR="0">
            <wp:extent cx="238760" cy="23876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8760" cy="238760"/>
                    </a:xfrm>
                    <a:prstGeom prst="rect">
                      <a:avLst/>
                    </a:prstGeom>
                    <a:noFill/>
                    <a:ln>
                      <a:noFill/>
                    </a:ln>
                  </pic:spPr>
                </pic:pic>
              </a:graphicData>
            </a:graphic>
          </wp:inline>
        </w:drawing>
      </w:r>
      <w:r>
        <w:tab/>
        <w:t>В периода 2015 - 2024 г. засегнатите площи от плоскостна водна ерозия и почвените загуби се увеличават. В сравнение с предходната година, през 2024 г. се наблюдава намаляване на интензитета на плоскостната водна ерозия.</w:t>
      </w:r>
    </w:p>
    <w:p>
      <w:pPr>
        <w:tabs>
          <w:tab w:val="left" w:pos="567"/>
        </w:tabs>
        <w:jc w:val="both"/>
        <w:rPr>
          <w:bCs/>
        </w:rPr>
      </w:pPr>
      <w:r>
        <w:rPr>
          <w:noProof/>
        </w:rPr>
        <w:drawing>
          <wp:inline distT="0" distB="0" distL="0" distR="0">
            <wp:extent cx="238760" cy="238760"/>
            <wp:effectExtent l="0" t="0" r="0" b="0"/>
            <wp:docPr id="24" name="Picture 24" descr="Description: g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escription: goo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760" cy="238760"/>
                    </a:xfrm>
                    <a:prstGeom prst="rect">
                      <a:avLst/>
                    </a:prstGeom>
                    <a:noFill/>
                    <a:ln>
                      <a:noFill/>
                    </a:ln>
                  </pic:spPr>
                </pic:pic>
              </a:graphicData>
            </a:graphic>
          </wp:inline>
        </w:drawing>
      </w:r>
      <w:r>
        <w:rPr>
          <w:bCs/>
        </w:rPr>
        <w:tab/>
        <w:t>В периода 2015</w:t>
      </w:r>
      <w:r>
        <w:t> </w:t>
      </w:r>
      <w:r>
        <w:rPr>
          <w:bCs/>
        </w:rPr>
        <w:t>-</w:t>
      </w:r>
      <w:r>
        <w:t> </w:t>
      </w:r>
      <w:r>
        <w:rPr>
          <w:bCs/>
        </w:rPr>
        <w:t>2024</w:t>
      </w:r>
      <w:r>
        <w:t> </w:t>
      </w:r>
      <w:r>
        <w:rPr>
          <w:bCs/>
        </w:rPr>
        <w:t xml:space="preserve">г. засегнатите площи от ветрова ерозия остават относително постоянни. В сравнение с </w:t>
      </w:r>
      <w:r>
        <w:t>предходната година</w:t>
      </w:r>
      <w:r>
        <w:rPr>
          <w:bCs/>
        </w:rPr>
        <w:t>, през 2024</w:t>
      </w:r>
      <w:r>
        <w:t> </w:t>
      </w:r>
      <w:r>
        <w:rPr>
          <w:bCs/>
        </w:rPr>
        <w:t>г. се наблюдава намаляване на интензитета на ветровата ерозия.</w:t>
      </w:r>
    </w:p>
    <w:p>
      <w:pPr>
        <w:tabs>
          <w:tab w:val="left" w:pos="567"/>
        </w:tabs>
        <w:jc w:val="both"/>
      </w:pPr>
      <w:r>
        <w:rPr>
          <w:i/>
          <w:noProof/>
        </w:rPr>
        <w:drawing>
          <wp:inline distT="0" distB="0" distL="0" distR="0">
            <wp:extent cx="230505" cy="230505"/>
            <wp:effectExtent l="0" t="0" r="0" b="0"/>
            <wp:docPr id="25" name="Picture 25" descr="g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goo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r>
        <w:tab/>
        <w:t>В периода 2016</w:t>
      </w:r>
      <w:r>
        <w:rPr>
          <w:bCs/>
        </w:rPr>
        <w:t> </w:t>
      </w:r>
      <w:r>
        <w:t>-</w:t>
      </w:r>
      <w:r>
        <w:rPr>
          <w:bCs/>
        </w:rPr>
        <w:t> </w:t>
      </w:r>
      <w:r>
        <w:t>2024 г. степента на вкисляване на почвата, измервана в пунктовете за мониторинг се запазва. Очертава се тенденция към по-ниски степени на вредно вкисляване и намаляване на съдържанието на обмèнен алуминий.</w:t>
      </w:r>
    </w:p>
    <w:p>
      <w:pPr>
        <w:tabs>
          <w:tab w:val="left" w:pos="567"/>
        </w:tabs>
        <w:jc w:val="both"/>
      </w:pPr>
      <w:r>
        <w:rPr>
          <w:i/>
          <w:noProof/>
        </w:rPr>
        <w:drawing>
          <wp:inline distT="0" distB="0" distL="0" distR="0">
            <wp:extent cx="230505" cy="230505"/>
            <wp:effectExtent l="0" t="0" r="0" b="0"/>
            <wp:docPr id="26" name="Picture 14" descr="g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oo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r>
        <w:tab/>
        <w:t>В периода 2016</w:t>
      </w:r>
      <w:r>
        <w:rPr>
          <w:bCs/>
        </w:rPr>
        <w:t> </w:t>
      </w:r>
      <w:r>
        <w:t>-</w:t>
      </w:r>
      <w:r>
        <w:rPr>
          <w:bCs/>
        </w:rPr>
        <w:t> </w:t>
      </w:r>
      <w:r>
        <w:t>2024 г. тенденциите за засоляване на почвите се запазват, като в някои от пунктовете се установява намаляване на съдържанието на обмèнен натрий (Na) и понижаване на почвената реакция (рН).</w:t>
      </w:r>
    </w:p>
    <w:p>
      <w:pPr>
        <w:jc w:val="both"/>
      </w:pPr>
    </w:p>
    <w:p>
      <w:pPr>
        <w:shd w:val="clear" w:color="auto" w:fill="FFFFFF"/>
        <w:tabs>
          <w:tab w:val="left" w:pos="0"/>
        </w:tabs>
        <w:jc w:val="both"/>
        <w:rPr>
          <w:b/>
          <w:i/>
          <w:u w:val="single"/>
          <w:lang w:eastAsia="ar-SA"/>
        </w:rPr>
      </w:pPr>
      <w:r>
        <w:rPr>
          <w:b/>
          <w:i/>
          <w:u w:val="single"/>
          <w:lang w:eastAsia="ar-SA"/>
        </w:rPr>
        <w:t>Раздел „Биологично разнообразие. Национална екологична мрежа“</w:t>
      </w:r>
    </w:p>
    <w:p>
      <w:pPr>
        <w:pStyle w:val="mcntmcntmsonormal"/>
        <w:shd w:val="clear" w:color="auto" w:fill="FFFFFF"/>
        <w:spacing w:before="0" w:beforeAutospacing="0" w:after="0" w:afterAutospacing="0"/>
        <w:jc w:val="both"/>
      </w:pPr>
      <w:r>
        <w:rPr>
          <w:b/>
          <w:iCs/>
          <w:noProof/>
        </w:rPr>
        <w:drawing>
          <wp:inline distT="0" distB="0" distL="0" distR="0">
            <wp:extent cx="230505" cy="230505"/>
            <wp:effectExtent l="0" t="0" r="0" b="0"/>
            <wp:docPr id="27" name="Picture 3" descr="state-moder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ate-moderate.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r>
        <w:t> Общият индекс за състоянието на обикновените видове птици за периода 2005</w:t>
      </w:r>
      <w:r>
        <w:rPr>
          <w:bCs/>
        </w:rPr>
        <w:t> - </w:t>
      </w:r>
      <w:r>
        <w:t>2024 г. показва негативна тенденция, като птиците в земеделските земи са с намаляваща тенденция, а птиците на горите – с нарастваща. От всички оценени през 2024 г. 80 вида птици, тези с тенденция към намаляване на числеността са 26 %, с тенденция на увеличаване са 14</w:t>
      </w:r>
      <w:r>
        <w:rPr>
          <w:bCs/>
        </w:rPr>
        <w:t> </w:t>
      </w:r>
      <w:r>
        <w:t>%, стабилните са 33</w:t>
      </w:r>
      <w:r>
        <w:rPr>
          <w:bCs/>
        </w:rPr>
        <w:t> </w:t>
      </w:r>
      <w:r>
        <w:t>%, а тези с неопределена категория на тенденцията са 28</w:t>
      </w:r>
      <w:r>
        <w:rPr>
          <w:bCs/>
        </w:rPr>
        <w:t> </w:t>
      </w:r>
      <w:r>
        <w:t>%.</w:t>
      </w:r>
    </w:p>
    <w:p>
      <w:pPr>
        <w:pStyle w:val="mcntmcntmsonormal"/>
        <w:shd w:val="clear" w:color="auto" w:fill="FFFFFF"/>
        <w:spacing w:before="0" w:beforeAutospacing="0" w:after="0" w:afterAutospacing="0"/>
        <w:jc w:val="both"/>
      </w:pPr>
      <w:r>
        <w:rPr>
          <w:b/>
          <w:iCs/>
          <w:noProof/>
        </w:rPr>
        <w:drawing>
          <wp:inline distT="0" distB="0" distL="0" distR="0">
            <wp:extent cx="230505" cy="230505"/>
            <wp:effectExtent l="0" t="0" r="0" b="0"/>
            <wp:docPr id="28" name="Picture 28" descr="state-moder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tate-moderate.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r>
        <w:t> Данните от мониторинга, в рамките на Националната система за мониторинг на състоянието на биологичното разнообразие, на два знакови вида от българската фауна – дива коза и мечка, показва, че в периода 2011</w:t>
      </w:r>
      <w:r>
        <w:rPr>
          <w:bCs/>
        </w:rPr>
        <w:t> </w:t>
      </w:r>
      <w:r>
        <w:t>-</w:t>
      </w:r>
      <w:r>
        <w:rPr>
          <w:bCs/>
        </w:rPr>
        <w:t> </w:t>
      </w:r>
      <w:r>
        <w:t>2024 г. за дивата коза се наблюдава устойчива умерено положителна тенденция на увеличаване на числеността, докато за мечката общата тенденция за същия период е за намаляване на числеността на популацията, със слабо увеличаване в края на периода.</w:t>
      </w:r>
    </w:p>
    <w:p>
      <w:pPr>
        <w:pStyle w:val="mcntmcntmsonormal"/>
        <w:shd w:val="clear" w:color="auto" w:fill="FFFFFF"/>
        <w:spacing w:before="0" w:beforeAutospacing="0" w:after="0" w:afterAutospacing="0"/>
        <w:jc w:val="both"/>
      </w:pPr>
      <w:r>
        <w:rPr>
          <w:noProof/>
        </w:rPr>
        <w:drawing>
          <wp:inline distT="0" distB="0" distL="0" distR="0">
            <wp:extent cx="230505" cy="230505"/>
            <wp:effectExtent l="0" t="0" r="0" b="0"/>
            <wp:docPr id="29" name="Picture 23" descr="Description: smil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escription: smile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r>
        <w:t> За периода 2004</w:t>
      </w:r>
      <w:r>
        <w:rPr>
          <w:bCs/>
        </w:rPr>
        <w:t> </w:t>
      </w:r>
      <w:r>
        <w:t>-</w:t>
      </w:r>
      <w:r>
        <w:rPr>
          <w:bCs/>
        </w:rPr>
        <w:t> </w:t>
      </w:r>
      <w:r>
        <w:t>2024 г., тенденцията в площта на защитените територии е за увеличаване, като след 2008 г. стойността ѝ остава относително постоянна величина. Към края на 2024</w:t>
      </w:r>
      <w:r>
        <w:rPr>
          <w:bCs/>
        </w:rPr>
        <w:t> </w:t>
      </w:r>
      <w:r>
        <w:t>г. защитените територии са 5.27 % от територията на страната. В сравнение с 2023</w:t>
      </w:r>
      <w:r>
        <w:rPr>
          <w:bCs/>
        </w:rPr>
        <w:t> </w:t>
      </w:r>
      <w:r>
        <w:t xml:space="preserve">г. делът на площта на защитените зони от екологичната мрежа Натура 2000 се запазва - те покриват общо 34.9 % от територията на страната. </w:t>
      </w:r>
      <w:r>
        <w:rPr>
          <w:lang w:val="ru-RU"/>
        </w:rPr>
        <w:t>По пространствено/площно покритие, на зоните от екологичната мрежа Натура 2000, спрямо националната територия, България се нарежда на трето място в ЕС, след Словения и Хърватия. Индексът на достатъчност на предложените Натура 2000 зони се доближава до 100</w:t>
      </w:r>
      <w:r>
        <w:rPr>
          <w:lang w:val="en-US"/>
        </w:rPr>
        <w:t> </w:t>
      </w:r>
      <w:r>
        <w:rPr>
          <w:lang w:val="ru-RU"/>
        </w:rPr>
        <w:t>%.</w:t>
      </w:r>
    </w:p>
    <w:p>
      <w:pPr>
        <w:pStyle w:val="mcntmcntmsonormal"/>
        <w:shd w:val="clear" w:color="auto" w:fill="FFFFFF"/>
        <w:spacing w:before="0" w:beforeAutospacing="0" w:after="0" w:afterAutospacing="0"/>
        <w:jc w:val="both"/>
      </w:pPr>
      <w:r>
        <w:rPr>
          <w:noProof/>
        </w:rPr>
        <w:drawing>
          <wp:inline distT="0" distB="0" distL="0" distR="0">
            <wp:extent cx="238760" cy="238760"/>
            <wp:effectExtent l="0" t="0" r="0" b="0"/>
            <wp:docPr id="3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8760" cy="238760"/>
                    </a:xfrm>
                    <a:prstGeom prst="rect">
                      <a:avLst/>
                    </a:prstGeom>
                    <a:noFill/>
                    <a:ln>
                      <a:noFill/>
                    </a:ln>
                  </pic:spPr>
                </pic:pic>
              </a:graphicData>
            </a:graphic>
          </wp:inline>
        </w:drawing>
      </w:r>
      <w:r>
        <w:t> През 2024</w:t>
      </w:r>
      <w:r>
        <w:rPr>
          <w:bCs/>
        </w:rPr>
        <w:t> </w:t>
      </w:r>
      <w:r>
        <w:t xml:space="preserve">г. е установен нов за България инвазивен вид мъх – </w:t>
      </w:r>
      <w:r>
        <w:rPr>
          <w:i/>
        </w:rPr>
        <w:t xml:space="preserve">Campylopus introflexus, </w:t>
      </w:r>
      <w:r>
        <w:t xml:space="preserve">който представлява заплаха за новоустановения за България и включен в Червения списък на мъховете в Европа, с категорията „критично застрашен“ вид </w:t>
      </w:r>
      <w:r>
        <w:rPr>
          <w:i/>
        </w:rPr>
        <w:t>Bruchia flexuosa</w:t>
      </w:r>
      <w:r>
        <w:t>. През 2024 г. е доказана адаптацията в България на чуждия инвазивен вид – американска норка (</w:t>
      </w:r>
      <w:r>
        <w:rPr>
          <w:i/>
        </w:rPr>
        <w:t>Neogale vison</w:t>
      </w:r>
      <w:r>
        <w:t>).</w:t>
      </w:r>
    </w:p>
    <w:p>
      <w:pPr>
        <w:shd w:val="clear" w:color="auto" w:fill="FFFFFF"/>
        <w:tabs>
          <w:tab w:val="left" w:pos="0"/>
        </w:tabs>
        <w:jc w:val="both"/>
        <w:rPr>
          <w:iCs/>
          <w:lang w:eastAsia="ar-SA"/>
        </w:rPr>
      </w:pPr>
    </w:p>
    <w:p>
      <w:pPr>
        <w:shd w:val="clear" w:color="auto" w:fill="FFFFFF"/>
        <w:tabs>
          <w:tab w:val="left" w:pos="0"/>
        </w:tabs>
        <w:jc w:val="both"/>
        <w:rPr>
          <w:b/>
          <w:i/>
          <w:u w:val="single"/>
          <w:lang w:eastAsia="ar-SA"/>
        </w:rPr>
      </w:pPr>
      <w:r>
        <w:rPr>
          <w:b/>
          <w:i/>
          <w:u w:val="single"/>
          <w:lang w:eastAsia="ar-SA"/>
        </w:rPr>
        <w:lastRenderedPageBreak/>
        <w:t xml:space="preserve">Раздел </w:t>
      </w:r>
      <w:r>
        <w:rPr>
          <w:b/>
          <w:i/>
          <w:u w:val="single"/>
        </w:rPr>
        <w:t>„Гори“</w:t>
      </w:r>
    </w:p>
    <w:p>
      <w:pPr>
        <w:shd w:val="clear" w:color="auto" w:fill="FFFFFF"/>
        <w:tabs>
          <w:tab w:val="left" w:pos="0"/>
        </w:tabs>
        <w:jc w:val="both"/>
      </w:pPr>
      <w:r>
        <w:rPr>
          <w:b/>
          <w:noProof/>
        </w:rPr>
        <w:drawing>
          <wp:inline distT="0" distB="0" distL="0" distR="0">
            <wp:extent cx="230505" cy="230505"/>
            <wp:effectExtent l="0" t="0" r="0" b="0"/>
            <wp:docPr id="31" name="Picture 31" descr="s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a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r>
        <w:t> П</w:t>
      </w:r>
      <w:r>
        <w:rPr>
          <w:shd w:val="clear" w:color="auto" w:fill="FFFFFF"/>
        </w:rPr>
        <w:t xml:space="preserve">рез 2024 г. здравословното състояние на горите се влошава. </w:t>
      </w:r>
      <w:r>
        <w:t>Резултатите показват намаляващ брой на „здравите“ и „слабо увредени“ дървета, спрямо предходната 2023 г., по-значително при широколистните дървета с 24,4 %, при иглолистните е с 2,3 %. През 2024 г. България е над средните стойности и по двата показателя „брой пожари“ и „опожарени територии“, в сравнение със средностатистическите показатели за периода 2014 - 2023 г. - 595 горски пожара и 17 116,4 ha опожарени горски територии.</w:t>
      </w:r>
    </w:p>
    <w:p>
      <w:pPr>
        <w:shd w:val="clear" w:color="auto" w:fill="FFFFFF"/>
        <w:tabs>
          <w:tab w:val="left" w:pos="0"/>
        </w:tabs>
        <w:jc w:val="both"/>
        <w:rPr>
          <w:b/>
          <w:i/>
          <w:u w:val="single"/>
          <w:lang w:eastAsia="ar-SA"/>
        </w:rPr>
      </w:pPr>
      <w:r>
        <w:rPr>
          <w:b/>
          <w:noProof/>
        </w:rPr>
        <w:drawing>
          <wp:inline distT="0" distB="0" distL="0" distR="0">
            <wp:extent cx="230505" cy="230505"/>
            <wp:effectExtent l="0" t="0" r="0" b="0"/>
            <wp:docPr id="32" name="Picture 32" descr="smil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mile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r>
        <w:t> </w:t>
      </w:r>
      <w:r>
        <w:rPr>
          <w:shd w:val="clear" w:color="auto" w:fill="FFFFFF"/>
        </w:rPr>
        <w:t>Установена е трайна тенденция за увеличаване на общата площ на горските територии, като от 1960</w:t>
      </w:r>
      <w:r>
        <w:rPr>
          <w:rFonts w:eastAsia="Calibri"/>
          <w:u w:color="000000"/>
          <w:bdr w:val="nil"/>
          <w:lang w:bidi="bg-BG"/>
        </w:rPr>
        <w:t> </w:t>
      </w:r>
      <w:r>
        <w:rPr>
          <w:shd w:val="clear" w:color="auto" w:fill="FFFFFF"/>
        </w:rPr>
        <w:t>г. към края на 2024</w:t>
      </w:r>
      <w:r>
        <w:rPr>
          <w:rFonts w:eastAsia="Calibri"/>
          <w:u w:color="000000"/>
          <w:bdr w:val="nil"/>
          <w:lang w:bidi="bg-BG"/>
        </w:rPr>
        <w:t> </w:t>
      </w:r>
      <w:r>
        <w:rPr>
          <w:shd w:val="clear" w:color="auto" w:fill="FFFFFF"/>
        </w:rPr>
        <w:t>г. тя е увеличена със 17.8</w:t>
      </w:r>
      <w:r>
        <w:t> </w:t>
      </w:r>
      <w:r>
        <w:rPr>
          <w:shd w:val="clear" w:color="auto" w:fill="FFFFFF"/>
        </w:rPr>
        <w:t>%.</w:t>
      </w:r>
    </w:p>
    <w:p>
      <w:pPr>
        <w:shd w:val="clear" w:color="auto" w:fill="FFFFFF"/>
        <w:tabs>
          <w:tab w:val="left" w:pos="0"/>
        </w:tabs>
        <w:jc w:val="both"/>
        <w:rPr>
          <w:b/>
          <w:i/>
          <w:u w:val="single"/>
          <w:lang w:eastAsia="ar-SA"/>
        </w:rPr>
      </w:pPr>
    </w:p>
    <w:p>
      <w:pPr>
        <w:shd w:val="clear" w:color="auto" w:fill="FFFFFF"/>
        <w:tabs>
          <w:tab w:val="left" w:pos="0"/>
        </w:tabs>
        <w:jc w:val="both"/>
        <w:rPr>
          <w:b/>
          <w:i/>
          <w:u w:val="single"/>
          <w:lang w:eastAsia="ar-SA"/>
        </w:rPr>
      </w:pPr>
      <w:r>
        <w:rPr>
          <w:b/>
          <w:i/>
          <w:u w:val="single"/>
          <w:lang w:eastAsia="ar-SA"/>
        </w:rPr>
        <w:t>Раздел „Отпадъци и материални ресурси“</w:t>
      </w:r>
    </w:p>
    <w:p>
      <w:pPr>
        <w:tabs>
          <w:tab w:val="left" w:pos="567"/>
        </w:tabs>
        <w:jc w:val="both"/>
        <w:rPr>
          <w:noProof/>
        </w:rPr>
      </w:pPr>
      <w:r>
        <w:rPr>
          <w:noProof/>
        </w:rPr>
        <w:drawing>
          <wp:inline distT="0" distB="0" distL="0" distR="0">
            <wp:extent cx="238760" cy="238760"/>
            <wp:effectExtent l="0" t="0" r="0" b="0"/>
            <wp:docPr id="3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8760" cy="238760"/>
                    </a:xfrm>
                    <a:prstGeom prst="rect">
                      <a:avLst/>
                    </a:prstGeom>
                    <a:noFill/>
                    <a:ln>
                      <a:noFill/>
                    </a:ln>
                  </pic:spPr>
                </pic:pic>
              </a:graphicData>
            </a:graphic>
          </wp:inline>
        </w:drawing>
      </w:r>
      <w:r>
        <w:t> </w:t>
      </w:r>
      <w:r>
        <w:rPr>
          <w:noProof/>
        </w:rPr>
        <w:t>Наблюдава се положителна тенденция към подобряване практиките при управление на отпадъците, водещи до намаляване в количествата на образуваните отпадъци.</w:t>
      </w:r>
    </w:p>
    <w:p>
      <w:pPr>
        <w:pBdr>
          <w:top w:val="nil"/>
          <w:left w:val="nil"/>
          <w:bottom w:val="nil"/>
          <w:right w:val="nil"/>
          <w:between w:val="nil"/>
          <w:bar w:val="nil"/>
        </w:pBdr>
        <w:jc w:val="both"/>
      </w:pPr>
      <w:r>
        <w:rPr>
          <w:rFonts w:eastAsia="Calibri"/>
          <w:noProof/>
          <w:color w:val="000000"/>
          <w:u w:color="000000"/>
          <w:bdr w:val="nil"/>
        </w:rPr>
        <w:drawing>
          <wp:inline distT="0" distB="0" distL="0" distR="0">
            <wp:extent cx="238760" cy="23876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8760" cy="238760"/>
                    </a:xfrm>
                    <a:prstGeom prst="rect">
                      <a:avLst/>
                    </a:prstGeom>
                    <a:noFill/>
                    <a:ln>
                      <a:noFill/>
                    </a:ln>
                  </pic:spPr>
                </pic:pic>
              </a:graphicData>
            </a:graphic>
          </wp:inline>
        </w:drawing>
      </w:r>
      <w:r>
        <w:t> По данни на НСИ към 30.06.2025 г., общото количество на образуваните отпадъци в Р България през 2023 г., е 94 238 564 т. От тях значителен е делът на неопасните отпадъци, които бележат положителна тенденция на намаляване и от 109 654 456 т, образувани през 2019 г., намаляват до 78 275 339 т през 2023 г.</w:t>
      </w:r>
    </w:p>
    <w:p>
      <w:pPr>
        <w:pBdr>
          <w:top w:val="nil"/>
          <w:left w:val="nil"/>
          <w:bottom w:val="nil"/>
          <w:right w:val="nil"/>
          <w:between w:val="nil"/>
          <w:bar w:val="nil"/>
        </w:pBdr>
        <w:jc w:val="both"/>
      </w:pPr>
      <w:r>
        <w:t>Количеството на образуваните опасни отпадъци остава относително постоянно за периода 2019-2023 г.</w:t>
      </w:r>
    </w:p>
    <w:p>
      <w:pPr>
        <w:tabs>
          <w:tab w:val="left" w:pos="567"/>
        </w:tabs>
        <w:jc w:val="both"/>
      </w:pPr>
      <w:r>
        <w:rPr>
          <w:b/>
          <w:noProof/>
        </w:rPr>
        <w:drawing>
          <wp:inline distT="0" distB="0" distL="0" distR="0">
            <wp:extent cx="230505" cy="230505"/>
            <wp:effectExtent l="0" t="0" r="0" b="0"/>
            <wp:docPr id="35" name="Picture 65" descr="smil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smile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r>
        <w:t> През 2024</w:t>
      </w:r>
      <w:r>
        <w:rPr>
          <w:kern w:val="3"/>
        </w:rPr>
        <w:t> </w:t>
      </w:r>
      <w:r>
        <w:t>г. количеството на образуваните битови отпадъци намалява с 22</w:t>
      </w:r>
      <w:r>
        <w:rPr>
          <w:kern w:val="3"/>
        </w:rPr>
        <w:t> </w:t>
      </w:r>
      <w:r>
        <w:t>% спрямо 2010</w:t>
      </w:r>
      <w:r>
        <w:rPr>
          <w:kern w:val="3"/>
        </w:rPr>
        <w:t> </w:t>
      </w:r>
      <w:r>
        <w:t>г.</w:t>
      </w:r>
    </w:p>
    <w:p>
      <w:pPr>
        <w:tabs>
          <w:tab w:val="left" w:pos="567"/>
        </w:tabs>
        <w:jc w:val="both"/>
        <w:rPr>
          <w:shd w:val="clear" w:color="auto" w:fill="FFFFFF"/>
        </w:rPr>
      </w:pPr>
      <w:r>
        <w:rPr>
          <w:b/>
          <w:noProof/>
        </w:rPr>
        <w:drawing>
          <wp:inline distT="0" distB="0" distL="0" distR="0">
            <wp:extent cx="230505" cy="230505"/>
            <wp:effectExtent l="0" t="0" r="0" b="0"/>
            <wp:docPr id="36" name="Picture 87" descr="s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sa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r>
        <w:t> </w:t>
      </w:r>
      <w:r>
        <w:rPr>
          <w:shd w:val="clear" w:color="auto" w:fill="FFFFFF"/>
        </w:rPr>
        <w:t>През 2024</w:t>
      </w:r>
      <w:r>
        <w:rPr>
          <w:kern w:val="3"/>
        </w:rPr>
        <w:t> </w:t>
      </w:r>
      <w:r>
        <w:rPr>
          <w:shd w:val="clear" w:color="auto" w:fill="FFFFFF"/>
        </w:rPr>
        <w:t>г. количеството на образуваните битови отпадъци на човек от населението се увеличава с около 21</w:t>
      </w:r>
      <w:r>
        <w:rPr>
          <w:kern w:val="3"/>
        </w:rPr>
        <w:t> </w:t>
      </w:r>
      <w:r>
        <w:rPr>
          <w:shd w:val="clear" w:color="auto" w:fill="FFFFFF"/>
        </w:rPr>
        <w:t>% в сравнение с началото на разглеждания пет годишен период.</w:t>
      </w:r>
    </w:p>
    <w:p>
      <w:pPr>
        <w:tabs>
          <w:tab w:val="left" w:pos="567"/>
        </w:tabs>
        <w:jc w:val="both"/>
      </w:pPr>
      <w:r>
        <w:rPr>
          <w:b/>
          <w:noProof/>
        </w:rPr>
        <w:drawing>
          <wp:inline distT="0" distB="0" distL="0" distR="0">
            <wp:extent cx="230505" cy="230505"/>
            <wp:effectExtent l="0" t="0" r="0" b="0"/>
            <wp:docPr id="37" name="Picture 67" descr="smil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smile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r>
        <w:t> Делът на обслужваното население от системите за организирано сметосъбиране достига до 99,9</w:t>
      </w:r>
      <w:r>
        <w:rPr>
          <w:kern w:val="3"/>
        </w:rPr>
        <w:t> </w:t>
      </w:r>
      <w:r>
        <w:t>%.</w:t>
      </w:r>
    </w:p>
    <w:p>
      <w:pPr>
        <w:tabs>
          <w:tab w:val="left" w:pos="567"/>
        </w:tabs>
        <w:contextualSpacing/>
        <w:jc w:val="both"/>
        <w:rPr>
          <w:b/>
          <w:i/>
          <w:noProof/>
        </w:rPr>
      </w:pPr>
      <w:r>
        <w:rPr>
          <w:b/>
          <w:noProof/>
        </w:rPr>
        <w:drawing>
          <wp:inline distT="0" distB="0" distL="0" distR="0">
            <wp:extent cx="230505" cy="230505"/>
            <wp:effectExtent l="0" t="0" r="0" b="0"/>
            <wp:docPr id="38" name="Picture 22" descr="s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a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r>
        <w:t> </w:t>
      </w:r>
      <w:r>
        <w:rPr>
          <w:noProof/>
        </w:rPr>
        <w:t>Данните на Евростат за последния отчетен период (2023</w:t>
      </w:r>
      <w:r>
        <w:rPr>
          <w:lang w:val="en-US"/>
        </w:rPr>
        <w:t> </w:t>
      </w:r>
      <w:r>
        <w:rPr>
          <w:noProof/>
        </w:rPr>
        <w:t xml:space="preserve">г.) сочат, </w:t>
      </w:r>
      <w:r>
        <w:rPr>
          <w:shd w:val="clear" w:color="auto" w:fill="FFFFFF"/>
        </w:rPr>
        <w:t>че на национално ниво степента на рециклиране на битови отпадъци бележи най-ниското си ниво за петгодишния период на разглеждане.</w:t>
      </w:r>
    </w:p>
    <w:p>
      <w:pPr>
        <w:pBdr>
          <w:top w:val="nil"/>
          <w:left w:val="nil"/>
          <w:bottom w:val="nil"/>
          <w:right w:val="nil"/>
          <w:between w:val="nil"/>
          <w:bar w:val="nil"/>
        </w:pBdr>
        <w:jc w:val="both"/>
        <w:rPr>
          <w:rFonts w:eastAsia="Calibri"/>
          <w:color w:val="000000"/>
          <w:u w:color="000000"/>
          <w:bdr w:val="nil"/>
          <w:lang w:bidi="bg-BG"/>
        </w:rPr>
      </w:pPr>
      <w:r>
        <w:rPr>
          <w:rFonts w:eastAsia="Calibri"/>
          <w:noProof/>
          <w:color w:val="000000"/>
          <w:u w:color="000000"/>
          <w:bdr w:val="nil"/>
        </w:rPr>
        <w:drawing>
          <wp:inline distT="0" distB="0" distL="0" distR="0">
            <wp:extent cx="238760" cy="23876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8760" cy="238760"/>
                    </a:xfrm>
                    <a:prstGeom prst="rect">
                      <a:avLst/>
                    </a:prstGeom>
                    <a:noFill/>
                    <a:ln>
                      <a:noFill/>
                    </a:ln>
                  </pic:spPr>
                </pic:pic>
              </a:graphicData>
            </a:graphic>
          </wp:inline>
        </w:drawing>
      </w:r>
      <w:r>
        <w:t> </w:t>
      </w:r>
      <w:r>
        <w:rPr>
          <w:rFonts w:eastAsia="Calibri"/>
          <w:color w:val="000000"/>
          <w:u w:color="000000"/>
          <w:bdr w:val="nil"/>
          <w:lang w:bidi="bg-BG"/>
        </w:rPr>
        <w:t>За последната отчетна година общите национални цели по рециклиране и оползотворяване на отпадъци от излезли от употреба гуми на национално ниво са постигнати.</w:t>
      </w:r>
    </w:p>
    <w:p>
      <w:pPr>
        <w:tabs>
          <w:tab w:val="left" w:pos="567"/>
        </w:tabs>
        <w:jc w:val="both"/>
        <w:rPr>
          <w:b/>
          <w:noProof/>
        </w:rPr>
      </w:pPr>
      <w:r>
        <w:rPr>
          <w:b/>
          <w:noProof/>
        </w:rPr>
        <w:drawing>
          <wp:inline distT="0" distB="0" distL="0" distR="0">
            <wp:extent cx="230505" cy="230505"/>
            <wp:effectExtent l="0" t="0" r="0" b="0"/>
            <wp:docPr id="40" name="Picture 39" descr="s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sa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r>
        <w:rPr>
          <w:b/>
          <w:noProof/>
        </w:rPr>
        <w:tab/>
      </w:r>
      <w:r>
        <w:rPr>
          <w:noProof/>
        </w:rPr>
        <w:t>През последните три години страната не постига националната цел по рециклиране на отпадъци от опаковки.</w:t>
      </w:r>
    </w:p>
    <w:p>
      <w:pPr>
        <w:autoSpaceDE w:val="0"/>
        <w:autoSpaceDN w:val="0"/>
        <w:adjustRightInd w:val="0"/>
        <w:jc w:val="both"/>
        <w:rPr>
          <w:bCs/>
          <w:color w:val="000000"/>
        </w:rPr>
      </w:pPr>
      <w:r>
        <w:rPr>
          <w:b/>
          <w:iCs/>
          <w:noProof/>
        </w:rPr>
        <w:drawing>
          <wp:inline distT="0" distB="0" distL="0" distR="0">
            <wp:extent cx="230505" cy="230505"/>
            <wp:effectExtent l="0" t="0" r="0" b="0"/>
            <wp:docPr id="41" name="Picture 41" descr="state-moder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state-moderate.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r>
        <w:rPr>
          <w:bCs/>
          <w:color w:val="000000"/>
        </w:rPr>
        <w:t>При изчисляване на намаляването на потреблението на ППЕУ, при различните артикули се наблюдава както намаляване, така и увеличаване на потреблението. Предвид, че 2024</w:t>
      </w:r>
      <w:r>
        <w:rPr>
          <w:lang w:val="en-US"/>
        </w:rPr>
        <w:t> </w:t>
      </w:r>
      <w:r>
        <w:rPr>
          <w:bCs/>
          <w:color w:val="000000"/>
        </w:rPr>
        <w:t>г. е втора отчетна година, след референтната, не могат да бъдат направени категорични заключения относно потреблението на този вид продукти.</w:t>
      </w:r>
    </w:p>
    <w:p>
      <w:pPr>
        <w:tabs>
          <w:tab w:val="left" w:pos="567"/>
        </w:tabs>
        <w:jc w:val="both"/>
        <w:rPr>
          <w:shd w:val="clear" w:color="auto" w:fill="FFFFFF"/>
        </w:rPr>
      </w:pPr>
      <w:r>
        <w:rPr>
          <w:b/>
          <w:noProof/>
        </w:rPr>
        <w:drawing>
          <wp:inline distT="0" distB="0" distL="0" distR="0">
            <wp:extent cx="230505" cy="230505"/>
            <wp:effectExtent l="0" t="0" r="0" b="0"/>
            <wp:docPr id="42" name="Picture 42" descr="smil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smile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r>
        <w:t> </w:t>
      </w:r>
      <w:r>
        <w:rPr>
          <w:noProof/>
        </w:rPr>
        <w:t xml:space="preserve">В петгодишен аспект, в </w:t>
      </w:r>
      <w:r>
        <w:rPr>
          <w:shd w:val="clear" w:color="auto" w:fill="FFFFFF"/>
        </w:rPr>
        <w:t>оползотворените в икономиката на страната рециклирани материали</w:t>
      </w:r>
      <w:r>
        <w:rPr>
          <w:noProof/>
        </w:rPr>
        <w:t xml:space="preserve"> </w:t>
      </w:r>
      <w:r>
        <w:rPr>
          <w:shd w:val="clear" w:color="auto" w:fill="FFFFFF"/>
        </w:rPr>
        <w:t>се наблюдават известни флуктуации – от 5,8 % през 2020 г., 3,0 % през 2022 г., до 5,0 % през 2024 г.</w:t>
      </w:r>
    </w:p>
    <w:p>
      <w:pPr>
        <w:jc w:val="both"/>
        <w:rPr>
          <w:noProof/>
        </w:rPr>
      </w:pPr>
      <w:r>
        <w:rPr>
          <w:b/>
          <w:noProof/>
        </w:rPr>
        <w:drawing>
          <wp:inline distT="0" distB="0" distL="0" distR="0">
            <wp:extent cx="230505" cy="230505"/>
            <wp:effectExtent l="0" t="0" r="0" b="0"/>
            <wp:docPr id="43" name="Picture 95" descr="smil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smile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r>
        <w:t> </w:t>
      </w:r>
      <w:r>
        <w:rPr>
          <w:noProof/>
        </w:rPr>
        <w:t>На национално ниво, през последните пет години, при търговията с рециклируеми материали се наблюдават известни флуктоации – от 0,6</w:t>
      </w:r>
      <w:r>
        <w:rPr>
          <w:shd w:val="clear" w:color="auto" w:fill="FFFFFF"/>
        </w:rPr>
        <w:t> </w:t>
      </w:r>
      <w:r>
        <w:rPr>
          <w:noProof/>
        </w:rPr>
        <w:t>% през 2020</w:t>
      </w:r>
      <w:r>
        <w:rPr>
          <w:shd w:val="clear" w:color="auto" w:fill="FFFFFF"/>
        </w:rPr>
        <w:t> </w:t>
      </w:r>
      <w:r>
        <w:rPr>
          <w:noProof/>
        </w:rPr>
        <w:t>г., 0,8</w:t>
      </w:r>
      <w:r>
        <w:rPr>
          <w:shd w:val="clear" w:color="auto" w:fill="FFFFFF"/>
        </w:rPr>
        <w:t> </w:t>
      </w:r>
      <w:r>
        <w:rPr>
          <w:noProof/>
        </w:rPr>
        <w:t>% през 2022</w:t>
      </w:r>
      <w:r>
        <w:rPr>
          <w:shd w:val="clear" w:color="auto" w:fill="FFFFFF"/>
        </w:rPr>
        <w:t> </w:t>
      </w:r>
      <w:r>
        <w:rPr>
          <w:noProof/>
        </w:rPr>
        <w:t>г., до 0,7</w:t>
      </w:r>
      <w:r>
        <w:rPr>
          <w:shd w:val="clear" w:color="auto" w:fill="FFFFFF"/>
        </w:rPr>
        <w:t> </w:t>
      </w:r>
      <w:r>
        <w:rPr>
          <w:noProof/>
        </w:rPr>
        <w:t>% през 2024</w:t>
      </w:r>
      <w:r>
        <w:rPr>
          <w:shd w:val="clear" w:color="auto" w:fill="FFFFFF"/>
        </w:rPr>
        <w:t> </w:t>
      </w:r>
      <w:r>
        <w:rPr>
          <w:noProof/>
        </w:rPr>
        <w:t>г. от цялата европейска търговия.</w:t>
      </w:r>
    </w:p>
    <w:p>
      <w:pPr>
        <w:shd w:val="clear" w:color="auto" w:fill="FFFFFF"/>
        <w:tabs>
          <w:tab w:val="left" w:pos="0"/>
        </w:tabs>
        <w:jc w:val="both"/>
        <w:rPr>
          <w:b/>
          <w:i/>
          <w:u w:val="single"/>
          <w:lang w:eastAsia="ar-SA"/>
        </w:rPr>
      </w:pPr>
    </w:p>
    <w:p>
      <w:pPr>
        <w:shd w:val="clear" w:color="auto" w:fill="FFFFFF"/>
        <w:tabs>
          <w:tab w:val="left" w:pos="0"/>
        </w:tabs>
        <w:jc w:val="both"/>
        <w:rPr>
          <w:b/>
          <w:u w:val="single"/>
          <w:lang w:eastAsia="ar-SA"/>
        </w:rPr>
      </w:pPr>
      <w:r>
        <w:rPr>
          <w:b/>
          <w:i/>
          <w:u w:val="single"/>
          <w:lang w:eastAsia="ar-SA"/>
        </w:rPr>
        <w:t>Раздел „Радиационни характеристики на околната среда“</w:t>
      </w:r>
    </w:p>
    <w:p>
      <w:pPr>
        <w:shd w:val="clear" w:color="auto" w:fill="FFFFFF"/>
        <w:tabs>
          <w:tab w:val="left" w:pos="0"/>
        </w:tabs>
        <w:jc w:val="both"/>
        <w:rPr>
          <w:lang w:eastAsia="ar-SA"/>
        </w:rPr>
      </w:pPr>
      <w:r>
        <w:rPr>
          <w:noProof/>
        </w:rPr>
        <w:lastRenderedPageBreak/>
        <w:drawing>
          <wp:inline distT="0" distB="0" distL="0" distR="0">
            <wp:extent cx="230505" cy="23050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r>
        <w:t> </w:t>
      </w:r>
      <w:r>
        <w:rPr>
          <w:lang w:eastAsia="ar-SA"/>
        </w:rPr>
        <w:t>През 2024</w:t>
      </w:r>
      <w:r>
        <w:t> </w:t>
      </w:r>
      <w:r>
        <w:rPr>
          <w:lang w:eastAsia="ar-SA"/>
        </w:rPr>
        <w:t>г. Националната автоматизирана система за непрекъснат контрол на радиационния гама-фон не е регистрирала стойности на радиационния гама-фон, различни от естествените.</w:t>
      </w:r>
    </w:p>
    <w:p>
      <w:pPr>
        <w:shd w:val="clear" w:color="auto" w:fill="FFFFFF"/>
        <w:tabs>
          <w:tab w:val="left" w:pos="0"/>
        </w:tabs>
        <w:jc w:val="both"/>
        <w:rPr>
          <w:lang w:eastAsia="ar-SA"/>
        </w:rPr>
      </w:pPr>
    </w:p>
    <w:p>
      <w:pPr>
        <w:shd w:val="clear" w:color="auto" w:fill="FFFFFF"/>
        <w:tabs>
          <w:tab w:val="left" w:pos="0"/>
        </w:tabs>
        <w:jc w:val="both"/>
        <w:rPr>
          <w:b/>
          <w:i/>
          <w:u w:val="single"/>
          <w:lang w:eastAsia="ar-SA"/>
        </w:rPr>
      </w:pPr>
      <w:r>
        <w:rPr>
          <w:b/>
          <w:i/>
          <w:u w:val="single"/>
          <w:lang w:eastAsia="ar-SA"/>
        </w:rPr>
        <w:t>Раздел „Шум в околната среда“</w:t>
      </w:r>
    </w:p>
    <w:p>
      <w:pPr>
        <w:shd w:val="clear" w:color="auto" w:fill="FFFFFF"/>
        <w:tabs>
          <w:tab w:val="left" w:pos="0"/>
        </w:tabs>
        <w:jc w:val="both"/>
      </w:pPr>
      <w:r>
        <w:rPr>
          <w:noProof/>
        </w:rPr>
        <w:drawing>
          <wp:inline distT="0" distB="0" distL="0" distR="0">
            <wp:extent cx="230505" cy="230505"/>
            <wp:effectExtent l="0" t="0" r="0" b="0"/>
            <wp:docPr id="45" name="Picture 1" descr="s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r>
        <w:t> През 2024 г., в 506 бр. (спрямо 518 бр. през 2023</w:t>
      </w:r>
      <w:r>
        <w:rPr>
          <w:shd w:val="clear" w:color="auto" w:fill="FFFFFF"/>
        </w:rPr>
        <w:t> </w:t>
      </w:r>
      <w:r>
        <w:t>г.) от контролните пунктове са регистрирани стойности, надвишаващи допустимите норми, което представлява 68</w:t>
      </w:r>
      <w:r>
        <w:rPr>
          <w:shd w:val="clear" w:color="auto" w:fill="FFFFFF"/>
        </w:rPr>
        <w:t> </w:t>
      </w:r>
      <w:r>
        <w:t>% от общия брой наблюдавани зони в страната.</w:t>
      </w:r>
    </w:p>
    <w:p>
      <w:pPr>
        <w:shd w:val="clear" w:color="auto" w:fill="FFFFFF"/>
        <w:tabs>
          <w:tab w:val="left" w:pos="0"/>
        </w:tabs>
        <w:jc w:val="both"/>
        <w:rPr>
          <w:lang w:eastAsia="ar-SA"/>
        </w:rPr>
      </w:pPr>
      <w:r>
        <w:rPr>
          <w:noProof/>
        </w:rPr>
        <w:drawing>
          <wp:inline distT="0" distB="0" distL="0" distR="0">
            <wp:extent cx="230505" cy="23050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r>
        <w:t> От проверените 530 бр. промишлени източника по отношение на излъчвания от тях шум в околната среда, при 8 бр. са констатирани отклонения от нормативните изисквания, за което са издадени четири предписания и четири акта за установяване на административно нарушение.</w:t>
      </w:r>
    </w:p>
    <w:p>
      <w:pPr>
        <w:shd w:val="clear" w:color="auto" w:fill="FFFFFF"/>
        <w:tabs>
          <w:tab w:val="left" w:pos="0"/>
        </w:tabs>
        <w:jc w:val="both"/>
        <w:rPr>
          <w:lang w:eastAsia="ar-SA"/>
        </w:rPr>
      </w:pPr>
    </w:p>
    <w:p>
      <w:pPr>
        <w:shd w:val="clear" w:color="auto" w:fill="FFFFFF"/>
        <w:tabs>
          <w:tab w:val="left" w:pos="0"/>
        </w:tabs>
        <w:jc w:val="both"/>
        <w:rPr>
          <w:b/>
          <w:u w:val="single"/>
          <w:lang w:eastAsia="ar-SA"/>
        </w:rPr>
      </w:pPr>
      <w:r>
        <w:rPr>
          <w:b/>
          <w:i/>
          <w:u w:val="single"/>
          <w:lang w:eastAsia="ar-SA"/>
        </w:rPr>
        <w:t>Раздел „Енергетика“</w:t>
      </w:r>
    </w:p>
    <w:p>
      <w:pPr>
        <w:shd w:val="clear" w:color="auto" w:fill="FFFFFF"/>
        <w:tabs>
          <w:tab w:val="left" w:pos="0"/>
        </w:tabs>
        <w:jc w:val="both"/>
        <w:rPr>
          <w:bCs/>
        </w:rPr>
      </w:pPr>
      <w:r>
        <w:rPr>
          <w:bCs/>
          <w:lang w:eastAsia="ar-SA"/>
        </w:rPr>
        <w:t xml:space="preserve"> </w:t>
      </w:r>
      <w:r>
        <w:rPr>
          <w:rFonts w:eastAsia="SimSun"/>
          <w:noProof/>
        </w:rPr>
        <w:drawing>
          <wp:inline distT="0" distB="0" distL="0" distR="0">
            <wp:extent cx="238760" cy="23876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8760" cy="238760"/>
                    </a:xfrm>
                    <a:prstGeom prst="rect">
                      <a:avLst/>
                    </a:prstGeom>
                    <a:noFill/>
                    <a:ln>
                      <a:noFill/>
                    </a:ln>
                  </pic:spPr>
                </pic:pic>
              </a:graphicData>
            </a:graphic>
          </wp:inline>
        </w:drawing>
      </w:r>
      <w:r>
        <w:t> </w:t>
      </w:r>
      <w:r>
        <w:rPr>
          <w:bCs/>
        </w:rPr>
        <w:t>През 2024 г. се наблюдава намаление с 0</w:t>
      </w:r>
      <w:r>
        <w:rPr>
          <w:color w:val="222222"/>
        </w:rPr>
        <w:t>.3</w:t>
      </w:r>
      <w:r>
        <w:rPr>
          <w:color w:val="000000"/>
        </w:rPr>
        <w:t> </w:t>
      </w:r>
      <w:r>
        <w:rPr>
          <w:bCs/>
        </w:rPr>
        <w:t>% на брутното вътрешно потребление на горива и енергия в страната спрямо 2023</w:t>
      </w:r>
      <w:r>
        <w:rPr>
          <w:color w:val="000000"/>
        </w:rPr>
        <w:t> </w:t>
      </w:r>
      <w:r>
        <w:rPr>
          <w:bCs/>
        </w:rPr>
        <w:t>г., а в сравнение с базисната 2020</w:t>
      </w:r>
      <w:r>
        <w:rPr>
          <w:color w:val="000000"/>
        </w:rPr>
        <w:t> </w:t>
      </w:r>
      <w:r>
        <w:rPr>
          <w:bCs/>
        </w:rPr>
        <w:t>г. има намаление с 2</w:t>
      </w:r>
      <w:r>
        <w:rPr>
          <w:color w:val="222222"/>
        </w:rPr>
        <w:t>.5</w:t>
      </w:r>
      <w:r>
        <w:rPr>
          <w:color w:val="000000"/>
        </w:rPr>
        <w:t> </w:t>
      </w:r>
      <w:r>
        <w:rPr>
          <w:bCs/>
        </w:rPr>
        <w:t>%.</w:t>
      </w:r>
    </w:p>
    <w:p>
      <w:pPr>
        <w:tabs>
          <w:tab w:val="left" w:pos="567"/>
        </w:tabs>
        <w:jc w:val="both"/>
        <w:rPr>
          <w:bCs/>
        </w:rPr>
      </w:pPr>
      <w:r>
        <w:rPr>
          <w:rFonts w:eastAsia="MS Mincho"/>
          <w:i/>
          <w:noProof/>
        </w:rPr>
        <w:drawing>
          <wp:inline distT="0" distB="0" distL="0" distR="0">
            <wp:extent cx="230505" cy="230505"/>
            <wp:effectExtent l="0" t="0" r="0" b="0"/>
            <wp:docPr id="48" name="Picture 16" descr="g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oo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r>
        <w:t xml:space="preserve"> Във връзка с </w:t>
      </w:r>
      <w:r>
        <w:rPr>
          <w:bCs/>
        </w:rPr>
        <w:t xml:space="preserve">целите за </w:t>
      </w:r>
      <w:r>
        <w:t xml:space="preserve">енергийна </w:t>
      </w:r>
      <w:r>
        <w:rPr>
          <w:bCs/>
        </w:rPr>
        <w:t>ефективност</w:t>
      </w:r>
      <w:r>
        <w:t xml:space="preserve">, </w:t>
      </w:r>
      <w:r>
        <w:rPr>
          <w:bCs/>
        </w:rPr>
        <w:t>определени в Интегрирания план в областта на енергетиката и климата</w:t>
      </w:r>
      <w:r>
        <w:rPr>
          <w:b/>
          <w:bCs/>
        </w:rPr>
        <w:t xml:space="preserve"> </w:t>
      </w:r>
      <w:r>
        <w:rPr>
          <w:bCs/>
        </w:rPr>
        <w:t>на Р България до 2030</w:t>
      </w:r>
      <w:r>
        <w:rPr>
          <w:b/>
        </w:rPr>
        <w:t> </w:t>
      </w:r>
      <w:r>
        <w:rPr>
          <w:bCs/>
        </w:rPr>
        <w:t>г., за намаление на първичното и на крайното енергийно потребление,</w:t>
      </w:r>
      <w:r>
        <w:rPr>
          <w:b/>
          <w:bCs/>
        </w:rPr>
        <w:t xml:space="preserve"> </w:t>
      </w:r>
      <w:r>
        <w:rPr>
          <w:bCs/>
        </w:rPr>
        <w:t>спрямо референтния сценарий 2020 г., п</w:t>
      </w:r>
      <w:r>
        <w:t>рез 2024</w:t>
      </w:r>
      <w:r>
        <w:rPr>
          <w:color w:val="000000"/>
        </w:rPr>
        <w:t> </w:t>
      </w:r>
      <w:r>
        <w:t>г. нивата на първично и крайното енергийно потребление са по-високи от поставената в ИНПЕК цел, която трябва да се постигне до 2030 г. (съответно с 2,6</w:t>
      </w:r>
      <w:r>
        <w:rPr>
          <w:color w:val="000000"/>
        </w:rPr>
        <w:t> </w:t>
      </w:r>
      <w:r>
        <w:t>% и 12</w:t>
      </w:r>
      <w:r>
        <w:rPr>
          <w:color w:val="000000"/>
        </w:rPr>
        <w:t> </w:t>
      </w:r>
      <w:r>
        <w:t>%).</w:t>
      </w:r>
    </w:p>
    <w:p>
      <w:pPr>
        <w:shd w:val="clear" w:color="auto" w:fill="FFFFFF"/>
        <w:tabs>
          <w:tab w:val="left" w:pos="0"/>
        </w:tabs>
        <w:jc w:val="both"/>
        <w:rPr>
          <w:bCs/>
          <w:lang w:eastAsia="ar-SA"/>
        </w:rPr>
      </w:pPr>
      <w:r>
        <w:rPr>
          <w:noProof/>
        </w:rPr>
        <w:drawing>
          <wp:inline distT="0" distB="0" distL="0" distR="0">
            <wp:extent cx="230505" cy="230505"/>
            <wp:effectExtent l="0" t="0" r="0" b="0"/>
            <wp:docPr id="49" name="Picture 49" descr="smil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smile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r>
        <w:t xml:space="preserve"> В същото време, </w:t>
      </w:r>
      <w:r>
        <w:rPr>
          <w:bCs/>
        </w:rPr>
        <w:t xml:space="preserve">брутното крайно потребление на енергия от възобновяеми източници </w:t>
      </w:r>
      <w:r>
        <w:t>се е увеличило спрямо 2023</w:t>
      </w:r>
      <w:r>
        <w:rPr>
          <w:color w:val="000000"/>
        </w:rPr>
        <w:t> </w:t>
      </w:r>
      <w:r>
        <w:t>г. със 147,5</w:t>
      </w:r>
      <w:r>
        <w:rPr>
          <w:color w:val="000000"/>
        </w:rPr>
        <w:t> </w:t>
      </w:r>
      <w:r>
        <w:t>ktoe</w:t>
      </w:r>
      <w:r>
        <w:rPr>
          <w:bCs/>
        </w:rPr>
        <w:t xml:space="preserve">, като формира дял от </w:t>
      </w:r>
      <w:r>
        <w:t>33,84</w:t>
      </w:r>
      <w:r>
        <w:rPr>
          <w:color w:val="000000"/>
        </w:rPr>
        <w:t>  </w:t>
      </w:r>
      <w:r>
        <w:rPr>
          <w:bCs/>
        </w:rPr>
        <w:t xml:space="preserve">% в брутното крайно потребление на енергия в страната, </w:t>
      </w:r>
      <w:r>
        <w:t>което е с 4,14 процентни пункта по-високо от този през 2023</w:t>
      </w:r>
      <w:r>
        <w:rPr>
          <w:color w:val="000000"/>
        </w:rPr>
        <w:t> </w:t>
      </w:r>
      <w:r>
        <w:t xml:space="preserve">г. и с 6,7 процентни пункта повече от определената </w:t>
      </w:r>
      <w:r>
        <w:rPr>
          <w:b/>
          <w:bCs/>
        </w:rPr>
        <w:t>в ИНПЕК</w:t>
      </w:r>
      <w:r>
        <w:rPr>
          <w:bCs/>
        </w:rPr>
        <w:t xml:space="preserve"> </w:t>
      </w:r>
      <w:r>
        <w:t>цел за 2024</w:t>
      </w:r>
      <w:r>
        <w:rPr>
          <w:color w:val="000000"/>
        </w:rPr>
        <w:t> </w:t>
      </w:r>
      <w:r>
        <w:t>г.</w:t>
      </w:r>
    </w:p>
    <w:p>
      <w:pPr>
        <w:shd w:val="clear" w:color="auto" w:fill="FFFFFF"/>
        <w:tabs>
          <w:tab w:val="left" w:pos="0"/>
        </w:tabs>
        <w:jc w:val="both"/>
        <w:rPr>
          <w:bCs/>
          <w:lang w:eastAsia="ar-SA"/>
        </w:rPr>
      </w:pPr>
    </w:p>
    <w:p>
      <w:pPr>
        <w:shd w:val="clear" w:color="auto" w:fill="FFFFFF"/>
        <w:tabs>
          <w:tab w:val="left" w:pos="0"/>
        </w:tabs>
        <w:jc w:val="both"/>
        <w:rPr>
          <w:b/>
          <w:i/>
          <w:u w:val="single"/>
          <w:lang w:eastAsia="ar-SA"/>
        </w:rPr>
      </w:pPr>
      <w:r>
        <w:rPr>
          <w:b/>
          <w:i/>
          <w:u w:val="single"/>
          <w:lang w:eastAsia="ar-SA"/>
        </w:rPr>
        <w:t>Раздел „Транспорт“</w:t>
      </w:r>
    </w:p>
    <w:p>
      <w:pPr>
        <w:jc w:val="both"/>
      </w:pPr>
      <w:r>
        <w:rPr>
          <w:noProof/>
        </w:rPr>
        <w:drawing>
          <wp:inline distT="0" distB="0" distL="0" distR="0">
            <wp:extent cx="230505" cy="230505"/>
            <wp:effectExtent l="0" t="0" r="0" b="0"/>
            <wp:docPr id="50" name="Picture 50" descr="s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sa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r>
        <w:t> В периода 2000-2024</w:t>
      </w:r>
      <w:r>
        <w:rPr>
          <w:lang w:val="en-AU"/>
        </w:rPr>
        <w:t> </w:t>
      </w:r>
      <w:r>
        <w:t>г. делът на транспорта в структурата на крайното енергийно потребление нараства от 22</w:t>
      </w:r>
      <w:r>
        <w:rPr>
          <w:color w:val="222222"/>
        </w:rPr>
        <w:t>.</w:t>
      </w:r>
      <w:r>
        <w:t>5% до 38</w:t>
      </w:r>
      <w:r>
        <w:rPr>
          <w:color w:val="222222"/>
        </w:rPr>
        <w:t>.</w:t>
      </w:r>
      <w:r>
        <w:t>1</w:t>
      </w:r>
      <w:r>
        <w:rPr>
          <w:lang w:val="en-AU"/>
        </w:rPr>
        <w:t> </w:t>
      </w:r>
      <w:r>
        <w:t>%. Основен консуматор е автомобилният транспорт, който през 2024</w:t>
      </w:r>
      <w:r>
        <w:rPr>
          <w:lang w:val="en-AU"/>
        </w:rPr>
        <w:t> </w:t>
      </w:r>
      <w:r>
        <w:t>г. потребява близо 95.2</w:t>
      </w:r>
      <w:r>
        <w:rPr>
          <w:lang w:val="en-AU"/>
        </w:rPr>
        <w:t> </w:t>
      </w:r>
      <w:r>
        <w:t>% от общо използваното количество горива в сектора.</w:t>
      </w:r>
    </w:p>
    <w:p>
      <w:pPr>
        <w:jc w:val="both"/>
      </w:pPr>
      <w:r>
        <w:rPr>
          <w:noProof/>
        </w:rPr>
        <w:drawing>
          <wp:inline distT="0" distB="0" distL="0" distR="0">
            <wp:extent cx="230505" cy="230505"/>
            <wp:effectExtent l="0" t="0" r="0" b="0"/>
            <wp:docPr id="51" name="Picture 51" descr="s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sa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r>
        <w:t> Преобладаващата част от превоза на товари също се извършва с автомобилен транспорт. Относителният дял на автомобилния транспорт нараства до 84,1</w:t>
      </w:r>
      <w:r>
        <w:rPr>
          <w:lang w:val="en-AU"/>
        </w:rPr>
        <w:t> </w:t>
      </w:r>
      <w:r>
        <w:t>% през 2024</w:t>
      </w:r>
      <w:r>
        <w:rPr>
          <w:lang w:val="en-AU"/>
        </w:rPr>
        <w:t> </w:t>
      </w:r>
      <w:r>
        <w:t>г. (спрямо 51</w:t>
      </w:r>
      <w:r>
        <w:rPr>
          <w:color w:val="222222"/>
        </w:rPr>
        <w:t>.</w:t>
      </w:r>
      <w:r>
        <w:t>9</w:t>
      </w:r>
      <w:r>
        <w:rPr>
          <w:lang w:val="en-AU"/>
        </w:rPr>
        <w:t> </w:t>
      </w:r>
      <w:r>
        <w:t>% през 2000 г.), за сметка на дела на железопътния транспорт, който намалява на 13</w:t>
      </w:r>
      <w:r>
        <w:rPr>
          <w:color w:val="222222"/>
        </w:rPr>
        <w:t>.6</w:t>
      </w:r>
      <w:r>
        <w:rPr>
          <w:lang w:val="en-AU"/>
        </w:rPr>
        <w:t> </w:t>
      </w:r>
      <w:r>
        <w:t>% през 2024</w:t>
      </w:r>
      <w:r>
        <w:rPr>
          <w:lang w:val="en-AU"/>
        </w:rPr>
        <w:t> </w:t>
      </w:r>
      <w:r>
        <w:t>г. (спрямо 44</w:t>
      </w:r>
      <w:r>
        <w:rPr>
          <w:color w:val="222222"/>
        </w:rPr>
        <w:t>.</w:t>
      </w:r>
      <w:r>
        <w:t>9</w:t>
      </w:r>
      <w:r>
        <w:rPr>
          <w:lang w:val="en-AU"/>
        </w:rPr>
        <w:t> </w:t>
      </w:r>
      <w:r>
        <w:t>% през 2000</w:t>
      </w:r>
      <w:r>
        <w:rPr>
          <w:lang w:val="en-AU"/>
        </w:rPr>
        <w:t> </w:t>
      </w:r>
      <w:r>
        <w:t>г.).</w:t>
      </w:r>
    </w:p>
    <w:p>
      <w:pPr>
        <w:shd w:val="clear" w:color="auto" w:fill="FFFFFF"/>
        <w:tabs>
          <w:tab w:val="left" w:pos="0"/>
        </w:tabs>
        <w:jc w:val="both"/>
      </w:pPr>
      <w:r>
        <w:rPr>
          <w:noProof/>
        </w:rPr>
        <w:drawing>
          <wp:inline distT="0" distB="0" distL="0" distR="0">
            <wp:extent cx="230505" cy="230505"/>
            <wp:effectExtent l="0" t="0" r="0" b="0"/>
            <wp:docPr id="52" name="Picture 52" descr="smil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smile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r>
        <w:t> </w:t>
      </w:r>
      <w:r>
        <w:rPr>
          <w:lang w:eastAsia="ar-SA"/>
        </w:rPr>
        <w:t xml:space="preserve">В периода 2008-2024 г. потреблението на енергия от възобновяеми източници в сектор „Транспорт“ е нараснало значително, като се потребяват основно биодизел и биобензин. </w:t>
      </w:r>
      <w:r>
        <w:t>Делът на биодизела в общо потребените дизелови горива в автомобилния транспорт през 2024 г. възлиза на 6</w:t>
      </w:r>
      <w:r>
        <w:rPr>
          <w:color w:val="222222"/>
        </w:rPr>
        <w:t>.</w:t>
      </w:r>
      <w:r>
        <w:t>9 %, докато през 2011 г. е едва 1</w:t>
      </w:r>
      <w:r>
        <w:rPr>
          <w:color w:val="222222"/>
        </w:rPr>
        <w:t>.</w:t>
      </w:r>
      <w:r>
        <w:t>3 %.</w:t>
      </w:r>
    </w:p>
    <w:p>
      <w:pPr>
        <w:shd w:val="clear" w:color="auto" w:fill="FFFFFF"/>
        <w:tabs>
          <w:tab w:val="left" w:pos="0"/>
        </w:tabs>
        <w:jc w:val="both"/>
        <w:rPr>
          <w:lang w:eastAsia="ar-SA"/>
        </w:rPr>
      </w:pPr>
      <w:r>
        <w:rPr>
          <w:noProof/>
        </w:rPr>
        <w:drawing>
          <wp:inline distT="0" distB="0" distL="0" distR="0">
            <wp:extent cx="230505" cy="230505"/>
            <wp:effectExtent l="0" t="0" r="0" b="0"/>
            <wp:docPr id="53" name="Picture 53" descr="smil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smile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r>
        <w:t> </w:t>
      </w:r>
      <w:r>
        <w:rPr>
          <w:lang w:eastAsia="ar-SA"/>
        </w:rPr>
        <w:t>Емисиите на въглероден оксид (</w:t>
      </w:r>
      <w:r>
        <w:t>CO</w:t>
      </w:r>
      <w:r>
        <w:rPr>
          <w:lang w:eastAsia="ar-SA"/>
        </w:rPr>
        <w:t>) в атмосферния въздух от транспорта за 2024</w:t>
      </w:r>
      <w:r>
        <w:t> </w:t>
      </w:r>
      <w:r>
        <w:rPr>
          <w:lang w:eastAsia="ar-SA"/>
        </w:rPr>
        <w:t>г. намаляват с близо 77</w:t>
      </w:r>
      <w:r>
        <w:rPr>
          <w:lang w:val="en-AU"/>
        </w:rPr>
        <w:t> </w:t>
      </w:r>
      <w:r>
        <w:rPr>
          <w:lang w:eastAsia="ar-SA"/>
        </w:rPr>
        <w:t>% спрямо емисиите от 2000 г.</w:t>
      </w:r>
    </w:p>
    <w:p>
      <w:pPr>
        <w:shd w:val="clear" w:color="auto" w:fill="FFFFFF"/>
        <w:tabs>
          <w:tab w:val="left" w:pos="0"/>
        </w:tabs>
        <w:jc w:val="both"/>
        <w:rPr>
          <w:lang w:eastAsia="ar-SA"/>
        </w:rPr>
      </w:pPr>
      <w:r>
        <w:rPr>
          <w:noProof/>
        </w:rPr>
        <w:drawing>
          <wp:inline distT="0" distB="0" distL="0" distR="0">
            <wp:extent cx="230505" cy="230505"/>
            <wp:effectExtent l="0" t="0" r="0" b="0"/>
            <wp:docPr id="54" name="Picture 13" descr="smil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mile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r>
        <w:t> </w:t>
      </w:r>
      <w:r>
        <w:rPr>
          <w:lang w:eastAsia="ar-SA"/>
        </w:rPr>
        <w:t xml:space="preserve">Емисиите на азотни оксиди </w:t>
      </w:r>
      <w:r>
        <w:rPr>
          <w:lang w:val="en-US" w:eastAsia="ar-SA"/>
        </w:rPr>
        <w:t>NO</w:t>
      </w:r>
      <w:r>
        <w:rPr>
          <w:vertAlign w:val="subscript"/>
          <w:lang w:val="en-US" w:eastAsia="ar-SA"/>
        </w:rPr>
        <w:t>x</w:t>
      </w:r>
      <w:r>
        <w:rPr>
          <w:lang w:eastAsia="ar-SA"/>
        </w:rPr>
        <w:t xml:space="preserve"> в атмосферния въздух от транспорта за 2024</w:t>
      </w:r>
      <w:r>
        <w:rPr>
          <w:lang w:val="en-AU" w:eastAsia="ar-SA"/>
        </w:rPr>
        <w:t> </w:t>
      </w:r>
      <w:r>
        <w:rPr>
          <w:lang w:eastAsia="ar-SA"/>
        </w:rPr>
        <w:t>г. намаляват с 22</w:t>
      </w:r>
      <w:r>
        <w:rPr>
          <w:lang w:val="en-AU" w:eastAsia="ar-SA"/>
        </w:rPr>
        <w:t> </w:t>
      </w:r>
      <w:r>
        <w:rPr>
          <w:lang w:eastAsia="ar-SA"/>
        </w:rPr>
        <w:t>% спрямо 2000</w:t>
      </w:r>
      <w:r>
        <w:rPr>
          <w:lang w:val="en-AU" w:eastAsia="ar-SA"/>
        </w:rPr>
        <w:t> </w:t>
      </w:r>
      <w:r>
        <w:rPr>
          <w:lang w:eastAsia="ar-SA"/>
        </w:rPr>
        <w:t>г.</w:t>
      </w:r>
    </w:p>
    <w:p>
      <w:pPr>
        <w:shd w:val="clear" w:color="auto" w:fill="FFFFFF"/>
        <w:tabs>
          <w:tab w:val="left" w:pos="0"/>
        </w:tabs>
        <w:jc w:val="both"/>
      </w:pPr>
      <w:r>
        <w:rPr>
          <w:noProof/>
        </w:rPr>
        <w:drawing>
          <wp:inline distT="0" distB="0" distL="0" distR="0">
            <wp:extent cx="230505" cy="230505"/>
            <wp:effectExtent l="0" t="0" r="0" b="0"/>
            <wp:docPr id="55" name="Picture 55" descr="s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sa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r>
        <w:t> Транспортът емитира 54</w:t>
      </w:r>
      <w:r>
        <w:rPr>
          <w:lang w:val="en-AU"/>
        </w:rPr>
        <w:t> </w:t>
      </w:r>
      <w:r>
        <w:t xml:space="preserve">% от общото количество на азотни оксиди </w:t>
      </w:r>
      <w:r>
        <w:rPr>
          <w:lang w:val="en-US"/>
        </w:rPr>
        <w:t>NO</w:t>
      </w:r>
      <w:r>
        <w:rPr>
          <w:vertAlign w:val="subscript"/>
          <w:lang w:val="en-US"/>
        </w:rPr>
        <w:t>x</w:t>
      </w:r>
      <w:r>
        <w:t xml:space="preserve"> и 38% от емисиите на CO за 2024 г.</w:t>
      </w:r>
    </w:p>
    <w:p>
      <w:pPr>
        <w:shd w:val="clear" w:color="auto" w:fill="FFFFFF"/>
        <w:tabs>
          <w:tab w:val="left" w:pos="0"/>
        </w:tabs>
        <w:jc w:val="both"/>
      </w:pPr>
    </w:p>
    <w:p>
      <w:pPr>
        <w:shd w:val="clear" w:color="auto" w:fill="FFFFFF"/>
        <w:tabs>
          <w:tab w:val="left" w:pos="0"/>
        </w:tabs>
        <w:jc w:val="both"/>
        <w:rPr>
          <w:b/>
          <w:u w:val="single"/>
          <w:lang w:eastAsia="ar-SA"/>
        </w:rPr>
      </w:pPr>
      <w:r>
        <w:rPr>
          <w:b/>
          <w:i/>
          <w:u w:val="single"/>
          <w:lang w:eastAsia="ar-SA"/>
        </w:rPr>
        <w:lastRenderedPageBreak/>
        <w:t>Раздел „Финансиране на дейностите по опазване на околната среда“</w:t>
      </w:r>
    </w:p>
    <w:p>
      <w:pPr>
        <w:shd w:val="clear" w:color="auto" w:fill="FFFFFF"/>
        <w:tabs>
          <w:tab w:val="left" w:pos="0"/>
        </w:tabs>
        <w:jc w:val="both"/>
        <w:rPr>
          <w:bCs/>
          <w:bdr w:val="none" w:sz="0" w:space="0" w:color="auto" w:frame="1"/>
        </w:rPr>
      </w:pPr>
      <w:r>
        <w:rPr>
          <w:noProof/>
        </w:rPr>
        <w:drawing>
          <wp:inline distT="0" distB="0" distL="0" distR="0">
            <wp:extent cx="230505" cy="230505"/>
            <wp:effectExtent l="0" t="0" r="0" b="0"/>
            <wp:docPr id="56" name="Picture 5" descr="state-moder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ate-moderate.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r>
        <w:t> </w:t>
      </w:r>
      <w:r>
        <w:rPr>
          <w:bCs/>
          <w:bdr w:val="none" w:sz="0" w:space="0" w:color="auto" w:frame="1"/>
        </w:rPr>
        <w:t>През 2024</w:t>
      </w:r>
      <w:r>
        <w:rPr>
          <w:lang w:eastAsia="en-US"/>
        </w:rPr>
        <w:t> </w:t>
      </w:r>
      <w:r>
        <w:rPr>
          <w:bCs/>
          <w:bdr w:val="none" w:sz="0" w:space="0" w:color="auto" w:frame="1"/>
        </w:rPr>
        <w:t>г. се наблюдават следните тенденции по отношение на приходите от извършената административнонаказателна дейност:</w:t>
      </w:r>
    </w:p>
    <w:p>
      <w:pPr>
        <w:numPr>
          <w:ilvl w:val="0"/>
          <w:numId w:val="46"/>
        </w:numPr>
        <w:shd w:val="clear" w:color="auto" w:fill="FFFFFF"/>
        <w:tabs>
          <w:tab w:val="left" w:pos="0"/>
        </w:tabs>
        <w:jc w:val="both"/>
        <w:rPr>
          <w:bCs/>
          <w:bdr w:val="none" w:sz="0" w:space="0" w:color="auto" w:frame="1"/>
        </w:rPr>
      </w:pPr>
      <w:r>
        <w:rPr>
          <w:bCs/>
          <w:bdr w:val="none" w:sz="0" w:space="0" w:color="auto" w:frame="1"/>
        </w:rPr>
        <w:t>лек спад в стойността на приходите от наложени санкции по чл. 69 на ЗООС (</w:t>
      </w:r>
      <w:r>
        <w:rPr>
          <w:noProof/>
          <w:lang w:eastAsia="en-US"/>
        </w:rPr>
        <w:t>1</w:t>
      </w:r>
      <w:r>
        <w:rPr>
          <w:noProof/>
          <w:lang w:val="en-US" w:eastAsia="en-US"/>
        </w:rPr>
        <w:t> </w:t>
      </w:r>
      <w:r>
        <w:rPr>
          <w:noProof/>
          <w:lang w:eastAsia="en-US"/>
        </w:rPr>
        <w:t>151 016 лв.</w:t>
      </w:r>
      <w:r>
        <w:rPr>
          <w:bCs/>
          <w:bdr w:val="none" w:sz="0" w:space="0" w:color="auto" w:frame="1"/>
        </w:rPr>
        <w:t>);</w:t>
      </w:r>
    </w:p>
    <w:p>
      <w:pPr>
        <w:numPr>
          <w:ilvl w:val="0"/>
          <w:numId w:val="46"/>
        </w:numPr>
        <w:shd w:val="clear" w:color="auto" w:fill="FFFFFF"/>
        <w:tabs>
          <w:tab w:val="left" w:pos="0"/>
        </w:tabs>
        <w:jc w:val="both"/>
        <w:rPr>
          <w:bCs/>
          <w:bdr w:val="none" w:sz="0" w:space="0" w:color="auto" w:frame="1"/>
        </w:rPr>
      </w:pPr>
      <w:r>
        <w:rPr>
          <w:bCs/>
          <w:bdr w:val="none" w:sz="0" w:space="0" w:color="auto" w:frame="1"/>
        </w:rPr>
        <w:t xml:space="preserve">лек спад в стойността на приходите от наложени имуществени санкции и глоби по секторните екологични закони (2 001 114 </w:t>
      </w:r>
      <w:r>
        <w:rPr>
          <w:noProof/>
          <w:lang w:eastAsia="en-US"/>
        </w:rPr>
        <w:t>лв.</w:t>
      </w:r>
      <w:r>
        <w:rPr>
          <w:bCs/>
          <w:bdr w:val="none" w:sz="0" w:space="0" w:color="auto" w:frame="1"/>
        </w:rPr>
        <w:t>);</w:t>
      </w:r>
    </w:p>
    <w:p>
      <w:pPr>
        <w:numPr>
          <w:ilvl w:val="0"/>
          <w:numId w:val="46"/>
        </w:numPr>
        <w:shd w:val="clear" w:color="auto" w:fill="FFFFFF"/>
        <w:tabs>
          <w:tab w:val="left" w:pos="0"/>
        </w:tabs>
        <w:jc w:val="both"/>
        <w:rPr>
          <w:noProof/>
          <w:lang w:eastAsia="en-US"/>
        </w:rPr>
      </w:pPr>
      <w:r>
        <w:rPr>
          <w:bCs/>
          <w:bdr w:val="none" w:sz="0" w:space="0" w:color="auto" w:frame="1"/>
        </w:rPr>
        <w:t>увеличение в стойността на събраните суми от сключени споразумения на основание чл. 58г на ЗАНН (</w:t>
      </w:r>
      <w:r>
        <w:rPr>
          <w:noProof/>
          <w:lang w:eastAsia="en-US"/>
        </w:rPr>
        <w:t>471 825 лв.</w:t>
      </w:r>
      <w:r>
        <w:rPr>
          <w:bCs/>
          <w:bdr w:val="none" w:sz="0" w:space="0" w:color="auto" w:frame="1"/>
        </w:rPr>
        <w:t>).</w:t>
      </w:r>
    </w:p>
    <w:p>
      <w:pPr>
        <w:shd w:val="clear" w:color="auto" w:fill="FFFFFF"/>
        <w:tabs>
          <w:tab w:val="left" w:pos="0"/>
        </w:tabs>
        <w:jc w:val="both"/>
        <w:rPr>
          <w:noProof/>
          <w:lang w:eastAsia="en-US"/>
        </w:rPr>
      </w:pPr>
    </w:p>
    <w:p>
      <w:pPr>
        <w:shd w:val="clear" w:color="auto" w:fill="FFFFFF"/>
        <w:tabs>
          <w:tab w:val="left" w:pos="0"/>
        </w:tabs>
        <w:jc w:val="both"/>
        <w:rPr>
          <w:b/>
          <w:u w:val="single"/>
          <w:lang w:eastAsia="ar-SA"/>
        </w:rPr>
      </w:pPr>
      <w:r>
        <w:rPr>
          <w:b/>
          <w:i/>
          <w:u w:val="single"/>
          <w:lang w:eastAsia="ar-SA"/>
        </w:rPr>
        <w:t xml:space="preserve">Раздел „Оперативна програма Околна среда 2014-2020 г.“ и </w:t>
      </w:r>
      <w:r>
        <w:rPr>
          <w:b/>
          <w:bCs/>
          <w:i/>
          <w:u w:val="single"/>
          <w:lang w:eastAsia="ar-SA"/>
        </w:rPr>
        <w:t>Програма „Околна среда“ 2021-2027 г.</w:t>
      </w:r>
    </w:p>
    <w:p>
      <w:pPr>
        <w:shd w:val="clear" w:color="auto" w:fill="FFFFFF"/>
        <w:tabs>
          <w:tab w:val="left" w:pos="0"/>
        </w:tabs>
        <w:jc w:val="both"/>
        <w:rPr>
          <w:lang w:eastAsia="ar-SA"/>
        </w:rPr>
      </w:pPr>
      <w:r>
        <w:rPr>
          <w:noProof/>
        </w:rPr>
        <w:drawing>
          <wp:inline distT="0" distB="0" distL="0" distR="0">
            <wp:extent cx="230505" cy="230505"/>
            <wp:effectExtent l="0" t="0" r="0" b="0"/>
            <wp:docPr id="57" name="Picture 57" descr="smil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smile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r>
        <w:t> </w:t>
      </w:r>
      <w:r>
        <w:rPr>
          <w:noProof/>
        </w:rPr>
        <w:t>Обявени общо 67 процедури за предоставяне на безвъзмездна финансова помощ (БФП) на обща стойност приблизително 4</w:t>
      </w:r>
      <w:r>
        <w:rPr>
          <w:color w:val="222222"/>
        </w:rPr>
        <w:t>.</w:t>
      </w:r>
      <w:r>
        <w:rPr>
          <w:noProof/>
        </w:rPr>
        <w:t>94 млрд. лв., която представлява 151</w:t>
      </w:r>
      <w:r>
        <w:rPr>
          <w:color w:val="000000"/>
        </w:rPr>
        <w:t> </w:t>
      </w:r>
      <w:r>
        <w:rPr>
          <w:noProof/>
        </w:rPr>
        <w:t>% от общия ресурс на програмата</w:t>
      </w:r>
      <w:r>
        <w:rPr>
          <w:lang w:eastAsia="ar-SA"/>
        </w:rPr>
        <w:t>.</w:t>
      </w:r>
      <w:r>
        <w:t xml:space="preserve"> Усвоените от бенефициентите средства по ОПОС 2014-2020</w:t>
      </w:r>
      <w:r>
        <w:rPr>
          <w:color w:val="000000"/>
        </w:rPr>
        <w:t> </w:t>
      </w:r>
      <w:r>
        <w:t>г. са в размер на 3,17 млрд. лв., които представляват 97,1</w:t>
      </w:r>
      <w:r>
        <w:rPr>
          <w:color w:val="000000"/>
        </w:rPr>
        <w:t> </w:t>
      </w:r>
      <w:r>
        <w:t>% от договорените суми по програмата;</w:t>
      </w:r>
    </w:p>
    <w:p>
      <w:pPr>
        <w:jc w:val="both"/>
        <w:rPr>
          <w:bCs/>
          <w:lang w:eastAsia="ar-SA"/>
        </w:rPr>
      </w:pPr>
      <w:r>
        <w:rPr>
          <w:noProof/>
        </w:rPr>
        <w:drawing>
          <wp:inline distT="0" distB="0" distL="0" distR="0">
            <wp:extent cx="230505" cy="230505"/>
            <wp:effectExtent l="0" t="0" r="0" b="0"/>
            <wp:docPr id="58" name="Picture 58" descr="smil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smile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r>
        <w:t> </w:t>
      </w:r>
      <w:r>
        <w:rPr>
          <w:bCs/>
          <w:lang w:eastAsia="ar-SA"/>
        </w:rPr>
        <w:t>През 2024 г. със средства на ОПОС са въведени в експлоатация</w:t>
      </w:r>
      <w:r>
        <w:t xml:space="preserve"> </w:t>
      </w:r>
      <w:r>
        <w:rPr>
          <w:bCs/>
          <w:lang w:eastAsia="ar-SA"/>
        </w:rPr>
        <w:t xml:space="preserve">24 </w:t>
      </w:r>
      <w:r>
        <w:t xml:space="preserve">бр. новоизградени/ рехабилитирани/ реконструирани ПСОВ, 35 бр. изградени и въведени в експлоатация инсталации за компостиране на разделно събрани зелени и/или биоразградими битови отпадъци, а изградените и въведени в експлоатация инсталации за предварително третиране на смесено събрани битови отпадъци – 15 бр. </w:t>
      </w:r>
      <w:r>
        <w:rPr>
          <w:bCs/>
          <w:lang w:eastAsia="ar-SA"/>
        </w:rPr>
        <w:t xml:space="preserve">Депата със завършена техническа рекултивация, предмет на процедура по нарушение на правото на ЕС във връзка с постановено решение на Съда на Европейския съюз от 16 юли 2015 г. по дело С-145/14, са </w:t>
      </w:r>
      <w:r>
        <w:t>87</w:t>
      </w:r>
      <w:r>
        <w:rPr>
          <w:bCs/>
          <w:lang w:eastAsia="ar-SA"/>
        </w:rPr>
        <w:t xml:space="preserve"> бр.</w:t>
      </w:r>
    </w:p>
    <w:p>
      <w:pPr>
        <w:jc w:val="both"/>
      </w:pPr>
      <w:r>
        <w:rPr>
          <w:noProof/>
        </w:rPr>
        <w:drawing>
          <wp:inline distT="0" distB="0" distL="0" distR="0">
            <wp:extent cx="230505" cy="230505"/>
            <wp:effectExtent l="0" t="0" r="0" b="0"/>
            <wp:docPr id="59" name="Picture 59" descr="smil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smile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r>
        <w:t> </w:t>
      </w:r>
      <w:r>
        <w:rPr>
          <w:bCs/>
          <w:lang w:eastAsia="ar-SA"/>
        </w:rPr>
        <w:t>В рамките на 2024 г. са обявени 22 процедури по ПОС 2021-2027 г., на обща стойност почти 2 млрд. лв., което възлиза приблизително на 55</w:t>
      </w:r>
      <w:r>
        <w:rPr>
          <w:bCs/>
          <w:lang w:val="en-US" w:eastAsia="ar-SA"/>
        </w:rPr>
        <w:t> </w:t>
      </w:r>
      <w:r>
        <w:rPr>
          <w:bCs/>
          <w:lang w:eastAsia="ar-SA"/>
        </w:rPr>
        <w:t>% от бюджета на програмата. Така, общо обявените покани за предоставяне на БФП по ПОС към края на 2024 г., са в размер на 82,2% от разполагаемия ресурс от 3,656 млрд. лв.</w:t>
      </w:r>
    </w:p>
    <w:p>
      <w:pPr>
        <w:jc w:val="both"/>
      </w:pPr>
    </w:p>
    <w:p>
      <w:pPr>
        <w:shd w:val="clear" w:color="auto" w:fill="FFFFFF"/>
        <w:tabs>
          <w:tab w:val="left" w:pos="0"/>
        </w:tabs>
        <w:jc w:val="both"/>
        <w:rPr>
          <w:b/>
          <w:i/>
          <w:u w:val="single"/>
          <w:lang w:eastAsia="ar-SA"/>
        </w:rPr>
      </w:pPr>
      <w:r>
        <w:rPr>
          <w:b/>
          <w:i/>
          <w:u w:val="single"/>
          <w:lang w:eastAsia="ar-SA"/>
        </w:rPr>
        <w:t>Раздел „Превантивни инструменти за интегриране на целите за опазване на околната среда в инвестиционни проекти и действащи инсталации“</w:t>
      </w:r>
    </w:p>
    <w:p>
      <w:pPr>
        <w:jc w:val="both"/>
      </w:pPr>
      <w:r>
        <w:rPr>
          <w:noProof/>
        </w:rPr>
        <w:drawing>
          <wp:inline distT="0" distB="0" distL="0" distR="0">
            <wp:extent cx="230505" cy="230505"/>
            <wp:effectExtent l="0" t="0" r="0" b="0"/>
            <wp:docPr id="60" name="Picture 60" descr="smil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smile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r>
        <w:t> През 2024 г. са издадени общо 48</w:t>
      </w:r>
      <w:r>
        <w:rPr>
          <w:color w:val="0000FF"/>
        </w:rPr>
        <w:t xml:space="preserve"> </w:t>
      </w:r>
      <w:r>
        <w:t>броя решения по КР (за издаване, отказ,</w:t>
      </w:r>
      <w:r>
        <w:rPr>
          <w:i/>
        </w:rPr>
        <w:t xml:space="preserve"> </w:t>
      </w:r>
      <w:r>
        <w:t>актуализиране, отменяне) спрямо общо 64</w:t>
      </w:r>
      <w:r>
        <w:rPr>
          <w:color w:val="0000FF"/>
        </w:rPr>
        <w:t xml:space="preserve"> </w:t>
      </w:r>
      <w:r>
        <w:t xml:space="preserve">броя внесени заявления. </w:t>
      </w:r>
      <w:r>
        <w:rPr>
          <w:bCs/>
        </w:rPr>
        <w:t xml:space="preserve">В годишен аспект се </w:t>
      </w:r>
      <w:r>
        <w:t>наблюдава намаляване на процента на операторите, които не спазват условията на комплексните разрешителни, спрямо общия брой проверени оператори.</w:t>
      </w:r>
    </w:p>
    <w:p>
      <w:pPr>
        <w:jc w:val="both"/>
      </w:pPr>
      <w:r>
        <w:rPr>
          <w:noProof/>
          <w:color w:val="000000"/>
        </w:rPr>
        <w:drawing>
          <wp:inline distT="0" distB="0" distL="0" distR="0">
            <wp:extent cx="238760" cy="23876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8760" cy="238760"/>
                    </a:xfrm>
                    <a:prstGeom prst="rect">
                      <a:avLst/>
                    </a:prstGeom>
                    <a:noFill/>
                    <a:ln>
                      <a:noFill/>
                    </a:ln>
                  </pic:spPr>
                </pic:pic>
              </a:graphicData>
            </a:graphic>
          </wp:inline>
        </w:drawing>
      </w:r>
      <w:r>
        <w:t> </w:t>
      </w:r>
      <w:r>
        <w:rPr>
          <w:bCs/>
        </w:rPr>
        <w:t>За констатирано неизпълнение на условията в комплексните разрешителни са издадени 54 наказателни постановления, на обща стойност 3 412 200</w:t>
      </w:r>
      <w:r>
        <w:t> </w:t>
      </w:r>
      <w:r>
        <w:rPr>
          <w:bCs/>
        </w:rPr>
        <w:t>лв. и са сключени 13 споразумения по реда на чл. 58г от Закона за административните нарушения и наказания на стойност 61 800 лв. През 2024</w:t>
      </w:r>
      <w:r>
        <w:t> </w:t>
      </w:r>
      <w:r>
        <w:rPr>
          <w:bCs/>
        </w:rPr>
        <w:t>г. са извършени проверки на по-голям брой оператори с издадени комплексни разрешителни (със 7% повече от 2023 г.), като броят на операторите, за които е констатирано неспазване на условията на комплексното разрешително, се запазва еднакъв.</w:t>
      </w:r>
    </w:p>
    <w:p>
      <w:pPr>
        <w:jc w:val="both"/>
        <w:rPr>
          <w:noProof/>
        </w:rPr>
      </w:pPr>
      <w:r>
        <w:rPr>
          <w:b/>
          <w:noProof/>
        </w:rPr>
        <w:drawing>
          <wp:inline distT="0" distB="0" distL="0" distR="0">
            <wp:extent cx="230505" cy="230505"/>
            <wp:effectExtent l="0" t="0" r="0" b="0"/>
            <wp:docPr id="62" name="Picture 8" descr="smil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mile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r>
        <w:t> </w:t>
      </w:r>
      <w:r>
        <w:rPr>
          <w:bCs/>
        </w:rPr>
        <w:t>През 2024 г. се запазва тенденцията за увеличаване броя на издадените административни актове по реда на глава VІ от ЗООС (решения/становища по ОВОС и ЕО) в сравнение с предишните години. Наблюдава се ръст на задължителните процедури по ОВОС и издадените решения по ОВОС, и в броя на инициираните процедури по ЕО в последните години.</w:t>
      </w:r>
    </w:p>
    <w:p>
      <w:pPr>
        <w:jc w:val="both"/>
        <w:rPr>
          <w:bCs/>
        </w:rPr>
      </w:pPr>
      <w:r>
        <w:rPr>
          <w:noProof/>
        </w:rPr>
        <w:drawing>
          <wp:inline distT="0" distB="0" distL="0" distR="0">
            <wp:extent cx="230505" cy="230505"/>
            <wp:effectExtent l="0" t="0" r="0" b="0"/>
            <wp:docPr id="63" name="Picture 63" descr="smil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smile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r>
        <w:t> </w:t>
      </w:r>
      <w:r>
        <w:rPr>
          <w:bCs/>
        </w:rPr>
        <w:t xml:space="preserve">Запазва се тенденцията през последните години за съобразяване от страна на възложителите с изискванията на нормативната уредба и заложените мерки, условия и </w:t>
      </w:r>
      <w:r>
        <w:rPr>
          <w:bCs/>
        </w:rPr>
        <w:lastRenderedPageBreak/>
        <w:t>ограничения в издадените административни актове по ОВОС и ЕО. За това допринася засилената контролна дейност.</w:t>
      </w:r>
    </w:p>
    <w:p>
      <w:pPr>
        <w:jc w:val="both"/>
        <w:rPr>
          <w:noProof/>
        </w:rPr>
      </w:pPr>
      <w:r>
        <w:rPr>
          <w:noProof/>
        </w:rPr>
        <w:drawing>
          <wp:inline distT="0" distB="0" distL="0" distR="0">
            <wp:extent cx="230505" cy="230505"/>
            <wp:effectExtent l="0" t="0" r="0" b="0"/>
            <wp:docPr id="64" name="Picture 64" descr="smil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smile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r>
        <w:t xml:space="preserve"> Увеличава се броят на регистрираните по EMAS организации и на </w:t>
      </w:r>
      <w:r>
        <w:rPr>
          <w:rFonts w:eastAsia="MS Mincho"/>
        </w:rPr>
        <w:t>българските продукти с екомаркировката на ЕС</w:t>
      </w:r>
      <w:r>
        <w:t>.</w:t>
      </w:r>
    </w:p>
    <w:p>
      <w:pPr>
        <w:tabs>
          <w:tab w:val="left" w:pos="567"/>
        </w:tabs>
        <w:jc w:val="both"/>
        <w:rPr>
          <w:rFonts w:eastAsia="Calibri"/>
          <w:lang w:eastAsia="en-US"/>
        </w:rPr>
      </w:pPr>
      <w:r>
        <w:rPr>
          <w:noProof/>
        </w:rPr>
        <w:drawing>
          <wp:inline distT="0" distB="0" distL="0" distR="0">
            <wp:extent cx="230505" cy="230505"/>
            <wp:effectExtent l="0" t="0" r="0" b="0"/>
            <wp:docPr id="65" name="Picture 65" descr="s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sa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r>
        <w:rPr>
          <w:b/>
        </w:rPr>
        <w:tab/>
      </w:r>
      <w:r>
        <w:t xml:space="preserve">През 2024 г. в едно от предприятията, </w:t>
      </w:r>
      <w:r>
        <w:rPr>
          <w:shd w:val="clear" w:color="auto" w:fill="FFFFFF"/>
        </w:rPr>
        <w:t xml:space="preserve">класифицирани </w:t>
      </w:r>
      <w:r>
        <w:t xml:space="preserve">с нисък рисков потенциал), попадащи в обхвата на Глава седма, Раздел I от ЗООС, </w:t>
      </w:r>
      <w:r>
        <w:rPr>
          <w:noProof/>
        </w:rPr>
        <w:t>възникна голяма авария с опасни вещества, а именно пожар в склад за пиротехнически изделия, който предизвика серия от взривове, в резултат на което загинаха 4 души</w:t>
      </w:r>
      <w:r>
        <w:t xml:space="preserve"> </w:t>
      </w:r>
      <w:r>
        <w:rPr>
          <w:noProof/>
        </w:rPr>
        <w:t>и бяха нанесени материални щети</w:t>
      </w:r>
      <w:r>
        <w:t>.</w:t>
      </w:r>
    </w:p>
    <w:p>
      <w:pPr>
        <w:jc w:val="both"/>
        <w:rPr>
          <w:lang w:eastAsia="ar-SA"/>
        </w:rPr>
      </w:pPr>
    </w:p>
    <w:p>
      <w:pPr>
        <w:shd w:val="clear" w:color="auto" w:fill="FFFFFF"/>
        <w:tabs>
          <w:tab w:val="left" w:pos="0"/>
        </w:tabs>
        <w:jc w:val="both"/>
        <w:rPr>
          <w:b/>
          <w:u w:val="single"/>
          <w:lang w:eastAsia="ar-SA"/>
        </w:rPr>
      </w:pPr>
      <w:r>
        <w:rPr>
          <w:b/>
          <w:i/>
          <w:u w:val="single"/>
          <w:lang w:eastAsia="ar-SA"/>
        </w:rPr>
        <w:t>Раздел „Повишаване на екологичното съзнание и култура“</w:t>
      </w:r>
    </w:p>
    <w:p>
      <w:pPr>
        <w:jc w:val="both"/>
      </w:pPr>
      <w:r>
        <w:rPr>
          <w:bCs/>
          <w:noProof/>
        </w:rPr>
        <w:drawing>
          <wp:inline distT="0" distB="0" distL="0" distR="0">
            <wp:extent cx="238760" cy="23876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8760" cy="238760"/>
                    </a:xfrm>
                    <a:prstGeom prst="rect">
                      <a:avLst/>
                    </a:prstGeom>
                    <a:noFill/>
                    <a:ln>
                      <a:noFill/>
                    </a:ln>
                  </pic:spPr>
                </pic:pic>
              </a:graphicData>
            </a:graphic>
          </wp:inline>
        </w:drawing>
      </w:r>
      <w:r>
        <w:t> </w:t>
      </w:r>
      <w:r>
        <w:rPr>
          <w:bCs/>
        </w:rPr>
        <w:t>Предоставен е достъп до обществена информация по 79</w:t>
      </w:r>
      <w:r>
        <w:rPr>
          <w:lang w:val="ru-RU"/>
        </w:rPr>
        <w:t> </w:t>
      </w:r>
      <w:r>
        <w:rPr>
          <w:bCs/>
        </w:rPr>
        <w:t>% от подадените заявления, отказан е достъп в незначителен брой случаи.</w:t>
      </w:r>
      <w:r>
        <w:rPr>
          <w:lang w:val="ru-RU"/>
        </w:rPr>
        <w:t xml:space="preserve"> Регистрира </w:t>
      </w:r>
      <w:r>
        <w:t xml:space="preserve">се известен спад в </w:t>
      </w:r>
      <w:r>
        <w:rPr>
          <w:lang w:val="ru-RU"/>
        </w:rPr>
        <w:t>броя посещения на интернет страниците на МОСВ и неговите поделения –</w:t>
      </w:r>
      <w:r>
        <w:t xml:space="preserve"> 1 125 504,</w:t>
      </w:r>
      <w:r>
        <w:rPr>
          <w:b/>
        </w:rPr>
        <w:t xml:space="preserve"> </w:t>
      </w:r>
      <w:r>
        <w:t>спрямо 1 400 866</w:t>
      </w:r>
      <w:r>
        <w:rPr>
          <w:lang w:val="ru-RU"/>
        </w:rPr>
        <w:t xml:space="preserve"> </w:t>
      </w:r>
      <w:r>
        <w:t>от 2022 г</w:t>
      </w:r>
      <w:r>
        <w:rPr>
          <w:lang w:val="ru-RU"/>
        </w:rPr>
        <w:t>.</w:t>
      </w:r>
    </w:p>
    <w:p>
      <w:pPr>
        <w:pStyle w:val="CharCharChar1"/>
        <w:tabs>
          <w:tab w:val="clear" w:pos="709"/>
          <w:tab w:val="left" w:pos="426"/>
        </w:tabs>
        <w:jc w:val="both"/>
        <w:rPr>
          <w:rFonts w:ascii="Times New Roman" w:hAnsi="Times New Roman"/>
          <w:bCs/>
          <w:lang w:val="ru-RU"/>
        </w:rPr>
      </w:pPr>
      <w:r>
        <w:rPr>
          <w:rFonts w:ascii="Times New Roman" w:hAnsi="Times New Roman"/>
          <w:bCs/>
          <w:noProof/>
          <w:lang w:val="bg-BG" w:eastAsia="bg-BG"/>
        </w:rPr>
        <w:drawing>
          <wp:inline distT="0" distB="0" distL="0" distR="0">
            <wp:extent cx="238760" cy="23876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8760" cy="238760"/>
                    </a:xfrm>
                    <a:prstGeom prst="rect">
                      <a:avLst/>
                    </a:prstGeom>
                    <a:noFill/>
                    <a:ln>
                      <a:noFill/>
                    </a:ln>
                  </pic:spPr>
                </pic:pic>
              </a:graphicData>
            </a:graphic>
          </wp:inline>
        </w:drawing>
      </w:r>
      <w:r>
        <w:t> </w:t>
      </w:r>
      <w:r>
        <w:rPr>
          <w:rFonts w:ascii="Times New Roman" w:hAnsi="Times New Roman"/>
        </w:rPr>
        <w:t xml:space="preserve">Броят на </w:t>
      </w:r>
      <w:r>
        <w:rPr>
          <w:rFonts w:ascii="Times New Roman" w:hAnsi="Times New Roman"/>
          <w:bCs/>
          <w:lang w:val="ru-RU"/>
        </w:rPr>
        <w:t xml:space="preserve">базите </w:t>
      </w:r>
      <w:r>
        <w:rPr>
          <w:rFonts w:ascii="Times New Roman" w:hAnsi="Times New Roman"/>
        </w:rPr>
        <w:t xml:space="preserve">данни и публични регистри, </w:t>
      </w:r>
      <w:r>
        <w:rPr>
          <w:rFonts w:ascii="Times New Roman" w:hAnsi="Times New Roman"/>
          <w:bCs/>
        </w:rPr>
        <w:t>поддържани на интернет страниците на МОСВ и поделенията му,</w:t>
      </w:r>
      <w:r>
        <w:rPr>
          <w:rFonts w:ascii="Times New Roman" w:hAnsi="Times New Roman"/>
        </w:rPr>
        <w:t xml:space="preserve"> е </w:t>
      </w:r>
      <w:r>
        <w:rPr>
          <w:rFonts w:ascii="Times New Roman" w:hAnsi="Times New Roman"/>
          <w:lang w:val="bg-BG"/>
        </w:rPr>
        <w:t>407</w:t>
      </w:r>
      <w:r>
        <w:rPr>
          <w:rFonts w:ascii="Times New Roman" w:hAnsi="Times New Roman"/>
          <w:bCs/>
          <w:lang w:val="ru-RU"/>
        </w:rPr>
        <w:t>.</w:t>
      </w:r>
    </w:p>
    <w:p>
      <w:pPr>
        <w:jc w:val="both"/>
        <w:rPr>
          <w:bCs/>
        </w:rPr>
      </w:pPr>
      <w:r>
        <w:rPr>
          <w:noProof/>
        </w:rPr>
        <w:drawing>
          <wp:inline distT="0" distB="0" distL="0" distR="0">
            <wp:extent cx="230505" cy="230505"/>
            <wp:effectExtent l="0" t="0" r="0" b="0"/>
            <wp:docPr id="68" name="Picture 68" descr="smil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smile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r>
        <w:t> П</w:t>
      </w:r>
      <w:r>
        <w:rPr>
          <w:bCs/>
        </w:rPr>
        <w:t xml:space="preserve">роведени са </w:t>
      </w:r>
      <w:r>
        <w:t xml:space="preserve">значителен брой (над </w:t>
      </w:r>
      <w:r>
        <w:rPr>
          <w:lang w:val="ru-RU"/>
        </w:rPr>
        <w:t>8</w:t>
      </w:r>
      <w:r>
        <w:t>00)</w:t>
      </w:r>
      <w:r>
        <w:rPr>
          <w:bCs/>
        </w:rPr>
        <w:t xml:space="preserve"> информационно-образователни инициативи от МОСВ и неговите структури, </w:t>
      </w:r>
      <w:r>
        <w:t>по 21 национални кампании за повишаване на общественото съзнание и култура по повод датите от международния екокалендар</w:t>
      </w:r>
      <w:r>
        <w:rPr>
          <w:bCs/>
        </w:rPr>
        <w:t>.</w:t>
      </w:r>
    </w:p>
    <w:sectPr>
      <w:footerReference w:type="even" r:id="rId23"/>
      <w:footerReference w:type="default" r:id="rId24"/>
      <w:pgSz w:w="11906" w:h="16838"/>
      <w:pgMar w:top="851" w:right="1274" w:bottom="1276" w:left="1134" w:header="709" w:footer="5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imes New Roman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ok">
    <w:altName w:val="Courier New"/>
    <w:panose1 w:val="00000000000000000000"/>
    <w:charset w:val="00"/>
    <w:family w:val="auto"/>
    <w:notTrueType/>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Schkolnaya">
    <w:altName w:val="Arial Narrow"/>
    <w:panose1 w:val="00000000000000000000"/>
    <w:charset w:val="00"/>
    <w:family w:val="swiss"/>
    <w:notTrueType/>
    <w:pitch w:val="variable"/>
    <w:sig w:usb0="00000003" w:usb1="00000000" w:usb2="00000000" w:usb3="00000000" w:csb0="00000001" w:csb1="00000000"/>
  </w:font>
  <w:font w:name="UnvCyr">
    <w:altName w:val="Arial"/>
    <w:charset w:val="00"/>
    <w:family w:val="swiss"/>
    <w:pitch w:val="variable"/>
    <w:sig w:usb0="00000287" w:usb1="00000000" w:usb2="00000000" w:usb3="00000000" w:csb0="0000001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framePr w:wrap="around" w:vAnchor="text" w:hAnchor="margin" w:xAlign="right" w:y="1"/>
      <w:rPr>
        <w:rStyle w:val="PageNumbe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noProof/>
        <w:sz w:val="20"/>
        <w:szCs w:val="20"/>
      </w:rPr>
      <w:t>1</w:t>
    </w:r>
    <w:r>
      <w:rPr>
        <w:rStyle w:val="PageNumber"/>
        <w:sz w:val="20"/>
        <w:szCs w:val="20"/>
      </w:rPr>
      <w:fldChar w:fldCharType="end"/>
    </w:r>
  </w:p>
  <w:p>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id="1">
    <w:p>
      <w:pPr>
        <w:pageBreakBefore/>
        <w:spacing w:after="120"/>
        <w:rPr>
          <w:sz w:val="20"/>
          <w:szCs w:val="20"/>
        </w:rPr>
      </w:pPr>
      <w:r>
        <w:rPr>
          <w:sz w:val="20"/>
          <w:szCs w:val="20"/>
          <w:vertAlign w:val="superscript"/>
        </w:rPr>
        <w:t xml:space="preserve">3 </w:t>
      </w:r>
      <w:r>
        <w:rPr>
          <w:sz w:val="20"/>
          <w:szCs w:val="20"/>
        </w:rPr>
        <w:t>Източник на данни за възобновимите (възобновяемите) пресни водни ресурси е МОСВ.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state-good.jpg" style="width:18.15pt;height:18.15pt;visibility:visible" o:bullet="t">
        <v:imagedata r:id="rId1" o:title="state-good"/>
      </v:shape>
    </w:pict>
  </w:numPicBullet>
  <w:numPicBullet w:numPicBulletId="1">
    <w:pict>
      <v:shape id="_x0000_i1030" type="#_x0000_t75" alt="sad" style="width:26.3pt;height:26.3pt;visibility:visible" o:bullet="t">
        <v:imagedata r:id="rId2" o:title=""/>
      </v:shape>
    </w:pict>
  </w:numPicBullet>
  <w:numPicBullet w:numPicBulletId="2">
    <w:pict>
      <v:shape id="_x0000_i1031" type="#_x0000_t75" alt="state-bad.jpg" style="width:18.15pt;height:18.15pt;visibility:visible" o:bullet="t">
        <v:imagedata r:id="rId3" o:title="state-bad"/>
      </v:shape>
    </w:pict>
  </w:numPicBullet>
  <w:abstractNum w:abstractNumId="0" w15:restartNumberingAfterBreak="0">
    <w:nsid w:val="034115E8"/>
    <w:multiLevelType w:val="hybridMultilevel"/>
    <w:tmpl w:val="81503BC0"/>
    <w:lvl w:ilvl="0" w:tplc="04020001">
      <w:start w:val="1"/>
      <w:numFmt w:val="bullet"/>
      <w:lvlText w:val=""/>
      <w:lvlJc w:val="left"/>
      <w:pPr>
        <w:tabs>
          <w:tab w:val="num" w:pos="1428"/>
        </w:tabs>
        <w:ind w:left="1428" w:hanging="360"/>
      </w:pPr>
      <w:rPr>
        <w:rFonts w:ascii="Symbol" w:hAnsi="Symbol" w:hint="default"/>
      </w:rPr>
    </w:lvl>
    <w:lvl w:ilvl="1" w:tplc="0402000F">
      <w:start w:val="1"/>
      <w:numFmt w:val="decimal"/>
      <w:lvlText w:val="%2."/>
      <w:lvlJc w:val="left"/>
      <w:pPr>
        <w:tabs>
          <w:tab w:val="num" w:pos="2148"/>
        </w:tabs>
        <w:ind w:left="2148" w:hanging="360"/>
      </w:pPr>
      <w:rPr>
        <w:rFonts w:hint="default"/>
      </w:rPr>
    </w:lvl>
    <w:lvl w:ilvl="2" w:tplc="04020005" w:tentative="1">
      <w:start w:val="1"/>
      <w:numFmt w:val="bullet"/>
      <w:lvlText w:val=""/>
      <w:lvlJc w:val="left"/>
      <w:pPr>
        <w:tabs>
          <w:tab w:val="num" w:pos="2868"/>
        </w:tabs>
        <w:ind w:left="2868" w:hanging="360"/>
      </w:pPr>
      <w:rPr>
        <w:rFonts w:ascii="Wingdings" w:hAnsi="Wingdings" w:hint="default"/>
      </w:rPr>
    </w:lvl>
    <w:lvl w:ilvl="3" w:tplc="04020001" w:tentative="1">
      <w:start w:val="1"/>
      <w:numFmt w:val="bullet"/>
      <w:lvlText w:val=""/>
      <w:lvlJc w:val="left"/>
      <w:pPr>
        <w:tabs>
          <w:tab w:val="num" w:pos="3588"/>
        </w:tabs>
        <w:ind w:left="3588" w:hanging="360"/>
      </w:pPr>
      <w:rPr>
        <w:rFonts w:ascii="Symbol" w:hAnsi="Symbol" w:hint="default"/>
      </w:rPr>
    </w:lvl>
    <w:lvl w:ilvl="4" w:tplc="04020003" w:tentative="1">
      <w:start w:val="1"/>
      <w:numFmt w:val="bullet"/>
      <w:lvlText w:val="o"/>
      <w:lvlJc w:val="left"/>
      <w:pPr>
        <w:tabs>
          <w:tab w:val="num" w:pos="4308"/>
        </w:tabs>
        <w:ind w:left="4308" w:hanging="360"/>
      </w:pPr>
      <w:rPr>
        <w:rFonts w:ascii="Courier New" w:hAnsi="Courier New" w:cs="Courier New" w:hint="default"/>
      </w:rPr>
    </w:lvl>
    <w:lvl w:ilvl="5" w:tplc="04020005" w:tentative="1">
      <w:start w:val="1"/>
      <w:numFmt w:val="bullet"/>
      <w:lvlText w:val=""/>
      <w:lvlJc w:val="left"/>
      <w:pPr>
        <w:tabs>
          <w:tab w:val="num" w:pos="5028"/>
        </w:tabs>
        <w:ind w:left="5028" w:hanging="360"/>
      </w:pPr>
      <w:rPr>
        <w:rFonts w:ascii="Wingdings" w:hAnsi="Wingdings" w:hint="default"/>
      </w:rPr>
    </w:lvl>
    <w:lvl w:ilvl="6" w:tplc="04020001" w:tentative="1">
      <w:start w:val="1"/>
      <w:numFmt w:val="bullet"/>
      <w:lvlText w:val=""/>
      <w:lvlJc w:val="left"/>
      <w:pPr>
        <w:tabs>
          <w:tab w:val="num" w:pos="5748"/>
        </w:tabs>
        <w:ind w:left="5748" w:hanging="360"/>
      </w:pPr>
      <w:rPr>
        <w:rFonts w:ascii="Symbol" w:hAnsi="Symbol" w:hint="default"/>
      </w:rPr>
    </w:lvl>
    <w:lvl w:ilvl="7" w:tplc="04020003" w:tentative="1">
      <w:start w:val="1"/>
      <w:numFmt w:val="bullet"/>
      <w:lvlText w:val="o"/>
      <w:lvlJc w:val="left"/>
      <w:pPr>
        <w:tabs>
          <w:tab w:val="num" w:pos="6468"/>
        </w:tabs>
        <w:ind w:left="6468" w:hanging="360"/>
      </w:pPr>
      <w:rPr>
        <w:rFonts w:ascii="Courier New" w:hAnsi="Courier New" w:cs="Courier New" w:hint="default"/>
      </w:rPr>
    </w:lvl>
    <w:lvl w:ilvl="8" w:tplc="04020005" w:tentative="1">
      <w:start w:val="1"/>
      <w:numFmt w:val="bullet"/>
      <w:lvlText w:val=""/>
      <w:lvlJc w:val="left"/>
      <w:pPr>
        <w:tabs>
          <w:tab w:val="num" w:pos="7188"/>
        </w:tabs>
        <w:ind w:left="7188" w:hanging="360"/>
      </w:pPr>
      <w:rPr>
        <w:rFonts w:ascii="Wingdings" w:hAnsi="Wingdings" w:hint="default"/>
      </w:rPr>
    </w:lvl>
  </w:abstractNum>
  <w:abstractNum w:abstractNumId="1" w15:restartNumberingAfterBreak="0">
    <w:nsid w:val="04137E9E"/>
    <w:multiLevelType w:val="hybridMultilevel"/>
    <w:tmpl w:val="9D30CE4A"/>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B31685"/>
    <w:multiLevelType w:val="hybridMultilevel"/>
    <w:tmpl w:val="44329E9E"/>
    <w:lvl w:ilvl="0" w:tplc="64AA2C5A">
      <w:start w:val="1"/>
      <w:numFmt w:val="bullet"/>
      <w:lvlText w:val=""/>
      <w:lvlJc w:val="left"/>
      <w:pPr>
        <w:tabs>
          <w:tab w:val="num" w:pos="360"/>
        </w:tabs>
        <w:ind w:left="36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E5DA7"/>
    <w:multiLevelType w:val="multilevel"/>
    <w:tmpl w:val="4C9C6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140E24"/>
    <w:multiLevelType w:val="hybridMultilevel"/>
    <w:tmpl w:val="4D647260"/>
    <w:lvl w:ilvl="0" w:tplc="B24EFBBE">
      <w:start w:val="1"/>
      <w:numFmt w:val="bullet"/>
      <w:lvlText w:val=""/>
      <w:lvlJc w:val="left"/>
      <w:pPr>
        <w:tabs>
          <w:tab w:val="num" w:pos="720"/>
        </w:tabs>
        <w:ind w:left="720" w:hanging="360"/>
      </w:pPr>
      <w:rPr>
        <w:rFonts w:ascii="Symbol" w:hAnsi="Symbol" w:hint="default"/>
        <w:color w:val="auto"/>
        <w:lang w:val="ru-RU"/>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1F0D3A"/>
    <w:multiLevelType w:val="hybridMultilevel"/>
    <w:tmpl w:val="4036DB2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6795E8A"/>
    <w:multiLevelType w:val="hybridMultilevel"/>
    <w:tmpl w:val="23F4B8BC"/>
    <w:lvl w:ilvl="0" w:tplc="0409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0D231A"/>
    <w:multiLevelType w:val="hybridMultilevel"/>
    <w:tmpl w:val="D876D822"/>
    <w:lvl w:ilvl="0" w:tplc="2F484818">
      <w:start w:val="1"/>
      <w:numFmt w:val="bullet"/>
      <w:lvlText w:val=""/>
      <w:lvlPicBulletId w:val="0"/>
      <w:lvlJc w:val="left"/>
      <w:pPr>
        <w:tabs>
          <w:tab w:val="num" w:pos="720"/>
        </w:tabs>
        <w:ind w:left="720" w:hanging="360"/>
      </w:pPr>
      <w:rPr>
        <w:rFonts w:ascii="Symbol" w:hAnsi="Symbol" w:hint="default"/>
        <w:sz w:val="40"/>
      </w:rPr>
    </w:lvl>
    <w:lvl w:ilvl="1" w:tplc="1D547686" w:tentative="1">
      <w:start w:val="1"/>
      <w:numFmt w:val="bullet"/>
      <w:lvlText w:val=""/>
      <w:lvlJc w:val="left"/>
      <w:pPr>
        <w:tabs>
          <w:tab w:val="num" w:pos="1440"/>
        </w:tabs>
        <w:ind w:left="1440" w:hanging="360"/>
      </w:pPr>
      <w:rPr>
        <w:rFonts w:ascii="Symbol" w:hAnsi="Symbol" w:hint="default"/>
      </w:rPr>
    </w:lvl>
    <w:lvl w:ilvl="2" w:tplc="5EFC6C74" w:tentative="1">
      <w:start w:val="1"/>
      <w:numFmt w:val="bullet"/>
      <w:lvlText w:val=""/>
      <w:lvlJc w:val="left"/>
      <w:pPr>
        <w:tabs>
          <w:tab w:val="num" w:pos="2160"/>
        </w:tabs>
        <w:ind w:left="2160" w:hanging="360"/>
      </w:pPr>
      <w:rPr>
        <w:rFonts w:ascii="Symbol" w:hAnsi="Symbol" w:hint="default"/>
      </w:rPr>
    </w:lvl>
    <w:lvl w:ilvl="3" w:tplc="25244840" w:tentative="1">
      <w:start w:val="1"/>
      <w:numFmt w:val="bullet"/>
      <w:lvlText w:val=""/>
      <w:lvlJc w:val="left"/>
      <w:pPr>
        <w:tabs>
          <w:tab w:val="num" w:pos="2880"/>
        </w:tabs>
        <w:ind w:left="2880" w:hanging="360"/>
      </w:pPr>
      <w:rPr>
        <w:rFonts w:ascii="Symbol" w:hAnsi="Symbol" w:hint="default"/>
      </w:rPr>
    </w:lvl>
    <w:lvl w:ilvl="4" w:tplc="184203EA" w:tentative="1">
      <w:start w:val="1"/>
      <w:numFmt w:val="bullet"/>
      <w:lvlText w:val=""/>
      <w:lvlJc w:val="left"/>
      <w:pPr>
        <w:tabs>
          <w:tab w:val="num" w:pos="3600"/>
        </w:tabs>
        <w:ind w:left="3600" w:hanging="360"/>
      </w:pPr>
      <w:rPr>
        <w:rFonts w:ascii="Symbol" w:hAnsi="Symbol" w:hint="default"/>
      </w:rPr>
    </w:lvl>
    <w:lvl w:ilvl="5" w:tplc="7A78B1C6" w:tentative="1">
      <w:start w:val="1"/>
      <w:numFmt w:val="bullet"/>
      <w:lvlText w:val=""/>
      <w:lvlJc w:val="left"/>
      <w:pPr>
        <w:tabs>
          <w:tab w:val="num" w:pos="4320"/>
        </w:tabs>
        <w:ind w:left="4320" w:hanging="360"/>
      </w:pPr>
      <w:rPr>
        <w:rFonts w:ascii="Symbol" w:hAnsi="Symbol" w:hint="default"/>
      </w:rPr>
    </w:lvl>
    <w:lvl w:ilvl="6" w:tplc="A8DEF900" w:tentative="1">
      <w:start w:val="1"/>
      <w:numFmt w:val="bullet"/>
      <w:lvlText w:val=""/>
      <w:lvlJc w:val="left"/>
      <w:pPr>
        <w:tabs>
          <w:tab w:val="num" w:pos="5040"/>
        </w:tabs>
        <w:ind w:left="5040" w:hanging="360"/>
      </w:pPr>
      <w:rPr>
        <w:rFonts w:ascii="Symbol" w:hAnsi="Symbol" w:hint="default"/>
      </w:rPr>
    </w:lvl>
    <w:lvl w:ilvl="7" w:tplc="35A0CDC8" w:tentative="1">
      <w:start w:val="1"/>
      <w:numFmt w:val="bullet"/>
      <w:lvlText w:val=""/>
      <w:lvlJc w:val="left"/>
      <w:pPr>
        <w:tabs>
          <w:tab w:val="num" w:pos="5760"/>
        </w:tabs>
        <w:ind w:left="5760" w:hanging="360"/>
      </w:pPr>
      <w:rPr>
        <w:rFonts w:ascii="Symbol" w:hAnsi="Symbol" w:hint="default"/>
      </w:rPr>
    </w:lvl>
    <w:lvl w:ilvl="8" w:tplc="13C82E06"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B0F39AA"/>
    <w:multiLevelType w:val="hybridMultilevel"/>
    <w:tmpl w:val="CB169CDE"/>
    <w:lvl w:ilvl="0" w:tplc="3BEE9E36">
      <w:start w:val="1"/>
      <w:numFmt w:val="bullet"/>
      <w:lvlText w:val=""/>
      <w:lvlJc w:val="left"/>
      <w:pPr>
        <w:tabs>
          <w:tab w:val="num" w:pos="0"/>
        </w:tabs>
        <w:ind w:left="0" w:firstLine="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575AE2"/>
    <w:multiLevelType w:val="hybridMultilevel"/>
    <w:tmpl w:val="201E6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7443EE"/>
    <w:multiLevelType w:val="hybridMultilevel"/>
    <w:tmpl w:val="9426F796"/>
    <w:lvl w:ilvl="0" w:tplc="DC9CFDCE">
      <w:start w:val="1"/>
      <w:numFmt w:val="decimal"/>
      <w:lvlText w:val="%1."/>
      <w:lvlJc w:val="left"/>
      <w:pPr>
        <w:ind w:left="720" w:hanging="360"/>
      </w:pPr>
      <w:rPr>
        <w:rFonts w:ascii="Times New Roman" w:eastAsia="Times New Roman" w:hAnsi="Times New Roman" w:cs="Times New Roman"/>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1CB74AD9"/>
    <w:multiLevelType w:val="hybridMultilevel"/>
    <w:tmpl w:val="FA3EE538"/>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pStyle w:val="Style14"/>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CC1604B"/>
    <w:multiLevelType w:val="hybridMultilevel"/>
    <w:tmpl w:val="105AA464"/>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3" w15:restartNumberingAfterBreak="0">
    <w:nsid w:val="1D9462B1"/>
    <w:multiLevelType w:val="hybridMultilevel"/>
    <w:tmpl w:val="BEC2D062"/>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4" w15:restartNumberingAfterBreak="0">
    <w:nsid w:val="1DCE214A"/>
    <w:multiLevelType w:val="multilevel"/>
    <w:tmpl w:val="7F0EBAA8"/>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C3530F"/>
    <w:multiLevelType w:val="hybridMultilevel"/>
    <w:tmpl w:val="D0861BBE"/>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B7A33DE"/>
    <w:multiLevelType w:val="hybridMultilevel"/>
    <w:tmpl w:val="65F280A2"/>
    <w:lvl w:ilvl="0" w:tplc="04090001">
      <w:start w:val="1"/>
      <w:numFmt w:val="bullet"/>
      <w:lvlText w:val=""/>
      <w:lvlJc w:val="left"/>
      <w:pPr>
        <w:ind w:left="720" w:hanging="360"/>
      </w:pPr>
      <w:rPr>
        <w:rFonts w:ascii="Symbol" w:hAnsi="Symbol" w:hint="default"/>
      </w:rPr>
    </w:lvl>
    <w:lvl w:ilvl="1" w:tplc="3876525E">
      <w:numFmt w:val="bullet"/>
      <w:lvlText w:val="-"/>
      <w:lvlJc w:val="left"/>
      <w:pPr>
        <w:ind w:left="1440" w:hanging="360"/>
      </w:pPr>
      <w:rPr>
        <w:rFonts w:ascii="Times New Roman" w:eastAsia="MS Mincho"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C8549A"/>
    <w:multiLevelType w:val="hybridMultilevel"/>
    <w:tmpl w:val="A23AF4AE"/>
    <w:lvl w:ilvl="0" w:tplc="04020001">
      <w:start w:val="1"/>
      <w:numFmt w:val="bullet"/>
      <w:lvlText w:val=""/>
      <w:lvlJc w:val="left"/>
      <w:pPr>
        <w:tabs>
          <w:tab w:val="num" w:pos="1440"/>
        </w:tabs>
        <w:ind w:left="1440" w:hanging="360"/>
      </w:pPr>
      <w:rPr>
        <w:rFonts w:ascii="Symbol" w:hAnsi="Symbol" w:hint="default"/>
      </w:rPr>
    </w:lvl>
    <w:lvl w:ilvl="1" w:tplc="04020003" w:tentative="1">
      <w:start w:val="1"/>
      <w:numFmt w:val="bullet"/>
      <w:lvlText w:val="o"/>
      <w:lvlJc w:val="left"/>
      <w:pPr>
        <w:tabs>
          <w:tab w:val="num" w:pos="2160"/>
        </w:tabs>
        <w:ind w:left="2160" w:hanging="360"/>
      </w:pPr>
      <w:rPr>
        <w:rFonts w:ascii="Courier New" w:hAnsi="Courier New" w:cs="Courier New" w:hint="default"/>
      </w:rPr>
    </w:lvl>
    <w:lvl w:ilvl="2" w:tplc="04020005" w:tentative="1">
      <w:start w:val="1"/>
      <w:numFmt w:val="bullet"/>
      <w:lvlText w:val=""/>
      <w:lvlJc w:val="left"/>
      <w:pPr>
        <w:tabs>
          <w:tab w:val="num" w:pos="2880"/>
        </w:tabs>
        <w:ind w:left="2880" w:hanging="360"/>
      </w:pPr>
      <w:rPr>
        <w:rFonts w:ascii="Wingdings" w:hAnsi="Wingdings" w:hint="default"/>
      </w:rPr>
    </w:lvl>
    <w:lvl w:ilvl="3" w:tplc="04020001">
      <w:start w:val="1"/>
      <w:numFmt w:val="bullet"/>
      <w:lvlText w:val=""/>
      <w:lvlJc w:val="left"/>
      <w:pPr>
        <w:tabs>
          <w:tab w:val="num" w:pos="3600"/>
        </w:tabs>
        <w:ind w:left="3600" w:hanging="360"/>
      </w:pPr>
      <w:rPr>
        <w:rFonts w:ascii="Symbol" w:hAnsi="Symbol" w:hint="default"/>
      </w:rPr>
    </w:lvl>
    <w:lvl w:ilvl="4" w:tplc="04020003" w:tentative="1">
      <w:start w:val="1"/>
      <w:numFmt w:val="bullet"/>
      <w:lvlText w:val="o"/>
      <w:lvlJc w:val="left"/>
      <w:pPr>
        <w:tabs>
          <w:tab w:val="num" w:pos="4320"/>
        </w:tabs>
        <w:ind w:left="4320" w:hanging="360"/>
      </w:pPr>
      <w:rPr>
        <w:rFonts w:ascii="Courier New" w:hAnsi="Courier New" w:cs="Courier New" w:hint="default"/>
      </w:rPr>
    </w:lvl>
    <w:lvl w:ilvl="5" w:tplc="04020005" w:tentative="1">
      <w:start w:val="1"/>
      <w:numFmt w:val="bullet"/>
      <w:lvlText w:val=""/>
      <w:lvlJc w:val="left"/>
      <w:pPr>
        <w:tabs>
          <w:tab w:val="num" w:pos="5040"/>
        </w:tabs>
        <w:ind w:left="5040" w:hanging="360"/>
      </w:pPr>
      <w:rPr>
        <w:rFonts w:ascii="Wingdings" w:hAnsi="Wingdings" w:hint="default"/>
      </w:rPr>
    </w:lvl>
    <w:lvl w:ilvl="6" w:tplc="04020001" w:tentative="1">
      <w:start w:val="1"/>
      <w:numFmt w:val="bullet"/>
      <w:lvlText w:val=""/>
      <w:lvlJc w:val="left"/>
      <w:pPr>
        <w:tabs>
          <w:tab w:val="num" w:pos="5760"/>
        </w:tabs>
        <w:ind w:left="5760" w:hanging="360"/>
      </w:pPr>
      <w:rPr>
        <w:rFonts w:ascii="Symbol" w:hAnsi="Symbol" w:hint="default"/>
      </w:rPr>
    </w:lvl>
    <w:lvl w:ilvl="7" w:tplc="04020003" w:tentative="1">
      <w:start w:val="1"/>
      <w:numFmt w:val="bullet"/>
      <w:lvlText w:val="o"/>
      <w:lvlJc w:val="left"/>
      <w:pPr>
        <w:tabs>
          <w:tab w:val="num" w:pos="6480"/>
        </w:tabs>
        <w:ind w:left="6480" w:hanging="360"/>
      </w:pPr>
      <w:rPr>
        <w:rFonts w:ascii="Courier New" w:hAnsi="Courier New" w:cs="Courier New" w:hint="default"/>
      </w:rPr>
    </w:lvl>
    <w:lvl w:ilvl="8" w:tplc="0402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3C3A4DAA"/>
    <w:multiLevelType w:val="hybridMultilevel"/>
    <w:tmpl w:val="7F9ACE8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15:restartNumberingAfterBreak="0">
    <w:nsid w:val="3CB110E4"/>
    <w:multiLevelType w:val="hybridMultilevel"/>
    <w:tmpl w:val="3CB4185C"/>
    <w:lvl w:ilvl="0" w:tplc="F198F1E4">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DD839E5"/>
    <w:multiLevelType w:val="hybridMultilevel"/>
    <w:tmpl w:val="DCAC551C"/>
    <w:lvl w:ilvl="0" w:tplc="64AA2C5A">
      <w:start w:val="1"/>
      <w:numFmt w:val="bullet"/>
      <w:lvlText w:val=""/>
      <w:lvlJc w:val="left"/>
      <w:pPr>
        <w:tabs>
          <w:tab w:val="num" w:pos="360"/>
        </w:tabs>
        <w:ind w:left="36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1AD44B1"/>
    <w:multiLevelType w:val="hybridMultilevel"/>
    <w:tmpl w:val="593EF4BA"/>
    <w:lvl w:ilvl="0" w:tplc="04090001">
      <w:start w:val="1"/>
      <w:numFmt w:val="bullet"/>
      <w:lvlText w:val=""/>
      <w:lvlJc w:val="left"/>
      <w:pPr>
        <w:tabs>
          <w:tab w:val="num" w:pos="1440"/>
        </w:tabs>
        <w:ind w:left="1440" w:hanging="360"/>
      </w:pPr>
      <w:rPr>
        <w:rFonts w:ascii="Symbol" w:hAnsi="Symbol" w:hint="default"/>
      </w:rPr>
    </w:lvl>
    <w:lvl w:ilvl="1" w:tplc="04020003">
      <w:start w:val="1"/>
      <w:numFmt w:val="bullet"/>
      <w:lvlText w:val="o"/>
      <w:lvlJc w:val="left"/>
      <w:pPr>
        <w:tabs>
          <w:tab w:val="num" w:pos="2160"/>
        </w:tabs>
        <w:ind w:left="2160" w:hanging="360"/>
      </w:pPr>
      <w:rPr>
        <w:rFonts w:ascii="Courier New" w:hAnsi="Courier New" w:cs="Courier New" w:hint="default"/>
      </w:rPr>
    </w:lvl>
    <w:lvl w:ilvl="2" w:tplc="04020005">
      <w:start w:val="1"/>
      <w:numFmt w:val="bullet"/>
      <w:lvlText w:val=""/>
      <w:lvlJc w:val="left"/>
      <w:pPr>
        <w:tabs>
          <w:tab w:val="num" w:pos="2880"/>
        </w:tabs>
        <w:ind w:left="2880" w:hanging="360"/>
      </w:pPr>
      <w:rPr>
        <w:rFonts w:ascii="Wingdings" w:hAnsi="Wingdings" w:hint="default"/>
      </w:rPr>
    </w:lvl>
    <w:lvl w:ilvl="3" w:tplc="04020001">
      <w:start w:val="1"/>
      <w:numFmt w:val="bullet"/>
      <w:lvlText w:val=""/>
      <w:lvlJc w:val="left"/>
      <w:pPr>
        <w:tabs>
          <w:tab w:val="num" w:pos="3600"/>
        </w:tabs>
        <w:ind w:left="3600" w:hanging="360"/>
      </w:pPr>
      <w:rPr>
        <w:rFonts w:ascii="Symbol" w:hAnsi="Symbol" w:hint="default"/>
      </w:rPr>
    </w:lvl>
    <w:lvl w:ilvl="4" w:tplc="04020003" w:tentative="1">
      <w:start w:val="1"/>
      <w:numFmt w:val="bullet"/>
      <w:lvlText w:val="o"/>
      <w:lvlJc w:val="left"/>
      <w:pPr>
        <w:tabs>
          <w:tab w:val="num" w:pos="4320"/>
        </w:tabs>
        <w:ind w:left="4320" w:hanging="360"/>
      </w:pPr>
      <w:rPr>
        <w:rFonts w:ascii="Courier New" w:hAnsi="Courier New" w:cs="Courier New" w:hint="default"/>
      </w:rPr>
    </w:lvl>
    <w:lvl w:ilvl="5" w:tplc="04020005" w:tentative="1">
      <w:start w:val="1"/>
      <w:numFmt w:val="bullet"/>
      <w:lvlText w:val=""/>
      <w:lvlJc w:val="left"/>
      <w:pPr>
        <w:tabs>
          <w:tab w:val="num" w:pos="5040"/>
        </w:tabs>
        <w:ind w:left="5040" w:hanging="360"/>
      </w:pPr>
      <w:rPr>
        <w:rFonts w:ascii="Wingdings" w:hAnsi="Wingdings" w:hint="default"/>
      </w:rPr>
    </w:lvl>
    <w:lvl w:ilvl="6" w:tplc="04020001" w:tentative="1">
      <w:start w:val="1"/>
      <w:numFmt w:val="bullet"/>
      <w:lvlText w:val=""/>
      <w:lvlJc w:val="left"/>
      <w:pPr>
        <w:tabs>
          <w:tab w:val="num" w:pos="5760"/>
        </w:tabs>
        <w:ind w:left="5760" w:hanging="360"/>
      </w:pPr>
      <w:rPr>
        <w:rFonts w:ascii="Symbol" w:hAnsi="Symbol" w:hint="default"/>
      </w:rPr>
    </w:lvl>
    <w:lvl w:ilvl="7" w:tplc="04020003" w:tentative="1">
      <w:start w:val="1"/>
      <w:numFmt w:val="bullet"/>
      <w:lvlText w:val="o"/>
      <w:lvlJc w:val="left"/>
      <w:pPr>
        <w:tabs>
          <w:tab w:val="num" w:pos="6480"/>
        </w:tabs>
        <w:ind w:left="6480" w:hanging="360"/>
      </w:pPr>
      <w:rPr>
        <w:rFonts w:ascii="Courier New" w:hAnsi="Courier New" w:cs="Courier New" w:hint="default"/>
      </w:rPr>
    </w:lvl>
    <w:lvl w:ilvl="8" w:tplc="0402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4265583A"/>
    <w:multiLevelType w:val="hybridMultilevel"/>
    <w:tmpl w:val="C34495C8"/>
    <w:lvl w:ilvl="0" w:tplc="B81C9CE0">
      <w:start w:val="1"/>
      <w:numFmt w:val="decimal"/>
      <w:lvlText w:val="%1."/>
      <w:lvlJc w:val="left"/>
      <w:pPr>
        <w:tabs>
          <w:tab w:val="num" w:pos="720"/>
        </w:tabs>
        <w:ind w:left="720" w:hanging="360"/>
      </w:pPr>
      <w:rPr>
        <w:rFonts w:ascii="Times New Roman Bold" w:hAnsi="Times New Roman Bold"/>
        <w:strike w:val="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3" w15:restartNumberingAfterBreak="0">
    <w:nsid w:val="44C20703"/>
    <w:multiLevelType w:val="hybridMultilevel"/>
    <w:tmpl w:val="F88221F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46D80CD7"/>
    <w:multiLevelType w:val="hybridMultilevel"/>
    <w:tmpl w:val="85440A74"/>
    <w:lvl w:ilvl="0" w:tplc="BC00C3DA">
      <w:start w:val="1"/>
      <w:numFmt w:val="bullet"/>
      <w:lvlText w:val=""/>
      <w:lvlJc w:val="left"/>
      <w:pPr>
        <w:tabs>
          <w:tab w:val="num" w:pos="840"/>
        </w:tabs>
        <w:ind w:left="840" w:hanging="360"/>
      </w:pPr>
      <w:rPr>
        <w:rFonts w:ascii="Symbol" w:hAnsi="Symbol" w:hint="default"/>
      </w:rPr>
    </w:lvl>
    <w:lvl w:ilvl="1" w:tplc="04020003" w:tentative="1">
      <w:start w:val="1"/>
      <w:numFmt w:val="bullet"/>
      <w:lvlText w:val="o"/>
      <w:lvlJc w:val="left"/>
      <w:pPr>
        <w:tabs>
          <w:tab w:val="num" w:pos="1560"/>
        </w:tabs>
        <w:ind w:left="1560" w:hanging="360"/>
      </w:pPr>
      <w:rPr>
        <w:rFonts w:ascii="Courier New" w:hAnsi="Courier New" w:cs="Courier New" w:hint="default"/>
      </w:rPr>
    </w:lvl>
    <w:lvl w:ilvl="2" w:tplc="04020005" w:tentative="1">
      <w:start w:val="1"/>
      <w:numFmt w:val="bullet"/>
      <w:lvlText w:val=""/>
      <w:lvlJc w:val="left"/>
      <w:pPr>
        <w:tabs>
          <w:tab w:val="num" w:pos="2280"/>
        </w:tabs>
        <w:ind w:left="2280" w:hanging="360"/>
      </w:pPr>
      <w:rPr>
        <w:rFonts w:ascii="Wingdings" w:hAnsi="Wingdings" w:hint="default"/>
      </w:rPr>
    </w:lvl>
    <w:lvl w:ilvl="3" w:tplc="04020001">
      <w:start w:val="1"/>
      <w:numFmt w:val="bullet"/>
      <w:lvlText w:val=""/>
      <w:lvlJc w:val="left"/>
      <w:pPr>
        <w:tabs>
          <w:tab w:val="num" w:pos="3000"/>
        </w:tabs>
        <w:ind w:left="3000" w:hanging="360"/>
      </w:pPr>
      <w:rPr>
        <w:rFonts w:ascii="Symbol" w:hAnsi="Symbol" w:hint="default"/>
      </w:rPr>
    </w:lvl>
    <w:lvl w:ilvl="4" w:tplc="04020003" w:tentative="1">
      <w:start w:val="1"/>
      <w:numFmt w:val="bullet"/>
      <w:lvlText w:val="o"/>
      <w:lvlJc w:val="left"/>
      <w:pPr>
        <w:tabs>
          <w:tab w:val="num" w:pos="3720"/>
        </w:tabs>
        <w:ind w:left="3720" w:hanging="360"/>
      </w:pPr>
      <w:rPr>
        <w:rFonts w:ascii="Courier New" w:hAnsi="Courier New" w:cs="Courier New" w:hint="default"/>
      </w:rPr>
    </w:lvl>
    <w:lvl w:ilvl="5" w:tplc="04020005" w:tentative="1">
      <w:start w:val="1"/>
      <w:numFmt w:val="bullet"/>
      <w:lvlText w:val=""/>
      <w:lvlJc w:val="left"/>
      <w:pPr>
        <w:tabs>
          <w:tab w:val="num" w:pos="4440"/>
        </w:tabs>
        <w:ind w:left="4440" w:hanging="360"/>
      </w:pPr>
      <w:rPr>
        <w:rFonts w:ascii="Wingdings" w:hAnsi="Wingdings" w:hint="default"/>
      </w:rPr>
    </w:lvl>
    <w:lvl w:ilvl="6" w:tplc="04020001" w:tentative="1">
      <w:start w:val="1"/>
      <w:numFmt w:val="bullet"/>
      <w:lvlText w:val=""/>
      <w:lvlJc w:val="left"/>
      <w:pPr>
        <w:tabs>
          <w:tab w:val="num" w:pos="5160"/>
        </w:tabs>
        <w:ind w:left="5160" w:hanging="360"/>
      </w:pPr>
      <w:rPr>
        <w:rFonts w:ascii="Symbol" w:hAnsi="Symbol" w:hint="default"/>
      </w:rPr>
    </w:lvl>
    <w:lvl w:ilvl="7" w:tplc="04020003" w:tentative="1">
      <w:start w:val="1"/>
      <w:numFmt w:val="bullet"/>
      <w:lvlText w:val="o"/>
      <w:lvlJc w:val="left"/>
      <w:pPr>
        <w:tabs>
          <w:tab w:val="num" w:pos="5880"/>
        </w:tabs>
        <w:ind w:left="5880" w:hanging="360"/>
      </w:pPr>
      <w:rPr>
        <w:rFonts w:ascii="Courier New" w:hAnsi="Courier New" w:cs="Courier New" w:hint="default"/>
      </w:rPr>
    </w:lvl>
    <w:lvl w:ilvl="8" w:tplc="04020005" w:tentative="1">
      <w:start w:val="1"/>
      <w:numFmt w:val="bullet"/>
      <w:lvlText w:val=""/>
      <w:lvlJc w:val="left"/>
      <w:pPr>
        <w:tabs>
          <w:tab w:val="num" w:pos="6600"/>
        </w:tabs>
        <w:ind w:left="6600" w:hanging="360"/>
      </w:pPr>
      <w:rPr>
        <w:rFonts w:ascii="Wingdings" w:hAnsi="Wingdings" w:hint="default"/>
      </w:rPr>
    </w:lvl>
  </w:abstractNum>
  <w:abstractNum w:abstractNumId="25" w15:restartNumberingAfterBreak="0">
    <w:nsid w:val="49126A57"/>
    <w:multiLevelType w:val="hybridMultilevel"/>
    <w:tmpl w:val="BC8CC49C"/>
    <w:lvl w:ilvl="0" w:tplc="0402000F">
      <w:start w:val="1"/>
      <w:numFmt w:val="decimal"/>
      <w:lvlText w:val="%1."/>
      <w:lvlJc w:val="left"/>
      <w:pPr>
        <w:tabs>
          <w:tab w:val="num" w:pos="1440"/>
        </w:tabs>
        <w:ind w:left="1440" w:hanging="360"/>
      </w:pPr>
    </w:lvl>
    <w:lvl w:ilvl="1" w:tplc="04020019">
      <w:start w:val="1"/>
      <w:numFmt w:val="lowerLetter"/>
      <w:lvlText w:val="%2."/>
      <w:lvlJc w:val="left"/>
      <w:pPr>
        <w:tabs>
          <w:tab w:val="num" w:pos="2160"/>
        </w:tabs>
        <w:ind w:left="2160" w:hanging="360"/>
      </w:pPr>
    </w:lvl>
    <w:lvl w:ilvl="2" w:tplc="0402001B" w:tentative="1">
      <w:start w:val="1"/>
      <w:numFmt w:val="lowerRoman"/>
      <w:lvlText w:val="%3."/>
      <w:lvlJc w:val="right"/>
      <w:pPr>
        <w:tabs>
          <w:tab w:val="num" w:pos="2880"/>
        </w:tabs>
        <w:ind w:left="2880" w:hanging="180"/>
      </w:pPr>
    </w:lvl>
    <w:lvl w:ilvl="3" w:tplc="0402000F" w:tentative="1">
      <w:start w:val="1"/>
      <w:numFmt w:val="decimal"/>
      <w:lvlText w:val="%4."/>
      <w:lvlJc w:val="left"/>
      <w:pPr>
        <w:tabs>
          <w:tab w:val="num" w:pos="3600"/>
        </w:tabs>
        <w:ind w:left="3600" w:hanging="360"/>
      </w:pPr>
    </w:lvl>
    <w:lvl w:ilvl="4" w:tplc="04020019" w:tentative="1">
      <w:start w:val="1"/>
      <w:numFmt w:val="lowerLetter"/>
      <w:lvlText w:val="%5."/>
      <w:lvlJc w:val="left"/>
      <w:pPr>
        <w:tabs>
          <w:tab w:val="num" w:pos="4320"/>
        </w:tabs>
        <w:ind w:left="4320" w:hanging="360"/>
      </w:pPr>
    </w:lvl>
    <w:lvl w:ilvl="5" w:tplc="0402001B" w:tentative="1">
      <w:start w:val="1"/>
      <w:numFmt w:val="lowerRoman"/>
      <w:lvlText w:val="%6."/>
      <w:lvlJc w:val="right"/>
      <w:pPr>
        <w:tabs>
          <w:tab w:val="num" w:pos="5040"/>
        </w:tabs>
        <w:ind w:left="5040" w:hanging="180"/>
      </w:pPr>
    </w:lvl>
    <w:lvl w:ilvl="6" w:tplc="0402000F" w:tentative="1">
      <w:start w:val="1"/>
      <w:numFmt w:val="decimal"/>
      <w:lvlText w:val="%7."/>
      <w:lvlJc w:val="left"/>
      <w:pPr>
        <w:tabs>
          <w:tab w:val="num" w:pos="5760"/>
        </w:tabs>
        <w:ind w:left="5760" w:hanging="360"/>
      </w:pPr>
    </w:lvl>
    <w:lvl w:ilvl="7" w:tplc="04020019" w:tentative="1">
      <w:start w:val="1"/>
      <w:numFmt w:val="lowerLetter"/>
      <w:lvlText w:val="%8."/>
      <w:lvlJc w:val="left"/>
      <w:pPr>
        <w:tabs>
          <w:tab w:val="num" w:pos="6480"/>
        </w:tabs>
        <w:ind w:left="6480" w:hanging="360"/>
      </w:pPr>
    </w:lvl>
    <w:lvl w:ilvl="8" w:tplc="0402001B" w:tentative="1">
      <w:start w:val="1"/>
      <w:numFmt w:val="lowerRoman"/>
      <w:lvlText w:val="%9."/>
      <w:lvlJc w:val="right"/>
      <w:pPr>
        <w:tabs>
          <w:tab w:val="num" w:pos="7200"/>
        </w:tabs>
        <w:ind w:left="7200" w:hanging="180"/>
      </w:pPr>
    </w:lvl>
  </w:abstractNum>
  <w:abstractNum w:abstractNumId="26" w15:restartNumberingAfterBreak="0">
    <w:nsid w:val="498C4679"/>
    <w:multiLevelType w:val="hybridMultilevel"/>
    <w:tmpl w:val="2DF8F3F2"/>
    <w:lvl w:ilvl="0" w:tplc="04020001">
      <w:start w:val="1"/>
      <w:numFmt w:val="bullet"/>
      <w:lvlText w:val=""/>
      <w:lvlJc w:val="left"/>
      <w:pPr>
        <w:tabs>
          <w:tab w:val="num" w:pos="1854"/>
        </w:tabs>
        <w:ind w:left="1854" w:hanging="360"/>
      </w:pPr>
      <w:rPr>
        <w:rFonts w:ascii="Symbol" w:hAnsi="Symbol" w:hint="default"/>
      </w:rPr>
    </w:lvl>
    <w:lvl w:ilvl="1" w:tplc="04020003" w:tentative="1">
      <w:start w:val="1"/>
      <w:numFmt w:val="bullet"/>
      <w:lvlText w:val="o"/>
      <w:lvlJc w:val="left"/>
      <w:pPr>
        <w:tabs>
          <w:tab w:val="num" w:pos="2574"/>
        </w:tabs>
        <w:ind w:left="2574" w:hanging="360"/>
      </w:pPr>
      <w:rPr>
        <w:rFonts w:ascii="Courier New" w:hAnsi="Courier New" w:cs="Courier New" w:hint="default"/>
      </w:rPr>
    </w:lvl>
    <w:lvl w:ilvl="2" w:tplc="04020005" w:tentative="1">
      <w:start w:val="1"/>
      <w:numFmt w:val="bullet"/>
      <w:lvlText w:val=""/>
      <w:lvlJc w:val="left"/>
      <w:pPr>
        <w:tabs>
          <w:tab w:val="num" w:pos="3294"/>
        </w:tabs>
        <w:ind w:left="3294" w:hanging="360"/>
      </w:pPr>
      <w:rPr>
        <w:rFonts w:ascii="Wingdings" w:hAnsi="Wingdings" w:hint="default"/>
      </w:rPr>
    </w:lvl>
    <w:lvl w:ilvl="3" w:tplc="04020001" w:tentative="1">
      <w:start w:val="1"/>
      <w:numFmt w:val="bullet"/>
      <w:lvlText w:val=""/>
      <w:lvlJc w:val="left"/>
      <w:pPr>
        <w:tabs>
          <w:tab w:val="num" w:pos="4014"/>
        </w:tabs>
        <w:ind w:left="4014" w:hanging="360"/>
      </w:pPr>
      <w:rPr>
        <w:rFonts w:ascii="Symbol" w:hAnsi="Symbol" w:hint="default"/>
      </w:rPr>
    </w:lvl>
    <w:lvl w:ilvl="4" w:tplc="04020003" w:tentative="1">
      <w:start w:val="1"/>
      <w:numFmt w:val="bullet"/>
      <w:lvlText w:val="o"/>
      <w:lvlJc w:val="left"/>
      <w:pPr>
        <w:tabs>
          <w:tab w:val="num" w:pos="4734"/>
        </w:tabs>
        <w:ind w:left="4734" w:hanging="360"/>
      </w:pPr>
      <w:rPr>
        <w:rFonts w:ascii="Courier New" w:hAnsi="Courier New" w:cs="Courier New" w:hint="default"/>
      </w:rPr>
    </w:lvl>
    <w:lvl w:ilvl="5" w:tplc="04020005" w:tentative="1">
      <w:start w:val="1"/>
      <w:numFmt w:val="bullet"/>
      <w:lvlText w:val=""/>
      <w:lvlJc w:val="left"/>
      <w:pPr>
        <w:tabs>
          <w:tab w:val="num" w:pos="5454"/>
        </w:tabs>
        <w:ind w:left="5454" w:hanging="360"/>
      </w:pPr>
      <w:rPr>
        <w:rFonts w:ascii="Wingdings" w:hAnsi="Wingdings" w:hint="default"/>
      </w:rPr>
    </w:lvl>
    <w:lvl w:ilvl="6" w:tplc="04020001" w:tentative="1">
      <w:start w:val="1"/>
      <w:numFmt w:val="bullet"/>
      <w:lvlText w:val=""/>
      <w:lvlJc w:val="left"/>
      <w:pPr>
        <w:tabs>
          <w:tab w:val="num" w:pos="6174"/>
        </w:tabs>
        <w:ind w:left="6174" w:hanging="360"/>
      </w:pPr>
      <w:rPr>
        <w:rFonts w:ascii="Symbol" w:hAnsi="Symbol" w:hint="default"/>
      </w:rPr>
    </w:lvl>
    <w:lvl w:ilvl="7" w:tplc="04020003" w:tentative="1">
      <w:start w:val="1"/>
      <w:numFmt w:val="bullet"/>
      <w:lvlText w:val="o"/>
      <w:lvlJc w:val="left"/>
      <w:pPr>
        <w:tabs>
          <w:tab w:val="num" w:pos="6894"/>
        </w:tabs>
        <w:ind w:left="6894" w:hanging="360"/>
      </w:pPr>
      <w:rPr>
        <w:rFonts w:ascii="Courier New" w:hAnsi="Courier New" w:cs="Courier New" w:hint="default"/>
      </w:rPr>
    </w:lvl>
    <w:lvl w:ilvl="8" w:tplc="04020005" w:tentative="1">
      <w:start w:val="1"/>
      <w:numFmt w:val="bullet"/>
      <w:lvlText w:val=""/>
      <w:lvlJc w:val="left"/>
      <w:pPr>
        <w:tabs>
          <w:tab w:val="num" w:pos="7614"/>
        </w:tabs>
        <w:ind w:left="7614" w:hanging="360"/>
      </w:pPr>
      <w:rPr>
        <w:rFonts w:ascii="Wingdings" w:hAnsi="Wingdings" w:hint="default"/>
      </w:rPr>
    </w:lvl>
  </w:abstractNum>
  <w:abstractNum w:abstractNumId="27" w15:restartNumberingAfterBreak="0">
    <w:nsid w:val="4A9150F6"/>
    <w:multiLevelType w:val="hybridMultilevel"/>
    <w:tmpl w:val="533EF94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8" w15:restartNumberingAfterBreak="0">
    <w:nsid w:val="4E6A74C7"/>
    <w:multiLevelType w:val="hybridMultilevel"/>
    <w:tmpl w:val="2D6E39AE"/>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EC92F6F"/>
    <w:multiLevelType w:val="hybridMultilevel"/>
    <w:tmpl w:val="FED26F88"/>
    <w:lvl w:ilvl="0" w:tplc="3BEE9E36">
      <w:start w:val="1"/>
      <w:numFmt w:val="bullet"/>
      <w:lvlText w:val=""/>
      <w:lvlJc w:val="left"/>
      <w:pPr>
        <w:tabs>
          <w:tab w:val="num" w:pos="0"/>
        </w:tabs>
        <w:ind w:left="0" w:firstLine="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7522545"/>
    <w:multiLevelType w:val="hybridMultilevel"/>
    <w:tmpl w:val="10CA8112"/>
    <w:lvl w:ilvl="0" w:tplc="3BEE9E36">
      <w:start w:val="1"/>
      <w:numFmt w:val="bullet"/>
      <w:lvlText w:val=""/>
      <w:lvlJc w:val="left"/>
      <w:pPr>
        <w:tabs>
          <w:tab w:val="num" w:pos="0"/>
        </w:tabs>
        <w:ind w:left="0" w:firstLine="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7936601"/>
    <w:multiLevelType w:val="hybridMultilevel"/>
    <w:tmpl w:val="ED4412C8"/>
    <w:lvl w:ilvl="0" w:tplc="04020019">
      <w:start w:val="1"/>
      <w:numFmt w:val="lowerLetter"/>
      <w:lvlText w:val="%1."/>
      <w:lvlJc w:val="left"/>
      <w:pPr>
        <w:ind w:left="1080" w:hanging="360"/>
      </w:p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32" w15:restartNumberingAfterBreak="0">
    <w:nsid w:val="59A01895"/>
    <w:multiLevelType w:val="hybridMultilevel"/>
    <w:tmpl w:val="87AC676A"/>
    <w:lvl w:ilvl="0" w:tplc="CAFCCAC6">
      <w:start w:val="1"/>
      <w:numFmt w:val="bullet"/>
      <w:lvlText w:val=""/>
      <w:lvlPicBulletId w:val="2"/>
      <w:lvlJc w:val="left"/>
      <w:pPr>
        <w:tabs>
          <w:tab w:val="num" w:pos="720"/>
        </w:tabs>
        <w:ind w:left="720" w:hanging="360"/>
      </w:pPr>
      <w:rPr>
        <w:rFonts w:ascii="Symbol" w:hAnsi="Symbol" w:hint="default"/>
      </w:rPr>
    </w:lvl>
    <w:lvl w:ilvl="1" w:tplc="BA88A74C" w:tentative="1">
      <w:start w:val="1"/>
      <w:numFmt w:val="bullet"/>
      <w:lvlText w:val=""/>
      <w:lvlJc w:val="left"/>
      <w:pPr>
        <w:tabs>
          <w:tab w:val="num" w:pos="1440"/>
        </w:tabs>
        <w:ind w:left="1440" w:hanging="360"/>
      </w:pPr>
      <w:rPr>
        <w:rFonts w:ascii="Symbol" w:hAnsi="Symbol" w:hint="default"/>
      </w:rPr>
    </w:lvl>
    <w:lvl w:ilvl="2" w:tplc="7F1A8EFE" w:tentative="1">
      <w:start w:val="1"/>
      <w:numFmt w:val="bullet"/>
      <w:lvlText w:val=""/>
      <w:lvlJc w:val="left"/>
      <w:pPr>
        <w:tabs>
          <w:tab w:val="num" w:pos="2160"/>
        </w:tabs>
        <w:ind w:left="2160" w:hanging="360"/>
      </w:pPr>
      <w:rPr>
        <w:rFonts w:ascii="Symbol" w:hAnsi="Symbol" w:hint="default"/>
      </w:rPr>
    </w:lvl>
    <w:lvl w:ilvl="3" w:tplc="431CE3F0" w:tentative="1">
      <w:start w:val="1"/>
      <w:numFmt w:val="bullet"/>
      <w:lvlText w:val=""/>
      <w:lvlJc w:val="left"/>
      <w:pPr>
        <w:tabs>
          <w:tab w:val="num" w:pos="2880"/>
        </w:tabs>
        <w:ind w:left="2880" w:hanging="360"/>
      </w:pPr>
      <w:rPr>
        <w:rFonts w:ascii="Symbol" w:hAnsi="Symbol" w:hint="default"/>
      </w:rPr>
    </w:lvl>
    <w:lvl w:ilvl="4" w:tplc="09E87772" w:tentative="1">
      <w:start w:val="1"/>
      <w:numFmt w:val="bullet"/>
      <w:lvlText w:val=""/>
      <w:lvlJc w:val="left"/>
      <w:pPr>
        <w:tabs>
          <w:tab w:val="num" w:pos="3600"/>
        </w:tabs>
        <w:ind w:left="3600" w:hanging="360"/>
      </w:pPr>
      <w:rPr>
        <w:rFonts w:ascii="Symbol" w:hAnsi="Symbol" w:hint="default"/>
      </w:rPr>
    </w:lvl>
    <w:lvl w:ilvl="5" w:tplc="F6386098" w:tentative="1">
      <w:start w:val="1"/>
      <w:numFmt w:val="bullet"/>
      <w:lvlText w:val=""/>
      <w:lvlJc w:val="left"/>
      <w:pPr>
        <w:tabs>
          <w:tab w:val="num" w:pos="4320"/>
        </w:tabs>
        <w:ind w:left="4320" w:hanging="360"/>
      </w:pPr>
      <w:rPr>
        <w:rFonts w:ascii="Symbol" w:hAnsi="Symbol" w:hint="default"/>
      </w:rPr>
    </w:lvl>
    <w:lvl w:ilvl="6" w:tplc="0C6CC5EE" w:tentative="1">
      <w:start w:val="1"/>
      <w:numFmt w:val="bullet"/>
      <w:lvlText w:val=""/>
      <w:lvlJc w:val="left"/>
      <w:pPr>
        <w:tabs>
          <w:tab w:val="num" w:pos="5040"/>
        </w:tabs>
        <w:ind w:left="5040" w:hanging="360"/>
      </w:pPr>
      <w:rPr>
        <w:rFonts w:ascii="Symbol" w:hAnsi="Symbol" w:hint="default"/>
      </w:rPr>
    </w:lvl>
    <w:lvl w:ilvl="7" w:tplc="F68E5742" w:tentative="1">
      <w:start w:val="1"/>
      <w:numFmt w:val="bullet"/>
      <w:lvlText w:val=""/>
      <w:lvlJc w:val="left"/>
      <w:pPr>
        <w:tabs>
          <w:tab w:val="num" w:pos="5760"/>
        </w:tabs>
        <w:ind w:left="5760" w:hanging="360"/>
      </w:pPr>
      <w:rPr>
        <w:rFonts w:ascii="Symbol" w:hAnsi="Symbol" w:hint="default"/>
      </w:rPr>
    </w:lvl>
    <w:lvl w:ilvl="8" w:tplc="12464336" w:tentative="1">
      <w:start w:val="1"/>
      <w:numFmt w:val="bullet"/>
      <w:lvlText w:val=""/>
      <w:lvlJc w:val="left"/>
      <w:pPr>
        <w:tabs>
          <w:tab w:val="num" w:pos="6480"/>
        </w:tabs>
        <w:ind w:left="6480" w:hanging="360"/>
      </w:pPr>
      <w:rPr>
        <w:rFonts w:ascii="Symbol" w:hAnsi="Symbol" w:hint="default"/>
      </w:rPr>
    </w:lvl>
  </w:abstractNum>
  <w:abstractNum w:abstractNumId="33" w15:restartNumberingAfterBreak="0">
    <w:nsid w:val="5A327D4E"/>
    <w:multiLevelType w:val="hybridMultilevel"/>
    <w:tmpl w:val="344E0C2E"/>
    <w:lvl w:ilvl="0" w:tplc="349496F2">
      <w:start w:val="1"/>
      <w:numFmt w:val="decimal"/>
      <w:lvlText w:val="%1."/>
      <w:lvlJc w:val="left"/>
      <w:pPr>
        <w:tabs>
          <w:tab w:val="num" w:pos="1699"/>
        </w:tabs>
        <w:ind w:left="1699" w:hanging="990"/>
      </w:pPr>
      <w:rPr>
        <w:rFonts w:hint="default"/>
      </w:rPr>
    </w:lvl>
    <w:lvl w:ilvl="1" w:tplc="04020019" w:tentative="1">
      <w:start w:val="1"/>
      <w:numFmt w:val="lowerLetter"/>
      <w:lvlText w:val="%2."/>
      <w:lvlJc w:val="left"/>
      <w:pPr>
        <w:tabs>
          <w:tab w:val="num" w:pos="1789"/>
        </w:tabs>
        <w:ind w:left="1789" w:hanging="360"/>
      </w:pPr>
    </w:lvl>
    <w:lvl w:ilvl="2" w:tplc="0402001B" w:tentative="1">
      <w:start w:val="1"/>
      <w:numFmt w:val="lowerRoman"/>
      <w:lvlText w:val="%3."/>
      <w:lvlJc w:val="right"/>
      <w:pPr>
        <w:tabs>
          <w:tab w:val="num" w:pos="2509"/>
        </w:tabs>
        <w:ind w:left="2509" w:hanging="180"/>
      </w:pPr>
    </w:lvl>
    <w:lvl w:ilvl="3" w:tplc="0402000F" w:tentative="1">
      <w:start w:val="1"/>
      <w:numFmt w:val="decimal"/>
      <w:lvlText w:val="%4."/>
      <w:lvlJc w:val="left"/>
      <w:pPr>
        <w:tabs>
          <w:tab w:val="num" w:pos="3229"/>
        </w:tabs>
        <w:ind w:left="3229" w:hanging="360"/>
      </w:pPr>
    </w:lvl>
    <w:lvl w:ilvl="4" w:tplc="04020019" w:tentative="1">
      <w:start w:val="1"/>
      <w:numFmt w:val="lowerLetter"/>
      <w:lvlText w:val="%5."/>
      <w:lvlJc w:val="left"/>
      <w:pPr>
        <w:tabs>
          <w:tab w:val="num" w:pos="3949"/>
        </w:tabs>
        <w:ind w:left="3949" w:hanging="360"/>
      </w:pPr>
    </w:lvl>
    <w:lvl w:ilvl="5" w:tplc="0402001B" w:tentative="1">
      <w:start w:val="1"/>
      <w:numFmt w:val="lowerRoman"/>
      <w:lvlText w:val="%6."/>
      <w:lvlJc w:val="right"/>
      <w:pPr>
        <w:tabs>
          <w:tab w:val="num" w:pos="4669"/>
        </w:tabs>
        <w:ind w:left="4669" w:hanging="180"/>
      </w:pPr>
    </w:lvl>
    <w:lvl w:ilvl="6" w:tplc="0402000F" w:tentative="1">
      <w:start w:val="1"/>
      <w:numFmt w:val="decimal"/>
      <w:lvlText w:val="%7."/>
      <w:lvlJc w:val="left"/>
      <w:pPr>
        <w:tabs>
          <w:tab w:val="num" w:pos="5389"/>
        </w:tabs>
        <w:ind w:left="5389" w:hanging="360"/>
      </w:pPr>
    </w:lvl>
    <w:lvl w:ilvl="7" w:tplc="04020019" w:tentative="1">
      <w:start w:val="1"/>
      <w:numFmt w:val="lowerLetter"/>
      <w:lvlText w:val="%8."/>
      <w:lvlJc w:val="left"/>
      <w:pPr>
        <w:tabs>
          <w:tab w:val="num" w:pos="6109"/>
        </w:tabs>
        <w:ind w:left="6109" w:hanging="360"/>
      </w:pPr>
    </w:lvl>
    <w:lvl w:ilvl="8" w:tplc="0402001B" w:tentative="1">
      <w:start w:val="1"/>
      <w:numFmt w:val="lowerRoman"/>
      <w:lvlText w:val="%9."/>
      <w:lvlJc w:val="right"/>
      <w:pPr>
        <w:tabs>
          <w:tab w:val="num" w:pos="6829"/>
        </w:tabs>
        <w:ind w:left="6829" w:hanging="180"/>
      </w:pPr>
    </w:lvl>
  </w:abstractNum>
  <w:abstractNum w:abstractNumId="34" w15:restartNumberingAfterBreak="0">
    <w:nsid w:val="5AAB23D1"/>
    <w:multiLevelType w:val="hybridMultilevel"/>
    <w:tmpl w:val="6046F2D2"/>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F852CA6"/>
    <w:multiLevelType w:val="hybridMultilevel"/>
    <w:tmpl w:val="C53E5CF6"/>
    <w:lvl w:ilvl="0" w:tplc="7ADA61FE">
      <w:start w:val="1"/>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6" w15:restartNumberingAfterBreak="0">
    <w:nsid w:val="68F72B7A"/>
    <w:multiLevelType w:val="hybridMultilevel"/>
    <w:tmpl w:val="5414DDC4"/>
    <w:lvl w:ilvl="0" w:tplc="121E8E1A">
      <w:start w:val="139"/>
      <w:numFmt w:val="bullet"/>
      <w:lvlText w:val="o"/>
      <w:lvlJc w:val="left"/>
      <w:pPr>
        <w:tabs>
          <w:tab w:val="num" w:pos="360"/>
        </w:tabs>
        <w:ind w:left="360" w:hanging="360"/>
      </w:pPr>
      <w:rPr>
        <w:rFonts w:ascii="Courier New" w:hAnsi="Courier New" w:hint="default"/>
      </w:rPr>
    </w:lvl>
    <w:lvl w:ilvl="1" w:tplc="04020003" w:tentative="1">
      <w:start w:val="1"/>
      <w:numFmt w:val="bullet"/>
      <w:lvlText w:val="o"/>
      <w:lvlJc w:val="left"/>
      <w:pPr>
        <w:tabs>
          <w:tab w:val="num" w:pos="816"/>
        </w:tabs>
        <w:ind w:left="816" w:hanging="360"/>
      </w:pPr>
      <w:rPr>
        <w:rFonts w:ascii="Courier New" w:hAnsi="Courier New" w:cs="Courier New" w:hint="default"/>
      </w:rPr>
    </w:lvl>
    <w:lvl w:ilvl="2" w:tplc="04020005" w:tentative="1">
      <w:start w:val="1"/>
      <w:numFmt w:val="bullet"/>
      <w:lvlText w:val=""/>
      <w:lvlJc w:val="left"/>
      <w:pPr>
        <w:tabs>
          <w:tab w:val="num" w:pos="1536"/>
        </w:tabs>
        <w:ind w:left="1536" w:hanging="360"/>
      </w:pPr>
      <w:rPr>
        <w:rFonts w:ascii="Wingdings" w:hAnsi="Wingdings" w:hint="default"/>
      </w:rPr>
    </w:lvl>
    <w:lvl w:ilvl="3" w:tplc="04020001" w:tentative="1">
      <w:start w:val="1"/>
      <w:numFmt w:val="bullet"/>
      <w:lvlText w:val=""/>
      <w:lvlJc w:val="left"/>
      <w:pPr>
        <w:tabs>
          <w:tab w:val="num" w:pos="2256"/>
        </w:tabs>
        <w:ind w:left="2256" w:hanging="360"/>
      </w:pPr>
      <w:rPr>
        <w:rFonts w:ascii="Symbol" w:hAnsi="Symbol" w:hint="default"/>
      </w:rPr>
    </w:lvl>
    <w:lvl w:ilvl="4" w:tplc="04020003" w:tentative="1">
      <w:start w:val="1"/>
      <w:numFmt w:val="bullet"/>
      <w:lvlText w:val="o"/>
      <w:lvlJc w:val="left"/>
      <w:pPr>
        <w:tabs>
          <w:tab w:val="num" w:pos="2976"/>
        </w:tabs>
        <w:ind w:left="2976" w:hanging="360"/>
      </w:pPr>
      <w:rPr>
        <w:rFonts w:ascii="Courier New" w:hAnsi="Courier New" w:cs="Courier New" w:hint="default"/>
      </w:rPr>
    </w:lvl>
    <w:lvl w:ilvl="5" w:tplc="04020005" w:tentative="1">
      <w:start w:val="1"/>
      <w:numFmt w:val="bullet"/>
      <w:lvlText w:val=""/>
      <w:lvlJc w:val="left"/>
      <w:pPr>
        <w:tabs>
          <w:tab w:val="num" w:pos="3696"/>
        </w:tabs>
        <w:ind w:left="3696" w:hanging="360"/>
      </w:pPr>
      <w:rPr>
        <w:rFonts w:ascii="Wingdings" w:hAnsi="Wingdings" w:hint="default"/>
      </w:rPr>
    </w:lvl>
    <w:lvl w:ilvl="6" w:tplc="04020001" w:tentative="1">
      <w:start w:val="1"/>
      <w:numFmt w:val="bullet"/>
      <w:lvlText w:val=""/>
      <w:lvlJc w:val="left"/>
      <w:pPr>
        <w:tabs>
          <w:tab w:val="num" w:pos="4416"/>
        </w:tabs>
        <w:ind w:left="4416" w:hanging="360"/>
      </w:pPr>
      <w:rPr>
        <w:rFonts w:ascii="Symbol" w:hAnsi="Symbol" w:hint="default"/>
      </w:rPr>
    </w:lvl>
    <w:lvl w:ilvl="7" w:tplc="04020003" w:tentative="1">
      <w:start w:val="1"/>
      <w:numFmt w:val="bullet"/>
      <w:lvlText w:val="o"/>
      <w:lvlJc w:val="left"/>
      <w:pPr>
        <w:tabs>
          <w:tab w:val="num" w:pos="5136"/>
        </w:tabs>
        <w:ind w:left="5136" w:hanging="360"/>
      </w:pPr>
      <w:rPr>
        <w:rFonts w:ascii="Courier New" w:hAnsi="Courier New" w:cs="Courier New" w:hint="default"/>
      </w:rPr>
    </w:lvl>
    <w:lvl w:ilvl="8" w:tplc="04020005" w:tentative="1">
      <w:start w:val="1"/>
      <w:numFmt w:val="bullet"/>
      <w:lvlText w:val=""/>
      <w:lvlJc w:val="left"/>
      <w:pPr>
        <w:tabs>
          <w:tab w:val="num" w:pos="5856"/>
        </w:tabs>
        <w:ind w:left="5856" w:hanging="360"/>
      </w:pPr>
      <w:rPr>
        <w:rFonts w:ascii="Wingdings" w:hAnsi="Wingdings" w:hint="default"/>
      </w:rPr>
    </w:lvl>
  </w:abstractNum>
  <w:abstractNum w:abstractNumId="37" w15:restartNumberingAfterBreak="0">
    <w:nsid w:val="72003BC7"/>
    <w:multiLevelType w:val="multilevel"/>
    <w:tmpl w:val="4D647260"/>
    <w:lvl w:ilvl="0">
      <w:start w:val="1"/>
      <w:numFmt w:val="bullet"/>
      <w:lvlText w:val=""/>
      <w:lvlJc w:val="left"/>
      <w:pPr>
        <w:tabs>
          <w:tab w:val="num" w:pos="720"/>
        </w:tabs>
        <w:ind w:left="720" w:hanging="360"/>
      </w:pPr>
      <w:rPr>
        <w:rFonts w:ascii="Symbol" w:hAnsi="Symbol" w:hint="default"/>
        <w:color w:val="auto"/>
        <w:lang w:val="ru-RU"/>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2305F8F"/>
    <w:multiLevelType w:val="hybridMultilevel"/>
    <w:tmpl w:val="F70E5AF0"/>
    <w:lvl w:ilvl="0" w:tplc="73B09C1C">
      <w:numFmt w:val="bullet"/>
      <w:lvlText w:val="-"/>
      <w:lvlJc w:val="left"/>
      <w:pPr>
        <w:tabs>
          <w:tab w:val="num" w:pos="360"/>
        </w:tabs>
        <w:ind w:left="360" w:hanging="360"/>
      </w:pPr>
      <w:rPr>
        <w:rFonts w:ascii="Arial" w:eastAsia="Times New Roman" w:hAnsi="Arial" w:cs="Arial" w:hint="default"/>
      </w:rPr>
    </w:lvl>
    <w:lvl w:ilvl="1" w:tplc="04020003" w:tentative="1">
      <w:start w:val="1"/>
      <w:numFmt w:val="bullet"/>
      <w:lvlText w:val="o"/>
      <w:lvlJc w:val="left"/>
      <w:pPr>
        <w:tabs>
          <w:tab w:val="num" w:pos="1200"/>
        </w:tabs>
        <w:ind w:left="1200" w:hanging="360"/>
      </w:pPr>
      <w:rPr>
        <w:rFonts w:ascii="Courier New" w:hAnsi="Courier New" w:cs="Courier New" w:hint="default"/>
      </w:rPr>
    </w:lvl>
    <w:lvl w:ilvl="2" w:tplc="04020005" w:tentative="1">
      <w:start w:val="1"/>
      <w:numFmt w:val="bullet"/>
      <w:lvlText w:val=""/>
      <w:lvlJc w:val="left"/>
      <w:pPr>
        <w:tabs>
          <w:tab w:val="num" w:pos="1920"/>
        </w:tabs>
        <w:ind w:left="1920" w:hanging="360"/>
      </w:pPr>
      <w:rPr>
        <w:rFonts w:ascii="Wingdings" w:hAnsi="Wingdings" w:hint="default"/>
      </w:rPr>
    </w:lvl>
    <w:lvl w:ilvl="3" w:tplc="04020001" w:tentative="1">
      <w:start w:val="1"/>
      <w:numFmt w:val="bullet"/>
      <w:lvlText w:val=""/>
      <w:lvlJc w:val="left"/>
      <w:pPr>
        <w:tabs>
          <w:tab w:val="num" w:pos="2640"/>
        </w:tabs>
        <w:ind w:left="2640" w:hanging="360"/>
      </w:pPr>
      <w:rPr>
        <w:rFonts w:ascii="Symbol" w:hAnsi="Symbol" w:hint="default"/>
      </w:rPr>
    </w:lvl>
    <w:lvl w:ilvl="4" w:tplc="04020003" w:tentative="1">
      <w:start w:val="1"/>
      <w:numFmt w:val="bullet"/>
      <w:lvlText w:val="o"/>
      <w:lvlJc w:val="left"/>
      <w:pPr>
        <w:tabs>
          <w:tab w:val="num" w:pos="3360"/>
        </w:tabs>
        <w:ind w:left="3360" w:hanging="360"/>
      </w:pPr>
      <w:rPr>
        <w:rFonts w:ascii="Courier New" w:hAnsi="Courier New" w:cs="Courier New" w:hint="default"/>
      </w:rPr>
    </w:lvl>
    <w:lvl w:ilvl="5" w:tplc="04020005" w:tentative="1">
      <w:start w:val="1"/>
      <w:numFmt w:val="bullet"/>
      <w:lvlText w:val=""/>
      <w:lvlJc w:val="left"/>
      <w:pPr>
        <w:tabs>
          <w:tab w:val="num" w:pos="4080"/>
        </w:tabs>
        <w:ind w:left="4080" w:hanging="360"/>
      </w:pPr>
      <w:rPr>
        <w:rFonts w:ascii="Wingdings" w:hAnsi="Wingdings" w:hint="default"/>
      </w:rPr>
    </w:lvl>
    <w:lvl w:ilvl="6" w:tplc="04020001" w:tentative="1">
      <w:start w:val="1"/>
      <w:numFmt w:val="bullet"/>
      <w:lvlText w:val=""/>
      <w:lvlJc w:val="left"/>
      <w:pPr>
        <w:tabs>
          <w:tab w:val="num" w:pos="4800"/>
        </w:tabs>
        <w:ind w:left="4800" w:hanging="360"/>
      </w:pPr>
      <w:rPr>
        <w:rFonts w:ascii="Symbol" w:hAnsi="Symbol" w:hint="default"/>
      </w:rPr>
    </w:lvl>
    <w:lvl w:ilvl="7" w:tplc="04020003" w:tentative="1">
      <w:start w:val="1"/>
      <w:numFmt w:val="bullet"/>
      <w:lvlText w:val="o"/>
      <w:lvlJc w:val="left"/>
      <w:pPr>
        <w:tabs>
          <w:tab w:val="num" w:pos="5520"/>
        </w:tabs>
        <w:ind w:left="5520" w:hanging="360"/>
      </w:pPr>
      <w:rPr>
        <w:rFonts w:ascii="Courier New" w:hAnsi="Courier New" w:cs="Courier New" w:hint="default"/>
      </w:rPr>
    </w:lvl>
    <w:lvl w:ilvl="8" w:tplc="04020005" w:tentative="1">
      <w:start w:val="1"/>
      <w:numFmt w:val="bullet"/>
      <w:lvlText w:val=""/>
      <w:lvlJc w:val="left"/>
      <w:pPr>
        <w:tabs>
          <w:tab w:val="num" w:pos="6240"/>
        </w:tabs>
        <w:ind w:left="6240" w:hanging="360"/>
      </w:pPr>
      <w:rPr>
        <w:rFonts w:ascii="Wingdings" w:hAnsi="Wingdings" w:hint="default"/>
      </w:rPr>
    </w:lvl>
  </w:abstractNum>
  <w:abstractNum w:abstractNumId="39" w15:restartNumberingAfterBreak="0">
    <w:nsid w:val="7577297C"/>
    <w:multiLevelType w:val="multilevel"/>
    <w:tmpl w:val="744603BA"/>
    <w:lvl w:ilvl="0">
      <w:start w:val="1"/>
      <w:numFmt w:val="decimal"/>
      <w:lvlText w:val="%1."/>
      <w:lvlJc w:val="left"/>
      <w:pPr>
        <w:tabs>
          <w:tab w:val="num" w:pos="495"/>
        </w:tabs>
        <w:ind w:left="495" w:hanging="495"/>
      </w:pPr>
    </w:lvl>
    <w:lvl w:ilvl="1">
      <w:start w:val="1"/>
      <w:numFmt w:val="decimal"/>
      <w:lvlText w:val="%1.%2."/>
      <w:lvlJc w:val="left"/>
      <w:pPr>
        <w:tabs>
          <w:tab w:val="num" w:pos="495"/>
        </w:tabs>
        <w:ind w:left="495" w:hanging="49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0" w15:restartNumberingAfterBreak="0">
    <w:nsid w:val="79A46A9C"/>
    <w:multiLevelType w:val="hybridMultilevel"/>
    <w:tmpl w:val="6890DDC2"/>
    <w:lvl w:ilvl="0" w:tplc="04020001">
      <w:start w:val="1"/>
      <w:numFmt w:val="bullet"/>
      <w:lvlText w:val=""/>
      <w:lvlJc w:val="left"/>
      <w:pPr>
        <w:tabs>
          <w:tab w:val="num" w:pos="720"/>
        </w:tabs>
        <w:ind w:left="720" w:hanging="360"/>
      </w:pPr>
      <w:rPr>
        <w:rFonts w:ascii="Symbol" w:hAnsi="Symbol" w:hint="default"/>
        <w:color w:val="auto"/>
        <w:lang w:val="ru-RU"/>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A0E3618"/>
    <w:multiLevelType w:val="multilevel"/>
    <w:tmpl w:val="23F4B8B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B36134C"/>
    <w:multiLevelType w:val="hybridMultilevel"/>
    <w:tmpl w:val="0E6828AC"/>
    <w:lvl w:ilvl="0" w:tplc="0402000B">
      <w:start w:val="1"/>
      <w:numFmt w:val="bullet"/>
      <w:lvlText w:val=""/>
      <w:lvlJc w:val="left"/>
      <w:pPr>
        <w:tabs>
          <w:tab w:val="num" w:pos="855"/>
        </w:tabs>
        <w:ind w:left="855" w:hanging="360"/>
      </w:pPr>
      <w:rPr>
        <w:rFonts w:ascii="Wingdings" w:hAnsi="Wingdings" w:hint="default"/>
      </w:rPr>
    </w:lvl>
    <w:lvl w:ilvl="1" w:tplc="04020003" w:tentative="1">
      <w:start w:val="1"/>
      <w:numFmt w:val="bullet"/>
      <w:lvlText w:val="o"/>
      <w:lvlJc w:val="left"/>
      <w:pPr>
        <w:tabs>
          <w:tab w:val="num" w:pos="1575"/>
        </w:tabs>
        <w:ind w:left="1575" w:hanging="360"/>
      </w:pPr>
      <w:rPr>
        <w:rFonts w:ascii="Courier New" w:hAnsi="Courier New" w:cs="Courier New" w:hint="default"/>
      </w:rPr>
    </w:lvl>
    <w:lvl w:ilvl="2" w:tplc="04020005" w:tentative="1">
      <w:start w:val="1"/>
      <w:numFmt w:val="bullet"/>
      <w:lvlText w:val=""/>
      <w:lvlJc w:val="left"/>
      <w:pPr>
        <w:tabs>
          <w:tab w:val="num" w:pos="2295"/>
        </w:tabs>
        <w:ind w:left="2295" w:hanging="360"/>
      </w:pPr>
      <w:rPr>
        <w:rFonts w:ascii="Wingdings" w:hAnsi="Wingdings" w:hint="default"/>
      </w:rPr>
    </w:lvl>
    <w:lvl w:ilvl="3" w:tplc="04020001" w:tentative="1">
      <w:start w:val="1"/>
      <w:numFmt w:val="bullet"/>
      <w:lvlText w:val=""/>
      <w:lvlJc w:val="left"/>
      <w:pPr>
        <w:tabs>
          <w:tab w:val="num" w:pos="3015"/>
        </w:tabs>
        <w:ind w:left="3015" w:hanging="360"/>
      </w:pPr>
      <w:rPr>
        <w:rFonts w:ascii="Symbol" w:hAnsi="Symbol" w:hint="default"/>
      </w:rPr>
    </w:lvl>
    <w:lvl w:ilvl="4" w:tplc="04020003" w:tentative="1">
      <w:start w:val="1"/>
      <w:numFmt w:val="bullet"/>
      <w:lvlText w:val="o"/>
      <w:lvlJc w:val="left"/>
      <w:pPr>
        <w:tabs>
          <w:tab w:val="num" w:pos="3735"/>
        </w:tabs>
        <w:ind w:left="3735" w:hanging="360"/>
      </w:pPr>
      <w:rPr>
        <w:rFonts w:ascii="Courier New" w:hAnsi="Courier New" w:cs="Courier New" w:hint="default"/>
      </w:rPr>
    </w:lvl>
    <w:lvl w:ilvl="5" w:tplc="04020005" w:tentative="1">
      <w:start w:val="1"/>
      <w:numFmt w:val="bullet"/>
      <w:lvlText w:val=""/>
      <w:lvlJc w:val="left"/>
      <w:pPr>
        <w:tabs>
          <w:tab w:val="num" w:pos="4455"/>
        </w:tabs>
        <w:ind w:left="4455" w:hanging="360"/>
      </w:pPr>
      <w:rPr>
        <w:rFonts w:ascii="Wingdings" w:hAnsi="Wingdings" w:hint="default"/>
      </w:rPr>
    </w:lvl>
    <w:lvl w:ilvl="6" w:tplc="04020001" w:tentative="1">
      <w:start w:val="1"/>
      <w:numFmt w:val="bullet"/>
      <w:lvlText w:val=""/>
      <w:lvlJc w:val="left"/>
      <w:pPr>
        <w:tabs>
          <w:tab w:val="num" w:pos="5175"/>
        </w:tabs>
        <w:ind w:left="5175" w:hanging="360"/>
      </w:pPr>
      <w:rPr>
        <w:rFonts w:ascii="Symbol" w:hAnsi="Symbol" w:hint="default"/>
      </w:rPr>
    </w:lvl>
    <w:lvl w:ilvl="7" w:tplc="04020003" w:tentative="1">
      <w:start w:val="1"/>
      <w:numFmt w:val="bullet"/>
      <w:lvlText w:val="o"/>
      <w:lvlJc w:val="left"/>
      <w:pPr>
        <w:tabs>
          <w:tab w:val="num" w:pos="5895"/>
        </w:tabs>
        <w:ind w:left="5895" w:hanging="360"/>
      </w:pPr>
      <w:rPr>
        <w:rFonts w:ascii="Courier New" w:hAnsi="Courier New" w:cs="Courier New" w:hint="default"/>
      </w:rPr>
    </w:lvl>
    <w:lvl w:ilvl="8" w:tplc="04020005" w:tentative="1">
      <w:start w:val="1"/>
      <w:numFmt w:val="bullet"/>
      <w:lvlText w:val=""/>
      <w:lvlJc w:val="left"/>
      <w:pPr>
        <w:tabs>
          <w:tab w:val="num" w:pos="6615"/>
        </w:tabs>
        <w:ind w:left="6615" w:hanging="360"/>
      </w:pPr>
      <w:rPr>
        <w:rFonts w:ascii="Wingdings" w:hAnsi="Wingdings" w:hint="default"/>
      </w:rPr>
    </w:lvl>
  </w:abstractNum>
  <w:abstractNum w:abstractNumId="43" w15:restartNumberingAfterBreak="0">
    <w:nsid w:val="7C96620C"/>
    <w:multiLevelType w:val="hybridMultilevel"/>
    <w:tmpl w:val="7E425148"/>
    <w:lvl w:ilvl="0" w:tplc="F9DAC7DA">
      <w:start w:val="1"/>
      <w:numFmt w:val="bullet"/>
      <w:lvlText w:val=""/>
      <w:lvlJc w:val="left"/>
      <w:pPr>
        <w:tabs>
          <w:tab w:val="num" w:pos="540"/>
        </w:tabs>
        <w:ind w:left="540" w:hanging="360"/>
      </w:pPr>
      <w:rPr>
        <w:rFonts w:ascii="Symbol" w:hAnsi="Symbol" w:hint="default"/>
        <w:sz w:val="18"/>
        <w:szCs w:val="18"/>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FA77CBF"/>
    <w:multiLevelType w:val="hybridMultilevel"/>
    <w:tmpl w:val="9578C6E0"/>
    <w:lvl w:ilvl="0" w:tplc="0402000F">
      <w:start w:val="1"/>
      <w:numFmt w:val="decimal"/>
      <w:lvlText w:val="%1."/>
      <w:lvlJc w:val="left"/>
      <w:pPr>
        <w:ind w:left="360" w:hanging="360"/>
      </w:pPr>
    </w:lvl>
    <w:lvl w:ilvl="1" w:tplc="04020019">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num w:numId="1">
    <w:abstractNumId w:val="17"/>
  </w:num>
  <w:num w:numId="2">
    <w:abstractNumId w:val="34"/>
  </w:num>
  <w:num w:numId="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num>
  <w:num w:numId="5">
    <w:abstractNumId w:val="30"/>
  </w:num>
  <w:num w:numId="6">
    <w:abstractNumId w:val="8"/>
  </w:num>
  <w:num w:numId="7">
    <w:abstractNumId w:val="21"/>
  </w:num>
  <w:num w:numId="8">
    <w:abstractNumId w:val="14"/>
  </w:num>
  <w:num w:numId="9">
    <w:abstractNumId w:val="3"/>
  </w:num>
  <w:num w:numId="10">
    <w:abstractNumId w:val="0"/>
  </w:num>
  <w:num w:numId="11">
    <w:abstractNumId w:val="1"/>
  </w:num>
  <w:num w:numId="12">
    <w:abstractNumId w:val="15"/>
  </w:num>
  <w:num w:numId="13">
    <w:abstractNumId w:val="33"/>
  </w:num>
  <w:num w:numId="14">
    <w:abstractNumId w:val="26"/>
  </w:num>
  <w:num w:numId="15">
    <w:abstractNumId w:val="36"/>
  </w:num>
  <w:num w:numId="16">
    <w:abstractNumId w:val="4"/>
  </w:num>
  <w:num w:numId="17">
    <w:abstractNumId w:val="37"/>
  </w:num>
  <w:num w:numId="18">
    <w:abstractNumId w:val="40"/>
  </w:num>
  <w:num w:numId="19">
    <w:abstractNumId w:val="11"/>
  </w:num>
  <w:num w:numId="20">
    <w:abstractNumId w:val="38"/>
  </w:num>
  <w:num w:numId="21">
    <w:abstractNumId w:val="44"/>
  </w:num>
  <w:num w:numId="22">
    <w:abstractNumId w:val="31"/>
  </w:num>
  <w:num w:numId="23">
    <w:abstractNumId w:val="25"/>
  </w:num>
  <w:num w:numId="24">
    <w:abstractNumId w:val="6"/>
  </w:num>
  <w:num w:numId="25">
    <w:abstractNumId w:val="41"/>
  </w:num>
  <w:num w:numId="26">
    <w:abstractNumId w:val="2"/>
  </w:num>
  <w:num w:numId="27">
    <w:abstractNumId w:val="20"/>
  </w:num>
  <w:num w:numId="28">
    <w:abstractNumId w:val="22"/>
  </w:num>
  <w:num w:numId="29">
    <w:abstractNumId w:val="13"/>
  </w:num>
  <w:num w:numId="30">
    <w:abstractNumId w:val="43"/>
  </w:num>
  <w:num w:numId="31">
    <w:abstractNumId w:val="24"/>
  </w:num>
  <w:num w:numId="32">
    <w:abstractNumId w:val="16"/>
  </w:num>
  <w:num w:numId="33">
    <w:abstractNumId w:val="42"/>
  </w:num>
  <w:num w:numId="34">
    <w:abstractNumId w:val="9"/>
  </w:num>
  <w:num w:numId="35">
    <w:abstractNumId w:val="28"/>
  </w:num>
  <w:num w:numId="36">
    <w:abstractNumId w:val="19"/>
  </w:num>
  <w:num w:numId="37">
    <w:abstractNumId w:val="5"/>
  </w:num>
  <w:num w:numId="38">
    <w:abstractNumId w:val="12"/>
  </w:num>
  <w:num w:numId="39">
    <w:abstractNumId w:val="10"/>
  </w:num>
  <w:num w:numId="40">
    <w:abstractNumId w:val="23"/>
  </w:num>
  <w:num w:numId="41">
    <w:abstractNumId w:val="7"/>
  </w:num>
  <w:num w:numId="42">
    <w:abstractNumId w:val="27"/>
  </w:num>
  <w:num w:numId="43">
    <w:abstractNumId w:val="23"/>
  </w:num>
  <w:num w:numId="44">
    <w:abstractNumId w:val="18"/>
  </w:num>
  <w:num w:numId="45">
    <w:abstractNumId w:val="32"/>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0AA61B6-9F66-4335-A2A8-7169F3983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qFormat="1"/>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pPr>
      <w:keepNext/>
      <w:spacing w:before="240" w:after="60"/>
      <w:outlineLvl w:val="0"/>
    </w:pPr>
    <w:rPr>
      <w:rFonts w:ascii="Calibri Light" w:hAnsi="Calibri Light"/>
      <w:b/>
      <w:bCs/>
      <w:kern w:val="32"/>
      <w:sz w:val="32"/>
      <w:szCs w:val="32"/>
    </w:rPr>
  </w:style>
  <w:style w:type="paragraph" w:styleId="Heading2">
    <w:name w:val="heading 2"/>
    <w:basedOn w:val="Normal"/>
    <w:next w:val="Normal"/>
    <w:qFormat/>
    <w:pPr>
      <w:keepNext/>
      <w:outlineLvl w:val="1"/>
    </w:pPr>
    <w:rPr>
      <w:b/>
      <w:bCs/>
      <w:lang w:eastAsia="en-US"/>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lang w:val="en-GB" w:eastAsia="en-U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pPr>
      <w:ind w:firstLine="567"/>
    </w:pPr>
    <w:rPr>
      <w:rFonts w:ascii="Tahoma" w:hAnsi="Tahoma"/>
      <w:szCs w:val="20"/>
      <w:lang w:eastAsia="en-US"/>
    </w:rPr>
  </w:style>
  <w:style w:type="paragraph" w:styleId="BlockText">
    <w:name w:val="Block Text"/>
    <w:basedOn w:val="Normal"/>
    <w:pPr>
      <w:ind w:left="-900" w:right="-1414" w:firstLine="567"/>
    </w:pPr>
    <w:rPr>
      <w:lang w:val="en-GB" w:eastAsia="en-US"/>
    </w:rPr>
  </w:style>
  <w:style w:type="paragraph" w:styleId="CommentText">
    <w:name w:val="annotation text"/>
    <w:basedOn w:val="Normal"/>
    <w:link w:val="CommentTextChar"/>
    <w:rPr>
      <w:rFonts w:ascii="Timok" w:hAnsi="Timok"/>
      <w:sz w:val="28"/>
      <w:szCs w:val="20"/>
      <w:lang w:val="en-GB"/>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Emphasis">
    <w:name w:val="Emphasis"/>
    <w:qFormat/>
    <w:rPr>
      <w:i/>
      <w:iCs/>
    </w:rPr>
  </w:style>
  <w:style w:type="paragraph" w:styleId="BodyText">
    <w:name w:val="Body Text"/>
    <w:basedOn w:val="Normal"/>
    <w:pPr>
      <w:spacing w:after="120"/>
    </w:pPr>
  </w:style>
  <w:style w:type="paragraph" w:customStyle="1" w:styleId="Style1">
    <w:name w:val="Style1"/>
    <w:basedOn w:val="Normal"/>
    <w:pPr>
      <w:spacing w:before="120"/>
      <w:ind w:firstLine="720"/>
      <w:jc w:val="both"/>
    </w:pPr>
    <w:rPr>
      <w:color w:val="000000"/>
      <w:szCs w:val="20"/>
      <w:lang w:val="en-US"/>
    </w:rPr>
  </w:style>
  <w:style w:type="paragraph" w:styleId="BodyTextIndent">
    <w:name w:val="Body Text Indent"/>
    <w:basedOn w:val="Normal"/>
    <w:link w:val="BodyTextIndentChar"/>
    <w:pPr>
      <w:spacing w:after="120"/>
      <w:ind w:left="283"/>
    </w:pPr>
  </w:style>
  <w:style w:type="paragraph" w:customStyle="1" w:styleId="StyleJustified">
    <w:name w:val="Style Justified"/>
    <w:basedOn w:val="Normal"/>
    <w:pPr>
      <w:jc w:val="both"/>
    </w:pPr>
    <w:rPr>
      <w:szCs w:val="20"/>
    </w:rPr>
  </w:style>
  <w:style w:type="paragraph" w:styleId="FootnoteText">
    <w:name w:val="footnote text"/>
    <w:aliases w:val="Geneva 9,Font: Geneva 9,Boston 10,f,Testo nota a piè di pagina Carattere Carattere,Testo nota a piè di pagina Carattere,Testo nota a piè di pagina Carattere1 Carattere,Testo nota a piè di pagina Carattere Carattere Carattere Carattere"/>
    <w:basedOn w:val="Normal"/>
    <w:link w:val="FootnoteTextChar"/>
    <w:rPr>
      <w:sz w:val="20"/>
      <w:szCs w:val="20"/>
      <w:lang w:val="en-US" w:eastAsia="en-US"/>
    </w:rPr>
  </w:style>
  <w:style w:type="character" w:styleId="FootnoteReference">
    <w:name w:val="footnote reference"/>
    <w:aliases w:val="16 Point,Superscript 6 Point,Footnote,Footnote symbol,Footnote Reference Superscript,EN Footnote Reference,Times 10 Point,Exposant 3 Point,Footnote reference number,note TESI,stylish,Odwołanie przypisu,SUPERS,-E Fußnotenzeichen"/>
    <w:uiPriority w:val="99"/>
    <w:rPr>
      <w:vertAlign w:val="superscript"/>
    </w:rPr>
  </w:style>
  <w:style w:type="paragraph" w:styleId="BodyText2">
    <w:name w:val="Body Text 2"/>
    <w:basedOn w:val="Normal"/>
    <w:pPr>
      <w:spacing w:after="120" w:line="480" w:lineRule="auto"/>
    </w:pPr>
  </w:style>
  <w:style w:type="paragraph" w:customStyle="1" w:styleId="BodytextnormalCharCharChar">
    <w:name w:val="Body text normal Char Char Char"/>
    <w:pPr>
      <w:jc w:val="both"/>
    </w:pPr>
    <w:rPr>
      <w:rFonts w:ascii="TimesNewRoman" w:hAnsi="TimesNewRoman"/>
      <w:sz w:val="22"/>
      <w:szCs w:val="24"/>
      <w:lang w:val="en-US" w:eastAsia="en-US"/>
    </w:rPr>
  </w:style>
  <w:style w:type="paragraph" w:styleId="BodyTextIndent3">
    <w:name w:val="Body Text Indent 3"/>
    <w:basedOn w:val="Normal"/>
    <w:pPr>
      <w:spacing w:after="120"/>
      <w:ind w:left="283"/>
    </w:pPr>
    <w:rPr>
      <w:sz w:val="16"/>
      <w:szCs w:val="16"/>
    </w:rPr>
  </w:style>
  <w:style w:type="paragraph" w:customStyle="1" w:styleId="Char">
    <w:name w:val="Char"/>
    <w:basedOn w:val="Normal"/>
    <w:pPr>
      <w:tabs>
        <w:tab w:val="left" w:pos="709"/>
      </w:tabs>
    </w:pPr>
    <w:rPr>
      <w:rFonts w:ascii="Tahoma" w:hAnsi="Tahoma"/>
      <w:lang w:val="pl-PL" w:eastAsia="pl-PL"/>
    </w:rPr>
  </w:style>
  <w:style w:type="character" w:styleId="CommentReference">
    <w:name w:val="annotation reference"/>
    <w:semiHidden/>
    <w:rPr>
      <w:sz w:val="16"/>
      <w:szCs w:val="16"/>
    </w:rPr>
  </w:style>
  <w:style w:type="paragraph" w:customStyle="1" w:styleId="CharChar3Char">
    <w:name w:val="Char Char3 Char"/>
    <w:basedOn w:val="Normal"/>
    <w:pPr>
      <w:spacing w:after="160" w:line="240" w:lineRule="exact"/>
    </w:pPr>
    <w:rPr>
      <w:rFonts w:ascii="Tahoma" w:hAnsi="Tahoma" w:cs="Tahoma"/>
      <w:sz w:val="20"/>
      <w:szCs w:val="20"/>
      <w:lang w:val="en-US" w:eastAsia="en-US"/>
    </w:rPr>
  </w:style>
  <w:style w:type="paragraph" w:styleId="BalloonText">
    <w:name w:val="Balloon Text"/>
    <w:basedOn w:val="Normal"/>
    <w:semiHidden/>
    <w:rPr>
      <w:rFonts w:ascii="Tahoma" w:hAnsi="Tahoma" w:cs="Tahoma"/>
      <w:sz w:val="16"/>
      <w:szCs w:val="16"/>
    </w:rPr>
  </w:style>
  <w:style w:type="paragraph" w:customStyle="1" w:styleId="CharCharChar">
    <w:name w:val="Char Char Char"/>
    <w:basedOn w:val="Normal"/>
    <w:pPr>
      <w:tabs>
        <w:tab w:val="left" w:pos="709"/>
      </w:tabs>
    </w:pPr>
    <w:rPr>
      <w:rFonts w:ascii="Tahoma" w:hAnsi="Tahoma"/>
      <w:lang w:val="pl-PL" w:eastAsia="pl-PL"/>
    </w:rPr>
  </w:style>
  <w:style w:type="paragraph" w:customStyle="1" w:styleId="Char0">
    <w:name w:val="Char"/>
    <w:basedOn w:val="Normal"/>
    <w:link w:val="CharChar1"/>
    <w:pPr>
      <w:tabs>
        <w:tab w:val="left" w:pos="709"/>
      </w:tabs>
    </w:pPr>
    <w:rPr>
      <w:rFonts w:ascii="Tahoma" w:hAnsi="Tahoma"/>
      <w:lang w:val="pl-PL" w:eastAsia="pl-PL"/>
    </w:rPr>
  </w:style>
  <w:style w:type="paragraph" w:customStyle="1" w:styleId="DefaultParagraphFont1Char">
    <w:name w:val="Default Paragraph Font1 Char"/>
    <w:aliases w:val=" Char Знак Char Char Знак Char Знак Char Char Char Char Знак Char Знак Char Знак Char Char1 Знак Char Знак Char Char Знак Знак Char Знак Char Char Char Char Char Char1 Char Char Char Char Char"/>
    <w:basedOn w:val="Normal"/>
    <w:pPr>
      <w:tabs>
        <w:tab w:val="left" w:pos="709"/>
      </w:tabs>
    </w:pPr>
    <w:rPr>
      <w:rFonts w:ascii="Tahoma" w:hAnsi="Tahoma"/>
      <w:lang w:val="pl-PL" w:eastAsia="pl-PL"/>
    </w:rPr>
  </w:style>
  <w:style w:type="paragraph" w:customStyle="1" w:styleId="NIK">
    <w:name w:val="NIK"/>
    <w:basedOn w:val="Normal"/>
    <w:pPr>
      <w:ind w:firstLine="284"/>
      <w:jc w:val="both"/>
    </w:pPr>
    <w:rPr>
      <w:rFonts w:ascii="Schkolnaya" w:hAnsi="Schkolnaya"/>
      <w:szCs w:val="20"/>
      <w:lang w:val="en-US"/>
    </w:rPr>
  </w:style>
  <w:style w:type="paragraph" w:customStyle="1" w:styleId="CharCharCharCharCharCharChar">
    <w:name w:val="Char Char Знак Знак Char Знак Знак Char Char Char Знак Знак Char"/>
    <w:basedOn w:val="Normal"/>
    <w:pPr>
      <w:tabs>
        <w:tab w:val="left" w:pos="709"/>
      </w:tabs>
    </w:pPr>
    <w:rPr>
      <w:rFonts w:ascii="Tahoma" w:hAnsi="Tahoma"/>
      <w:lang w:val="pl-PL" w:eastAsia="pl-PL"/>
    </w:rPr>
  </w:style>
  <w:style w:type="paragraph" w:customStyle="1" w:styleId="text">
    <w:name w:val="text"/>
    <w:basedOn w:val="Normal"/>
    <w:pPr>
      <w:spacing w:before="60"/>
    </w:pPr>
    <w:rPr>
      <w:rFonts w:ascii="Arial" w:hAnsi="Arial"/>
      <w:noProof/>
      <w:sz w:val="22"/>
      <w:szCs w:val="20"/>
      <w:lang w:val="en-GB" w:eastAsia="en-US"/>
    </w:rPr>
  </w:style>
  <w:style w:type="paragraph" w:customStyle="1" w:styleId="CharCharCharChar">
    <w:name w:val="Char Char Char Char"/>
    <w:basedOn w:val="Normal"/>
    <w:pPr>
      <w:tabs>
        <w:tab w:val="left" w:pos="709"/>
      </w:tabs>
    </w:pPr>
    <w:rPr>
      <w:rFonts w:ascii="Tahoma" w:hAnsi="Tahoma"/>
      <w:lang w:val="pl-PL" w:eastAsia="pl-PL"/>
    </w:rPr>
  </w:style>
  <w:style w:type="paragraph" w:customStyle="1" w:styleId="textCharCharChar">
    <w:name w:val="text Char Char Char"/>
    <w:basedOn w:val="Normal"/>
    <w:pPr>
      <w:spacing w:before="240" w:line="360" w:lineRule="exact"/>
      <w:jc w:val="both"/>
    </w:pPr>
    <w:rPr>
      <w:rFonts w:ascii="UnvCyr" w:hAnsi="UnvCyr"/>
      <w:sz w:val="26"/>
      <w:szCs w:val="20"/>
      <w:lang w:eastAsia="en-US"/>
    </w:rPr>
  </w:style>
  <w:style w:type="paragraph" w:styleId="CommentSubject">
    <w:name w:val="annotation subject"/>
    <w:basedOn w:val="CommentText"/>
    <w:next w:val="CommentText"/>
    <w:semiHidden/>
    <w:rPr>
      <w:rFonts w:ascii="Times New Roman" w:hAnsi="Times New Roman"/>
      <w:b/>
      <w:bCs/>
      <w:sz w:val="20"/>
      <w:lang w:val="bg-BG"/>
    </w:rPr>
  </w:style>
  <w:style w:type="paragraph" w:customStyle="1" w:styleId="CharCharCharChar1">
    <w:name w:val="Char Char Char Char1"/>
    <w:basedOn w:val="Normal"/>
    <w:pPr>
      <w:spacing w:after="160" w:line="240" w:lineRule="exact"/>
    </w:pPr>
    <w:rPr>
      <w:rFonts w:ascii="Tahoma" w:hAnsi="Tahoma" w:cs="Tahoma"/>
      <w:sz w:val="20"/>
      <w:szCs w:val="20"/>
      <w:lang w:val="en-US" w:eastAsia="en-US"/>
    </w:rPr>
  </w:style>
  <w:style w:type="character" w:customStyle="1" w:styleId="CharChar1">
    <w:name w:val="Char Char1"/>
    <w:link w:val="Char0"/>
    <w:rPr>
      <w:rFonts w:ascii="Tahoma" w:hAnsi="Tahoma"/>
      <w:sz w:val="24"/>
      <w:szCs w:val="24"/>
      <w:lang w:val="pl-PL" w:eastAsia="pl-PL" w:bidi="ar-SA"/>
    </w:rPr>
  </w:style>
  <w:style w:type="paragraph" w:customStyle="1" w:styleId="CharCharCharCharChar2CharCharChar1CharCharCharCharCharCharChar1CharCharCharCharCharCharCharCharChar">
    <w:name w:val="Char Char Char Char Char2 Char Char Char1 Char Char Char Char Char Char Char1 Char Char Char Char Char Char Char Char Char"/>
    <w:basedOn w:val="Normal"/>
    <w:pPr>
      <w:tabs>
        <w:tab w:val="left" w:pos="709"/>
      </w:tabs>
    </w:pPr>
    <w:rPr>
      <w:rFonts w:ascii="Tahoma" w:hAnsi="Tahoma"/>
      <w:lang w:val="pl-PL" w:eastAsia="pl-PL"/>
    </w:rPr>
  </w:style>
  <w:style w:type="paragraph" w:customStyle="1" w:styleId="a">
    <w:name w:val="Знак"/>
    <w:basedOn w:val="Normal"/>
    <w:pPr>
      <w:tabs>
        <w:tab w:val="left" w:pos="709"/>
      </w:tabs>
    </w:pPr>
    <w:rPr>
      <w:rFonts w:ascii="Tahoma" w:hAnsi="Tahoma"/>
      <w:lang w:val="pl-PL" w:eastAsia="pl-PL"/>
    </w:rPr>
  </w:style>
  <w:style w:type="paragraph" w:customStyle="1" w:styleId="CharCharCharCharCharCharCharCharCharChar2CharCharCharCharCharCharCharCharCharCharCharChar1CharCharCharCharCharChar">
    <w:name w:val="Char Char Char Char Char Char Char Char Char Char2 Char Char Char Char Char Char Char Char Char Char Char Char1 Char Char Char Char Char Char"/>
    <w:basedOn w:val="Normal"/>
    <w:pPr>
      <w:adjustRightInd w:val="0"/>
      <w:spacing w:after="160" w:line="240" w:lineRule="exact"/>
      <w:jc w:val="both"/>
      <w:textAlignment w:val="baseline"/>
    </w:pPr>
    <w:rPr>
      <w:rFonts w:ascii="Tahoma" w:hAnsi="Tahoma"/>
      <w:sz w:val="20"/>
      <w:szCs w:val="20"/>
      <w:lang w:val="en-US" w:eastAsia="en-US"/>
    </w:rPr>
  </w:style>
  <w:style w:type="paragraph" w:customStyle="1" w:styleId="CharCharCharCharCharChar">
    <w:name w:val="Char Char Char Char Char Char"/>
    <w:basedOn w:val="Normal"/>
    <w:pPr>
      <w:spacing w:after="160" w:line="240" w:lineRule="exact"/>
    </w:pPr>
    <w:rPr>
      <w:rFonts w:ascii="Tahoma" w:hAnsi="Tahoma" w:cs="Tahoma"/>
      <w:sz w:val="20"/>
      <w:szCs w:val="20"/>
      <w:lang w:val="en-US" w:eastAsia="en-US"/>
    </w:rPr>
  </w:style>
  <w:style w:type="paragraph" w:customStyle="1" w:styleId="CharCharCharCharCharCharCharCharCharCharCharCharCharCharCharCharCharChar">
    <w:name w:val="Char Char Char Char Char Char Char Char Char Char Char Char Char Char Char Char Char Char"/>
    <w:basedOn w:val="Normal"/>
    <w:pPr>
      <w:tabs>
        <w:tab w:val="left" w:pos="709"/>
      </w:tabs>
    </w:pPr>
    <w:rPr>
      <w:rFonts w:ascii="Tahoma" w:hAnsi="Tahoma"/>
      <w:lang w:val="pl-PL" w:eastAsia="pl-PL"/>
    </w:rPr>
  </w:style>
  <w:style w:type="paragraph" w:customStyle="1" w:styleId="CharCharCharCharCharCharCharCharCharChar">
    <w:name w:val="Char Char Char Char Char Char Char Char Char Char"/>
    <w:basedOn w:val="Normal"/>
    <w:pPr>
      <w:spacing w:after="160" w:line="240" w:lineRule="exact"/>
    </w:pPr>
    <w:rPr>
      <w:rFonts w:ascii="Tahoma" w:hAnsi="Tahoma" w:cs="Tahoma"/>
      <w:sz w:val="20"/>
      <w:szCs w:val="20"/>
      <w:lang w:val="en-US" w:eastAsia="en-US"/>
    </w:rPr>
  </w:style>
  <w:style w:type="paragraph" w:customStyle="1" w:styleId="CharCharCharCharCharCharChar0">
    <w:name w:val="Char Char Char Char Знак Char Char Char"/>
    <w:basedOn w:val="Normal"/>
    <w:pPr>
      <w:tabs>
        <w:tab w:val="left" w:pos="709"/>
      </w:tabs>
    </w:pPr>
    <w:rPr>
      <w:rFonts w:ascii="Tahoma" w:hAnsi="Tahoma"/>
      <w:lang w:val="pl-PL" w:eastAsia="pl-PL"/>
    </w:rPr>
  </w:style>
  <w:style w:type="paragraph" w:styleId="NormalWeb">
    <w:name w:val="Normal (Web)"/>
    <w:basedOn w:val="Normal"/>
    <w:link w:val="NormalWebChar"/>
    <w:pPr>
      <w:spacing w:before="100" w:beforeAutospacing="1" w:after="100" w:afterAutospacing="1"/>
    </w:pPr>
  </w:style>
  <w:style w:type="paragraph" w:customStyle="1" w:styleId="style0">
    <w:name w:val="style0"/>
    <w:basedOn w:val="Normal"/>
    <w:pPr>
      <w:ind w:firstLine="1200"/>
      <w:jc w:val="both"/>
    </w:pPr>
    <w:rPr>
      <w:sz w:val="18"/>
      <w:szCs w:val="18"/>
    </w:rPr>
  </w:style>
  <w:style w:type="paragraph" w:customStyle="1" w:styleId="CharCharCharCharCharCharCharCharCharCharCharCharCharCharCharChar">
    <w:name w:val="Char Char Char Char Char Char Char Char Char Char Char Char Char Char Char Char"/>
    <w:basedOn w:val="Normal"/>
    <w:pPr>
      <w:tabs>
        <w:tab w:val="left" w:pos="709"/>
      </w:tabs>
    </w:pPr>
    <w:rPr>
      <w:rFonts w:ascii="Tahoma" w:hAnsi="Tahoma"/>
      <w:lang w:val="pl-PL" w:eastAsia="pl-PL"/>
    </w:rPr>
  </w:style>
  <w:style w:type="paragraph" w:styleId="PlainText">
    <w:name w:val="Plain Text"/>
    <w:basedOn w:val="Normal"/>
    <w:rPr>
      <w:rFonts w:ascii="Courier New" w:hAnsi="Courier New"/>
      <w:sz w:val="20"/>
      <w:szCs w:val="20"/>
      <w:lang w:eastAsia="en-US"/>
    </w:rPr>
  </w:style>
  <w:style w:type="character" w:styleId="Strong">
    <w:name w:val="Strong"/>
    <w:uiPriority w:val="22"/>
    <w:qFormat/>
    <w:rPr>
      <w:b/>
      <w:bCs/>
    </w:rPr>
  </w:style>
  <w:style w:type="paragraph" w:customStyle="1" w:styleId="Style14">
    <w:name w:val="Style14"/>
    <w:basedOn w:val="Heading3"/>
    <w:pPr>
      <w:keepNext w:val="0"/>
      <w:numPr>
        <w:ilvl w:val="2"/>
        <w:numId w:val="19"/>
      </w:numPr>
      <w:tabs>
        <w:tab w:val="left" w:pos="1134"/>
      </w:tabs>
      <w:spacing w:after="240"/>
      <w:jc w:val="both"/>
    </w:pPr>
    <w:rPr>
      <w:rFonts w:ascii="TimesNewRoman" w:hAnsi="TimesNewRoman"/>
      <w:b w:val="0"/>
      <w:bCs w:val="0"/>
      <w:iCs/>
      <w:kern w:val="28"/>
      <w:sz w:val="24"/>
      <w:szCs w:val="24"/>
      <w:lang w:eastAsia="en-US"/>
    </w:rPr>
  </w:style>
  <w:style w:type="paragraph" w:customStyle="1" w:styleId="CharCharCharCharCharChar0">
    <w:name w:val="Char Char Char Char Char Char Знак Знак"/>
    <w:basedOn w:val="Normal"/>
    <w:pPr>
      <w:tabs>
        <w:tab w:val="left" w:pos="709"/>
      </w:tabs>
    </w:pPr>
    <w:rPr>
      <w:rFonts w:ascii="Tahoma" w:hAnsi="Tahoma"/>
      <w:lang w:val="pl-PL" w:eastAsia="pl-PL"/>
    </w:rPr>
  </w:style>
  <w:style w:type="paragraph" w:styleId="ListParagraph">
    <w:name w:val="List Paragraph"/>
    <w:basedOn w:val="Normal"/>
    <w:qFormat/>
    <w:pPr>
      <w:spacing w:line="264" w:lineRule="auto"/>
      <w:ind w:left="720" w:hanging="357"/>
      <w:contextualSpacing/>
      <w:jc w:val="both"/>
    </w:pPr>
    <w:rPr>
      <w:rFonts w:eastAsia="Calibri"/>
      <w:szCs w:val="22"/>
      <w:lang w:eastAsia="en-US"/>
    </w:rPr>
  </w:style>
  <w:style w:type="character" w:customStyle="1" w:styleId="FootnoteTextChar">
    <w:name w:val="Footnote Text Char"/>
    <w:aliases w:val="Geneva 9 Char,Font: Geneva 9 Char,Boston 10 Char,f Char,Testo nota a piè di pagina Carattere Carattere Char,Testo nota a piè di pagina Carattere Char,Testo nota a piè di pagina Carattere1 Carattere Char"/>
    <w:link w:val="FootnoteText"/>
    <w:uiPriority w:val="99"/>
    <w:rPr>
      <w:lang w:val="en-US" w:eastAsia="en-US" w:bidi="ar-SA"/>
    </w:rPr>
  </w:style>
  <w:style w:type="paragraph" w:styleId="Footer">
    <w:name w:val="footer"/>
    <w:basedOn w:val="Normal"/>
    <w:pPr>
      <w:tabs>
        <w:tab w:val="center" w:pos="4536"/>
        <w:tab w:val="right" w:pos="9072"/>
      </w:tabs>
    </w:pPr>
  </w:style>
  <w:style w:type="character" w:styleId="PageNumber">
    <w:name w:val="page number"/>
    <w:basedOn w:val="DefaultParagraphFont"/>
  </w:style>
  <w:style w:type="paragraph" w:styleId="Subtitle">
    <w:name w:val="Subtitle"/>
    <w:basedOn w:val="Normal"/>
    <w:next w:val="Normal"/>
    <w:link w:val="SubtitleChar"/>
    <w:qFormat/>
    <w:pPr>
      <w:spacing w:after="60" w:line="276" w:lineRule="auto"/>
      <w:jc w:val="center"/>
      <w:outlineLvl w:val="1"/>
    </w:pPr>
    <w:rPr>
      <w:rFonts w:ascii="Cambria" w:hAnsi="Cambria"/>
      <w:lang w:val="en-US" w:eastAsia="en-US"/>
    </w:rPr>
  </w:style>
  <w:style w:type="character" w:customStyle="1" w:styleId="SubtitleChar">
    <w:name w:val="Subtitle Char"/>
    <w:link w:val="Subtitle"/>
    <w:rPr>
      <w:rFonts w:ascii="Cambria" w:hAnsi="Cambria"/>
      <w:sz w:val="24"/>
      <w:szCs w:val="24"/>
      <w:lang w:val="en-US" w:eastAsia="en-US" w:bidi="ar-SA"/>
    </w:rPr>
  </w:style>
  <w:style w:type="paragraph" w:customStyle="1" w:styleId="1CharCharCharCharCharCharCharCharCharCharCharCharChar">
    <w:name w:val="1 Char Char Char Char Char Char Char Char Char Char Char Char Char"/>
    <w:basedOn w:val="Normal"/>
    <w:pPr>
      <w:tabs>
        <w:tab w:val="left" w:pos="709"/>
      </w:tabs>
    </w:pPr>
    <w:rPr>
      <w:rFonts w:ascii="Tahoma" w:hAnsi="Tahoma"/>
      <w:lang w:val="pl-PL" w:eastAsia="pl-PL"/>
    </w:rPr>
  </w:style>
  <w:style w:type="character" w:customStyle="1" w:styleId="FunotentextarialCharChar">
    <w:name w:val="Fußnotentext arial Char Char"/>
    <w:semiHidden/>
    <w:rPr>
      <w:lang w:val="bg-BG" w:eastAsia="bg-BG" w:bidi="ar-SA"/>
    </w:rPr>
  </w:style>
  <w:style w:type="paragraph" w:styleId="Title">
    <w:name w:val="Title"/>
    <w:basedOn w:val="Normal"/>
    <w:link w:val="TitleChar"/>
    <w:qFormat/>
    <w:pPr>
      <w:jc w:val="center"/>
    </w:pPr>
    <w:rPr>
      <w:b/>
      <w:sz w:val="22"/>
      <w:szCs w:val="20"/>
      <w:lang w:eastAsia="en-US"/>
    </w:rPr>
  </w:style>
  <w:style w:type="character" w:customStyle="1" w:styleId="TitleChar">
    <w:name w:val="Title Char"/>
    <w:link w:val="Title"/>
    <w:rPr>
      <w:b/>
      <w:sz w:val="22"/>
      <w:lang w:val="bg-BG" w:eastAsia="en-US" w:bidi="ar-SA"/>
    </w:rPr>
  </w:style>
  <w:style w:type="character" w:customStyle="1" w:styleId="hps">
    <w:name w:val="hps"/>
    <w:basedOn w:val="DefaultParagraphFont"/>
    <w:uiPriority w:val="99"/>
  </w:style>
  <w:style w:type="paragraph" w:customStyle="1" w:styleId="Style">
    <w:name w:val="Style"/>
    <w:pPr>
      <w:widowControl w:val="0"/>
      <w:autoSpaceDE w:val="0"/>
      <w:autoSpaceDN w:val="0"/>
      <w:adjustRightInd w:val="0"/>
      <w:ind w:left="140" w:right="140" w:firstLine="840"/>
      <w:jc w:val="both"/>
    </w:pPr>
    <w:rPr>
      <w:sz w:val="24"/>
      <w:szCs w:val="24"/>
    </w:rPr>
  </w:style>
  <w:style w:type="character" w:customStyle="1" w:styleId="a0">
    <w:name w:val="Знаци за бележки под линия"/>
    <w:rPr>
      <w:vertAlign w:val="superscript"/>
    </w:rPr>
  </w:style>
  <w:style w:type="paragraph" w:customStyle="1" w:styleId="CharCharCharCharCharCharChar1">
    <w:name w:val="Char Char Char Char Знак Char Char Char"/>
    <w:basedOn w:val="Normal"/>
    <w:pPr>
      <w:tabs>
        <w:tab w:val="left" w:pos="709"/>
      </w:tabs>
    </w:pPr>
    <w:rPr>
      <w:rFonts w:ascii="Tahoma" w:hAnsi="Tahoma" w:cs="Tahoma"/>
      <w:lang w:val="pl-PL" w:eastAsia="pl-PL"/>
    </w:rPr>
  </w:style>
  <w:style w:type="character" w:customStyle="1" w:styleId="CharChar2">
    <w:name w:val="Char Char2"/>
    <w:locked/>
    <w:rPr>
      <w:rFonts w:ascii="Times New Roman" w:hAnsi="Times New Roman" w:cs="Times New Roman"/>
      <w:b/>
      <w:sz w:val="20"/>
      <w:szCs w:val="20"/>
    </w:rPr>
  </w:style>
  <w:style w:type="character" w:customStyle="1" w:styleId="BodyTextIndentChar">
    <w:name w:val="Body Text Indent Char"/>
    <w:link w:val="BodyTextIndent"/>
    <w:rPr>
      <w:sz w:val="24"/>
      <w:szCs w:val="24"/>
      <w:lang w:val="bg-BG" w:eastAsia="bg-BG" w:bidi="ar-SA"/>
    </w:rPr>
  </w:style>
  <w:style w:type="character" w:styleId="Hyperlink">
    <w:name w:val="Hyperlink"/>
    <w:rPr>
      <w:color w:val="0000FF"/>
      <w:u w:val="single"/>
    </w:rPr>
  </w:style>
  <w:style w:type="character" w:customStyle="1" w:styleId="NormalWebChar">
    <w:name w:val="Normal (Web) Char"/>
    <w:link w:val="NormalWeb"/>
    <w:locked/>
    <w:rPr>
      <w:sz w:val="24"/>
      <w:szCs w:val="24"/>
    </w:rPr>
  </w:style>
  <w:style w:type="paragraph" w:customStyle="1" w:styleId="western">
    <w:name w:val="western"/>
    <w:basedOn w:val="Normal"/>
    <w:pPr>
      <w:spacing w:before="100" w:beforeAutospacing="1" w:after="100" w:afterAutospacing="1"/>
    </w:pPr>
  </w:style>
  <w:style w:type="paragraph" w:customStyle="1" w:styleId="CharCharChar1">
    <w:name w:val="Char Char Char1"/>
    <w:basedOn w:val="Normal"/>
    <w:link w:val="CharCharCharChar11"/>
    <w:uiPriority w:val="99"/>
    <w:pPr>
      <w:tabs>
        <w:tab w:val="left" w:pos="709"/>
      </w:tabs>
    </w:pPr>
    <w:rPr>
      <w:rFonts w:ascii="Tahoma" w:hAnsi="Tahoma"/>
      <w:szCs w:val="20"/>
      <w:lang w:val="pl-PL" w:eastAsia="pl-PL"/>
    </w:rPr>
  </w:style>
  <w:style w:type="character" w:customStyle="1" w:styleId="CharCharCharChar11">
    <w:name w:val="Char Char Char Char11"/>
    <w:link w:val="CharCharChar1"/>
    <w:uiPriority w:val="99"/>
    <w:locked/>
    <w:rPr>
      <w:rFonts w:ascii="Tahoma" w:hAnsi="Tahoma"/>
      <w:sz w:val="24"/>
      <w:lang w:val="pl-PL" w:eastAsia="pl-PL"/>
    </w:rPr>
  </w:style>
  <w:style w:type="paragraph" w:customStyle="1" w:styleId="soerkeyblue">
    <w:name w:val="soerkeyblue"/>
    <w:basedOn w:val="Normal"/>
    <w:pPr>
      <w:spacing w:before="100" w:beforeAutospacing="1" w:after="100" w:afterAutospacing="1"/>
    </w:pPr>
  </w:style>
  <w:style w:type="character" w:customStyle="1" w:styleId="CommentTextChar">
    <w:name w:val="Comment Text Char"/>
    <w:link w:val="CommentText"/>
    <w:rPr>
      <w:rFonts w:ascii="Timok" w:hAnsi="Timok"/>
      <w:sz w:val="28"/>
      <w:lang w:val="en-GB"/>
    </w:rPr>
  </w:style>
  <w:style w:type="paragraph" w:styleId="Header">
    <w:name w:val="header"/>
    <w:basedOn w:val="Normal"/>
    <w:link w:val="HeaderChar"/>
    <w:pPr>
      <w:tabs>
        <w:tab w:val="center" w:pos="4536"/>
        <w:tab w:val="right" w:pos="9072"/>
      </w:tabs>
    </w:pPr>
  </w:style>
  <w:style w:type="character" w:customStyle="1" w:styleId="HeaderChar">
    <w:name w:val="Header Char"/>
    <w:link w:val="Header"/>
    <w:rPr>
      <w:sz w:val="24"/>
      <w:szCs w:val="24"/>
    </w:rPr>
  </w:style>
  <w:style w:type="character" w:customStyle="1" w:styleId="Heading1Char">
    <w:name w:val="Heading 1 Char"/>
    <w:link w:val="Heading1"/>
    <w:rPr>
      <w:rFonts w:ascii="Calibri Light" w:eastAsia="Times New Roman" w:hAnsi="Calibri Light" w:cs="Times New Roman"/>
      <w:b/>
      <w:bCs/>
      <w:kern w:val="32"/>
      <w:sz w:val="32"/>
      <w:szCs w:val="32"/>
    </w:rPr>
  </w:style>
  <w:style w:type="paragraph" w:styleId="Revision">
    <w:name w:val="Revision"/>
    <w:hidden/>
    <w:uiPriority w:val="99"/>
    <w:semiHidden/>
    <w:rPr>
      <w:sz w:val="24"/>
      <w:szCs w:val="24"/>
    </w:rPr>
  </w:style>
  <w:style w:type="paragraph" w:customStyle="1" w:styleId="mcntmcntmsonormal">
    <w:name w:val="mcntmcntmsonormal"/>
    <w:basedOn w:val="Normal"/>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704111">
      <w:bodyDiv w:val="1"/>
      <w:marLeft w:val="0"/>
      <w:marRight w:val="0"/>
      <w:marTop w:val="0"/>
      <w:marBottom w:val="0"/>
      <w:divBdr>
        <w:top w:val="none" w:sz="0" w:space="0" w:color="auto"/>
        <w:left w:val="none" w:sz="0" w:space="0" w:color="auto"/>
        <w:bottom w:val="none" w:sz="0" w:space="0" w:color="auto"/>
        <w:right w:val="none" w:sz="0" w:space="0" w:color="auto"/>
      </w:divBdr>
    </w:div>
    <w:div w:id="149951866">
      <w:bodyDiv w:val="1"/>
      <w:marLeft w:val="0"/>
      <w:marRight w:val="0"/>
      <w:marTop w:val="0"/>
      <w:marBottom w:val="0"/>
      <w:divBdr>
        <w:top w:val="none" w:sz="0" w:space="0" w:color="auto"/>
        <w:left w:val="none" w:sz="0" w:space="0" w:color="auto"/>
        <w:bottom w:val="none" w:sz="0" w:space="0" w:color="auto"/>
        <w:right w:val="none" w:sz="0" w:space="0" w:color="auto"/>
      </w:divBdr>
    </w:div>
    <w:div w:id="194659052">
      <w:bodyDiv w:val="1"/>
      <w:marLeft w:val="0"/>
      <w:marRight w:val="0"/>
      <w:marTop w:val="0"/>
      <w:marBottom w:val="0"/>
      <w:divBdr>
        <w:top w:val="none" w:sz="0" w:space="0" w:color="auto"/>
        <w:left w:val="none" w:sz="0" w:space="0" w:color="auto"/>
        <w:bottom w:val="none" w:sz="0" w:space="0" w:color="auto"/>
        <w:right w:val="none" w:sz="0" w:space="0" w:color="auto"/>
      </w:divBdr>
    </w:div>
    <w:div w:id="198974959">
      <w:bodyDiv w:val="1"/>
      <w:marLeft w:val="0"/>
      <w:marRight w:val="0"/>
      <w:marTop w:val="0"/>
      <w:marBottom w:val="0"/>
      <w:divBdr>
        <w:top w:val="none" w:sz="0" w:space="0" w:color="auto"/>
        <w:left w:val="none" w:sz="0" w:space="0" w:color="auto"/>
        <w:bottom w:val="none" w:sz="0" w:space="0" w:color="auto"/>
        <w:right w:val="none" w:sz="0" w:space="0" w:color="auto"/>
      </w:divBdr>
    </w:div>
    <w:div w:id="208304184">
      <w:bodyDiv w:val="1"/>
      <w:marLeft w:val="0"/>
      <w:marRight w:val="0"/>
      <w:marTop w:val="0"/>
      <w:marBottom w:val="0"/>
      <w:divBdr>
        <w:top w:val="none" w:sz="0" w:space="0" w:color="auto"/>
        <w:left w:val="none" w:sz="0" w:space="0" w:color="auto"/>
        <w:bottom w:val="none" w:sz="0" w:space="0" w:color="auto"/>
        <w:right w:val="none" w:sz="0" w:space="0" w:color="auto"/>
      </w:divBdr>
    </w:div>
    <w:div w:id="228271370">
      <w:bodyDiv w:val="1"/>
      <w:marLeft w:val="0"/>
      <w:marRight w:val="0"/>
      <w:marTop w:val="0"/>
      <w:marBottom w:val="0"/>
      <w:divBdr>
        <w:top w:val="none" w:sz="0" w:space="0" w:color="auto"/>
        <w:left w:val="none" w:sz="0" w:space="0" w:color="auto"/>
        <w:bottom w:val="none" w:sz="0" w:space="0" w:color="auto"/>
        <w:right w:val="none" w:sz="0" w:space="0" w:color="auto"/>
      </w:divBdr>
    </w:div>
    <w:div w:id="270170445">
      <w:bodyDiv w:val="1"/>
      <w:marLeft w:val="0"/>
      <w:marRight w:val="0"/>
      <w:marTop w:val="0"/>
      <w:marBottom w:val="0"/>
      <w:divBdr>
        <w:top w:val="none" w:sz="0" w:space="0" w:color="auto"/>
        <w:left w:val="none" w:sz="0" w:space="0" w:color="auto"/>
        <w:bottom w:val="none" w:sz="0" w:space="0" w:color="auto"/>
        <w:right w:val="none" w:sz="0" w:space="0" w:color="auto"/>
      </w:divBdr>
    </w:div>
    <w:div w:id="433406466">
      <w:bodyDiv w:val="1"/>
      <w:marLeft w:val="0"/>
      <w:marRight w:val="0"/>
      <w:marTop w:val="0"/>
      <w:marBottom w:val="0"/>
      <w:divBdr>
        <w:top w:val="none" w:sz="0" w:space="0" w:color="auto"/>
        <w:left w:val="none" w:sz="0" w:space="0" w:color="auto"/>
        <w:bottom w:val="none" w:sz="0" w:space="0" w:color="auto"/>
        <w:right w:val="none" w:sz="0" w:space="0" w:color="auto"/>
      </w:divBdr>
    </w:div>
    <w:div w:id="438961659">
      <w:bodyDiv w:val="1"/>
      <w:marLeft w:val="0"/>
      <w:marRight w:val="0"/>
      <w:marTop w:val="0"/>
      <w:marBottom w:val="0"/>
      <w:divBdr>
        <w:top w:val="none" w:sz="0" w:space="0" w:color="auto"/>
        <w:left w:val="none" w:sz="0" w:space="0" w:color="auto"/>
        <w:bottom w:val="none" w:sz="0" w:space="0" w:color="auto"/>
        <w:right w:val="none" w:sz="0" w:space="0" w:color="auto"/>
      </w:divBdr>
    </w:div>
    <w:div w:id="456139983">
      <w:bodyDiv w:val="1"/>
      <w:marLeft w:val="0"/>
      <w:marRight w:val="0"/>
      <w:marTop w:val="0"/>
      <w:marBottom w:val="0"/>
      <w:divBdr>
        <w:top w:val="none" w:sz="0" w:space="0" w:color="auto"/>
        <w:left w:val="none" w:sz="0" w:space="0" w:color="auto"/>
        <w:bottom w:val="none" w:sz="0" w:space="0" w:color="auto"/>
        <w:right w:val="none" w:sz="0" w:space="0" w:color="auto"/>
      </w:divBdr>
    </w:div>
    <w:div w:id="531651195">
      <w:bodyDiv w:val="1"/>
      <w:marLeft w:val="0"/>
      <w:marRight w:val="0"/>
      <w:marTop w:val="0"/>
      <w:marBottom w:val="0"/>
      <w:divBdr>
        <w:top w:val="none" w:sz="0" w:space="0" w:color="auto"/>
        <w:left w:val="none" w:sz="0" w:space="0" w:color="auto"/>
        <w:bottom w:val="none" w:sz="0" w:space="0" w:color="auto"/>
        <w:right w:val="none" w:sz="0" w:space="0" w:color="auto"/>
      </w:divBdr>
    </w:div>
    <w:div w:id="545214078">
      <w:bodyDiv w:val="1"/>
      <w:marLeft w:val="0"/>
      <w:marRight w:val="0"/>
      <w:marTop w:val="0"/>
      <w:marBottom w:val="0"/>
      <w:divBdr>
        <w:top w:val="none" w:sz="0" w:space="0" w:color="auto"/>
        <w:left w:val="none" w:sz="0" w:space="0" w:color="auto"/>
        <w:bottom w:val="none" w:sz="0" w:space="0" w:color="auto"/>
        <w:right w:val="none" w:sz="0" w:space="0" w:color="auto"/>
      </w:divBdr>
    </w:div>
    <w:div w:id="554700612">
      <w:bodyDiv w:val="1"/>
      <w:marLeft w:val="0"/>
      <w:marRight w:val="0"/>
      <w:marTop w:val="0"/>
      <w:marBottom w:val="0"/>
      <w:divBdr>
        <w:top w:val="none" w:sz="0" w:space="0" w:color="auto"/>
        <w:left w:val="none" w:sz="0" w:space="0" w:color="auto"/>
        <w:bottom w:val="none" w:sz="0" w:space="0" w:color="auto"/>
        <w:right w:val="none" w:sz="0" w:space="0" w:color="auto"/>
      </w:divBdr>
    </w:div>
    <w:div w:id="574585754">
      <w:bodyDiv w:val="1"/>
      <w:marLeft w:val="0"/>
      <w:marRight w:val="0"/>
      <w:marTop w:val="0"/>
      <w:marBottom w:val="0"/>
      <w:divBdr>
        <w:top w:val="none" w:sz="0" w:space="0" w:color="auto"/>
        <w:left w:val="none" w:sz="0" w:space="0" w:color="auto"/>
        <w:bottom w:val="none" w:sz="0" w:space="0" w:color="auto"/>
        <w:right w:val="none" w:sz="0" w:space="0" w:color="auto"/>
      </w:divBdr>
    </w:div>
    <w:div w:id="601109686">
      <w:bodyDiv w:val="1"/>
      <w:marLeft w:val="0"/>
      <w:marRight w:val="0"/>
      <w:marTop w:val="0"/>
      <w:marBottom w:val="0"/>
      <w:divBdr>
        <w:top w:val="none" w:sz="0" w:space="0" w:color="auto"/>
        <w:left w:val="none" w:sz="0" w:space="0" w:color="auto"/>
        <w:bottom w:val="none" w:sz="0" w:space="0" w:color="auto"/>
        <w:right w:val="none" w:sz="0" w:space="0" w:color="auto"/>
      </w:divBdr>
    </w:div>
    <w:div w:id="705521108">
      <w:bodyDiv w:val="1"/>
      <w:marLeft w:val="0"/>
      <w:marRight w:val="0"/>
      <w:marTop w:val="0"/>
      <w:marBottom w:val="0"/>
      <w:divBdr>
        <w:top w:val="none" w:sz="0" w:space="0" w:color="auto"/>
        <w:left w:val="none" w:sz="0" w:space="0" w:color="auto"/>
        <w:bottom w:val="none" w:sz="0" w:space="0" w:color="auto"/>
        <w:right w:val="none" w:sz="0" w:space="0" w:color="auto"/>
      </w:divBdr>
    </w:div>
    <w:div w:id="746264119">
      <w:bodyDiv w:val="1"/>
      <w:marLeft w:val="0"/>
      <w:marRight w:val="0"/>
      <w:marTop w:val="0"/>
      <w:marBottom w:val="0"/>
      <w:divBdr>
        <w:top w:val="none" w:sz="0" w:space="0" w:color="auto"/>
        <w:left w:val="none" w:sz="0" w:space="0" w:color="auto"/>
        <w:bottom w:val="none" w:sz="0" w:space="0" w:color="auto"/>
        <w:right w:val="none" w:sz="0" w:space="0" w:color="auto"/>
      </w:divBdr>
    </w:div>
    <w:div w:id="750199447">
      <w:bodyDiv w:val="1"/>
      <w:marLeft w:val="0"/>
      <w:marRight w:val="0"/>
      <w:marTop w:val="0"/>
      <w:marBottom w:val="0"/>
      <w:divBdr>
        <w:top w:val="none" w:sz="0" w:space="0" w:color="auto"/>
        <w:left w:val="none" w:sz="0" w:space="0" w:color="auto"/>
        <w:bottom w:val="none" w:sz="0" w:space="0" w:color="auto"/>
        <w:right w:val="none" w:sz="0" w:space="0" w:color="auto"/>
      </w:divBdr>
    </w:div>
    <w:div w:id="788203848">
      <w:bodyDiv w:val="1"/>
      <w:marLeft w:val="0"/>
      <w:marRight w:val="0"/>
      <w:marTop w:val="0"/>
      <w:marBottom w:val="0"/>
      <w:divBdr>
        <w:top w:val="none" w:sz="0" w:space="0" w:color="auto"/>
        <w:left w:val="none" w:sz="0" w:space="0" w:color="auto"/>
        <w:bottom w:val="none" w:sz="0" w:space="0" w:color="auto"/>
        <w:right w:val="none" w:sz="0" w:space="0" w:color="auto"/>
      </w:divBdr>
    </w:div>
    <w:div w:id="861627600">
      <w:bodyDiv w:val="1"/>
      <w:marLeft w:val="0"/>
      <w:marRight w:val="0"/>
      <w:marTop w:val="0"/>
      <w:marBottom w:val="0"/>
      <w:divBdr>
        <w:top w:val="none" w:sz="0" w:space="0" w:color="auto"/>
        <w:left w:val="none" w:sz="0" w:space="0" w:color="auto"/>
        <w:bottom w:val="none" w:sz="0" w:space="0" w:color="auto"/>
        <w:right w:val="none" w:sz="0" w:space="0" w:color="auto"/>
      </w:divBdr>
    </w:div>
    <w:div w:id="870072786">
      <w:bodyDiv w:val="1"/>
      <w:marLeft w:val="0"/>
      <w:marRight w:val="0"/>
      <w:marTop w:val="0"/>
      <w:marBottom w:val="0"/>
      <w:divBdr>
        <w:top w:val="none" w:sz="0" w:space="0" w:color="auto"/>
        <w:left w:val="none" w:sz="0" w:space="0" w:color="auto"/>
        <w:bottom w:val="none" w:sz="0" w:space="0" w:color="auto"/>
        <w:right w:val="none" w:sz="0" w:space="0" w:color="auto"/>
      </w:divBdr>
    </w:div>
    <w:div w:id="884025690">
      <w:bodyDiv w:val="1"/>
      <w:marLeft w:val="0"/>
      <w:marRight w:val="0"/>
      <w:marTop w:val="0"/>
      <w:marBottom w:val="0"/>
      <w:divBdr>
        <w:top w:val="none" w:sz="0" w:space="0" w:color="auto"/>
        <w:left w:val="none" w:sz="0" w:space="0" w:color="auto"/>
        <w:bottom w:val="none" w:sz="0" w:space="0" w:color="auto"/>
        <w:right w:val="none" w:sz="0" w:space="0" w:color="auto"/>
      </w:divBdr>
    </w:div>
    <w:div w:id="927542241">
      <w:bodyDiv w:val="1"/>
      <w:marLeft w:val="0"/>
      <w:marRight w:val="0"/>
      <w:marTop w:val="0"/>
      <w:marBottom w:val="0"/>
      <w:divBdr>
        <w:top w:val="none" w:sz="0" w:space="0" w:color="auto"/>
        <w:left w:val="none" w:sz="0" w:space="0" w:color="auto"/>
        <w:bottom w:val="none" w:sz="0" w:space="0" w:color="auto"/>
        <w:right w:val="none" w:sz="0" w:space="0" w:color="auto"/>
      </w:divBdr>
    </w:div>
    <w:div w:id="1084061255">
      <w:bodyDiv w:val="1"/>
      <w:marLeft w:val="0"/>
      <w:marRight w:val="0"/>
      <w:marTop w:val="0"/>
      <w:marBottom w:val="0"/>
      <w:divBdr>
        <w:top w:val="none" w:sz="0" w:space="0" w:color="auto"/>
        <w:left w:val="none" w:sz="0" w:space="0" w:color="auto"/>
        <w:bottom w:val="none" w:sz="0" w:space="0" w:color="auto"/>
        <w:right w:val="none" w:sz="0" w:space="0" w:color="auto"/>
      </w:divBdr>
    </w:div>
    <w:div w:id="1172834707">
      <w:bodyDiv w:val="1"/>
      <w:marLeft w:val="0"/>
      <w:marRight w:val="0"/>
      <w:marTop w:val="0"/>
      <w:marBottom w:val="0"/>
      <w:divBdr>
        <w:top w:val="none" w:sz="0" w:space="0" w:color="auto"/>
        <w:left w:val="none" w:sz="0" w:space="0" w:color="auto"/>
        <w:bottom w:val="none" w:sz="0" w:space="0" w:color="auto"/>
        <w:right w:val="none" w:sz="0" w:space="0" w:color="auto"/>
      </w:divBdr>
    </w:div>
    <w:div w:id="1187015149">
      <w:bodyDiv w:val="1"/>
      <w:marLeft w:val="0"/>
      <w:marRight w:val="0"/>
      <w:marTop w:val="0"/>
      <w:marBottom w:val="0"/>
      <w:divBdr>
        <w:top w:val="none" w:sz="0" w:space="0" w:color="auto"/>
        <w:left w:val="none" w:sz="0" w:space="0" w:color="auto"/>
        <w:bottom w:val="none" w:sz="0" w:space="0" w:color="auto"/>
        <w:right w:val="none" w:sz="0" w:space="0" w:color="auto"/>
      </w:divBdr>
    </w:div>
    <w:div w:id="1210266637">
      <w:bodyDiv w:val="1"/>
      <w:marLeft w:val="0"/>
      <w:marRight w:val="0"/>
      <w:marTop w:val="0"/>
      <w:marBottom w:val="0"/>
      <w:divBdr>
        <w:top w:val="none" w:sz="0" w:space="0" w:color="auto"/>
        <w:left w:val="none" w:sz="0" w:space="0" w:color="auto"/>
        <w:bottom w:val="none" w:sz="0" w:space="0" w:color="auto"/>
        <w:right w:val="none" w:sz="0" w:space="0" w:color="auto"/>
      </w:divBdr>
    </w:div>
    <w:div w:id="1252202950">
      <w:bodyDiv w:val="1"/>
      <w:marLeft w:val="0"/>
      <w:marRight w:val="0"/>
      <w:marTop w:val="0"/>
      <w:marBottom w:val="0"/>
      <w:divBdr>
        <w:top w:val="none" w:sz="0" w:space="0" w:color="auto"/>
        <w:left w:val="none" w:sz="0" w:space="0" w:color="auto"/>
        <w:bottom w:val="none" w:sz="0" w:space="0" w:color="auto"/>
        <w:right w:val="none" w:sz="0" w:space="0" w:color="auto"/>
      </w:divBdr>
    </w:div>
    <w:div w:id="1289362532">
      <w:bodyDiv w:val="1"/>
      <w:marLeft w:val="0"/>
      <w:marRight w:val="0"/>
      <w:marTop w:val="0"/>
      <w:marBottom w:val="0"/>
      <w:divBdr>
        <w:top w:val="none" w:sz="0" w:space="0" w:color="auto"/>
        <w:left w:val="none" w:sz="0" w:space="0" w:color="auto"/>
        <w:bottom w:val="none" w:sz="0" w:space="0" w:color="auto"/>
        <w:right w:val="none" w:sz="0" w:space="0" w:color="auto"/>
      </w:divBdr>
    </w:div>
    <w:div w:id="1301839133">
      <w:bodyDiv w:val="1"/>
      <w:marLeft w:val="0"/>
      <w:marRight w:val="0"/>
      <w:marTop w:val="0"/>
      <w:marBottom w:val="0"/>
      <w:divBdr>
        <w:top w:val="none" w:sz="0" w:space="0" w:color="auto"/>
        <w:left w:val="none" w:sz="0" w:space="0" w:color="auto"/>
        <w:bottom w:val="none" w:sz="0" w:space="0" w:color="auto"/>
        <w:right w:val="none" w:sz="0" w:space="0" w:color="auto"/>
      </w:divBdr>
    </w:div>
    <w:div w:id="1422331387">
      <w:bodyDiv w:val="1"/>
      <w:marLeft w:val="0"/>
      <w:marRight w:val="0"/>
      <w:marTop w:val="0"/>
      <w:marBottom w:val="0"/>
      <w:divBdr>
        <w:top w:val="none" w:sz="0" w:space="0" w:color="auto"/>
        <w:left w:val="none" w:sz="0" w:space="0" w:color="auto"/>
        <w:bottom w:val="none" w:sz="0" w:space="0" w:color="auto"/>
        <w:right w:val="none" w:sz="0" w:space="0" w:color="auto"/>
      </w:divBdr>
    </w:div>
    <w:div w:id="1453131972">
      <w:bodyDiv w:val="1"/>
      <w:marLeft w:val="0"/>
      <w:marRight w:val="0"/>
      <w:marTop w:val="0"/>
      <w:marBottom w:val="0"/>
      <w:divBdr>
        <w:top w:val="none" w:sz="0" w:space="0" w:color="auto"/>
        <w:left w:val="none" w:sz="0" w:space="0" w:color="auto"/>
        <w:bottom w:val="none" w:sz="0" w:space="0" w:color="auto"/>
        <w:right w:val="none" w:sz="0" w:space="0" w:color="auto"/>
      </w:divBdr>
    </w:div>
    <w:div w:id="1481146133">
      <w:bodyDiv w:val="1"/>
      <w:marLeft w:val="0"/>
      <w:marRight w:val="0"/>
      <w:marTop w:val="0"/>
      <w:marBottom w:val="0"/>
      <w:divBdr>
        <w:top w:val="none" w:sz="0" w:space="0" w:color="auto"/>
        <w:left w:val="none" w:sz="0" w:space="0" w:color="auto"/>
        <w:bottom w:val="none" w:sz="0" w:space="0" w:color="auto"/>
        <w:right w:val="none" w:sz="0" w:space="0" w:color="auto"/>
      </w:divBdr>
    </w:div>
    <w:div w:id="1537546018">
      <w:bodyDiv w:val="1"/>
      <w:marLeft w:val="0"/>
      <w:marRight w:val="0"/>
      <w:marTop w:val="0"/>
      <w:marBottom w:val="0"/>
      <w:divBdr>
        <w:top w:val="none" w:sz="0" w:space="0" w:color="auto"/>
        <w:left w:val="none" w:sz="0" w:space="0" w:color="auto"/>
        <w:bottom w:val="none" w:sz="0" w:space="0" w:color="auto"/>
        <w:right w:val="none" w:sz="0" w:space="0" w:color="auto"/>
      </w:divBdr>
    </w:div>
    <w:div w:id="1549561290">
      <w:bodyDiv w:val="1"/>
      <w:marLeft w:val="0"/>
      <w:marRight w:val="0"/>
      <w:marTop w:val="0"/>
      <w:marBottom w:val="0"/>
      <w:divBdr>
        <w:top w:val="none" w:sz="0" w:space="0" w:color="auto"/>
        <w:left w:val="none" w:sz="0" w:space="0" w:color="auto"/>
        <w:bottom w:val="none" w:sz="0" w:space="0" w:color="auto"/>
        <w:right w:val="none" w:sz="0" w:space="0" w:color="auto"/>
      </w:divBdr>
    </w:div>
    <w:div w:id="1600723504">
      <w:bodyDiv w:val="1"/>
      <w:marLeft w:val="0"/>
      <w:marRight w:val="0"/>
      <w:marTop w:val="0"/>
      <w:marBottom w:val="0"/>
      <w:divBdr>
        <w:top w:val="none" w:sz="0" w:space="0" w:color="auto"/>
        <w:left w:val="none" w:sz="0" w:space="0" w:color="auto"/>
        <w:bottom w:val="none" w:sz="0" w:space="0" w:color="auto"/>
        <w:right w:val="none" w:sz="0" w:space="0" w:color="auto"/>
      </w:divBdr>
    </w:div>
    <w:div w:id="1623027506">
      <w:bodyDiv w:val="1"/>
      <w:marLeft w:val="0"/>
      <w:marRight w:val="0"/>
      <w:marTop w:val="0"/>
      <w:marBottom w:val="0"/>
      <w:divBdr>
        <w:top w:val="none" w:sz="0" w:space="0" w:color="auto"/>
        <w:left w:val="none" w:sz="0" w:space="0" w:color="auto"/>
        <w:bottom w:val="none" w:sz="0" w:space="0" w:color="auto"/>
        <w:right w:val="none" w:sz="0" w:space="0" w:color="auto"/>
      </w:divBdr>
    </w:div>
    <w:div w:id="1658455837">
      <w:bodyDiv w:val="1"/>
      <w:marLeft w:val="0"/>
      <w:marRight w:val="0"/>
      <w:marTop w:val="0"/>
      <w:marBottom w:val="0"/>
      <w:divBdr>
        <w:top w:val="none" w:sz="0" w:space="0" w:color="auto"/>
        <w:left w:val="none" w:sz="0" w:space="0" w:color="auto"/>
        <w:bottom w:val="none" w:sz="0" w:space="0" w:color="auto"/>
        <w:right w:val="none" w:sz="0" w:space="0" w:color="auto"/>
      </w:divBdr>
    </w:div>
    <w:div w:id="1682314401">
      <w:bodyDiv w:val="1"/>
      <w:marLeft w:val="0"/>
      <w:marRight w:val="0"/>
      <w:marTop w:val="0"/>
      <w:marBottom w:val="0"/>
      <w:divBdr>
        <w:top w:val="none" w:sz="0" w:space="0" w:color="auto"/>
        <w:left w:val="none" w:sz="0" w:space="0" w:color="auto"/>
        <w:bottom w:val="none" w:sz="0" w:space="0" w:color="auto"/>
        <w:right w:val="none" w:sz="0" w:space="0" w:color="auto"/>
      </w:divBdr>
    </w:div>
    <w:div w:id="1767185544">
      <w:bodyDiv w:val="1"/>
      <w:marLeft w:val="0"/>
      <w:marRight w:val="0"/>
      <w:marTop w:val="0"/>
      <w:marBottom w:val="0"/>
      <w:divBdr>
        <w:top w:val="none" w:sz="0" w:space="0" w:color="auto"/>
        <w:left w:val="none" w:sz="0" w:space="0" w:color="auto"/>
        <w:bottom w:val="none" w:sz="0" w:space="0" w:color="auto"/>
        <w:right w:val="none" w:sz="0" w:space="0" w:color="auto"/>
      </w:divBdr>
    </w:div>
    <w:div w:id="1779106066">
      <w:bodyDiv w:val="1"/>
      <w:marLeft w:val="0"/>
      <w:marRight w:val="0"/>
      <w:marTop w:val="0"/>
      <w:marBottom w:val="0"/>
      <w:divBdr>
        <w:top w:val="none" w:sz="0" w:space="0" w:color="auto"/>
        <w:left w:val="none" w:sz="0" w:space="0" w:color="auto"/>
        <w:bottom w:val="none" w:sz="0" w:space="0" w:color="auto"/>
        <w:right w:val="none" w:sz="0" w:space="0" w:color="auto"/>
      </w:divBdr>
    </w:div>
    <w:div w:id="1926572976">
      <w:bodyDiv w:val="1"/>
      <w:marLeft w:val="0"/>
      <w:marRight w:val="0"/>
      <w:marTop w:val="0"/>
      <w:marBottom w:val="0"/>
      <w:divBdr>
        <w:top w:val="none" w:sz="0" w:space="0" w:color="auto"/>
        <w:left w:val="none" w:sz="0" w:space="0" w:color="auto"/>
        <w:bottom w:val="none" w:sz="0" w:space="0" w:color="auto"/>
        <w:right w:val="none" w:sz="0" w:space="0" w:color="auto"/>
      </w:divBdr>
    </w:div>
    <w:div w:id="2094274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7.png"/><Relationship Id="rId7" Type="http://schemas.openxmlformats.org/officeDocument/2006/relationships/endnotes" Target="endnotes.xml"/><Relationship Id="rId12" Type="http://schemas.openxmlformats.org/officeDocument/2006/relationships/image" Target="media/image8.jpeg"/><Relationship Id="rId17" Type="http://schemas.openxmlformats.org/officeDocument/2006/relationships/image" Target="media/image13.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7.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11.png"/><Relationship Id="rId23" Type="http://schemas.openxmlformats.org/officeDocument/2006/relationships/footer" Target="footer1.xml"/><Relationship Id="rId10" Type="http://schemas.openxmlformats.org/officeDocument/2006/relationships/image" Target="media/image6.jpeg"/><Relationship Id="rId19"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pn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CB9AFC-9DEA-47E1-9E0C-08DFDD940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2930</Words>
  <Characters>16704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Докладът за състоянието на околната среда в България се издава на основание чл</vt:lpstr>
    </vt:vector>
  </TitlesOfParts>
  <Company>EEA</Company>
  <LinksUpToDate>false</LinksUpToDate>
  <CharactersWithSpaces>19595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Докладът за състоянието на околната среда в България се издава на основание чл</dc:title>
  <dc:subject/>
  <dc:creator>VNacheva</dc:creator>
  <cp:keywords/>
  <cp:lastModifiedBy>adm</cp:lastModifiedBy>
  <cp:revision>2</cp:revision>
  <cp:lastPrinted>2023-07-11T13:09:00Z</cp:lastPrinted>
  <dcterms:created xsi:type="dcterms:W3CDTF">2026-08-13T09:05:00Z</dcterms:created>
  <dcterms:modified xsi:type="dcterms:W3CDTF">2026-08-13T09:05:00Z</dcterms:modified>
</cp:coreProperties>
</file>