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37" w:rsidRPr="001A7256" w:rsidRDefault="00AC318D" w:rsidP="00D956F5">
      <w:pPr>
        <w:pStyle w:val="Pagedecouverture"/>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3276D12BEFCF41798A36D30361937BCE" style="width:450.6pt;height:368.4pt">
            <v:imagedata r:id="rId9" o:title=""/>
          </v:shape>
        </w:pict>
      </w:r>
    </w:p>
    <w:p w:rsidR="001A7256" w:rsidRPr="001A7256" w:rsidRDefault="001A7256">
      <w:pPr>
        <w:rPr>
          <w:szCs w:val="24"/>
        </w:rPr>
        <w:sectPr w:rsidR="001A7256" w:rsidRPr="001A7256" w:rsidSect="008A1474">
          <w:headerReference w:type="even" r:id="rId10"/>
          <w:headerReference w:type="default" r:id="rId11"/>
          <w:footerReference w:type="even" r:id="rId12"/>
          <w:footerReference w:type="default" r:id="rId13"/>
          <w:headerReference w:type="first" r:id="rId14"/>
          <w:footerReference w:type="first" r:id="rId15"/>
          <w:pgSz w:w="11907" w:h="16839"/>
          <w:pgMar w:top="1134" w:right="1417" w:bottom="1134" w:left="1417" w:header="709" w:footer="709" w:gutter="0"/>
          <w:pgNumType w:start="1"/>
          <w:cols w:space="720"/>
          <w:docGrid w:linePitch="360"/>
        </w:sectPr>
      </w:pPr>
    </w:p>
    <w:p w:rsidR="001A7256" w:rsidRPr="001A7256" w:rsidRDefault="00D956F5" w:rsidP="00D956F5">
      <w:pPr>
        <w:pStyle w:val="Typedudocument"/>
      </w:pPr>
      <w:r w:rsidRPr="00D956F5">
        <w:lastRenderedPageBreak/>
        <w:t>COMMISSION DECISION</w:t>
      </w:r>
    </w:p>
    <w:p w:rsidR="001A7256" w:rsidRPr="001A7256" w:rsidRDefault="00D956F5" w:rsidP="00D956F5">
      <w:pPr>
        <w:pStyle w:val="Datedadoption"/>
      </w:pPr>
      <w:r w:rsidRPr="00D956F5">
        <w:t xml:space="preserve">of </w:t>
      </w:r>
      <w:r w:rsidRPr="00D956F5">
        <w:rPr>
          <w:rStyle w:val="Marker2"/>
        </w:rPr>
        <w:t>XXX</w:t>
      </w:r>
    </w:p>
    <w:p w:rsidR="001A7256" w:rsidRPr="001A7256" w:rsidRDefault="00D956F5" w:rsidP="00D956F5">
      <w:pPr>
        <w:pStyle w:val="Titreobjet"/>
      </w:pPr>
      <w:r w:rsidRPr="00D956F5">
        <w:t>on establishing EU Ecolabel criteria for wood-, cork- and bamboo-based floor coverings</w:t>
      </w:r>
    </w:p>
    <w:p w:rsidR="001A7256" w:rsidRPr="001A7256" w:rsidRDefault="00D956F5" w:rsidP="00D956F5">
      <w:pPr>
        <w:pStyle w:val="IntrtEEE"/>
      </w:pPr>
      <w:r w:rsidRPr="00D956F5">
        <w:t>(Text with EEA relevance)</w:t>
      </w:r>
    </w:p>
    <w:p w:rsidR="001A7256" w:rsidRPr="001A7256" w:rsidRDefault="001A7256" w:rsidP="00A228FD">
      <w:pPr>
        <w:pStyle w:val="Institutionquiagit"/>
        <w:rPr>
          <w:szCs w:val="24"/>
        </w:rPr>
      </w:pPr>
      <w:r w:rsidRPr="001A7256">
        <w:rPr>
          <w:szCs w:val="24"/>
        </w:rPr>
        <w:t>THE EUROPEAN COMMISSION,</w:t>
      </w:r>
    </w:p>
    <w:p w:rsidR="001A7256" w:rsidRPr="001A7256" w:rsidRDefault="001A7256" w:rsidP="00A228FD">
      <w:pPr>
        <w:rPr>
          <w:szCs w:val="24"/>
        </w:rPr>
      </w:pPr>
      <w:r w:rsidRPr="001A7256">
        <w:rPr>
          <w:szCs w:val="24"/>
        </w:rPr>
        <w:t>Having regard to the Treaty on the Functioning of the European Union,</w:t>
      </w:r>
    </w:p>
    <w:p w:rsidR="001A7256" w:rsidRPr="001A7256" w:rsidRDefault="001A7256" w:rsidP="001A7256">
      <w:pPr>
        <w:rPr>
          <w:noProof/>
          <w:szCs w:val="24"/>
        </w:rPr>
      </w:pPr>
      <w:r w:rsidRPr="001A7256">
        <w:rPr>
          <w:noProof/>
          <w:szCs w:val="24"/>
        </w:rPr>
        <w:t xml:space="preserve">Having regard to </w:t>
      </w:r>
      <w:bookmarkStart w:id="0" w:name="OLE_LINK3"/>
      <w:bookmarkStart w:id="1" w:name="OLE_LINK4"/>
      <w:r w:rsidRPr="001A7256">
        <w:rPr>
          <w:noProof/>
          <w:szCs w:val="24"/>
        </w:rPr>
        <w:t>Regulation (EC) No 66/2010 of the European Parliament and of the Council of 25 November 2009 on the EU Ecolabel</w:t>
      </w:r>
      <w:bookmarkEnd w:id="0"/>
      <w:bookmarkEnd w:id="1"/>
      <w:r w:rsidRPr="001A7256">
        <w:rPr>
          <w:rStyle w:val="FootnoteReference"/>
          <w:noProof/>
          <w:szCs w:val="24"/>
        </w:rPr>
        <w:footnoteReference w:id="1"/>
      </w:r>
      <w:r w:rsidRPr="001A7256">
        <w:rPr>
          <w:noProof/>
          <w:szCs w:val="24"/>
        </w:rPr>
        <w:t>, and in particular Article 8(2) thereof,</w:t>
      </w:r>
    </w:p>
    <w:p w:rsidR="001A7256" w:rsidRPr="001A7256" w:rsidRDefault="001A7256" w:rsidP="001A7256">
      <w:pPr>
        <w:rPr>
          <w:noProof/>
          <w:szCs w:val="24"/>
        </w:rPr>
      </w:pPr>
      <w:r w:rsidRPr="001A7256">
        <w:rPr>
          <w:noProof/>
          <w:szCs w:val="24"/>
        </w:rPr>
        <w:t>After consulting the European Union Ecolabelling Board,</w:t>
      </w:r>
    </w:p>
    <w:p w:rsidR="001A7256" w:rsidRPr="001A7256" w:rsidRDefault="001A7256" w:rsidP="001A7256">
      <w:pPr>
        <w:rPr>
          <w:noProof/>
          <w:szCs w:val="24"/>
        </w:rPr>
      </w:pPr>
      <w:r w:rsidRPr="001A7256">
        <w:rPr>
          <w:noProof/>
          <w:szCs w:val="24"/>
        </w:rPr>
        <w:t>Whereas:</w:t>
      </w:r>
    </w:p>
    <w:p w:rsidR="001A7256" w:rsidRPr="001A7256" w:rsidRDefault="001A7256" w:rsidP="00061E88">
      <w:pPr>
        <w:pStyle w:val="Considrant"/>
        <w:numPr>
          <w:ilvl w:val="0"/>
          <w:numId w:val="1"/>
        </w:numPr>
        <w:spacing w:after="0"/>
        <w:rPr>
          <w:noProof/>
          <w:szCs w:val="24"/>
        </w:rPr>
      </w:pPr>
      <w:r w:rsidRPr="001A7256">
        <w:rPr>
          <w:noProof/>
          <w:szCs w:val="24"/>
        </w:rPr>
        <w:t>Under Regulation (EC) No 66/2010, the EU Ecolabel may be awarded to products which have a reduced environmental impact during their entire life cycle.</w:t>
      </w:r>
    </w:p>
    <w:p w:rsidR="001A7256" w:rsidRPr="001A7256" w:rsidRDefault="001A7256" w:rsidP="00061E88">
      <w:pPr>
        <w:pStyle w:val="Considrant"/>
        <w:numPr>
          <w:ilvl w:val="0"/>
          <w:numId w:val="1"/>
        </w:numPr>
        <w:spacing w:after="0"/>
        <w:rPr>
          <w:noProof/>
          <w:szCs w:val="24"/>
        </w:rPr>
      </w:pPr>
      <w:r w:rsidRPr="001A7256">
        <w:rPr>
          <w:noProof/>
          <w:szCs w:val="24"/>
        </w:rPr>
        <w:t xml:space="preserve">Regulation (EC) No 66/2010 provides that specific EU Ecolabel criteria are to be established </w:t>
      </w:r>
      <w:r w:rsidR="00E45DF2">
        <w:rPr>
          <w:noProof/>
          <w:szCs w:val="24"/>
        </w:rPr>
        <w:t xml:space="preserve">for each </w:t>
      </w:r>
      <w:r w:rsidRPr="001A7256">
        <w:rPr>
          <w:noProof/>
          <w:szCs w:val="24"/>
        </w:rPr>
        <w:t>product group.</w:t>
      </w:r>
    </w:p>
    <w:p w:rsidR="001A7256" w:rsidRPr="001A7256" w:rsidRDefault="006E3B1B" w:rsidP="00061E88">
      <w:pPr>
        <w:pStyle w:val="Considrant"/>
        <w:numPr>
          <w:ilvl w:val="0"/>
          <w:numId w:val="1"/>
        </w:numPr>
        <w:spacing w:after="0"/>
        <w:rPr>
          <w:noProof/>
          <w:szCs w:val="24"/>
        </w:rPr>
      </w:pPr>
      <w:r>
        <w:rPr>
          <w:szCs w:val="24"/>
        </w:rPr>
        <w:t xml:space="preserve">Commission </w:t>
      </w:r>
      <w:r w:rsidR="001A7256" w:rsidRPr="00374E1A">
        <w:rPr>
          <w:szCs w:val="24"/>
        </w:rPr>
        <w:t>Decision</w:t>
      </w:r>
      <w:r w:rsidR="001A7256" w:rsidRPr="001A7256">
        <w:rPr>
          <w:szCs w:val="24"/>
        </w:rPr>
        <w:t xml:space="preserve"> 20</w:t>
      </w:r>
      <w:r w:rsidR="00E45DF2">
        <w:rPr>
          <w:szCs w:val="24"/>
        </w:rPr>
        <w:t>10</w:t>
      </w:r>
      <w:r w:rsidR="001A7256" w:rsidRPr="001A7256">
        <w:rPr>
          <w:szCs w:val="24"/>
        </w:rPr>
        <w:t>/18/EC</w:t>
      </w:r>
      <w:r w:rsidR="00E45DF2">
        <w:rPr>
          <w:rStyle w:val="FootnoteReference"/>
          <w:szCs w:val="24"/>
        </w:rPr>
        <w:footnoteReference w:id="2"/>
      </w:r>
      <w:r w:rsidR="001A7256" w:rsidRPr="001A7256">
        <w:rPr>
          <w:szCs w:val="24"/>
        </w:rPr>
        <w:t xml:space="preserve"> has </w:t>
      </w:r>
      <w:r w:rsidR="001A7256" w:rsidRPr="008C068B">
        <w:rPr>
          <w:rStyle w:val="Strong"/>
          <w:b w:val="0"/>
          <w:szCs w:val="24"/>
          <w:lang w:val="en"/>
        </w:rPr>
        <w:t>established the ecological criteria and the related assessment and verification requirements for wooden floor coverings, which are valid until 31 December 2016</w:t>
      </w:r>
      <w:r w:rsidR="001A7256" w:rsidRPr="001A7256">
        <w:rPr>
          <w:rStyle w:val="Strong"/>
          <w:color w:val="444444"/>
          <w:szCs w:val="24"/>
          <w:lang w:val="en"/>
        </w:rPr>
        <w:t>.</w:t>
      </w:r>
    </w:p>
    <w:p w:rsidR="001A7256" w:rsidRPr="001A7256" w:rsidRDefault="00123920" w:rsidP="00061E88">
      <w:pPr>
        <w:pStyle w:val="Considrant"/>
        <w:numPr>
          <w:ilvl w:val="0"/>
          <w:numId w:val="1"/>
        </w:numPr>
        <w:spacing w:after="0"/>
        <w:rPr>
          <w:noProof/>
          <w:szCs w:val="24"/>
        </w:rPr>
      </w:pPr>
      <w:r>
        <w:rPr>
          <w:noProof/>
          <w:szCs w:val="24"/>
        </w:rPr>
        <w:t xml:space="preserve">For the purpose of </w:t>
      </w:r>
      <w:r w:rsidR="001A7256" w:rsidRPr="001A7256">
        <w:rPr>
          <w:noProof/>
          <w:szCs w:val="24"/>
        </w:rPr>
        <w:t>better reflect</w:t>
      </w:r>
      <w:r>
        <w:rPr>
          <w:noProof/>
          <w:szCs w:val="24"/>
        </w:rPr>
        <w:t>ing</w:t>
      </w:r>
      <w:r w:rsidR="001A7256" w:rsidRPr="001A7256">
        <w:rPr>
          <w:noProof/>
          <w:szCs w:val="24"/>
        </w:rPr>
        <w:t xml:space="preserve"> the range of </w:t>
      </w:r>
      <w:r w:rsidR="001A7256" w:rsidRPr="001A7256">
        <w:rPr>
          <w:szCs w:val="24"/>
        </w:rPr>
        <w:t>wood-, cork- and bamboo-based</w:t>
      </w:r>
      <w:r w:rsidR="001A7256" w:rsidRPr="001A7256">
        <w:rPr>
          <w:noProof/>
          <w:szCs w:val="24"/>
        </w:rPr>
        <w:t xml:space="preserve"> floor coverings on the market</w:t>
      </w:r>
      <w:r w:rsidR="00A368FA">
        <w:rPr>
          <w:noProof/>
          <w:szCs w:val="24"/>
        </w:rPr>
        <w:t xml:space="preserve"> and </w:t>
      </w:r>
      <w:r w:rsidR="001A7256" w:rsidRPr="006E3B1B">
        <w:rPr>
          <w:noProof/>
          <w:szCs w:val="24"/>
        </w:rPr>
        <w:t xml:space="preserve">the state of </w:t>
      </w:r>
      <w:r w:rsidR="0028352C" w:rsidRPr="00E36026">
        <w:rPr>
          <w:noProof/>
          <w:szCs w:val="24"/>
        </w:rPr>
        <w:t xml:space="preserve">the </w:t>
      </w:r>
      <w:r w:rsidR="001A7256" w:rsidRPr="006E3B1B">
        <w:rPr>
          <w:noProof/>
          <w:szCs w:val="24"/>
        </w:rPr>
        <w:t>art</w:t>
      </w:r>
      <w:r w:rsidR="001A7256" w:rsidRPr="001A7256">
        <w:rPr>
          <w:noProof/>
          <w:szCs w:val="24"/>
        </w:rPr>
        <w:t xml:space="preserve"> for these products</w:t>
      </w:r>
      <w:r w:rsidR="00A368FA">
        <w:rPr>
          <w:noProof/>
          <w:szCs w:val="24"/>
        </w:rPr>
        <w:t>,</w:t>
      </w:r>
      <w:r w:rsidR="001A7256" w:rsidRPr="001A7256">
        <w:rPr>
          <w:noProof/>
          <w:szCs w:val="24"/>
        </w:rPr>
        <w:t xml:space="preserve"> and to take into account the innovation of the last few years, it is considered approp</w:t>
      </w:r>
      <w:r w:rsidR="00A368FA">
        <w:rPr>
          <w:noProof/>
          <w:szCs w:val="24"/>
        </w:rPr>
        <w:t>r</w:t>
      </w:r>
      <w:r w:rsidR="001A7256" w:rsidRPr="001A7256">
        <w:rPr>
          <w:noProof/>
          <w:szCs w:val="24"/>
        </w:rPr>
        <w:t xml:space="preserve">iate to modify the name and scope of the product group and to establish a revised set of </w:t>
      </w:r>
      <w:r w:rsidR="006E3B1B">
        <w:rPr>
          <w:noProof/>
          <w:szCs w:val="24"/>
        </w:rPr>
        <w:t>EU Ecolabel</w:t>
      </w:r>
      <w:r w:rsidR="006E3B1B" w:rsidRPr="001A7256">
        <w:rPr>
          <w:noProof/>
          <w:szCs w:val="24"/>
        </w:rPr>
        <w:t xml:space="preserve"> </w:t>
      </w:r>
      <w:r w:rsidR="001A7256" w:rsidRPr="001A7256">
        <w:rPr>
          <w:noProof/>
          <w:szCs w:val="24"/>
        </w:rPr>
        <w:t>criter</w:t>
      </w:r>
      <w:r w:rsidR="00E23CB4">
        <w:rPr>
          <w:noProof/>
          <w:szCs w:val="24"/>
        </w:rPr>
        <w:t>i</w:t>
      </w:r>
      <w:r w:rsidR="001A7256" w:rsidRPr="001A7256">
        <w:rPr>
          <w:noProof/>
          <w:szCs w:val="24"/>
        </w:rPr>
        <w:t xml:space="preserve">a. </w:t>
      </w:r>
    </w:p>
    <w:p w:rsidR="001A7256" w:rsidRDefault="001A7256" w:rsidP="00061E88">
      <w:pPr>
        <w:pStyle w:val="Considrant"/>
        <w:numPr>
          <w:ilvl w:val="0"/>
          <w:numId w:val="1"/>
        </w:numPr>
        <w:spacing w:after="0"/>
        <w:rPr>
          <w:noProof/>
          <w:szCs w:val="24"/>
        </w:rPr>
      </w:pPr>
      <w:r w:rsidRPr="001A7256">
        <w:rPr>
          <w:noProof/>
          <w:szCs w:val="24"/>
        </w:rPr>
        <w:t xml:space="preserve">The revised </w:t>
      </w:r>
      <w:r w:rsidR="00AF2D07">
        <w:rPr>
          <w:noProof/>
          <w:szCs w:val="24"/>
        </w:rPr>
        <w:t>EU Ecolabel</w:t>
      </w:r>
      <w:r w:rsidRPr="001A7256">
        <w:rPr>
          <w:noProof/>
          <w:szCs w:val="24"/>
        </w:rPr>
        <w:t xml:space="preserve"> criteria </w:t>
      </w:r>
      <w:r w:rsidRPr="006E3B1B">
        <w:rPr>
          <w:noProof/>
          <w:szCs w:val="24"/>
        </w:rPr>
        <w:t>aim at using</w:t>
      </w:r>
      <w:r w:rsidRPr="001A7256">
        <w:rPr>
          <w:noProof/>
          <w:szCs w:val="24"/>
        </w:rPr>
        <w:t xml:space="preserve"> materials produced in a more sustainable way </w:t>
      </w:r>
      <w:r w:rsidR="00A368FA">
        <w:rPr>
          <w:noProof/>
          <w:szCs w:val="24"/>
        </w:rPr>
        <w:t xml:space="preserve">based on </w:t>
      </w:r>
      <w:r w:rsidRPr="001A7256">
        <w:rPr>
          <w:noProof/>
          <w:szCs w:val="24"/>
        </w:rPr>
        <w:t>a life cycle analysis approach</w:t>
      </w:r>
      <w:r w:rsidR="00374E1A">
        <w:rPr>
          <w:noProof/>
          <w:szCs w:val="24"/>
        </w:rPr>
        <w:t xml:space="preserve"> </w:t>
      </w:r>
      <w:r w:rsidRPr="001A7256">
        <w:rPr>
          <w:noProof/>
          <w:szCs w:val="24"/>
        </w:rPr>
        <w:t xml:space="preserve">limiting the energy consumed and the use of hazardous compounds, the levels of hazardous residues, the contribution of the floor coverings to indoor air pollution and promoting durable and high-quality products. The revised criteria, along with the related assessment and verification requirements should be valid for six years </w:t>
      </w:r>
      <w:r w:rsidRPr="005E5215">
        <w:rPr>
          <w:noProof/>
          <w:szCs w:val="24"/>
        </w:rPr>
        <w:t>from the dat</w:t>
      </w:r>
      <w:r w:rsidR="00A368FA" w:rsidRPr="005E5215">
        <w:rPr>
          <w:noProof/>
          <w:szCs w:val="24"/>
        </w:rPr>
        <w:t>e</w:t>
      </w:r>
      <w:r w:rsidRPr="005E5215">
        <w:rPr>
          <w:noProof/>
          <w:szCs w:val="24"/>
        </w:rPr>
        <w:t xml:space="preserve"> of </w:t>
      </w:r>
      <w:r w:rsidR="005C46CD" w:rsidRPr="005E5215">
        <w:rPr>
          <w:noProof/>
          <w:szCs w:val="24"/>
        </w:rPr>
        <w:t>notification</w:t>
      </w:r>
      <w:r w:rsidRPr="005E5215">
        <w:rPr>
          <w:noProof/>
          <w:szCs w:val="24"/>
        </w:rPr>
        <w:t xml:space="preserve"> of this Decision,</w:t>
      </w:r>
      <w:r w:rsidRPr="001A7256">
        <w:rPr>
          <w:noProof/>
          <w:szCs w:val="24"/>
        </w:rPr>
        <w:t xml:space="preserve"> taking into account the innovation cycle for this product group. </w:t>
      </w:r>
    </w:p>
    <w:p w:rsidR="00AF2340" w:rsidRPr="001D499C" w:rsidRDefault="00AF2340" w:rsidP="00061E88">
      <w:pPr>
        <w:pStyle w:val="Considrant"/>
        <w:numPr>
          <w:ilvl w:val="0"/>
          <w:numId w:val="1"/>
        </w:numPr>
        <w:spacing w:after="0"/>
        <w:rPr>
          <w:noProof/>
          <w:szCs w:val="24"/>
        </w:rPr>
      </w:pPr>
      <w:r w:rsidRPr="00653BBA">
        <w:rPr>
          <w:noProof/>
          <w:szCs w:val="24"/>
        </w:rPr>
        <w:t>A</w:t>
      </w:r>
      <w:r w:rsidR="00123920" w:rsidRPr="00E36026">
        <w:rPr>
          <w:noProof/>
          <w:szCs w:val="24"/>
        </w:rPr>
        <w:t xml:space="preserve"> code corresponding to the product group is an integral part of the EU Ecolabel registration numbers. In order for the competent bodies to be able to assign an EU Ecolabel registration number to wood-, cork-, and bamboo-based floor coverings</w:t>
      </w:r>
      <w:r w:rsidR="00653BBA" w:rsidRPr="00E36026">
        <w:rPr>
          <w:noProof/>
          <w:szCs w:val="24"/>
        </w:rPr>
        <w:t xml:space="preserve"> complying with the EU Ecolabel</w:t>
      </w:r>
      <w:r w:rsidR="00651663">
        <w:rPr>
          <w:noProof/>
          <w:szCs w:val="24"/>
        </w:rPr>
        <w:t xml:space="preserve"> criteria</w:t>
      </w:r>
      <w:r w:rsidR="00123920" w:rsidRPr="00E36026">
        <w:rPr>
          <w:noProof/>
          <w:szCs w:val="24"/>
        </w:rPr>
        <w:t>, it is necessary to assign a code number to that product group.</w:t>
      </w:r>
      <w:r w:rsidRPr="00653BBA">
        <w:rPr>
          <w:noProof/>
          <w:szCs w:val="24"/>
        </w:rPr>
        <w:t xml:space="preserve"> </w:t>
      </w:r>
    </w:p>
    <w:p w:rsidR="001A7256" w:rsidRPr="001A7256" w:rsidRDefault="001A7256" w:rsidP="00061E88">
      <w:pPr>
        <w:pStyle w:val="Considrant"/>
        <w:numPr>
          <w:ilvl w:val="0"/>
          <w:numId w:val="1"/>
        </w:numPr>
        <w:spacing w:after="0"/>
        <w:rPr>
          <w:noProof/>
          <w:szCs w:val="24"/>
        </w:rPr>
      </w:pPr>
      <w:r w:rsidRPr="00374E1A">
        <w:rPr>
          <w:szCs w:val="24"/>
        </w:rPr>
        <w:lastRenderedPageBreak/>
        <w:t>Decision</w:t>
      </w:r>
      <w:r w:rsidRPr="001A7256">
        <w:rPr>
          <w:szCs w:val="24"/>
        </w:rPr>
        <w:t xml:space="preserve"> 2010/18/EC </w:t>
      </w:r>
      <w:r w:rsidRPr="001A7256">
        <w:rPr>
          <w:noProof/>
          <w:szCs w:val="24"/>
        </w:rPr>
        <w:t>should therefore be re</w:t>
      </w:r>
      <w:r w:rsidR="00E23CB4">
        <w:rPr>
          <w:noProof/>
          <w:szCs w:val="24"/>
        </w:rPr>
        <w:t>pealed</w:t>
      </w:r>
      <w:r w:rsidRPr="001A7256">
        <w:rPr>
          <w:noProof/>
          <w:szCs w:val="24"/>
        </w:rPr>
        <w:t xml:space="preserve">. </w:t>
      </w:r>
    </w:p>
    <w:p w:rsidR="001A7256" w:rsidRPr="005E5215" w:rsidRDefault="001A7256" w:rsidP="00061E88">
      <w:pPr>
        <w:pStyle w:val="Considrant"/>
        <w:numPr>
          <w:ilvl w:val="0"/>
          <w:numId w:val="1"/>
        </w:numPr>
        <w:spacing w:after="0"/>
        <w:rPr>
          <w:noProof/>
          <w:szCs w:val="24"/>
        </w:rPr>
      </w:pPr>
      <w:r w:rsidRPr="005E5215">
        <w:rPr>
          <w:noProof/>
          <w:szCs w:val="24"/>
        </w:rPr>
        <w:t xml:space="preserve">It is appropiate to allow a transitional period for producers whose products have been awarded the EU Ecolabel for wooden floor coverings on the basis of the ecological criteria set out in </w:t>
      </w:r>
      <w:r w:rsidRPr="005E5215">
        <w:rPr>
          <w:szCs w:val="24"/>
        </w:rPr>
        <w:t>Decision 2010/18/EC</w:t>
      </w:r>
      <w:r w:rsidRPr="005E5215">
        <w:rPr>
          <w:noProof/>
          <w:szCs w:val="24"/>
        </w:rPr>
        <w:t xml:space="preserve">, so that they have sufficient time to adapt their product to comply with the revised criteria requirements. Producers should also be allowed to submit applications based on the ecological criteria set out in Decision </w:t>
      </w:r>
      <w:r w:rsidRPr="005E5215">
        <w:rPr>
          <w:szCs w:val="24"/>
        </w:rPr>
        <w:t>2010/18/EC for a sufficient period of time.</w:t>
      </w:r>
    </w:p>
    <w:p w:rsidR="0051362A" w:rsidRDefault="001A7256" w:rsidP="00A228FD">
      <w:pPr>
        <w:pStyle w:val="Considrant"/>
        <w:numPr>
          <w:ilvl w:val="0"/>
          <w:numId w:val="1"/>
        </w:numPr>
        <w:spacing w:after="0"/>
        <w:rPr>
          <w:noProof/>
          <w:szCs w:val="24"/>
        </w:rPr>
      </w:pPr>
      <w:r w:rsidRPr="001A7256">
        <w:rPr>
          <w:noProof/>
          <w:szCs w:val="24"/>
        </w:rPr>
        <w:t>The measures provided for in this Decision are in accordance with the opinion of the Committee established by Article 16 of Regulation (EC) No 66/2010</w:t>
      </w:r>
      <w:r w:rsidR="00E23CB4">
        <w:rPr>
          <w:noProof/>
          <w:szCs w:val="24"/>
        </w:rPr>
        <w:t>,</w:t>
      </w:r>
    </w:p>
    <w:p w:rsidR="0013540F" w:rsidRDefault="0013540F" w:rsidP="00A228FD">
      <w:pPr>
        <w:pStyle w:val="Formuledadoption"/>
        <w:rPr>
          <w:szCs w:val="24"/>
        </w:rPr>
      </w:pPr>
    </w:p>
    <w:p w:rsidR="0013540F" w:rsidRDefault="0013540F" w:rsidP="00A228FD">
      <w:pPr>
        <w:pStyle w:val="Formuledadoption"/>
        <w:rPr>
          <w:szCs w:val="24"/>
        </w:rPr>
      </w:pPr>
    </w:p>
    <w:p w:rsidR="001A7256" w:rsidRPr="001A7256" w:rsidRDefault="001A7256" w:rsidP="00A228FD">
      <w:pPr>
        <w:pStyle w:val="Formuledadoption"/>
        <w:rPr>
          <w:szCs w:val="24"/>
        </w:rPr>
      </w:pPr>
      <w:r w:rsidRPr="001A7256">
        <w:rPr>
          <w:szCs w:val="24"/>
        </w:rPr>
        <w:t xml:space="preserve">HAS ADOPTED THIS DECISION: </w:t>
      </w:r>
    </w:p>
    <w:p w:rsidR="001A7256" w:rsidRPr="001A7256" w:rsidRDefault="001A7256" w:rsidP="0051362A">
      <w:pPr>
        <w:pStyle w:val="Titrearticle"/>
        <w:ind w:firstLine="720"/>
        <w:rPr>
          <w:szCs w:val="24"/>
        </w:rPr>
      </w:pPr>
      <w:r w:rsidRPr="001A7256">
        <w:rPr>
          <w:szCs w:val="24"/>
        </w:rPr>
        <w:t>Article 1</w:t>
      </w:r>
    </w:p>
    <w:p w:rsidR="001A7256" w:rsidRPr="001A7256" w:rsidRDefault="001A7256" w:rsidP="001A7256">
      <w:pPr>
        <w:rPr>
          <w:b/>
          <w:szCs w:val="24"/>
          <w:lang w:eastAsia="en-GB"/>
        </w:rPr>
      </w:pPr>
      <w:bookmarkStart w:id="2" w:name="PGscope1"/>
      <w:r w:rsidRPr="001A7256">
        <w:rPr>
          <w:szCs w:val="24"/>
          <w:lang w:eastAsia="en-GB"/>
        </w:rPr>
        <w:t xml:space="preserve">The product group of </w:t>
      </w:r>
      <w:r w:rsidR="00E946E3">
        <w:rPr>
          <w:szCs w:val="24"/>
          <w:lang w:eastAsia="en-GB"/>
        </w:rPr>
        <w:t>"</w:t>
      </w:r>
      <w:r w:rsidRPr="001A7256">
        <w:rPr>
          <w:szCs w:val="24"/>
        </w:rPr>
        <w:t>wood-, cork- and bamboo-based</w:t>
      </w:r>
      <w:r w:rsidRPr="001A7256">
        <w:rPr>
          <w:szCs w:val="24"/>
          <w:lang w:eastAsia="en-GB"/>
        </w:rPr>
        <w:t xml:space="preserve"> floor coverings</w:t>
      </w:r>
      <w:r w:rsidR="00E946E3">
        <w:rPr>
          <w:szCs w:val="24"/>
          <w:lang w:eastAsia="en-GB"/>
        </w:rPr>
        <w:t>"</w:t>
      </w:r>
      <w:r w:rsidRPr="001A7256">
        <w:rPr>
          <w:szCs w:val="24"/>
          <w:lang w:eastAsia="en-GB"/>
        </w:rPr>
        <w:t xml:space="preserve"> shall comprise indoor floor coverings, including wood floorings, laminate floorings, cork floor coverings and bamboo floorings which are made, for more than </w:t>
      </w:r>
      <w:r w:rsidRPr="006E3B1B">
        <w:rPr>
          <w:szCs w:val="24"/>
          <w:lang w:eastAsia="en-GB"/>
        </w:rPr>
        <w:t xml:space="preserve">80 % </w:t>
      </w:r>
      <w:r w:rsidR="0028352C" w:rsidRPr="00E36026">
        <w:rPr>
          <w:szCs w:val="24"/>
          <w:lang w:eastAsia="en-GB"/>
        </w:rPr>
        <w:t xml:space="preserve"> </w:t>
      </w:r>
      <w:r w:rsidR="007B23A4" w:rsidRPr="006E3B1B">
        <w:rPr>
          <w:szCs w:val="24"/>
          <w:lang w:eastAsia="en-GB"/>
        </w:rPr>
        <w:t>by weight</w:t>
      </w:r>
      <w:r w:rsidRPr="001A7256">
        <w:rPr>
          <w:szCs w:val="24"/>
          <w:lang w:eastAsia="en-GB"/>
        </w:rPr>
        <w:t xml:space="preserve"> </w:t>
      </w:r>
      <w:r w:rsidR="00123920">
        <w:rPr>
          <w:szCs w:val="24"/>
          <w:lang w:eastAsia="en-GB"/>
        </w:rPr>
        <w:t xml:space="preserve">of </w:t>
      </w:r>
      <w:r w:rsidRPr="001A7256">
        <w:rPr>
          <w:szCs w:val="24"/>
          <w:lang w:eastAsia="en-GB"/>
        </w:rPr>
        <w:t>the final product, from wood, wood-based, cork, cork-based, bamboo and bamboo-based materials or fibres</w:t>
      </w:r>
      <w:r w:rsidR="00D16D61">
        <w:rPr>
          <w:szCs w:val="24"/>
          <w:lang w:eastAsia="en-GB"/>
        </w:rPr>
        <w:t>, not containing s</w:t>
      </w:r>
      <w:r w:rsidRPr="001A7256">
        <w:rPr>
          <w:szCs w:val="24"/>
          <w:lang w:eastAsia="en-GB"/>
        </w:rPr>
        <w:t>ynthetic fibres in any of the composing layers.</w:t>
      </w:r>
    </w:p>
    <w:p w:rsidR="001A7256" w:rsidRPr="001A7256" w:rsidRDefault="001A7256" w:rsidP="001A7256">
      <w:pPr>
        <w:rPr>
          <w:szCs w:val="24"/>
          <w:lang w:eastAsia="en-GB"/>
        </w:rPr>
      </w:pPr>
      <w:r w:rsidRPr="001A7256">
        <w:rPr>
          <w:szCs w:val="24"/>
          <w:lang w:eastAsia="en-GB"/>
        </w:rPr>
        <w:t xml:space="preserve">It </w:t>
      </w:r>
      <w:r w:rsidR="003F5803">
        <w:rPr>
          <w:szCs w:val="24"/>
          <w:lang w:eastAsia="en-GB"/>
        </w:rPr>
        <w:t>shall</w:t>
      </w:r>
      <w:r w:rsidR="003F5803" w:rsidRPr="001A7256">
        <w:rPr>
          <w:szCs w:val="24"/>
          <w:lang w:eastAsia="en-GB"/>
        </w:rPr>
        <w:t xml:space="preserve"> </w:t>
      </w:r>
      <w:r w:rsidRPr="001A7256">
        <w:rPr>
          <w:szCs w:val="24"/>
          <w:lang w:eastAsia="en-GB"/>
        </w:rPr>
        <w:t xml:space="preserve">not </w:t>
      </w:r>
      <w:r w:rsidR="003F5803">
        <w:rPr>
          <w:szCs w:val="24"/>
          <w:lang w:eastAsia="en-GB"/>
        </w:rPr>
        <w:t xml:space="preserve">comprise </w:t>
      </w:r>
      <w:r w:rsidRPr="001A7256">
        <w:rPr>
          <w:szCs w:val="24"/>
          <w:lang w:eastAsia="en-GB"/>
        </w:rPr>
        <w:t>wall coverings, coverings for external use</w:t>
      </w:r>
      <w:r w:rsidR="003F5803">
        <w:rPr>
          <w:szCs w:val="24"/>
          <w:lang w:eastAsia="en-GB"/>
        </w:rPr>
        <w:t xml:space="preserve">, coverings </w:t>
      </w:r>
      <w:r w:rsidRPr="001A7256">
        <w:rPr>
          <w:szCs w:val="24"/>
          <w:lang w:eastAsia="en-GB"/>
        </w:rPr>
        <w:t>with a structural function</w:t>
      </w:r>
      <w:r w:rsidR="003F5803">
        <w:rPr>
          <w:szCs w:val="24"/>
          <w:lang w:eastAsia="en-GB"/>
        </w:rPr>
        <w:t xml:space="preserve"> or </w:t>
      </w:r>
      <w:r w:rsidRPr="001A7256">
        <w:rPr>
          <w:szCs w:val="24"/>
          <w:lang w:eastAsia="en-GB"/>
        </w:rPr>
        <w:t>levelling compounds.</w:t>
      </w:r>
    </w:p>
    <w:bookmarkEnd w:id="2"/>
    <w:p w:rsidR="001A7256" w:rsidRPr="001A7256" w:rsidRDefault="001A7256" w:rsidP="001A7256">
      <w:pPr>
        <w:pStyle w:val="Text1"/>
        <w:jc w:val="center"/>
        <w:rPr>
          <w:i/>
          <w:noProof/>
          <w:szCs w:val="24"/>
        </w:rPr>
      </w:pPr>
      <w:r w:rsidRPr="001A7256">
        <w:rPr>
          <w:i/>
          <w:noProof/>
          <w:szCs w:val="24"/>
        </w:rPr>
        <w:t>Article 2</w:t>
      </w:r>
    </w:p>
    <w:p w:rsidR="001A7256" w:rsidRPr="001A7256" w:rsidRDefault="001A7256" w:rsidP="001A7256">
      <w:pPr>
        <w:rPr>
          <w:noProof/>
          <w:szCs w:val="24"/>
        </w:rPr>
      </w:pPr>
      <w:r w:rsidRPr="001A7256">
        <w:rPr>
          <w:noProof/>
          <w:szCs w:val="24"/>
        </w:rPr>
        <w:t xml:space="preserve">For the purpose of this Decision, the following definitions shall apply: </w:t>
      </w:r>
    </w:p>
    <w:p w:rsidR="006549BB" w:rsidRPr="00270019" w:rsidRDefault="001A7256" w:rsidP="00402993">
      <w:pPr>
        <w:pStyle w:val="Point0number"/>
        <w:numPr>
          <w:ilvl w:val="0"/>
          <w:numId w:val="10"/>
        </w:numPr>
        <w:rPr>
          <w:lang w:eastAsia="en-GB"/>
        </w:rPr>
      </w:pPr>
      <w:bookmarkStart w:id="3" w:name="woodfloordef"/>
      <w:r w:rsidRPr="00270019">
        <w:rPr>
          <w:lang w:eastAsia="en-GB"/>
        </w:rPr>
        <w:t>''</w:t>
      </w:r>
      <w:r w:rsidR="0034634C" w:rsidRPr="00270019">
        <w:rPr>
          <w:lang w:eastAsia="en-GB"/>
        </w:rPr>
        <w:t>w</w:t>
      </w:r>
      <w:r w:rsidRPr="00270019">
        <w:rPr>
          <w:lang w:eastAsia="en-GB"/>
        </w:rPr>
        <w:t>ood flooring'' means an assembly of wood elements pre-assembled boards or parquet panels which constitute the wearing surface of the floor</w:t>
      </w:r>
      <w:r w:rsidR="00E946E3">
        <w:rPr>
          <w:lang w:eastAsia="en-GB"/>
        </w:rPr>
        <w:t>;</w:t>
      </w:r>
      <w:bookmarkStart w:id="4" w:name="corkfloordef"/>
      <w:bookmarkEnd w:id="3"/>
    </w:p>
    <w:p w:rsidR="007E4CC5" w:rsidRPr="00E36026" w:rsidRDefault="001A7256" w:rsidP="004A4599">
      <w:pPr>
        <w:pStyle w:val="Point0number"/>
        <w:rPr>
          <w:lang w:eastAsia="en-GB"/>
        </w:rPr>
      </w:pPr>
      <w:r w:rsidRPr="00270019">
        <w:rPr>
          <w:lang w:eastAsia="es-ES"/>
        </w:rPr>
        <w:t>''</w:t>
      </w:r>
      <w:r w:rsidR="0034634C" w:rsidRPr="00270019">
        <w:rPr>
          <w:lang w:eastAsia="es-ES"/>
        </w:rPr>
        <w:t>c</w:t>
      </w:r>
      <w:r w:rsidRPr="00270019">
        <w:rPr>
          <w:lang w:eastAsia="es-ES"/>
        </w:rPr>
        <w:t>ork floor coverings'' means floor coverings made of granulated cork mixed with a</w:t>
      </w:r>
      <w:r w:rsidRPr="001A7256">
        <w:rPr>
          <w:lang w:eastAsia="es-ES"/>
        </w:rPr>
        <w:t xml:space="preserve"> binder, and then cured, or several layers of cork</w:t>
      </w:r>
      <w:r w:rsidR="0034634C">
        <w:rPr>
          <w:lang w:eastAsia="es-ES"/>
        </w:rPr>
        <w:t xml:space="preserve">, </w:t>
      </w:r>
      <w:r w:rsidRPr="001A7256">
        <w:rPr>
          <w:lang w:eastAsia="es-ES"/>
        </w:rPr>
        <w:t>agglomerated</w:t>
      </w:r>
      <w:r w:rsidR="0034634C">
        <w:rPr>
          <w:lang w:eastAsia="es-ES"/>
        </w:rPr>
        <w:t xml:space="preserve"> or </w:t>
      </w:r>
      <w:r w:rsidRPr="001A7256">
        <w:rPr>
          <w:lang w:eastAsia="es-ES"/>
        </w:rPr>
        <w:t>veneer</w:t>
      </w:r>
      <w:r w:rsidR="0034634C">
        <w:rPr>
          <w:lang w:eastAsia="es-ES"/>
        </w:rPr>
        <w:t xml:space="preserve">, </w:t>
      </w:r>
      <w:r w:rsidRPr="00374E1A">
        <w:rPr>
          <w:lang w:eastAsia="es-ES"/>
        </w:rPr>
        <w:t xml:space="preserve">that </w:t>
      </w:r>
      <w:r w:rsidR="00EC7D06" w:rsidRPr="00E36026">
        <w:rPr>
          <w:lang w:eastAsia="es-ES"/>
        </w:rPr>
        <w:t>can</w:t>
      </w:r>
      <w:r w:rsidR="00C10DF6" w:rsidRPr="00E36026">
        <w:rPr>
          <w:lang w:eastAsia="es-ES"/>
        </w:rPr>
        <w:t xml:space="preserve"> be</w:t>
      </w:r>
      <w:r w:rsidRPr="001A7256">
        <w:rPr>
          <w:lang w:eastAsia="es-ES"/>
        </w:rPr>
        <w:t xml:space="preserve"> pressed together with glue and are intended to be used with a </w:t>
      </w:r>
      <w:r w:rsidR="00B62A60" w:rsidRPr="00E36026">
        <w:rPr>
          <w:lang w:eastAsia="es-ES"/>
        </w:rPr>
        <w:t>coating</w:t>
      </w:r>
      <w:r w:rsidR="00375003" w:rsidRPr="00E36026">
        <w:rPr>
          <w:lang w:eastAsia="es-ES"/>
        </w:rPr>
        <w:t>;</w:t>
      </w:r>
    </w:p>
    <w:p w:rsidR="004A4599" w:rsidRPr="00E36026" w:rsidRDefault="007E4CC5" w:rsidP="004A4599">
      <w:pPr>
        <w:pStyle w:val="Point0number"/>
        <w:rPr>
          <w:lang w:eastAsia="en-GB"/>
        </w:rPr>
      </w:pPr>
      <w:r w:rsidRPr="00E36026">
        <w:rPr>
          <w:lang w:eastAsia="es-ES"/>
        </w:rPr>
        <w:t>"coating" means a preparation within the meaning of Article</w:t>
      </w:r>
      <w:r w:rsidR="00653BBA" w:rsidRPr="00E36026">
        <w:rPr>
          <w:lang w:eastAsia="es-ES"/>
        </w:rPr>
        <w:t xml:space="preserve"> </w:t>
      </w:r>
      <w:r w:rsidRPr="00E36026">
        <w:rPr>
          <w:lang w:eastAsia="es-ES"/>
        </w:rPr>
        <w:t>2(8) of  Directive 2004/42/CE of the European Parliament and of the Council</w:t>
      </w:r>
      <w:r w:rsidRPr="00E36026">
        <w:rPr>
          <w:rStyle w:val="FootnoteReference"/>
          <w:lang w:eastAsia="es-ES"/>
        </w:rPr>
        <w:footnoteReference w:id="3"/>
      </w:r>
      <w:r w:rsidRPr="00E36026">
        <w:rPr>
          <w:lang w:eastAsia="es-ES"/>
        </w:rPr>
        <w:t>;</w:t>
      </w:r>
    </w:p>
    <w:p w:rsidR="006549BB" w:rsidRDefault="001A7256" w:rsidP="006549BB">
      <w:pPr>
        <w:pStyle w:val="Point0number"/>
      </w:pPr>
      <w:bookmarkStart w:id="5" w:name="bamboodef"/>
      <w:bookmarkEnd w:id="4"/>
      <w:r w:rsidRPr="006549BB">
        <w:t>''</w:t>
      </w:r>
      <w:r w:rsidR="00375003">
        <w:t>b</w:t>
      </w:r>
      <w:r w:rsidRPr="006549BB">
        <w:t xml:space="preserve">amboo floor coverings'' means floor coverings made of bamboo in solid pieces or in agglomerates mixed with a </w:t>
      </w:r>
      <w:r w:rsidRPr="00952CBD">
        <w:t>binder</w:t>
      </w:r>
      <w:bookmarkEnd w:id="5"/>
      <w:r w:rsidR="00375003" w:rsidRPr="00952CBD">
        <w:t>;</w:t>
      </w:r>
    </w:p>
    <w:p w:rsidR="001850CA" w:rsidRPr="006E763B" w:rsidRDefault="001850CA" w:rsidP="001850CA">
      <w:pPr>
        <w:pStyle w:val="Point0number"/>
      </w:pPr>
      <w:r>
        <w:t xml:space="preserve">''laminate flooring'' means a rigid floor covering with a surface layer consisting of one or more thin sheets of a fibrous material (usually paper), impregnated with aminoplastic thermosetting resins (usually melamine), pressed or bonded on a substrate, normally finished with a </w:t>
      </w:r>
      <w:r w:rsidRPr="006E763B">
        <w:t xml:space="preserve">backer; </w:t>
      </w:r>
    </w:p>
    <w:p w:rsidR="0081043F" w:rsidRPr="006E3B1B" w:rsidRDefault="001A7256" w:rsidP="0030300C">
      <w:pPr>
        <w:pStyle w:val="Point0number"/>
      </w:pPr>
      <w:r w:rsidRPr="006E3B1B">
        <w:t>"</w:t>
      </w:r>
      <w:r w:rsidR="00375003" w:rsidRPr="006E3B1B">
        <w:t>v</w:t>
      </w:r>
      <w:r w:rsidRPr="006E3B1B">
        <w:t xml:space="preserve">olatile organic compound" (VOC) means </w:t>
      </w:r>
      <w:r w:rsidRPr="006E3B1B">
        <w:rPr>
          <w:lang w:eastAsia="es-ES"/>
        </w:rPr>
        <w:t xml:space="preserve">all volatile organic compounds eluting between and including n-hexane and n-hexadecane on a gas </w:t>
      </w:r>
      <w:r w:rsidRPr="006E3B1B">
        <w:t>chromatographic column</w:t>
      </w:r>
      <w:r w:rsidR="006E3B1B" w:rsidRPr="006E3B1B">
        <w:t xml:space="preserve"> and having a </w:t>
      </w:r>
      <w:r w:rsidR="006E3B1B" w:rsidRPr="00E36026">
        <w:t>boiling point in the range of approximately 68 ºC and 287 ºC, where t</w:t>
      </w:r>
      <w:r w:rsidR="0030300C" w:rsidRPr="00E36026">
        <w:t xml:space="preserve">he </w:t>
      </w:r>
      <w:r w:rsidR="0030300C" w:rsidRPr="00E36026">
        <w:lastRenderedPageBreak/>
        <w:t xml:space="preserve">measurement </w:t>
      </w:r>
      <w:r w:rsidR="006E3B1B" w:rsidRPr="00E36026">
        <w:t xml:space="preserve">has been </w:t>
      </w:r>
      <w:r w:rsidR="0030300C" w:rsidRPr="00E36026">
        <w:t>carried out using a capillary column coated with 5 % phenyl/95 % methyl-polysiloxane</w:t>
      </w:r>
      <w:r w:rsidR="006E3B1B" w:rsidRPr="00E36026">
        <w:t xml:space="preserve">; </w:t>
      </w:r>
    </w:p>
    <w:p w:rsidR="006549BB" w:rsidRPr="006549BB" w:rsidRDefault="001A7256" w:rsidP="0030300C">
      <w:pPr>
        <w:pStyle w:val="Point0number"/>
      </w:pPr>
      <w:r w:rsidRPr="006E3B1B">
        <w:t>''</w:t>
      </w:r>
      <w:r w:rsidR="009D07A0" w:rsidRPr="006E3B1B">
        <w:t>s</w:t>
      </w:r>
      <w:r w:rsidRPr="006E3B1B">
        <w:t xml:space="preserve">emi volatile organic compound” (SVOC) means all organic compounds which, in a capillary column </w:t>
      </w:r>
      <w:r w:rsidR="0030300C" w:rsidRPr="006E3B1B">
        <w:rPr>
          <w:szCs w:val="24"/>
        </w:rPr>
        <w:t xml:space="preserve">coated with 5 % phenyl/95 % methyl-polysiloxane </w:t>
      </w:r>
      <w:r w:rsidRPr="006E3B1B">
        <w:t>are eluting with a retention range between n-hexadecane (excluded) and n-docosane (included</w:t>
      </w:r>
      <w:r w:rsidRPr="0030300C">
        <w:t>)</w:t>
      </w:r>
      <w:r w:rsidR="00FB54AA">
        <w:t>;</w:t>
      </w:r>
      <w:r w:rsidRPr="0030300C">
        <w:t xml:space="preserve"> </w:t>
      </w:r>
    </w:p>
    <w:p w:rsidR="006549BB" w:rsidRDefault="001A7256" w:rsidP="006549BB">
      <w:pPr>
        <w:pStyle w:val="Point0number"/>
      </w:pPr>
      <w:r w:rsidRPr="006549BB">
        <w:t>"R value" means the sum of all R</w:t>
      </w:r>
      <w:r w:rsidRPr="006549BB">
        <w:rPr>
          <w:vertAlign w:val="subscript"/>
        </w:rPr>
        <w:t>i</w:t>
      </w:r>
      <w:r w:rsidRPr="006549BB">
        <w:t xml:space="preserve"> values where R</w:t>
      </w:r>
      <w:r w:rsidRPr="006549BB">
        <w:rPr>
          <w:vertAlign w:val="subscript"/>
        </w:rPr>
        <w:t>i</w:t>
      </w:r>
      <w:r w:rsidRPr="006549BB">
        <w:t xml:space="preserve"> value is the ratio C</w:t>
      </w:r>
      <w:r w:rsidRPr="006549BB">
        <w:rPr>
          <w:vertAlign w:val="subscript"/>
        </w:rPr>
        <w:t>i</w:t>
      </w:r>
      <w:r w:rsidRPr="006549BB">
        <w:t xml:space="preserve"> / LCI</w:t>
      </w:r>
      <w:r w:rsidRPr="006549BB">
        <w:rPr>
          <w:vertAlign w:val="subscript"/>
        </w:rPr>
        <w:t>i</w:t>
      </w:r>
      <w:r w:rsidRPr="006549BB">
        <w:t>, where C</w:t>
      </w:r>
      <w:r w:rsidRPr="006549BB">
        <w:rPr>
          <w:vertAlign w:val="subscript"/>
        </w:rPr>
        <w:t>i</w:t>
      </w:r>
      <w:r w:rsidRPr="006549BB">
        <w:t xml:space="preserve"> is the chamber mass concentration of compound i, and LCI</w:t>
      </w:r>
      <w:r w:rsidRPr="006549BB">
        <w:rPr>
          <w:vertAlign w:val="subscript"/>
        </w:rPr>
        <w:t>i</w:t>
      </w:r>
      <w:r w:rsidRPr="006549BB">
        <w:t xml:space="preserve"> is the LCI  (lowest concentration of interest) value of compound i defined under the European Collaborative Action "urban air", indoor environment and human exposure</w:t>
      </w:r>
      <w:r w:rsidRPr="001A7256">
        <w:rPr>
          <w:rStyle w:val="FootnoteReference"/>
        </w:rPr>
        <w:footnoteReference w:id="4"/>
      </w:r>
      <w:r w:rsidR="009D07A0">
        <w:t>;</w:t>
      </w:r>
    </w:p>
    <w:p w:rsidR="009D07A0" w:rsidRPr="009D07A0" w:rsidRDefault="001A7256" w:rsidP="006549BB">
      <w:pPr>
        <w:pStyle w:val="Point0number"/>
      </w:pPr>
      <w:r w:rsidRPr="006549BB">
        <w:rPr>
          <w:szCs w:val="24"/>
        </w:rPr>
        <w:t>''</w:t>
      </w:r>
      <w:r w:rsidR="009D07A0">
        <w:rPr>
          <w:szCs w:val="24"/>
        </w:rPr>
        <w:t>s</w:t>
      </w:r>
      <w:r w:rsidRPr="006549BB">
        <w:rPr>
          <w:szCs w:val="24"/>
        </w:rPr>
        <w:t xml:space="preserve">ubstance'' means a </w:t>
      </w:r>
      <w:r w:rsidR="009D07A0">
        <w:rPr>
          <w:szCs w:val="24"/>
        </w:rPr>
        <w:t>substance within the meaning of Article 3(1) of Regulation (EC) No 1907/2006 of the European Parliament and of the Council</w:t>
      </w:r>
      <w:r w:rsidR="00DE6D56">
        <w:rPr>
          <w:rStyle w:val="FootnoteReference"/>
          <w:szCs w:val="24"/>
        </w:rPr>
        <w:footnoteReference w:id="5"/>
      </w:r>
      <w:r w:rsidR="009D07A0">
        <w:rPr>
          <w:szCs w:val="24"/>
        </w:rPr>
        <w:t>;</w:t>
      </w:r>
    </w:p>
    <w:p w:rsidR="006549BB" w:rsidRPr="006549BB" w:rsidRDefault="001A7256" w:rsidP="006549BB">
      <w:pPr>
        <w:pStyle w:val="Point0number"/>
      </w:pPr>
      <w:r w:rsidRPr="006549BB">
        <w:rPr>
          <w:szCs w:val="24"/>
        </w:rPr>
        <w:t>''</w:t>
      </w:r>
      <w:r w:rsidR="00DE6D56">
        <w:rPr>
          <w:szCs w:val="24"/>
        </w:rPr>
        <w:t>m</w:t>
      </w:r>
      <w:r w:rsidRPr="006549BB">
        <w:rPr>
          <w:szCs w:val="24"/>
        </w:rPr>
        <w:t xml:space="preserve">ixture'' means a mixture </w:t>
      </w:r>
      <w:r w:rsidR="00DE6D56">
        <w:rPr>
          <w:szCs w:val="24"/>
        </w:rPr>
        <w:t xml:space="preserve">within the meaning of </w:t>
      </w:r>
      <w:r w:rsidRPr="006549BB">
        <w:rPr>
          <w:szCs w:val="24"/>
        </w:rPr>
        <w:t>Article 3(2) or Regulation (EC) No 1907/2006</w:t>
      </w:r>
      <w:r w:rsidR="00E946E3">
        <w:rPr>
          <w:szCs w:val="24"/>
        </w:rPr>
        <w:t>;</w:t>
      </w:r>
    </w:p>
    <w:p w:rsidR="001A7256" w:rsidRPr="006549BB" w:rsidRDefault="001A7256" w:rsidP="006549BB">
      <w:pPr>
        <w:pStyle w:val="Point0number"/>
      </w:pPr>
      <w:r w:rsidRPr="006549BB">
        <w:rPr>
          <w:szCs w:val="24"/>
        </w:rPr>
        <w:t>''</w:t>
      </w:r>
      <w:r w:rsidR="00DE6D56">
        <w:rPr>
          <w:szCs w:val="24"/>
        </w:rPr>
        <w:t>b</w:t>
      </w:r>
      <w:r w:rsidRPr="006549BB">
        <w:rPr>
          <w:szCs w:val="24"/>
        </w:rPr>
        <w:t>iocidal product'' means</w:t>
      </w:r>
      <w:r w:rsidR="00DE6D56">
        <w:rPr>
          <w:szCs w:val="24"/>
        </w:rPr>
        <w:t xml:space="preserve"> a biocidal product within the meaning of </w:t>
      </w:r>
      <w:r w:rsidRPr="006549BB">
        <w:rPr>
          <w:szCs w:val="24"/>
        </w:rPr>
        <w:t>Article 3(1)(a) of Regulation (EU) No 528/2012</w:t>
      </w:r>
      <w:r w:rsidRPr="001A7256">
        <w:rPr>
          <w:rStyle w:val="FootnoteReference"/>
          <w:szCs w:val="24"/>
        </w:rPr>
        <w:footnoteReference w:id="6"/>
      </w:r>
      <w:r w:rsidR="007D1525">
        <w:rPr>
          <w:szCs w:val="24"/>
        </w:rPr>
        <w:t>;</w:t>
      </w:r>
    </w:p>
    <w:p w:rsidR="006549BB" w:rsidRDefault="001A7256" w:rsidP="006549BB">
      <w:pPr>
        <w:pStyle w:val="Point0number"/>
      </w:pPr>
      <w:r w:rsidRPr="001A7256">
        <w:t>''</w:t>
      </w:r>
      <w:r w:rsidR="007D1525">
        <w:t>p</w:t>
      </w:r>
      <w:r w:rsidRPr="001A7256">
        <w:t xml:space="preserve">reservative'' means </w:t>
      </w:r>
      <w:r w:rsidR="007D1525">
        <w:t xml:space="preserve">any product falling under product-type 8 (Wood preservatives) as specified in </w:t>
      </w:r>
      <w:r w:rsidRPr="001A7256">
        <w:t xml:space="preserve">Annex V </w:t>
      </w:r>
      <w:r w:rsidR="007D1525">
        <w:t xml:space="preserve">to </w:t>
      </w:r>
      <w:r w:rsidRPr="001A7256">
        <w:t xml:space="preserve">Regulation (EU) No 528/2012 </w:t>
      </w:r>
      <w:r w:rsidR="007D1525">
        <w:t xml:space="preserve">including products </w:t>
      </w:r>
      <w:r w:rsidRPr="001A7256">
        <w:t>used for the preservation of cork or bamboo</w:t>
      </w:r>
      <w:r w:rsidR="007D1525">
        <w:t>;</w:t>
      </w:r>
    </w:p>
    <w:p w:rsidR="006549BB" w:rsidRPr="006549BB" w:rsidRDefault="001A7256" w:rsidP="001A7256">
      <w:pPr>
        <w:pStyle w:val="Point0number"/>
      </w:pPr>
      <w:r w:rsidRPr="006549BB">
        <w:rPr>
          <w:szCs w:val="24"/>
        </w:rPr>
        <w:t>''</w:t>
      </w:r>
      <w:r w:rsidR="007D1525">
        <w:rPr>
          <w:szCs w:val="24"/>
        </w:rPr>
        <w:t>a</w:t>
      </w:r>
      <w:r w:rsidRPr="006549BB">
        <w:rPr>
          <w:szCs w:val="24"/>
        </w:rPr>
        <w:t>ctive substance'' means</w:t>
      </w:r>
      <w:r w:rsidR="007D1525">
        <w:rPr>
          <w:szCs w:val="24"/>
        </w:rPr>
        <w:t xml:space="preserve"> an active substance within the meaning of </w:t>
      </w:r>
      <w:r w:rsidRPr="006549BB">
        <w:rPr>
          <w:szCs w:val="24"/>
        </w:rPr>
        <w:t>Article 3(1)(c) of Regulation (EU) No 528/2012</w:t>
      </w:r>
      <w:r w:rsidR="007D1525">
        <w:rPr>
          <w:szCs w:val="24"/>
        </w:rPr>
        <w:t>;</w:t>
      </w:r>
      <w:r w:rsidRPr="006549BB">
        <w:rPr>
          <w:szCs w:val="24"/>
        </w:rPr>
        <w:t xml:space="preserve"> </w:t>
      </w:r>
    </w:p>
    <w:p w:rsidR="006549BB" w:rsidRDefault="001A7256" w:rsidP="006549BB">
      <w:pPr>
        <w:pStyle w:val="Point0number"/>
      </w:pPr>
      <w:r w:rsidRPr="006549BB">
        <w:t>''</w:t>
      </w:r>
      <w:r w:rsidR="00BF0FEF">
        <w:t>r</w:t>
      </w:r>
      <w:r w:rsidRPr="006549BB">
        <w:t>ecycled material" means material that has been reprocessed from recovered</w:t>
      </w:r>
      <w:r w:rsidR="00BF0FEF">
        <w:t xml:space="preserve"> or </w:t>
      </w:r>
      <w:r w:rsidRPr="006549BB">
        <w:t xml:space="preserve">reclaimed material by means of a manufacturing process and made into a final product or into a component for incorporation into a product, </w:t>
      </w:r>
      <w:r w:rsidRPr="004D34A2">
        <w:t>exclud</w:t>
      </w:r>
      <w:r w:rsidR="00BF0FEF" w:rsidRPr="004D34A2">
        <w:t>ing</w:t>
      </w:r>
      <w:r w:rsidRPr="004D34A2">
        <w:t xml:space="preserve"> waste wood, chips and fibres from logging and saw-milling operations, as defined in ISO 14021</w:t>
      </w:r>
      <w:r w:rsidRPr="00EE500C">
        <w:t>.</w:t>
      </w:r>
    </w:p>
    <w:p w:rsidR="006E3B1B" w:rsidRPr="00E36026" w:rsidRDefault="001A7256" w:rsidP="006549BB">
      <w:pPr>
        <w:pStyle w:val="Point0number"/>
      </w:pPr>
      <w:r w:rsidRPr="006549BB">
        <w:rPr>
          <w:szCs w:val="24"/>
        </w:rPr>
        <w:t>''</w:t>
      </w:r>
      <w:r w:rsidR="00BF0FEF">
        <w:rPr>
          <w:szCs w:val="24"/>
        </w:rPr>
        <w:t>w</w:t>
      </w:r>
      <w:r w:rsidRPr="006549BB">
        <w:rPr>
          <w:szCs w:val="24"/>
        </w:rPr>
        <w:t>ood-based material'' means material fabricated from wood fibres</w:t>
      </w:r>
      <w:r w:rsidR="002F2513">
        <w:rPr>
          <w:szCs w:val="24"/>
        </w:rPr>
        <w:t xml:space="preserve">, wood </w:t>
      </w:r>
      <w:r w:rsidR="002F2513" w:rsidRPr="00E36026">
        <w:rPr>
          <w:szCs w:val="24"/>
        </w:rPr>
        <w:t>chips</w:t>
      </w:r>
      <w:r w:rsidRPr="00E36026">
        <w:rPr>
          <w:szCs w:val="24"/>
        </w:rPr>
        <w:t xml:space="preserve"> </w:t>
      </w:r>
      <w:r w:rsidR="008B52B6" w:rsidRPr="00E36026">
        <w:rPr>
          <w:szCs w:val="24"/>
        </w:rPr>
        <w:t xml:space="preserve">or wood </w:t>
      </w:r>
      <w:r w:rsidRPr="00E36026">
        <w:rPr>
          <w:szCs w:val="24"/>
        </w:rPr>
        <w:t>by one of several different processes that may involve the use of elevated temperatures, pressures and binding resins or adhesives. Wood-based materials comprise: hardboard, fibreboard, medium and high density fibreboard, particleboard, oriented strand board</w:t>
      </w:r>
      <w:r w:rsidR="00482B29">
        <w:rPr>
          <w:szCs w:val="24"/>
        </w:rPr>
        <w:t xml:space="preserve"> (OSB</w:t>
      </w:r>
      <w:r w:rsidRPr="00E36026">
        <w:rPr>
          <w:szCs w:val="24"/>
        </w:rPr>
        <w:t xml:space="preserve">), plywood, and panels in solid wood. It can be coated by a finishing during the manufacturing production of the floor covering. </w:t>
      </w:r>
    </w:p>
    <w:p w:rsidR="007E4CC5" w:rsidRPr="00E36026" w:rsidRDefault="007E4CC5" w:rsidP="007E4CC5">
      <w:pPr>
        <w:pStyle w:val="Point0number"/>
      </w:pPr>
      <w:r w:rsidRPr="00E36026">
        <w:rPr>
          <w:szCs w:val="24"/>
        </w:rPr>
        <w:t>"cork-based material" means material fabricated from cork fibres, cork chips or cork  by one of several different processes that may involve the use of elevated temperatures, pressures and binding resins or adhesives;</w:t>
      </w:r>
    </w:p>
    <w:p w:rsidR="007E4CC5" w:rsidRPr="00E36026" w:rsidRDefault="007E4CC5" w:rsidP="007E4CC5">
      <w:pPr>
        <w:pStyle w:val="Point0number"/>
      </w:pPr>
      <w:r w:rsidRPr="00E36026">
        <w:rPr>
          <w:szCs w:val="24"/>
        </w:rPr>
        <w:t>"bamboo-based materials" means material fabricated from bamboo fibres, bamboo chips or bamboo by one of several different processes that may involve the use of elevated temperatures, pressures and binding resins or adhesives;</w:t>
      </w:r>
    </w:p>
    <w:p w:rsidR="006549BB" w:rsidRPr="006549BB" w:rsidRDefault="001A7256" w:rsidP="001A7256">
      <w:pPr>
        <w:pStyle w:val="Point0number"/>
      </w:pPr>
      <w:r w:rsidRPr="006549BB">
        <w:rPr>
          <w:szCs w:val="24"/>
        </w:rPr>
        <w:lastRenderedPageBreak/>
        <w:t>"</w:t>
      </w:r>
      <w:r w:rsidR="00BA667C">
        <w:rPr>
          <w:szCs w:val="24"/>
        </w:rPr>
        <w:t>s</w:t>
      </w:r>
      <w:r w:rsidRPr="006549BB">
        <w:rPr>
          <w:szCs w:val="24"/>
        </w:rPr>
        <w:t>ynthetic fibres" means all polymer fibres</w:t>
      </w:r>
      <w:r w:rsidR="00BA667C">
        <w:rPr>
          <w:szCs w:val="24"/>
        </w:rPr>
        <w:t xml:space="preserve">; </w:t>
      </w:r>
    </w:p>
    <w:p w:rsidR="006549BB" w:rsidRDefault="001A7256" w:rsidP="001A7256">
      <w:pPr>
        <w:pStyle w:val="Point0number"/>
      </w:pPr>
      <w:r w:rsidRPr="006549BB">
        <w:t>"</w:t>
      </w:r>
      <w:r w:rsidR="0063253C">
        <w:t>r</w:t>
      </w:r>
      <w:r w:rsidRPr="006549BB">
        <w:t xml:space="preserve">enewable energy" </w:t>
      </w:r>
      <w:r w:rsidR="0063253C" w:rsidRPr="006549BB">
        <w:t xml:space="preserve">means energy from renewable sources </w:t>
      </w:r>
      <w:r w:rsidRPr="006549BB">
        <w:t>(</w:t>
      </w:r>
      <w:r w:rsidR="0063253C">
        <w:t>RES) within the meaning of Article 2(a) of Directive 2009/28/EC of the European Parliament and of the Council</w:t>
      </w:r>
      <w:r w:rsidRPr="00BC4F87">
        <w:rPr>
          <w:rStyle w:val="FootnoteReference"/>
          <w:szCs w:val="24"/>
        </w:rPr>
        <w:footnoteReference w:id="7"/>
      </w:r>
      <w:r w:rsidR="0063253C">
        <w:rPr>
          <w:szCs w:val="24"/>
        </w:rPr>
        <w:t>;</w:t>
      </w:r>
    </w:p>
    <w:p w:rsidR="006549BB" w:rsidRDefault="001A7256" w:rsidP="001A7256">
      <w:pPr>
        <w:pStyle w:val="Point0number"/>
      </w:pPr>
      <w:r w:rsidRPr="006549BB">
        <w:t>"</w:t>
      </w:r>
      <w:r w:rsidR="0063253C">
        <w:t>g</w:t>
      </w:r>
      <w:r w:rsidRPr="006549BB">
        <w:t>uarantee of origin'' means a</w:t>
      </w:r>
      <w:r w:rsidR="0063253C">
        <w:t xml:space="preserve"> guarantee of origin within the meaning of Article 2(j) of Directive 2009/28/EC</w:t>
      </w:r>
      <w:r w:rsidR="008B52B6">
        <w:t>.</w:t>
      </w:r>
    </w:p>
    <w:p w:rsidR="001A7256" w:rsidRPr="001A7256" w:rsidRDefault="001A7256" w:rsidP="006549BB">
      <w:pPr>
        <w:pStyle w:val="Titrearticle"/>
        <w:rPr>
          <w:noProof/>
        </w:rPr>
      </w:pPr>
      <w:r w:rsidRPr="001A7256">
        <w:rPr>
          <w:noProof/>
        </w:rPr>
        <w:t>Article 3</w:t>
      </w:r>
    </w:p>
    <w:p w:rsidR="001A7256" w:rsidRPr="001A7256" w:rsidRDefault="001A7256" w:rsidP="006549BB">
      <w:pPr>
        <w:rPr>
          <w:noProof/>
        </w:rPr>
      </w:pPr>
      <w:r w:rsidRPr="001A7256">
        <w:rPr>
          <w:noProof/>
        </w:rPr>
        <w:t>In order to be awarded the EU Ecolabel under Regulation (EC) No 66/2010, a product shall</w:t>
      </w:r>
      <w:r w:rsidR="0051362A">
        <w:rPr>
          <w:noProof/>
        </w:rPr>
        <w:t xml:space="preserve"> fall within the product group </w:t>
      </w:r>
      <w:r w:rsidR="009C67B4">
        <w:rPr>
          <w:noProof/>
        </w:rPr>
        <w:t>"</w:t>
      </w:r>
      <w:r w:rsidRPr="001A7256">
        <w:t>wood-, cork- and bamboo-based</w:t>
      </w:r>
      <w:r w:rsidRPr="001A7256">
        <w:rPr>
          <w:lang w:eastAsia="en-GB"/>
        </w:rPr>
        <w:t xml:space="preserve"> floor coverings</w:t>
      </w:r>
      <w:r w:rsidR="009C67B4">
        <w:rPr>
          <w:lang w:eastAsia="en-GB"/>
        </w:rPr>
        <w:t>"</w:t>
      </w:r>
      <w:r w:rsidRPr="001A7256">
        <w:rPr>
          <w:noProof/>
        </w:rPr>
        <w:t xml:space="preserve"> as defined in Article 1 of this Decision and shall comply with the </w:t>
      </w:r>
      <w:r w:rsidR="006E3B1B">
        <w:rPr>
          <w:noProof/>
        </w:rPr>
        <w:t xml:space="preserve">EU Ecolabel </w:t>
      </w:r>
      <w:r w:rsidRPr="001A7256">
        <w:rPr>
          <w:noProof/>
        </w:rPr>
        <w:t>criteria as well as the related assessment and verification requirements set out in the Annex to this Decision.</w:t>
      </w:r>
    </w:p>
    <w:p w:rsidR="001A7256" w:rsidRPr="001A7256" w:rsidRDefault="001A7256" w:rsidP="001A7256">
      <w:pPr>
        <w:pStyle w:val="Titrearticle"/>
        <w:rPr>
          <w:noProof/>
          <w:szCs w:val="24"/>
        </w:rPr>
      </w:pPr>
      <w:r w:rsidRPr="001A7256">
        <w:rPr>
          <w:noProof/>
          <w:szCs w:val="24"/>
        </w:rPr>
        <w:t>Article 4</w:t>
      </w:r>
    </w:p>
    <w:p w:rsidR="001A7256" w:rsidRPr="001A7256" w:rsidRDefault="001A7256" w:rsidP="006549BB">
      <w:pPr>
        <w:rPr>
          <w:noProof/>
        </w:rPr>
      </w:pPr>
      <w:r w:rsidRPr="001A7256">
        <w:rPr>
          <w:noProof/>
        </w:rPr>
        <w:t xml:space="preserve">The </w:t>
      </w:r>
      <w:r w:rsidR="009C1340">
        <w:rPr>
          <w:noProof/>
        </w:rPr>
        <w:t xml:space="preserve">EU Ecolabel </w:t>
      </w:r>
      <w:r w:rsidRPr="001A7256">
        <w:rPr>
          <w:noProof/>
        </w:rPr>
        <w:t xml:space="preserve">criteria for the product group </w:t>
      </w:r>
      <w:r w:rsidR="00482B29">
        <w:rPr>
          <w:noProof/>
        </w:rPr>
        <w:t>"</w:t>
      </w:r>
      <w:r w:rsidRPr="001A7256">
        <w:t>wood-, cork- and bamboo-based</w:t>
      </w:r>
      <w:r w:rsidRPr="001A7256">
        <w:rPr>
          <w:lang w:eastAsia="en-GB"/>
        </w:rPr>
        <w:t xml:space="preserve"> floor coverings</w:t>
      </w:r>
      <w:r w:rsidR="00482B29">
        <w:rPr>
          <w:lang w:eastAsia="en-GB"/>
        </w:rPr>
        <w:t>"</w:t>
      </w:r>
      <w:r w:rsidRPr="001A7256">
        <w:rPr>
          <w:noProof/>
        </w:rPr>
        <w:t xml:space="preserve"> and the related assesment and verification requirements shall be valid for six years </w:t>
      </w:r>
      <w:r w:rsidRPr="006E3B1B">
        <w:rPr>
          <w:noProof/>
        </w:rPr>
        <w:t>f</w:t>
      </w:r>
      <w:r w:rsidR="00ED43DD" w:rsidRPr="006E3B1B">
        <w:rPr>
          <w:noProof/>
        </w:rPr>
        <w:t>rom</w:t>
      </w:r>
      <w:r w:rsidRPr="006E3B1B">
        <w:rPr>
          <w:noProof/>
        </w:rPr>
        <w:t xml:space="preserve"> the date of </w:t>
      </w:r>
      <w:r w:rsidR="005C46CD">
        <w:rPr>
          <w:noProof/>
        </w:rPr>
        <w:t xml:space="preserve">notification </w:t>
      </w:r>
      <w:r w:rsidRPr="005E5215">
        <w:rPr>
          <w:noProof/>
        </w:rPr>
        <w:t>of this Decision.</w:t>
      </w:r>
    </w:p>
    <w:p w:rsidR="001A7256" w:rsidRPr="001A7256" w:rsidRDefault="001A7256" w:rsidP="001A7256">
      <w:pPr>
        <w:pStyle w:val="Titrearticle"/>
        <w:spacing w:before="240"/>
        <w:rPr>
          <w:noProof/>
          <w:szCs w:val="24"/>
        </w:rPr>
      </w:pPr>
      <w:r w:rsidRPr="001A7256">
        <w:rPr>
          <w:noProof/>
          <w:szCs w:val="24"/>
        </w:rPr>
        <w:t>Article 5</w:t>
      </w:r>
    </w:p>
    <w:p w:rsidR="001A7256" w:rsidRPr="001A7256" w:rsidRDefault="001A7256" w:rsidP="006549BB">
      <w:pPr>
        <w:rPr>
          <w:noProof/>
        </w:rPr>
      </w:pPr>
      <w:r w:rsidRPr="001A7256">
        <w:rPr>
          <w:noProof/>
        </w:rPr>
        <w:t xml:space="preserve">For administrative purposes, the code number assigned to the product group </w:t>
      </w:r>
      <w:r w:rsidR="00482B29">
        <w:rPr>
          <w:noProof/>
        </w:rPr>
        <w:t>"</w:t>
      </w:r>
      <w:r w:rsidRPr="001A7256">
        <w:t>wood-, cork- and bamboo- based</w:t>
      </w:r>
      <w:r w:rsidRPr="001A7256">
        <w:rPr>
          <w:lang w:eastAsia="en-GB"/>
        </w:rPr>
        <w:t xml:space="preserve"> floor coverings</w:t>
      </w:r>
      <w:r w:rsidR="00482B29">
        <w:rPr>
          <w:lang w:eastAsia="en-GB"/>
        </w:rPr>
        <w:t>"</w:t>
      </w:r>
      <w:r w:rsidRPr="001A7256">
        <w:rPr>
          <w:noProof/>
        </w:rPr>
        <w:t xml:space="preserve"> shall be "</w:t>
      </w:r>
      <w:r w:rsidRPr="006549BB">
        <w:rPr>
          <w:noProof/>
        </w:rPr>
        <w:t>x</w:t>
      </w:r>
      <w:r w:rsidRPr="001A7256">
        <w:rPr>
          <w:noProof/>
        </w:rPr>
        <w:t>".</w:t>
      </w:r>
    </w:p>
    <w:p w:rsidR="001A7256" w:rsidRPr="001A7256" w:rsidRDefault="001A7256" w:rsidP="001A7256">
      <w:pPr>
        <w:pStyle w:val="Titrearticle"/>
        <w:rPr>
          <w:noProof/>
          <w:szCs w:val="24"/>
        </w:rPr>
      </w:pPr>
      <w:r w:rsidRPr="001A7256">
        <w:rPr>
          <w:noProof/>
          <w:szCs w:val="24"/>
        </w:rPr>
        <w:t xml:space="preserve">Article </w:t>
      </w:r>
      <w:r w:rsidR="00A13BEB">
        <w:rPr>
          <w:noProof/>
          <w:szCs w:val="24"/>
        </w:rPr>
        <w:t>6</w:t>
      </w:r>
    </w:p>
    <w:p w:rsidR="00A13BEB" w:rsidRDefault="001A7256" w:rsidP="00E36026">
      <w:pPr>
        <w:spacing w:before="0"/>
        <w:rPr>
          <w:rFonts w:eastAsia="Times New Roman"/>
          <w:i/>
          <w:lang w:eastAsia="en-GB"/>
        </w:rPr>
      </w:pPr>
      <w:r w:rsidRPr="001A7256">
        <w:rPr>
          <w:noProof/>
          <w:szCs w:val="24"/>
        </w:rPr>
        <w:t xml:space="preserve">Decision 2010/18/EC </w:t>
      </w:r>
      <w:r w:rsidR="00A13BEB">
        <w:rPr>
          <w:noProof/>
          <w:szCs w:val="24"/>
        </w:rPr>
        <w:t xml:space="preserve">is </w:t>
      </w:r>
      <w:r w:rsidRPr="001A7256">
        <w:rPr>
          <w:noProof/>
          <w:szCs w:val="24"/>
        </w:rPr>
        <w:t>repealed.</w:t>
      </w:r>
      <w:r w:rsidR="00A13BEB" w:rsidRPr="00A13BEB">
        <w:rPr>
          <w:rFonts w:eastAsia="Times New Roman"/>
          <w:i/>
          <w:lang w:eastAsia="en-GB"/>
        </w:rPr>
        <w:t xml:space="preserve"> </w:t>
      </w:r>
    </w:p>
    <w:p w:rsidR="00A13BEB" w:rsidRPr="005E5215" w:rsidRDefault="00A13BEB" w:rsidP="00A13BEB">
      <w:pPr>
        <w:spacing w:before="0"/>
        <w:jc w:val="center"/>
        <w:rPr>
          <w:rFonts w:eastAsia="Times New Roman"/>
          <w:i/>
          <w:lang w:eastAsia="en-GB"/>
        </w:rPr>
      </w:pPr>
      <w:r w:rsidRPr="005E5215">
        <w:rPr>
          <w:rFonts w:eastAsia="Times New Roman"/>
          <w:i/>
          <w:lang w:eastAsia="en-GB"/>
        </w:rPr>
        <w:t>Article 7</w:t>
      </w:r>
    </w:p>
    <w:p w:rsidR="00A13BEB" w:rsidRPr="005E5215" w:rsidRDefault="005C46CD" w:rsidP="00A13BEB">
      <w:pPr>
        <w:spacing w:before="0"/>
        <w:rPr>
          <w:rFonts w:eastAsia="Times New Roman"/>
          <w:lang w:eastAsia="en-GB"/>
        </w:rPr>
      </w:pPr>
      <w:r w:rsidRPr="005E5215">
        <w:rPr>
          <w:rFonts w:eastAsia="Times New Roman"/>
          <w:lang w:eastAsia="en-GB"/>
        </w:rPr>
        <w:t>By derogation from Article 6, a</w:t>
      </w:r>
      <w:r w:rsidR="00A13BEB" w:rsidRPr="005E5215">
        <w:rPr>
          <w:rFonts w:eastAsia="Times New Roman"/>
          <w:lang w:eastAsia="en-GB"/>
        </w:rPr>
        <w:t xml:space="preserve">pplications for the EU Ecolabel for products falling within the product group "wooden </w:t>
      </w:r>
      <w:r w:rsidR="00274C5D" w:rsidRPr="005E5215">
        <w:rPr>
          <w:rFonts w:eastAsia="Times New Roman"/>
          <w:lang w:eastAsia="en-GB"/>
        </w:rPr>
        <w:t>floor coverings</w:t>
      </w:r>
      <w:r w:rsidR="00A13BEB" w:rsidRPr="005E5215">
        <w:rPr>
          <w:rFonts w:eastAsia="Times New Roman"/>
          <w:lang w:eastAsia="en-GB"/>
        </w:rPr>
        <w:t xml:space="preserve">" submitted within two months from the date of </w:t>
      </w:r>
      <w:r w:rsidRPr="005E5215">
        <w:rPr>
          <w:rFonts w:eastAsia="Times New Roman"/>
          <w:lang w:eastAsia="en-GB"/>
        </w:rPr>
        <w:t>notification</w:t>
      </w:r>
      <w:r w:rsidR="00A13BEB" w:rsidRPr="005E5215">
        <w:rPr>
          <w:rFonts w:eastAsia="Times New Roman"/>
          <w:lang w:eastAsia="en-GB"/>
        </w:rPr>
        <w:t xml:space="preserve"> of this Decision may be </w:t>
      </w:r>
      <w:r w:rsidRPr="005E5215">
        <w:rPr>
          <w:rFonts w:eastAsia="Times New Roman"/>
          <w:lang w:eastAsia="en-GB"/>
        </w:rPr>
        <w:t xml:space="preserve">submitted in accordance with </w:t>
      </w:r>
      <w:r w:rsidR="00A13BEB" w:rsidRPr="005E5215">
        <w:rPr>
          <w:rFonts w:eastAsia="Times New Roman"/>
          <w:lang w:eastAsia="en-GB"/>
        </w:rPr>
        <w:t>the criteria set out in Decision 20</w:t>
      </w:r>
      <w:r w:rsidR="00274C5D" w:rsidRPr="005E5215">
        <w:rPr>
          <w:rFonts w:eastAsia="Times New Roman"/>
          <w:lang w:eastAsia="en-GB"/>
        </w:rPr>
        <w:t>10</w:t>
      </w:r>
      <w:r w:rsidR="00A13BEB" w:rsidRPr="005E5215">
        <w:rPr>
          <w:rFonts w:eastAsia="Times New Roman"/>
          <w:lang w:eastAsia="en-GB"/>
        </w:rPr>
        <w:t>/</w:t>
      </w:r>
      <w:r w:rsidR="00274C5D" w:rsidRPr="005E5215">
        <w:rPr>
          <w:rFonts w:eastAsia="Times New Roman"/>
          <w:lang w:eastAsia="en-GB"/>
        </w:rPr>
        <w:t>1</w:t>
      </w:r>
      <w:r w:rsidR="00A13BEB" w:rsidRPr="005E5215">
        <w:rPr>
          <w:rFonts w:eastAsia="Times New Roman"/>
          <w:lang w:eastAsia="en-GB"/>
        </w:rPr>
        <w:t>8/EC or on the criteria set out in this Decision.</w:t>
      </w:r>
    </w:p>
    <w:p w:rsidR="00A13BEB" w:rsidRPr="00B042BD" w:rsidRDefault="00A13BEB" w:rsidP="00A13BEB">
      <w:pPr>
        <w:spacing w:before="0"/>
        <w:rPr>
          <w:rFonts w:eastAsia="Times New Roman"/>
          <w:lang w:eastAsia="en-GB"/>
        </w:rPr>
      </w:pPr>
      <w:r w:rsidRPr="005E5215">
        <w:rPr>
          <w:rFonts w:eastAsia="Times New Roman"/>
          <w:lang w:eastAsia="en-GB"/>
        </w:rPr>
        <w:t>EU Ecolabel licences awarded in accordance with the criteria set out in Decision 20</w:t>
      </w:r>
      <w:r w:rsidR="00274C5D" w:rsidRPr="005E5215">
        <w:rPr>
          <w:rFonts w:eastAsia="Times New Roman"/>
          <w:lang w:eastAsia="en-GB"/>
        </w:rPr>
        <w:t>10</w:t>
      </w:r>
      <w:r w:rsidRPr="005E5215">
        <w:rPr>
          <w:rFonts w:eastAsia="Times New Roman"/>
          <w:lang w:eastAsia="en-GB"/>
        </w:rPr>
        <w:t>/</w:t>
      </w:r>
      <w:r w:rsidR="00274C5D" w:rsidRPr="005E5215">
        <w:rPr>
          <w:rFonts w:eastAsia="Times New Roman"/>
          <w:lang w:eastAsia="en-GB"/>
        </w:rPr>
        <w:t>1</w:t>
      </w:r>
      <w:r w:rsidRPr="005E5215">
        <w:rPr>
          <w:rFonts w:eastAsia="Times New Roman"/>
          <w:lang w:eastAsia="en-GB"/>
        </w:rPr>
        <w:t xml:space="preserve">8/EC may be used for 12 months from the date of </w:t>
      </w:r>
      <w:r w:rsidR="005C46CD" w:rsidRPr="005E5215">
        <w:rPr>
          <w:rFonts w:eastAsia="Times New Roman"/>
          <w:lang w:eastAsia="en-GB"/>
        </w:rPr>
        <w:t>notification</w:t>
      </w:r>
      <w:r w:rsidRPr="005E5215">
        <w:rPr>
          <w:rFonts w:eastAsia="Times New Roman"/>
          <w:lang w:eastAsia="en-GB"/>
        </w:rPr>
        <w:t xml:space="preserve"> of this Decision.</w:t>
      </w:r>
    </w:p>
    <w:p w:rsidR="001A7256" w:rsidRPr="00003076" w:rsidRDefault="001A7256" w:rsidP="001A7256">
      <w:pPr>
        <w:pStyle w:val="Titrearticle"/>
        <w:rPr>
          <w:noProof/>
          <w:sz w:val="22"/>
        </w:rPr>
      </w:pPr>
      <w:r w:rsidRPr="00003076">
        <w:rPr>
          <w:noProof/>
          <w:sz w:val="22"/>
        </w:rPr>
        <w:t xml:space="preserve">Article </w:t>
      </w:r>
      <w:r w:rsidR="00274C5D">
        <w:rPr>
          <w:noProof/>
          <w:sz w:val="22"/>
        </w:rPr>
        <w:t>8</w:t>
      </w:r>
    </w:p>
    <w:p w:rsidR="001A7256" w:rsidRPr="00003076" w:rsidRDefault="001A7256" w:rsidP="001A7256">
      <w:pPr>
        <w:keepNext/>
        <w:keepLines/>
        <w:rPr>
          <w:noProof/>
        </w:rPr>
      </w:pPr>
      <w:r w:rsidRPr="00003076">
        <w:rPr>
          <w:noProof/>
        </w:rPr>
        <w:t>This Decision is addressed to the Member States.</w:t>
      </w:r>
    </w:p>
    <w:p w:rsidR="001A7256" w:rsidRPr="001A7256" w:rsidRDefault="00D956F5" w:rsidP="00D956F5">
      <w:pPr>
        <w:pStyle w:val="Fait"/>
      </w:pPr>
      <w:r w:rsidRPr="00D956F5">
        <w:t>Done at Brussels,</w:t>
      </w:r>
    </w:p>
    <w:p w:rsidR="001A7256" w:rsidRPr="001A7256" w:rsidRDefault="001A7256" w:rsidP="001A7256">
      <w:pPr>
        <w:pStyle w:val="Institutionquisigne"/>
        <w:rPr>
          <w:szCs w:val="24"/>
        </w:rPr>
      </w:pPr>
      <w:r w:rsidRPr="001A7256">
        <w:rPr>
          <w:szCs w:val="24"/>
        </w:rPr>
        <w:tab/>
        <w:t>For the Commission</w:t>
      </w:r>
    </w:p>
    <w:p w:rsidR="00FB65A1" w:rsidRDefault="00FB65A1" w:rsidP="001A7256">
      <w:pPr>
        <w:pStyle w:val="Personnequisigne"/>
        <w:rPr>
          <w:noProof/>
        </w:rPr>
      </w:pPr>
      <w:r>
        <w:rPr>
          <w:szCs w:val="24"/>
        </w:rPr>
        <w:tab/>
      </w:r>
      <w:r w:rsidRPr="00805D9A">
        <w:rPr>
          <w:noProof/>
        </w:rPr>
        <w:t>Karmenu VELLA</w:t>
      </w:r>
    </w:p>
    <w:p w:rsidR="001A7256" w:rsidRDefault="001A7256" w:rsidP="001A7256">
      <w:pPr>
        <w:pStyle w:val="Personnequisigne"/>
        <w:rPr>
          <w:szCs w:val="24"/>
        </w:rPr>
      </w:pPr>
      <w:r w:rsidRPr="001A7256">
        <w:rPr>
          <w:szCs w:val="24"/>
        </w:rPr>
        <w:tab/>
        <w:t>Member of the Commission</w:t>
      </w:r>
      <w:r w:rsidRPr="001A7256">
        <w:rPr>
          <w:szCs w:val="24"/>
        </w:rPr>
        <w:br/>
      </w:r>
    </w:p>
    <w:p w:rsidR="006B00A6" w:rsidRDefault="006B00A6" w:rsidP="006B00A6">
      <w:pPr>
        <w:jc w:val="center"/>
        <w:rPr>
          <w:rFonts w:eastAsia="Times New Roman"/>
          <w:b/>
          <w:noProof/>
          <w:szCs w:val="24"/>
          <w:u w:val="single"/>
          <w:lang w:val="es-ES"/>
        </w:rPr>
      </w:pPr>
    </w:p>
    <w:p w:rsidR="006B00A6" w:rsidRDefault="006B00A6" w:rsidP="006B00A6">
      <w:pPr>
        <w:jc w:val="center"/>
        <w:rPr>
          <w:rFonts w:eastAsia="Times New Roman"/>
          <w:b/>
          <w:noProof/>
          <w:szCs w:val="24"/>
          <w:u w:val="single"/>
        </w:rPr>
      </w:pPr>
      <w:r>
        <w:rPr>
          <w:rFonts w:eastAsia="Times New Roman"/>
          <w:b/>
          <w:noProof/>
          <w:szCs w:val="24"/>
          <w:u w:val="single"/>
        </w:rPr>
        <w:t xml:space="preserve">ANNEX </w:t>
      </w:r>
    </w:p>
    <w:p w:rsidR="006B00A6" w:rsidRDefault="006B00A6" w:rsidP="006B00A6">
      <w:pPr>
        <w:jc w:val="center"/>
        <w:rPr>
          <w:rFonts w:eastAsia="Times New Roman"/>
          <w:noProof/>
          <w:szCs w:val="24"/>
        </w:rPr>
      </w:pPr>
    </w:p>
    <w:p w:rsidR="006B00A6" w:rsidRDefault="006B00A6" w:rsidP="006B00A6">
      <w:pPr>
        <w:jc w:val="center"/>
        <w:rPr>
          <w:rFonts w:eastAsia="Times New Roman"/>
          <w:noProof/>
          <w:szCs w:val="24"/>
        </w:rPr>
      </w:pPr>
      <w:r>
        <w:rPr>
          <w:rFonts w:eastAsia="Times New Roman"/>
          <w:noProof/>
          <w:szCs w:val="24"/>
        </w:rPr>
        <w:t>FRAMEWORK</w:t>
      </w:r>
    </w:p>
    <w:p w:rsidR="006B00A6" w:rsidRDefault="006B00A6" w:rsidP="006B00A6">
      <w:pPr>
        <w:jc w:val="center"/>
        <w:rPr>
          <w:rFonts w:eastAsia="Times New Roman"/>
          <w:noProof/>
          <w:szCs w:val="24"/>
        </w:rPr>
      </w:pPr>
    </w:p>
    <w:p w:rsidR="006B00A6" w:rsidRDefault="006B00A6" w:rsidP="006B00A6">
      <w:pPr>
        <w:jc w:val="center"/>
        <w:rPr>
          <w:rFonts w:eastAsia="Times New Roman"/>
          <w:noProof/>
          <w:szCs w:val="24"/>
        </w:rPr>
      </w:pPr>
      <w:r>
        <w:rPr>
          <w:rFonts w:eastAsia="Times New Roman"/>
          <w:noProof/>
          <w:szCs w:val="24"/>
        </w:rPr>
        <w:t>EU ECOLABEL CRITERIA</w:t>
      </w:r>
    </w:p>
    <w:p w:rsidR="006B00A6" w:rsidRDefault="006B00A6" w:rsidP="006B00A6">
      <w:pPr>
        <w:jc w:val="center"/>
        <w:rPr>
          <w:rFonts w:eastAsia="Times New Roman"/>
          <w:noProof/>
          <w:szCs w:val="24"/>
        </w:rPr>
      </w:pPr>
    </w:p>
    <w:p w:rsidR="006B00A6" w:rsidRDefault="006B00A6" w:rsidP="006B00A6">
      <w:pPr>
        <w:jc w:val="center"/>
        <w:rPr>
          <w:rFonts w:eastAsia="Times New Roman"/>
          <w:noProof/>
          <w:szCs w:val="24"/>
        </w:rPr>
      </w:pPr>
      <w:r>
        <w:rPr>
          <w:rFonts w:eastAsia="Times New Roman"/>
          <w:noProof/>
          <w:szCs w:val="24"/>
        </w:rPr>
        <w:t xml:space="preserve">Criteria for awarding the EU Ecolabel to </w:t>
      </w:r>
      <w:r>
        <w:rPr>
          <w:rFonts w:eastAsia="Times New Roman"/>
          <w:szCs w:val="24"/>
        </w:rPr>
        <w:t>wood-, cork- and bamboo- based</w:t>
      </w:r>
      <w:r>
        <w:rPr>
          <w:rFonts w:eastAsia="Times New Roman"/>
          <w:noProof/>
          <w:szCs w:val="24"/>
        </w:rPr>
        <w:t xml:space="preserve"> floor covering products</w:t>
      </w:r>
    </w:p>
    <w:p w:rsidR="006B00A6" w:rsidRDefault="006B00A6" w:rsidP="006B00A6">
      <w:pPr>
        <w:jc w:val="center"/>
        <w:rPr>
          <w:rFonts w:eastAsia="Times New Roman"/>
          <w:noProof/>
          <w:sz w:val="22"/>
        </w:rPr>
      </w:pPr>
    </w:p>
    <w:p w:rsidR="006B00A6" w:rsidRDefault="006B00A6" w:rsidP="006B00A6">
      <w:pPr>
        <w:jc w:val="center"/>
        <w:rPr>
          <w:rFonts w:eastAsia="Times New Roman"/>
          <w:noProof/>
        </w:rPr>
      </w:pPr>
    </w:p>
    <w:p w:rsidR="006B00A6" w:rsidRDefault="006B00A6" w:rsidP="006B00A6">
      <w:pPr>
        <w:rPr>
          <w:rFonts w:eastAsia="Times New Roman"/>
          <w:noProof/>
          <w:szCs w:val="24"/>
        </w:rPr>
      </w:pPr>
      <w:r>
        <w:rPr>
          <w:rFonts w:eastAsia="Times New Roman"/>
          <w:noProof/>
          <w:szCs w:val="24"/>
        </w:rPr>
        <w:t xml:space="preserve">Criterion 1. </w:t>
      </w:r>
      <w:r>
        <w:rPr>
          <w:rFonts w:eastAsia="Times New Roman"/>
          <w:szCs w:val="24"/>
        </w:rPr>
        <w:t>Product description</w:t>
      </w:r>
    </w:p>
    <w:p w:rsidR="006B00A6" w:rsidRDefault="006B00A6" w:rsidP="006B00A6">
      <w:pPr>
        <w:rPr>
          <w:rFonts w:eastAsia="Times New Roman"/>
          <w:noProof/>
          <w:szCs w:val="24"/>
        </w:rPr>
      </w:pPr>
      <w:r>
        <w:rPr>
          <w:rFonts w:eastAsia="Times New Roman"/>
          <w:noProof/>
          <w:szCs w:val="24"/>
        </w:rPr>
        <w:t>Criterion 2. Wood-, cork- and bamboo-based materials</w:t>
      </w:r>
    </w:p>
    <w:p w:rsidR="006B00A6" w:rsidRDefault="006B00A6" w:rsidP="006B00A6">
      <w:pPr>
        <w:rPr>
          <w:rFonts w:eastAsia="Times New Roman"/>
          <w:noProof/>
          <w:szCs w:val="24"/>
        </w:rPr>
      </w:pPr>
      <w:r>
        <w:rPr>
          <w:rFonts w:eastAsia="Times New Roman"/>
          <w:noProof/>
          <w:szCs w:val="24"/>
        </w:rPr>
        <w:t>Criterion 3. General requirements for hazardous substances and mixtures</w:t>
      </w:r>
    </w:p>
    <w:p w:rsidR="006B00A6" w:rsidRDefault="006B00A6" w:rsidP="006B00A6">
      <w:pPr>
        <w:rPr>
          <w:rFonts w:eastAsia="Times New Roman"/>
          <w:noProof/>
          <w:szCs w:val="24"/>
        </w:rPr>
      </w:pPr>
      <w:r>
        <w:rPr>
          <w:rFonts w:eastAsia="Times New Roman"/>
          <w:noProof/>
          <w:szCs w:val="24"/>
        </w:rPr>
        <w:t>Criterion 4. Specific substance requirements</w:t>
      </w:r>
    </w:p>
    <w:p w:rsidR="006B00A6" w:rsidRDefault="006B00A6" w:rsidP="006B00A6">
      <w:pPr>
        <w:rPr>
          <w:rFonts w:eastAsia="Times New Roman"/>
          <w:noProof/>
          <w:szCs w:val="24"/>
        </w:rPr>
      </w:pPr>
      <w:r>
        <w:rPr>
          <w:rFonts w:eastAsia="Times New Roman"/>
          <w:noProof/>
          <w:szCs w:val="24"/>
        </w:rPr>
        <w:t>Criterion 5. Energy consumption in the production process</w:t>
      </w:r>
    </w:p>
    <w:p w:rsidR="006B00A6" w:rsidRDefault="006B00A6" w:rsidP="006B00A6">
      <w:pPr>
        <w:rPr>
          <w:rFonts w:eastAsia="Times New Roman"/>
          <w:noProof/>
          <w:szCs w:val="24"/>
        </w:rPr>
      </w:pPr>
      <w:r>
        <w:rPr>
          <w:rFonts w:eastAsia="Times New Roman"/>
          <w:noProof/>
          <w:szCs w:val="24"/>
        </w:rPr>
        <w:t xml:space="preserve">Criterion 6. Emissions of VOC from the floor coverings </w:t>
      </w:r>
    </w:p>
    <w:p w:rsidR="006B00A6" w:rsidRDefault="006B00A6" w:rsidP="006B00A6">
      <w:pPr>
        <w:rPr>
          <w:rFonts w:eastAsia="Times New Roman"/>
          <w:noProof/>
          <w:szCs w:val="24"/>
        </w:rPr>
      </w:pPr>
      <w:r>
        <w:rPr>
          <w:rFonts w:eastAsia="Times New Roman"/>
          <w:noProof/>
          <w:szCs w:val="24"/>
        </w:rPr>
        <w:t xml:space="preserve">Criterion 7. Emissions of formaldehyde from the floor coverings and the core board </w:t>
      </w:r>
    </w:p>
    <w:p w:rsidR="006B00A6" w:rsidRDefault="006B00A6" w:rsidP="006B00A6">
      <w:pPr>
        <w:rPr>
          <w:rFonts w:eastAsia="Times New Roman"/>
          <w:noProof/>
          <w:szCs w:val="24"/>
        </w:rPr>
      </w:pPr>
      <w:r>
        <w:rPr>
          <w:rFonts w:eastAsia="Times New Roman"/>
          <w:noProof/>
          <w:szCs w:val="24"/>
        </w:rPr>
        <w:t>Criterion 8. Fitness for use</w:t>
      </w:r>
    </w:p>
    <w:p w:rsidR="006B00A6" w:rsidRDefault="006B00A6" w:rsidP="006B00A6">
      <w:pPr>
        <w:rPr>
          <w:rFonts w:eastAsia="Times New Roman"/>
          <w:noProof/>
          <w:szCs w:val="24"/>
        </w:rPr>
      </w:pPr>
      <w:r>
        <w:rPr>
          <w:rFonts w:eastAsia="Times New Roman"/>
          <w:noProof/>
          <w:szCs w:val="24"/>
        </w:rPr>
        <w:t>Criterion 9. Reparability and extended guarantee</w:t>
      </w:r>
    </w:p>
    <w:p w:rsidR="006B00A6" w:rsidRDefault="006B00A6" w:rsidP="006B00A6">
      <w:pPr>
        <w:rPr>
          <w:rFonts w:eastAsia="Times New Roman"/>
          <w:noProof/>
          <w:szCs w:val="24"/>
        </w:rPr>
      </w:pPr>
      <w:r>
        <w:rPr>
          <w:rFonts w:eastAsia="Times New Roman"/>
          <w:noProof/>
          <w:szCs w:val="24"/>
        </w:rPr>
        <w:t>Criterion 10. Consumer information</w:t>
      </w:r>
    </w:p>
    <w:p w:rsidR="006B00A6" w:rsidRDefault="006B00A6" w:rsidP="006B00A6">
      <w:pPr>
        <w:rPr>
          <w:rFonts w:eastAsia="Times New Roman"/>
          <w:noProof/>
          <w:szCs w:val="24"/>
        </w:rPr>
      </w:pPr>
      <w:r>
        <w:rPr>
          <w:rFonts w:eastAsia="Times New Roman"/>
          <w:noProof/>
          <w:szCs w:val="24"/>
        </w:rPr>
        <w:t xml:space="preserve">Criterion 11. Information appearing on the EU Ecolabel </w:t>
      </w:r>
    </w:p>
    <w:p w:rsidR="006B00A6" w:rsidRDefault="006B00A6" w:rsidP="006B00A6">
      <w:pPr>
        <w:rPr>
          <w:rFonts w:eastAsia="Times New Roman"/>
          <w:noProof/>
          <w:szCs w:val="24"/>
        </w:rPr>
      </w:pPr>
    </w:p>
    <w:p w:rsidR="006B00A6" w:rsidRDefault="006B00A6" w:rsidP="006B00A6">
      <w:pPr>
        <w:spacing w:after="0"/>
        <w:rPr>
          <w:rFonts w:eastAsia="Times New Roman"/>
          <w:noProof/>
          <w:szCs w:val="24"/>
        </w:rPr>
      </w:pPr>
      <w:r>
        <w:rPr>
          <w:rFonts w:eastAsia="Times New Roman"/>
          <w:noProof/>
          <w:szCs w:val="24"/>
        </w:rPr>
        <w:t>Appendix I. Guidance on the calculation of the quantity of VOC applied</w:t>
      </w:r>
    </w:p>
    <w:p w:rsidR="006B00A6" w:rsidRDefault="006B00A6" w:rsidP="006B00A6">
      <w:pPr>
        <w:rPr>
          <w:rFonts w:eastAsia="Times New Roman"/>
          <w:strike/>
          <w:noProof/>
          <w:szCs w:val="24"/>
        </w:rPr>
      </w:pPr>
      <w:r>
        <w:rPr>
          <w:rFonts w:eastAsia="Times New Roman"/>
          <w:noProof/>
          <w:szCs w:val="24"/>
        </w:rPr>
        <w:t>Appendix II. Guidance for calculating the energy consumption in the production process</w:t>
      </w:r>
      <w:r>
        <w:rPr>
          <w:rFonts w:eastAsia="Times New Roman"/>
          <w:strike/>
          <w:noProof/>
          <w:szCs w:val="24"/>
        </w:rPr>
        <w:t xml:space="preserve"> </w:t>
      </w:r>
    </w:p>
    <w:p w:rsidR="006B00A6" w:rsidRDefault="006B00A6" w:rsidP="006B00A6">
      <w:pPr>
        <w:rPr>
          <w:rFonts w:eastAsia="Times New Roman"/>
          <w:strike/>
          <w:noProof/>
          <w:szCs w:val="24"/>
        </w:rPr>
      </w:pPr>
      <w:r>
        <w:rPr>
          <w:rFonts w:eastAsia="Times New Roman"/>
          <w:noProof/>
          <w:szCs w:val="24"/>
        </w:rPr>
        <w:t>Appendix III. List of standards</w:t>
      </w: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p>
    <w:p w:rsidR="006B00A6" w:rsidRDefault="006B00A6" w:rsidP="006B00A6">
      <w:pPr>
        <w:rPr>
          <w:rFonts w:eastAsia="Times New Roman"/>
          <w:noProof/>
          <w:szCs w:val="24"/>
        </w:rPr>
      </w:pPr>
      <w:r>
        <w:rPr>
          <w:rFonts w:eastAsia="Times New Roman"/>
          <w:noProof/>
          <w:szCs w:val="24"/>
        </w:rPr>
        <w:t xml:space="preserve">ASSESSMENT AND VERIFICATION </w:t>
      </w:r>
    </w:p>
    <w:p w:rsidR="006B00A6" w:rsidRDefault="006B00A6" w:rsidP="006B00A6">
      <w:pPr>
        <w:rPr>
          <w:rFonts w:eastAsia="Times New Roman"/>
          <w:sz w:val="22"/>
          <w:szCs w:val="24"/>
        </w:rPr>
      </w:pPr>
    </w:p>
    <w:p w:rsidR="006B00A6" w:rsidRDefault="006B00A6" w:rsidP="006B00A6">
      <w:pPr>
        <w:rPr>
          <w:rFonts w:eastAsia="Times New Roman"/>
          <w:szCs w:val="24"/>
        </w:rPr>
      </w:pPr>
      <w:bookmarkStart w:id="6" w:name="assessment"/>
      <w:r>
        <w:rPr>
          <w:rFonts w:eastAsia="Times New Roman"/>
          <w:szCs w:val="24"/>
        </w:rPr>
        <w:t>The specific assessment and verification requirements are indicated within each criterion.</w:t>
      </w:r>
    </w:p>
    <w:p w:rsidR="006B00A6" w:rsidRDefault="006B00A6" w:rsidP="006B00A6">
      <w:pPr>
        <w:rPr>
          <w:rFonts w:eastAsia="Times New Roman"/>
          <w:szCs w:val="24"/>
        </w:rPr>
      </w:pPr>
      <w:r>
        <w:rPr>
          <w:rFonts w:eastAsia="Times New Roman"/>
          <w:szCs w:val="24"/>
        </w:rPr>
        <w:t>Where the applicant is required to provide declarations, documentation, analyses, test reports, or other evidence to show compliance with the criteria, these may originate from the applicant or its supplier(s), etc., as appropriate.</w:t>
      </w:r>
    </w:p>
    <w:p w:rsidR="006B00A6" w:rsidRDefault="006B00A6" w:rsidP="006B00A6">
      <w:pPr>
        <w:rPr>
          <w:rFonts w:eastAsia="Times New Roman"/>
          <w:szCs w:val="24"/>
        </w:rPr>
      </w:pPr>
      <w:r>
        <w:rPr>
          <w:rFonts w:eastAsia="Times New Roman"/>
          <w:szCs w:val="24"/>
        </w:rPr>
        <w:t>Competent bodies shall preferentially recognise attestations which are issued by bodies accredited according to the relevant harmonised standard for testing and calibration laboratories and verifications by bodies that are accredited according to the relevant harmonised standard for bodies certifying products, processes and services. Accreditation shall be carried out according to the provisions of the Regulation (EC) No 765/2008 of the European Parliament and of the Council</w:t>
      </w:r>
      <w:r>
        <w:rPr>
          <w:rFonts w:eastAsia="Times New Roman"/>
          <w:sz w:val="18"/>
          <w:szCs w:val="24"/>
          <w:vertAlign w:val="superscript"/>
        </w:rPr>
        <w:footnoteReference w:id="8"/>
      </w:r>
      <w:r>
        <w:rPr>
          <w:rFonts w:eastAsia="Times New Roman"/>
          <w:szCs w:val="24"/>
        </w:rPr>
        <w:t>.</w:t>
      </w:r>
    </w:p>
    <w:p w:rsidR="006B00A6" w:rsidRDefault="006B00A6" w:rsidP="006B00A6">
      <w:pPr>
        <w:rPr>
          <w:rFonts w:eastAsia="Times New Roman"/>
          <w:szCs w:val="24"/>
        </w:rPr>
      </w:pPr>
      <w:r>
        <w:rPr>
          <w:rFonts w:eastAsia="Times New Roman"/>
          <w:szCs w:val="24"/>
        </w:rPr>
        <w:t>Where appropriate, test methods other than those indicated for each criterion may be used if the competent body assessing the application accepts their equivalence.</w:t>
      </w:r>
    </w:p>
    <w:p w:rsidR="006B00A6" w:rsidRDefault="006B00A6" w:rsidP="006B00A6">
      <w:pPr>
        <w:rPr>
          <w:rFonts w:eastAsia="Times New Roman"/>
          <w:szCs w:val="24"/>
        </w:rPr>
      </w:pPr>
      <w:r>
        <w:rPr>
          <w:rFonts w:eastAsia="Times New Roman"/>
          <w:szCs w:val="24"/>
        </w:rPr>
        <w:t>Where appropriate, competent bodies may require supporting documentation and may carry out independent verifications or site visits.</w:t>
      </w:r>
    </w:p>
    <w:p w:rsidR="006B00A6" w:rsidRDefault="006B00A6" w:rsidP="006B00A6">
      <w:pPr>
        <w:rPr>
          <w:rFonts w:eastAsia="Times New Roman"/>
          <w:szCs w:val="24"/>
        </w:rPr>
      </w:pPr>
      <w:r>
        <w:rPr>
          <w:rFonts w:eastAsia="Times New Roman"/>
          <w:szCs w:val="24"/>
        </w:rPr>
        <w:t>As pre-requisite, the product shall meet all applicable legal requirements of the country or countries in which the product is intended to be placed on the market. The applicant shall declare the product's compliance with this requirement.</w:t>
      </w:r>
    </w:p>
    <w:p w:rsidR="006B00A6" w:rsidRDefault="006B00A6" w:rsidP="006B00A6">
      <w:pPr>
        <w:spacing w:after="0"/>
        <w:rPr>
          <w:rFonts w:eastAsia="Times New Roman"/>
          <w:szCs w:val="24"/>
        </w:rPr>
      </w:pPr>
      <w:r>
        <w:rPr>
          <w:rFonts w:eastAsia="Times New Roman"/>
          <w:szCs w:val="24"/>
        </w:rPr>
        <w:t>If a supplier prefers not to disclose the substances constituting a mixture to the applicant, that information can be sent directly to the competent body by the supplier</w:t>
      </w:r>
      <w:bookmarkEnd w:id="6"/>
      <w:r>
        <w:rPr>
          <w:rFonts w:eastAsia="Times New Roman"/>
          <w:szCs w:val="24"/>
        </w:rPr>
        <w:t>.</w:t>
      </w:r>
    </w:p>
    <w:p w:rsidR="006B00A6" w:rsidRDefault="006B00A6" w:rsidP="006B00A6">
      <w:pPr>
        <w:spacing w:after="0"/>
        <w:rPr>
          <w:rFonts w:eastAsia="Times New Roman"/>
          <w:szCs w:val="24"/>
        </w:rPr>
      </w:pPr>
    </w:p>
    <w:p w:rsidR="006B00A6" w:rsidRDefault="006B00A6" w:rsidP="006B00A6">
      <w:pPr>
        <w:spacing w:after="0"/>
        <w:rPr>
          <w:rFonts w:eastAsia="Times New Roman"/>
          <w:b/>
          <w:bCs/>
          <w:sz w:val="26"/>
          <w:szCs w:val="26"/>
          <w:lang w:eastAsia="en-GB"/>
        </w:rPr>
      </w:pPr>
      <w:r>
        <w:rPr>
          <w:rFonts w:eastAsia="Times New Roman"/>
          <w:b/>
          <w:noProof/>
          <w:sz w:val="26"/>
          <w:szCs w:val="26"/>
        </w:rPr>
        <w:t>Criterion</w:t>
      </w:r>
      <w:r>
        <w:rPr>
          <w:rFonts w:eastAsia="Times New Roman"/>
          <w:b/>
          <w:bCs/>
          <w:noProof/>
          <w:sz w:val="26"/>
          <w:szCs w:val="26"/>
        </w:rPr>
        <w:t xml:space="preserve"> 1. Product description</w:t>
      </w:r>
    </w:p>
    <w:p w:rsidR="006B00A6" w:rsidRDefault="006B00A6" w:rsidP="006B00A6">
      <w:pPr>
        <w:spacing w:after="0"/>
        <w:rPr>
          <w:rFonts w:eastAsia="Times New Roman"/>
          <w:sz w:val="22"/>
          <w:lang w:eastAsia="en-GB"/>
        </w:rPr>
      </w:pPr>
      <w:r>
        <w:rPr>
          <w:rFonts w:eastAsia="Times New Roman"/>
          <w:lang w:eastAsia="en-GB"/>
        </w:rPr>
        <w:t xml:space="preserve">A technical description of the floor covering including drawings that illustrate the parts or materials that form the final floor covering product, its dimensions and a description of the manufacturing process shall be provided to the competent body. That description shall be accompanied by the bill of materials for the product that shall state the total weight of the product and how this is split between the different materials used. </w:t>
      </w:r>
    </w:p>
    <w:p w:rsidR="006B00A6" w:rsidRDefault="006B00A6" w:rsidP="006B00A6">
      <w:pPr>
        <w:spacing w:after="0"/>
        <w:rPr>
          <w:rFonts w:eastAsia="Times New Roman"/>
          <w:lang w:eastAsia="en-GB"/>
        </w:rPr>
      </w:pPr>
      <w:r>
        <w:rPr>
          <w:rFonts w:eastAsia="Times New Roman"/>
          <w:lang w:eastAsia="en-GB"/>
        </w:rPr>
        <w:t>Compliance with the scope of the product group as defined in Article 1 shall be demonstrated.</w:t>
      </w:r>
    </w:p>
    <w:p w:rsidR="006B00A6" w:rsidRDefault="006B00A6" w:rsidP="006B00A6">
      <w:pPr>
        <w:autoSpaceDE w:val="0"/>
        <w:autoSpaceDN w:val="0"/>
        <w:adjustRightInd w:val="0"/>
        <w:spacing w:after="0"/>
        <w:rPr>
          <w:rFonts w:eastAsia="Times New Roman"/>
          <w:b/>
          <w:i/>
          <w:lang w:eastAsia="en-GB"/>
        </w:rPr>
      </w:pPr>
      <w:r>
        <w:rPr>
          <w:rFonts w:eastAsia="Times New Roman"/>
          <w:b/>
          <w:i/>
          <w:lang w:eastAsia="en-GB"/>
        </w:rPr>
        <w:t>Assessment and verification</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The applicant shall provide to the competent body a declaration of compliance, supported by the following information about the floor covering:</w:t>
      </w:r>
    </w:p>
    <w:p w:rsidR="006B00A6" w:rsidRDefault="006B00A6" w:rsidP="00AC318D">
      <w:pPr>
        <w:numPr>
          <w:ilvl w:val="0"/>
          <w:numId w:val="25"/>
        </w:numPr>
        <w:autoSpaceDE w:val="0"/>
        <w:autoSpaceDN w:val="0"/>
        <w:adjustRightInd w:val="0"/>
        <w:spacing w:before="0" w:after="0"/>
        <w:rPr>
          <w:rFonts w:eastAsia="Times New Roman"/>
          <w:lang w:eastAsia="en-GB"/>
        </w:rPr>
      </w:pPr>
      <w:r>
        <w:rPr>
          <w:rFonts w:eastAsia="Times New Roman"/>
          <w:lang w:eastAsia="en-GB"/>
        </w:rPr>
        <w:t>brand/trade name</w:t>
      </w:r>
      <w:r>
        <w:rPr>
          <w:rFonts w:eastAsia="Times New Roman" w:cs="Trebuchet MS"/>
          <w:szCs w:val="24"/>
          <w:vertAlign w:val="superscript"/>
          <w:lang w:eastAsia="en-GB"/>
        </w:rPr>
        <w:footnoteReference w:id="9"/>
      </w:r>
      <w:r>
        <w:rPr>
          <w:rFonts w:eastAsia="Times New Roman"/>
          <w:lang w:eastAsia="en-GB"/>
        </w:rPr>
        <w:t>;</w:t>
      </w:r>
    </w:p>
    <w:p w:rsidR="006B00A6" w:rsidRDefault="006B00A6" w:rsidP="00AC318D">
      <w:pPr>
        <w:numPr>
          <w:ilvl w:val="0"/>
          <w:numId w:val="25"/>
        </w:numPr>
        <w:autoSpaceDE w:val="0"/>
        <w:autoSpaceDN w:val="0"/>
        <w:adjustRightInd w:val="0"/>
        <w:spacing w:before="0" w:after="0"/>
        <w:rPr>
          <w:rFonts w:eastAsia="Times New Roman"/>
          <w:lang w:eastAsia="en-GB"/>
        </w:rPr>
      </w:pPr>
      <w:r>
        <w:rPr>
          <w:rFonts w:eastAsia="Times New Roman"/>
          <w:lang w:eastAsia="en-GB"/>
        </w:rPr>
        <w:t>a description of the product including technical drawings that illustrate the parts or materials used in the final product;</w:t>
      </w:r>
    </w:p>
    <w:p w:rsidR="006B00A6" w:rsidRDefault="006B00A6" w:rsidP="00AC318D">
      <w:pPr>
        <w:numPr>
          <w:ilvl w:val="0"/>
          <w:numId w:val="25"/>
        </w:numPr>
        <w:autoSpaceDE w:val="0"/>
        <w:autoSpaceDN w:val="0"/>
        <w:adjustRightInd w:val="0"/>
        <w:spacing w:before="0" w:after="0"/>
        <w:rPr>
          <w:rFonts w:eastAsia="Times New Roman"/>
          <w:lang w:eastAsia="en-GB"/>
        </w:rPr>
      </w:pPr>
      <w:r>
        <w:rPr>
          <w:rFonts w:eastAsia="Times New Roman"/>
          <w:lang w:eastAsia="en-GB"/>
        </w:rPr>
        <w:t>the bill of materials: percentage composition of the raw materials, substances or mixtures in the final product in mass including any additive and surface treatment, when relevant;</w:t>
      </w:r>
    </w:p>
    <w:p w:rsidR="006B00A6" w:rsidRDefault="006B00A6" w:rsidP="00AC318D">
      <w:pPr>
        <w:numPr>
          <w:ilvl w:val="0"/>
          <w:numId w:val="25"/>
        </w:numPr>
        <w:autoSpaceDE w:val="0"/>
        <w:autoSpaceDN w:val="0"/>
        <w:adjustRightInd w:val="0"/>
        <w:spacing w:before="0" w:after="0"/>
        <w:rPr>
          <w:rFonts w:eastAsia="Times New Roman"/>
          <w:lang w:eastAsia="en-GB"/>
        </w:rPr>
      </w:pPr>
      <w:r>
        <w:rPr>
          <w:rFonts w:eastAsia="Times New Roman"/>
          <w:lang w:eastAsia="en-GB"/>
        </w:rPr>
        <w:t>a list of all the component parts of the product and the respective weight;</w:t>
      </w:r>
    </w:p>
    <w:p w:rsidR="006B00A6" w:rsidRDefault="006B00A6" w:rsidP="00AC318D">
      <w:pPr>
        <w:numPr>
          <w:ilvl w:val="0"/>
          <w:numId w:val="25"/>
        </w:numPr>
        <w:autoSpaceDE w:val="0"/>
        <w:autoSpaceDN w:val="0"/>
        <w:adjustRightInd w:val="0"/>
        <w:spacing w:before="0" w:after="0"/>
        <w:rPr>
          <w:rFonts w:eastAsia="Times New Roman"/>
          <w:lang w:eastAsia="en-GB"/>
        </w:rPr>
      </w:pPr>
      <w:r>
        <w:rPr>
          <w:rFonts w:eastAsia="Times New Roman"/>
          <w:lang w:eastAsia="en-GB"/>
        </w:rPr>
        <w:t>a description of the manufacturing process. Suppliers of raw materials or substances shall be described with the legal name, production site, contact details and description of the production step(s) they carried out or are part of.</w:t>
      </w:r>
    </w:p>
    <w:p w:rsidR="006B00A6" w:rsidRDefault="006B00A6" w:rsidP="006B00A6">
      <w:pPr>
        <w:autoSpaceDE w:val="0"/>
        <w:autoSpaceDN w:val="0"/>
        <w:adjustRightInd w:val="0"/>
        <w:spacing w:after="0"/>
        <w:rPr>
          <w:rFonts w:ascii="Trebuchet MS" w:eastAsia="Times New Roman" w:hAnsi="Trebuchet MS" w:cs="Trebuchet MS"/>
          <w:noProof/>
          <w:szCs w:val="24"/>
          <w:lang w:eastAsia="es-ES"/>
        </w:rPr>
      </w:pPr>
      <w:r>
        <w:rPr>
          <w:rFonts w:eastAsia="Times New Roman"/>
          <w:lang w:eastAsia="en-GB"/>
        </w:rPr>
        <w:lastRenderedPageBreak/>
        <w:t>The product data sheet, environmental product declaration or equivalent document can be accepted as evidence of compliance with this criterion provided that it includes the listed information.</w:t>
      </w:r>
    </w:p>
    <w:p w:rsidR="006B00A6" w:rsidRDefault="006B00A6" w:rsidP="006B00A6">
      <w:pPr>
        <w:spacing w:after="0"/>
        <w:rPr>
          <w:rFonts w:eastAsia="Times New Roman"/>
          <w:b/>
          <w:bCs/>
          <w:noProof/>
          <w:sz w:val="26"/>
          <w:szCs w:val="26"/>
        </w:rPr>
      </w:pPr>
    </w:p>
    <w:p w:rsidR="006B00A6" w:rsidRDefault="006B00A6" w:rsidP="006B00A6">
      <w:pPr>
        <w:spacing w:after="0"/>
        <w:rPr>
          <w:rFonts w:eastAsia="Times New Roman"/>
          <w:b/>
          <w:bCs/>
          <w:noProof/>
          <w:sz w:val="26"/>
          <w:szCs w:val="26"/>
        </w:rPr>
      </w:pPr>
    </w:p>
    <w:p w:rsidR="006B00A6" w:rsidRDefault="006B00A6" w:rsidP="006B00A6">
      <w:pPr>
        <w:spacing w:after="0"/>
        <w:rPr>
          <w:rFonts w:eastAsia="Times New Roman"/>
          <w:b/>
          <w:bCs/>
          <w:sz w:val="26"/>
          <w:szCs w:val="26"/>
          <w:lang w:eastAsia="en-GB"/>
        </w:rPr>
      </w:pPr>
      <w:r>
        <w:rPr>
          <w:rFonts w:eastAsia="Times New Roman"/>
          <w:b/>
          <w:noProof/>
          <w:sz w:val="26"/>
          <w:szCs w:val="26"/>
        </w:rPr>
        <w:t>Criterion</w:t>
      </w:r>
      <w:r>
        <w:rPr>
          <w:rFonts w:eastAsia="Times New Roman"/>
          <w:b/>
          <w:bCs/>
          <w:noProof/>
          <w:sz w:val="26"/>
          <w:szCs w:val="26"/>
        </w:rPr>
        <w:t xml:space="preserve"> 2. </w:t>
      </w:r>
      <w:r>
        <w:rPr>
          <w:rFonts w:eastAsia="Times New Roman"/>
          <w:b/>
          <w:bCs/>
          <w:sz w:val="26"/>
          <w:szCs w:val="26"/>
          <w:lang w:eastAsia="en-GB"/>
        </w:rPr>
        <w:t>Wood-, cork- and bamboo-based materials</w:t>
      </w:r>
    </w:p>
    <w:p w:rsidR="006B00A6" w:rsidRDefault="006B00A6" w:rsidP="006B00A6">
      <w:pPr>
        <w:autoSpaceDE w:val="0"/>
        <w:autoSpaceDN w:val="0"/>
        <w:adjustRightInd w:val="0"/>
        <w:spacing w:after="0"/>
        <w:rPr>
          <w:rFonts w:eastAsia="Times New Roman"/>
          <w:sz w:val="22"/>
          <w:lang w:eastAsia="en-GB"/>
        </w:rPr>
      </w:pPr>
      <w:r>
        <w:rPr>
          <w:rFonts w:eastAsia="Times New Roman"/>
          <w:lang w:eastAsia="en-GB"/>
        </w:rPr>
        <w:t>This requirement is applied to wood, wood-based, cork, cork-based, bamboo, bamboo-based materials weighing more than 1% of the finished product.</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All wood, wood-based, cork, cork-based, bamboo, bamboo-based materials shall not originate from genetically modified organisms (GMO) and</w:t>
      </w:r>
      <w:r>
        <w:rPr>
          <w:rFonts w:ascii="Trebuchet MS" w:eastAsia="Times New Roman" w:hAnsi="Trebuchet MS" w:cs="Trebuchet MS"/>
          <w:bCs/>
          <w:iCs/>
          <w:noProof/>
          <w:szCs w:val="20"/>
          <w:lang w:eastAsia="es-ES"/>
        </w:rPr>
        <w:t xml:space="preserve"> </w:t>
      </w:r>
      <w:r>
        <w:rPr>
          <w:rFonts w:eastAsia="Times New Roman"/>
          <w:lang w:eastAsia="en-GB"/>
        </w:rPr>
        <w:t>be covered by chain of custody certificates issued by an independent third party certification scheme such as the Forest Stewardship Council (FSC), the Programme for the Endorsement of Forest Certification (PEFC) or equivalent or equivalent means of proof.</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xml:space="preserve">All virgin wood, cork and bamboo shall be covered by valid sustainable forest management certificates issued by an independent third party certification scheme such as FSC, PEFC or equivalent or equivalent means of proof. </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Where a certification scheme allows the mixing of uncertified material with certified and/or recycled materials in a product or production line, a minimum of 70% of the wood, cork and/or bamboo shall be sustainable certified virgin materials and/or recycled material.</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Uncertified material shall be covered by a verification system which ensures that it is legally sourced and meets any other requirement of the certification scheme with respect to uncertified material.</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The certification bodies issuing forest and/or chain of custody certificates shall be accredited or recognised by that certification scheme.</w:t>
      </w:r>
    </w:p>
    <w:p w:rsidR="006B00A6" w:rsidRDefault="006B00A6" w:rsidP="006B00A6">
      <w:pPr>
        <w:autoSpaceDE w:val="0"/>
        <w:autoSpaceDN w:val="0"/>
        <w:adjustRightInd w:val="0"/>
        <w:spacing w:after="0"/>
        <w:rPr>
          <w:rFonts w:eastAsia="Times New Roman" w:cs="Trebuchet MS"/>
          <w:b/>
          <w:i/>
          <w:lang w:eastAsia="es-ES"/>
        </w:rPr>
      </w:pPr>
      <w:r>
        <w:rPr>
          <w:rFonts w:eastAsia="Times New Roman"/>
          <w:b/>
          <w:i/>
          <w:lang w:eastAsia="en-GB"/>
        </w:rPr>
        <w:t>Assessment and verification</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The applicant shall provide to the competent body a declaration of compliance supported by a valid, independently certified chain of custody certificate of the manufacturer for all wood, wood-based cork, cork-based, bamboo, bamboo-based material used in the product or production line and demonstrate that no virgin material is sourced from GMO. The applicant shall provide audited accounting documents that demonstrate that at least 70% of the materials originate from forests or areas managed according to Sustainable Forestry Management principles and/or from recycled sources that meet the requirements set out by the relevant independent chain of custody scheme. FSC, PEFC or equivalent schemes shall be accepted as independent third party certification or equivalent means of proof.</w:t>
      </w:r>
    </w:p>
    <w:p w:rsidR="006B00A6" w:rsidRDefault="006B00A6" w:rsidP="006B00A6">
      <w:pPr>
        <w:spacing w:after="0"/>
        <w:rPr>
          <w:rFonts w:eastAsia="Times New Roman"/>
          <w:lang w:eastAsia="en-GB"/>
        </w:rPr>
      </w:pPr>
      <w:r>
        <w:rPr>
          <w:rFonts w:eastAsia="Times New Roman"/>
          <w:lang w:eastAsia="en-GB"/>
        </w:rPr>
        <w:t>If the product or production line includes uncertified material, proof shall be provided that the content of uncertified virgin material does not exceed 30% and is covered by a verification system which ensures that it is legally sourced and meets any other requirement of the certification scheme with respect to uncertified material.</w:t>
      </w:r>
    </w:p>
    <w:p w:rsidR="006B00A6" w:rsidRDefault="006B00A6" w:rsidP="006B00A6">
      <w:pPr>
        <w:spacing w:before="360" w:after="0"/>
        <w:rPr>
          <w:rFonts w:eastAsia="Times New Roman"/>
          <w:b/>
          <w:bCs/>
          <w:noProof/>
          <w:sz w:val="26"/>
          <w:szCs w:val="26"/>
        </w:rPr>
      </w:pPr>
      <w:r>
        <w:rPr>
          <w:rFonts w:eastAsia="Times New Roman"/>
          <w:b/>
          <w:noProof/>
          <w:sz w:val="26"/>
          <w:szCs w:val="26"/>
        </w:rPr>
        <w:t>Criterion</w:t>
      </w:r>
      <w:r>
        <w:rPr>
          <w:rFonts w:eastAsia="Times New Roman"/>
          <w:b/>
          <w:bCs/>
          <w:noProof/>
          <w:sz w:val="26"/>
          <w:szCs w:val="26"/>
        </w:rPr>
        <w:t xml:space="preserve"> 3. General requirements for hazardous substances and mixtures </w:t>
      </w:r>
    </w:p>
    <w:p w:rsidR="006B00A6" w:rsidRDefault="006B00A6" w:rsidP="006B00A6">
      <w:pPr>
        <w:spacing w:after="0"/>
        <w:rPr>
          <w:rFonts w:eastAsia="Times New Roman"/>
          <w:bCs/>
          <w:noProof/>
          <w:sz w:val="22"/>
          <w:szCs w:val="24"/>
          <w:lang w:val="en-US"/>
        </w:rPr>
      </w:pPr>
      <w:bookmarkStart w:id="7" w:name="crierion2a"/>
      <w:bookmarkStart w:id="8" w:name="crierion2"/>
      <w:r>
        <w:rPr>
          <w:rFonts w:eastAsia="Times New Roman"/>
          <w:bCs/>
          <w:noProof/>
          <w:szCs w:val="24"/>
          <w:lang w:val="en-US"/>
        </w:rPr>
        <w:t xml:space="preserve">The presence in the product </w:t>
      </w:r>
      <w:r>
        <w:rPr>
          <w:rFonts w:eastAsia="Times New Roman"/>
          <w:bCs/>
          <w:noProof/>
          <w:szCs w:val="24"/>
          <w:lang w:val="x-none"/>
        </w:rPr>
        <w:t>and any</w:t>
      </w:r>
      <w:r>
        <w:rPr>
          <w:rFonts w:eastAsia="Times New Roman"/>
          <w:bCs/>
          <w:noProof/>
          <w:szCs w:val="24"/>
          <w:lang w:val="en-US"/>
        </w:rPr>
        <w:t xml:space="preserve"> component parts thereof, of substances that have been identified according to Article 59 (1) of </w:t>
      </w:r>
      <w:r>
        <w:rPr>
          <w:rFonts w:eastAsia="MS Mincho"/>
          <w:szCs w:val="24"/>
          <w:lang w:eastAsia="ja-JP"/>
        </w:rPr>
        <w:t>Regulation (EC) No 1907/2006</w:t>
      </w:r>
      <w:r>
        <w:rPr>
          <w:rFonts w:eastAsia="Times New Roman"/>
          <w:bCs/>
          <w:noProof/>
          <w:szCs w:val="24"/>
          <w:lang w:val="en-US"/>
        </w:rPr>
        <w:t xml:space="preserve"> as substances of very high concern (SVHCs) or substances or mixtures that meet the criteria for classification, labelling and packaging (CLP) according to Regulation (EC) No 1272/2008 of the European </w:t>
      </w:r>
      <w:r>
        <w:rPr>
          <w:rFonts w:eastAsia="Times New Roman"/>
          <w:bCs/>
          <w:noProof/>
          <w:szCs w:val="24"/>
          <w:lang w:val="en-US"/>
        </w:rPr>
        <w:lastRenderedPageBreak/>
        <w:t>Parliament and of the Council</w:t>
      </w:r>
      <w:r>
        <w:rPr>
          <w:rStyle w:val="FootnoteReference"/>
          <w:rFonts w:eastAsia="Times New Roman"/>
          <w:bCs/>
          <w:noProof/>
          <w:szCs w:val="24"/>
          <w:lang w:val="en-US"/>
        </w:rPr>
        <w:footnoteReference w:id="10"/>
      </w:r>
      <w:r>
        <w:rPr>
          <w:rFonts w:eastAsia="Times New Roman"/>
          <w:bCs/>
          <w:noProof/>
          <w:szCs w:val="24"/>
          <w:lang w:val="en-US"/>
        </w:rPr>
        <w:t xml:space="preserve"> for the hazards listed in Table 3.1 of this Decision, shall be restricted in accordance with points 3.a and 3.b. For the purpose of this criterion, Candidate List SVHCs and CLP hazard classifications are grouped in Table 3.1 according to their hazardous properties. </w:t>
      </w:r>
    </w:p>
    <w:p w:rsidR="006B00A6" w:rsidRDefault="006B00A6" w:rsidP="006B00A6">
      <w:pPr>
        <w:spacing w:after="0"/>
        <w:rPr>
          <w:rFonts w:eastAsia="Times New Roman"/>
          <w:bCs/>
          <w:noProof/>
          <w:szCs w:val="24"/>
          <w:lang w:val="en-US"/>
        </w:rPr>
      </w:pPr>
    </w:p>
    <w:p w:rsidR="006B00A6" w:rsidRDefault="006B00A6" w:rsidP="006B00A6">
      <w:pPr>
        <w:spacing w:after="0"/>
        <w:rPr>
          <w:rFonts w:eastAsia="Times New Roman"/>
          <w:bCs/>
          <w:noProof/>
          <w:szCs w:val="24"/>
          <w:lang w:val="en-US"/>
        </w:rPr>
      </w:pPr>
    </w:p>
    <w:p w:rsidR="006B00A6" w:rsidRDefault="006B00A6" w:rsidP="006B00A6">
      <w:pPr>
        <w:spacing w:after="0"/>
        <w:rPr>
          <w:rFonts w:eastAsia="Times New Roman"/>
          <w:bCs/>
          <w:noProof/>
          <w:szCs w:val="24"/>
          <w:lang w:val="en-US"/>
        </w:rPr>
      </w:pPr>
    </w:p>
    <w:p w:rsidR="006B00A6" w:rsidRDefault="006B00A6" w:rsidP="006B00A6">
      <w:pPr>
        <w:autoSpaceDE w:val="0"/>
        <w:autoSpaceDN w:val="0"/>
        <w:adjustRightInd w:val="0"/>
        <w:jc w:val="center"/>
        <w:rPr>
          <w:rFonts w:eastAsia="Times New Roman"/>
          <w:b/>
          <w:lang w:eastAsia="en-GB"/>
        </w:rPr>
      </w:pPr>
      <w:r>
        <w:rPr>
          <w:rFonts w:eastAsia="Times New Roman"/>
          <w:b/>
          <w:lang w:eastAsia="en-GB"/>
        </w:rPr>
        <w:t>Table 3.1 Grouping of restricted hazards</w:t>
      </w:r>
    </w:p>
    <w:tbl>
      <w:tblPr>
        <w:tblStyle w:val="TableGrid"/>
        <w:tblW w:w="0" w:type="auto"/>
        <w:jc w:val="center"/>
        <w:tblInd w:w="0" w:type="dxa"/>
        <w:tblLook w:val="04A0" w:firstRow="1" w:lastRow="0" w:firstColumn="1" w:lastColumn="0" w:noHBand="0" w:noVBand="1"/>
      </w:tblPr>
      <w:tblGrid>
        <w:gridCol w:w="8200"/>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820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b/>
                <w:sz w:val="20"/>
              </w:rPr>
            </w:pPr>
            <w:r>
              <w:rPr>
                <w:b/>
                <w:sz w:val="20"/>
              </w:rPr>
              <w:t>Group 1 Hazards – SVHC and CLP</w:t>
            </w:r>
          </w:p>
          <w:p w:rsidR="006B00A6" w:rsidRDefault="006B00A6">
            <w:pPr>
              <w:autoSpaceDE w:val="0"/>
              <w:autoSpaceDN w:val="0"/>
              <w:adjustRightInd w:val="0"/>
              <w:spacing w:after="0"/>
              <w:jc w:val="left"/>
              <w:rPr>
                <w:i/>
                <w:sz w:val="20"/>
              </w:rPr>
            </w:pPr>
            <w:r>
              <w:rPr>
                <w:i/>
                <w:sz w:val="20"/>
              </w:rPr>
              <w:t xml:space="preserve">Hazards that identify a substance as being within Group 1: </w:t>
            </w:r>
          </w:p>
          <w:p w:rsidR="006B00A6" w:rsidRDefault="006B00A6">
            <w:pPr>
              <w:spacing w:after="0"/>
              <w:jc w:val="left"/>
              <w:rPr>
                <w:bCs/>
                <w:noProof/>
                <w:sz w:val="20"/>
              </w:rPr>
            </w:pPr>
            <w:r>
              <w:rPr>
                <w:sz w:val="20"/>
              </w:rPr>
              <w:t xml:space="preserve">- </w:t>
            </w:r>
            <w:r>
              <w:rPr>
                <w:bCs/>
                <w:noProof/>
                <w:sz w:val="20"/>
              </w:rPr>
              <w:t>substances that appear on the Candidate List for SVHCs</w:t>
            </w:r>
          </w:p>
          <w:p w:rsidR="006B00A6" w:rsidRDefault="006B00A6">
            <w:pPr>
              <w:autoSpaceDE w:val="0"/>
              <w:autoSpaceDN w:val="0"/>
              <w:adjustRightInd w:val="0"/>
              <w:spacing w:after="0"/>
              <w:jc w:val="left"/>
              <w:rPr>
                <w:i/>
                <w:sz w:val="20"/>
              </w:rPr>
            </w:pPr>
            <w:r>
              <w:rPr>
                <w:sz w:val="20"/>
              </w:rPr>
              <w:t>- carcinogenic, mutagenic and/or toxic to reproduction (CMR) category 1A or 1B: H340, H350, H350i, H360, H360F, H360D, H360FD, H360Fd, H360Df</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820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b/>
                <w:sz w:val="20"/>
              </w:rPr>
            </w:pPr>
            <w:r>
              <w:rPr>
                <w:b/>
                <w:sz w:val="20"/>
              </w:rPr>
              <w:t>Group 2 Hazards – CLP</w:t>
            </w:r>
          </w:p>
          <w:p w:rsidR="006B00A6" w:rsidRDefault="006B00A6">
            <w:pPr>
              <w:autoSpaceDE w:val="0"/>
              <w:autoSpaceDN w:val="0"/>
              <w:adjustRightInd w:val="0"/>
              <w:spacing w:after="0"/>
              <w:jc w:val="left"/>
              <w:rPr>
                <w:sz w:val="20"/>
              </w:rPr>
            </w:pPr>
            <w:r>
              <w:rPr>
                <w:i/>
                <w:sz w:val="20"/>
              </w:rPr>
              <w:t>Hazards that identify a substance as being within Group 2</w:t>
            </w:r>
            <w:r>
              <w:rPr>
                <w:sz w:val="20"/>
              </w:rPr>
              <w:t xml:space="preserve">: </w:t>
            </w:r>
          </w:p>
          <w:p w:rsidR="006B00A6" w:rsidRDefault="006B00A6">
            <w:pPr>
              <w:autoSpaceDE w:val="0"/>
              <w:autoSpaceDN w:val="0"/>
              <w:adjustRightInd w:val="0"/>
              <w:spacing w:after="0"/>
              <w:jc w:val="left"/>
              <w:rPr>
                <w:sz w:val="20"/>
                <w:lang w:val="pt-PT"/>
              </w:rPr>
            </w:pPr>
            <w:r>
              <w:rPr>
                <w:sz w:val="20"/>
                <w:lang w:val="pt-PT"/>
              </w:rPr>
              <w:t>- category 2 CMR: H341, H351, H361f, H361d, H361df, H362</w:t>
            </w:r>
          </w:p>
          <w:p w:rsidR="006B00A6" w:rsidRDefault="006B00A6">
            <w:pPr>
              <w:autoSpaceDE w:val="0"/>
              <w:autoSpaceDN w:val="0"/>
              <w:adjustRightInd w:val="0"/>
              <w:spacing w:after="0"/>
              <w:jc w:val="left"/>
              <w:rPr>
                <w:sz w:val="20"/>
              </w:rPr>
            </w:pPr>
            <w:r>
              <w:rPr>
                <w:sz w:val="20"/>
              </w:rPr>
              <w:t>- category 1 aquatic toxicity: H400, H410</w:t>
            </w:r>
          </w:p>
          <w:p w:rsidR="006B00A6" w:rsidRDefault="006B00A6">
            <w:pPr>
              <w:autoSpaceDE w:val="0"/>
              <w:autoSpaceDN w:val="0"/>
              <w:adjustRightInd w:val="0"/>
              <w:spacing w:after="0"/>
              <w:jc w:val="left"/>
              <w:rPr>
                <w:sz w:val="20"/>
              </w:rPr>
            </w:pPr>
            <w:r>
              <w:rPr>
                <w:sz w:val="20"/>
              </w:rPr>
              <w:t>- category 1 and 2 acuate toxicity: H300, H310, H330, H304</w:t>
            </w:r>
          </w:p>
          <w:p w:rsidR="006B00A6" w:rsidRDefault="006B00A6">
            <w:pPr>
              <w:autoSpaceDE w:val="0"/>
              <w:autoSpaceDN w:val="0"/>
              <w:adjustRightInd w:val="0"/>
              <w:spacing w:after="0"/>
              <w:jc w:val="left"/>
              <w:rPr>
                <w:sz w:val="20"/>
              </w:rPr>
            </w:pPr>
            <w:r>
              <w:rPr>
                <w:sz w:val="20"/>
              </w:rPr>
              <w:t>- category 1 aspiration toxicity: H304</w:t>
            </w:r>
          </w:p>
          <w:p w:rsidR="006B00A6" w:rsidRDefault="006B00A6">
            <w:pPr>
              <w:autoSpaceDE w:val="0"/>
              <w:autoSpaceDN w:val="0"/>
              <w:adjustRightInd w:val="0"/>
              <w:spacing w:after="0"/>
              <w:jc w:val="left"/>
              <w:rPr>
                <w:sz w:val="20"/>
              </w:rPr>
            </w:pPr>
            <w:r>
              <w:rPr>
                <w:sz w:val="20"/>
              </w:rPr>
              <w:t>- category 1 specific target organ toxicity (STOT): H370, H372</w:t>
            </w:r>
          </w:p>
          <w:p w:rsidR="006B00A6" w:rsidRDefault="006B00A6">
            <w:pPr>
              <w:autoSpaceDE w:val="0"/>
              <w:autoSpaceDN w:val="0"/>
              <w:adjustRightInd w:val="0"/>
              <w:spacing w:after="0"/>
              <w:jc w:val="left"/>
              <w:rPr>
                <w:sz w:val="20"/>
                <w:lang w:val="pt-PT"/>
              </w:rPr>
            </w:pPr>
            <w:r>
              <w:rPr>
                <w:sz w:val="20"/>
                <w:lang w:val="pt-PT"/>
              </w:rPr>
              <w:t>- category 1 skin sensitiser H317</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820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b/>
                <w:sz w:val="20"/>
              </w:rPr>
            </w:pPr>
            <w:r>
              <w:rPr>
                <w:b/>
                <w:sz w:val="20"/>
              </w:rPr>
              <w:t>Group 3 Hazards – CLP</w:t>
            </w:r>
          </w:p>
          <w:p w:rsidR="006B00A6" w:rsidRDefault="006B00A6">
            <w:pPr>
              <w:autoSpaceDE w:val="0"/>
              <w:autoSpaceDN w:val="0"/>
              <w:adjustRightInd w:val="0"/>
              <w:spacing w:after="0"/>
              <w:jc w:val="left"/>
              <w:rPr>
                <w:i/>
                <w:sz w:val="20"/>
              </w:rPr>
            </w:pPr>
            <w:r>
              <w:rPr>
                <w:i/>
                <w:sz w:val="20"/>
              </w:rPr>
              <w:t xml:space="preserve">Hazards that identify a substance as being within Group 3: </w:t>
            </w:r>
          </w:p>
          <w:p w:rsidR="006B00A6" w:rsidRDefault="006B00A6">
            <w:pPr>
              <w:autoSpaceDE w:val="0"/>
              <w:autoSpaceDN w:val="0"/>
              <w:adjustRightInd w:val="0"/>
              <w:spacing w:after="0"/>
              <w:jc w:val="left"/>
              <w:rPr>
                <w:sz w:val="20"/>
              </w:rPr>
            </w:pPr>
            <w:r>
              <w:rPr>
                <w:sz w:val="20"/>
              </w:rPr>
              <w:t>- category 2, 3 and 4 aquatic toxicity: H411, H412, H413</w:t>
            </w:r>
          </w:p>
          <w:p w:rsidR="006B00A6" w:rsidRDefault="006B00A6">
            <w:pPr>
              <w:autoSpaceDE w:val="0"/>
              <w:autoSpaceDN w:val="0"/>
              <w:adjustRightInd w:val="0"/>
              <w:spacing w:after="0"/>
              <w:jc w:val="left"/>
              <w:rPr>
                <w:sz w:val="20"/>
                <w:lang w:val="pt-PT"/>
              </w:rPr>
            </w:pPr>
            <w:r>
              <w:rPr>
                <w:sz w:val="20"/>
                <w:lang w:val="pt-PT"/>
              </w:rPr>
              <w:t>- category 3 acute toxicity: H301, H311, H331, EUH070</w:t>
            </w:r>
          </w:p>
          <w:p w:rsidR="006B00A6" w:rsidRDefault="006B00A6">
            <w:pPr>
              <w:autoSpaceDE w:val="0"/>
              <w:autoSpaceDN w:val="0"/>
              <w:adjustRightInd w:val="0"/>
              <w:spacing w:after="0"/>
              <w:jc w:val="left"/>
              <w:rPr>
                <w:sz w:val="20"/>
                <w:lang w:val="pt-PT"/>
              </w:rPr>
            </w:pPr>
            <w:r>
              <w:rPr>
                <w:sz w:val="20"/>
                <w:lang w:val="pt-PT"/>
              </w:rPr>
              <w:t>- category 2 STOT: H371, H373</w:t>
            </w:r>
          </w:p>
        </w:tc>
      </w:tr>
    </w:tbl>
    <w:p w:rsidR="006B00A6" w:rsidRDefault="006B00A6" w:rsidP="006B00A6">
      <w:pPr>
        <w:autoSpaceDE w:val="0"/>
        <w:autoSpaceDN w:val="0"/>
        <w:adjustRightInd w:val="0"/>
        <w:spacing w:after="0"/>
        <w:rPr>
          <w:rFonts w:eastAsia="Times New Roman"/>
          <w:b/>
          <w:sz w:val="22"/>
          <w:u w:val="single"/>
          <w:lang w:eastAsia="en-GB"/>
        </w:rPr>
      </w:pPr>
    </w:p>
    <w:p w:rsidR="006B00A6" w:rsidRDefault="006B00A6" w:rsidP="006B00A6">
      <w:pPr>
        <w:autoSpaceDE w:val="0"/>
        <w:autoSpaceDN w:val="0"/>
        <w:adjustRightInd w:val="0"/>
        <w:spacing w:after="0"/>
        <w:rPr>
          <w:rFonts w:eastAsia="Times New Roman"/>
          <w:b/>
          <w:u w:val="single"/>
          <w:lang w:eastAsia="en-GB"/>
        </w:rPr>
      </w:pPr>
      <w:r>
        <w:rPr>
          <w:rFonts w:eastAsia="Times New Roman"/>
          <w:b/>
          <w:u w:val="single"/>
          <w:lang w:eastAsia="en-GB"/>
        </w:rPr>
        <w:t>3.a. Restriction of SVHCs</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The product and any component parts thereof shall not contain SVHCs at concentrations greater than 0,10 % (weight by weight).</w:t>
      </w:r>
    </w:p>
    <w:p w:rsidR="006B00A6" w:rsidRDefault="006B00A6" w:rsidP="006B00A6">
      <w:pPr>
        <w:spacing w:after="240"/>
        <w:rPr>
          <w:rFonts w:eastAsia="Times New Roman"/>
          <w:lang w:eastAsia="en-GB"/>
        </w:rPr>
      </w:pPr>
      <w:r>
        <w:rPr>
          <w:rFonts w:eastAsia="Times New Roman"/>
          <w:lang w:eastAsia="en-GB"/>
        </w:rPr>
        <w:t>No derogation from this requirement shall be given to Candidate List SVHCs present in the product or any component parts thereof at concentrations greater than 0,10 % (weight by weight).</w:t>
      </w:r>
    </w:p>
    <w:p w:rsidR="006B00A6" w:rsidRDefault="006B00A6" w:rsidP="006B00A6">
      <w:pPr>
        <w:tabs>
          <w:tab w:val="left" w:pos="404"/>
          <w:tab w:val="left" w:pos="971"/>
        </w:tabs>
        <w:autoSpaceDE w:val="0"/>
        <w:autoSpaceDN w:val="0"/>
        <w:adjustRightInd w:val="0"/>
        <w:spacing w:after="0"/>
        <w:rPr>
          <w:rFonts w:eastAsia="Times New Roman"/>
          <w:b/>
          <w:i/>
          <w:lang w:eastAsia="en-GB"/>
        </w:rPr>
      </w:pPr>
      <w:r>
        <w:rPr>
          <w:rFonts w:eastAsia="Times New Roman"/>
          <w:b/>
          <w:i/>
          <w:lang w:eastAsia="en-GB"/>
        </w:rPr>
        <w:t>Assessment and verification</w:t>
      </w:r>
    </w:p>
    <w:p w:rsidR="006B00A6" w:rsidRDefault="006B00A6" w:rsidP="006B00A6">
      <w:pPr>
        <w:spacing w:after="240"/>
        <w:rPr>
          <w:rFonts w:eastAsia="Times New Roman"/>
          <w:bCs/>
          <w:noProof/>
          <w:szCs w:val="24"/>
          <w:lang w:val="en-US"/>
        </w:rPr>
      </w:pPr>
      <w:r>
        <w:rPr>
          <w:rFonts w:eastAsia="Times New Roman"/>
          <w:bCs/>
          <w:noProof/>
          <w:szCs w:val="24"/>
          <w:lang w:val="en-US"/>
        </w:rPr>
        <w:lastRenderedPageBreak/>
        <w:t>The applicant shall compile declarations of absence of SVHCs above the specified concentration limit for the product and any component parts used in the product. Declarations shall be with reference to the latest version of the Candidate List published by ECHA</w:t>
      </w:r>
      <w:r>
        <w:rPr>
          <w:vertAlign w:val="superscript"/>
        </w:rPr>
        <w:footnoteReference w:id="11"/>
      </w:r>
      <w:r>
        <w:rPr>
          <w:rFonts w:eastAsia="Times New Roman"/>
          <w:bCs/>
          <w:noProof/>
          <w:szCs w:val="24"/>
          <w:lang w:val="en-US"/>
        </w:rPr>
        <w:t xml:space="preserve">. </w:t>
      </w:r>
    </w:p>
    <w:p w:rsidR="006B00A6" w:rsidRDefault="006B00A6" w:rsidP="006B00A6">
      <w:pPr>
        <w:autoSpaceDE w:val="0"/>
        <w:autoSpaceDN w:val="0"/>
        <w:adjustRightInd w:val="0"/>
        <w:spacing w:after="0"/>
        <w:rPr>
          <w:rFonts w:eastAsia="Times New Roman"/>
          <w:b/>
          <w:u w:val="single"/>
          <w:lang w:eastAsia="en-GB"/>
        </w:rPr>
      </w:pPr>
      <w:bookmarkStart w:id="9" w:name="crierion2b"/>
      <w:bookmarkEnd w:id="7"/>
      <w:r>
        <w:rPr>
          <w:rFonts w:eastAsia="Times New Roman"/>
          <w:b/>
          <w:u w:val="single"/>
          <w:lang w:eastAsia="en-GB"/>
        </w:rPr>
        <w:t>3.b. Restriction of CLP classified substances or mixtures used in the floor covering</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xml:space="preserve">Substances or mixtures used by the floor covering manufacturer or his suppliers during the preparation of raw materials, manufacturing, assembly or any other treatment of the floor covering shall not be classified with any of the CLP hazards listed in Table 3.1. Restricted substances or mixtures shall include adhesives, paints, primers, varnishes, stains, resins, biocidal products, fillers, waxes, oils, joint fillers, dyes and sealants. </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xml:space="preserve">However, the use of such restricted substances shall be permitted if at least one of the following conditions applies: </w:t>
      </w:r>
    </w:p>
    <w:p w:rsidR="006B00A6" w:rsidRDefault="006B00A6" w:rsidP="006B00A6">
      <w:pPr>
        <w:autoSpaceDE w:val="0"/>
        <w:autoSpaceDN w:val="0"/>
        <w:adjustRightInd w:val="0"/>
        <w:spacing w:after="0"/>
        <w:ind w:left="400"/>
        <w:rPr>
          <w:rFonts w:eastAsia="Times New Roman"/>
          <w:lang w:eastAsia="en-GB"/>
        </w:rPr>
      </w:pPr>
      <w:r>
        <w:rPr>
          <w:rFonts w:eastAsia="Times New Roman"/>
          <w:lang w:eastAsia="en-GB"/>
        </w:rPr>
        <w:t>-  the restricted substance or mixture was used in quantities that amount to less than 0,10% of the total weight of the floor covering or a component part thereof;</w:t>
      </w:r>
    </w:p>
    <w:p w:rsidR="006B00A6" w:rsidRDefault="006B00A6" w:rsidP="006B00A6">
      <w:pPr>
        <w:autoSpaceDE w:val="0"/>
        <w:autoSpaceDN w:val="0"/>
        <w:adjustRightInd w:val="0"/>
        <w:spacing w:after="0"/>
        <w:ind w:left="400"/>
        <w:rPr>
          <w:rFonts w:eastAsia="Times New Roman"/>
          <w:lang w:eastAsia="en-GB"/>
        </w:rPr>
      </w:pPr>
      <w:r>
        <w:rPr>
          <w:rFonts w:eastAsia="Times New Roman"/>
          <w:lang w:eastAsia="en-GB"/>
        </w:rPr>
        <w:t>- the restricted substance changes its properties upon processing (e.g. becomes no longer bioavailable or undergoes chemical reaction) so that the restricted CLP hazards no longer apply and any unreacted residual content of the restricted substance is less than 0,10% of the total weight of the floor covering or a component part thereof.</w:t>
      </w:r>
    </w:p>
    <w:p w:rsidR="006B00A6" w:rsidRDefault="006B00A6" w:rsidP="006B00A6">
      <w:pPr>
        <w:tabs>
          <w:tab w:val="left" w:pos="404"/>
          <w:tab w:val="left" w:pos="971"/>
        </w:tabs>
        <w:autoSpaceDE w:val="0"/>
        <w:autoSpaceDN w:val="0"/>
        <w:adjustRightInd w:val="0"/>
        <w:spacing w:after="0"/>
        <w:rPr>
          <w:rFonts w:eastAsia="Times New Roman"/>
          <w:b/>
          <w:i/>
          <w:lang w:eastAsia="en-GB"/>
        </w:rPr>
      </w:pPr>
      <w:bookmarkStart w:id="10" w:name="crierion2c"/>
      <w:bookmarkEnd w:id="9"/>
      <w:r>
        <w:rPr>
          <w:rFonts w:eastAsia="Times New Roman"/>
          <w:b/>
          <w:i/>
          <w:lang w:eastAsia="en-GB"/>
        </w:rPr>
        <w:t>Assessment and verification</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The applicant and/or its suppliers shall provide to the competent body a declaration of compliance with criterion 3.b. supported, where appropriate, by a list of relevant substances or mixtures used together with declarations about their hazard classification or non-classification, their added quantities and if appropriate, statements whether the substances change their properties upon processing so that the restricted CLP hazards no longer apply. If so, the quantities of any unreacted residual content of the restricted substance shall be provided.</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xml:space="preserve">The following information shall be provided in relation to the hazard classification or non-classification for each of the substances: </w:t>
      </w:r>
    </w:p>
    <w:p w:rsidR="006B00A6" w:rsidRDefault="006B00A6" w:rsidP="006B00A6">
      <w:pPr>
        <w:autoSpaceDE w:val="0"/>
        <w:autoSpaceDN w:val="0"/>
        <w:adjustRightInd w:val="0"/>
        <w:spacing w:after="0"/>
        <w:ind w:left="400"/>
        <w:rPr>
          <w:rFonts w:eastAsia="Times New Roman"/>
          <w:lang w:eastAsia="en-GB"/>
        </w:rPr>
      </w:pPr>
      <w:r>
        <w:rPr>
          <w:rFonts w:eastAsia="Times New Roman"/>
          <w:lang w:eastAsia="en-GB"/>
        </w:rPr>
        <w:t>i. the substance's Chemical Abstract Service (CAS)</w:t>
      </w:r>
      <w:r>
        <w:rPr>
          <w:rStyle w:val="FootnoteReference"/>
          <w:rFonts w:eastAsia="Times New Roman"/>
          <w:lang w:eastAsia="en-GB"/>
        </w:rPr>
        <w:footnoteReference w:id="12"/>
      </w:r>
      <w:r>
        <w:rPr>
          <w:rFonts w:eastAsia="Times New Roman"/>
          <w:lang w:eastAsia="en-GB"/>
        </w:rPr>
        <w:t>, European Community (EC)</w:t>
      </w:r>
      <w:r>
        <w:rPr>
          <w:rStyle w:val="FootnoteReference"/>
          <w:rFonts w:eastAsia="Times New Roman"/>
          <w:lang w:eastAsia="en-GB"/>
        </w:rPr>
        <w:footnoteReference w:id="13"/>
      </w:r>
      <w:r>
        <w:rPr>
          <w:rFonts w:eastAsia="Times New Roman"/>
          <w:lang w:eastAsia="en-GB"/>
        </w:rPr>
        <w:t xml:space="preserve"> or other list number (where available for mixtures);</w:t>
      </w:r>
    </w:p>
    <w:p w:rsidR="006B00A6" w:rsidRDefault="006B00A6" w:rsidP="006B00A6">
      <w:pPr>
        <w:autoSpaceDE w:val="0"/>
        <w:autoSpaceDN w:val="0"/>
        <w:adjustRightInd w:val="0"/>
        <w:spacing w:after="0"/>
        <w:ind w:left="400"/>
        <w:rPr>
          <w:rFonts w:eastAsia="Times New Roman"/>
          <w:lang w:eastAsia="en-GB"/>
        </w:rPr>
      </w:pPr>
      <w:r>
        <w:rPr>
          <w:rFonts w:eastAsia="Times New Roman"/>
          <w:lang w:eastAsia="en-GB"/>
        </w:rPr>
        <w:t>ii. the physical form and state in which the substance or mixture is used;</w:t>
      </w:r>
    </w:p>
    <w:p w:rsidR="006B00A6" w:rsidRDefault="006B00A6" w:rsidP="006B00A6">
      <w:pPr>
        <w:autoSpaceDE w:val="0"/>
        <w:autoSpaceDN w:val="0"/>
        <w:adjustRightInd w:val="0"/>
        <w:spacing w:after="0"/>
        <w:ind w:left="400"/>
        <w:rPr>
          <w:rFonts w:eastAsia="Times New Roman"/>
          <w:lang w:eastAsia="en-GB"/>
        </w:rPr>
      </w:pPr>
      <w:r>
        <w:rPr>
          <w:rFonts w:eastAsia="Times New Roman"/>
          <w:lang w:eastAsia="en-GB"/>
        </w:rPr>
        <w:t>iii. harmonized CLP hazard classifications;</w:t>
      </w:r>
    </w:p>
    <w:p w:rsidR="006B00A6" w:rsidRDefault="006B00A6" w:rsidP="006B00A6">
      <w:pPr>
        <w:autoSpaceDE w:val="0"/>
        <w:autoSpaceDN w:val="0"/>
        <w:adjustRightInd w:val="0"/>
        <w:spacing w:after="0"/>
        <w:ind w:left="400"/>
        <w:rPr>
          <w:rFonts w:eastAsia="Times New Roman"/>
          <w:szCs w:val="24"/>
          <w:lang w:val="en-US" w:eastAsia="zh-CN"/>
        </w:rPr>
      </w:pPr>
      <w:r>
        <w:rPr>
          <w:rFonts w:eastAsia="Times New Roman"/>
          <w:lang w:eastAsia="en-GB"/>
        </w:rPr>
        <w:t>iv. self-classification entries in ECHA's R</w:t>
      </w:r>
      <w:r>
        <w:rPr>
          <w:rFonts w:eastAsia="Times New Roman"/>
          <w:szCs w:val="24"/>
          <w:lang w:val="en-US" w:eastAsia="zh-CN"/>
        </w:rPr>
        <w:t>EACH registered substance database</w:t>
      </w:r>
      <w:r>
        <w:rPr>
          <w:vertAlign w:val="superscript"/>
        </w:rPr>
        <w:footnoteReference w:id="14"/>
      </w:r>
      <w:r>
        <w:rPr>
          <w:rFonts w:eastAsia="Times New Roman"/>
          <w:szCs w:val="24"/>
          <w:lang w:val="en-US" w:eastAsia="zh-CN"/>
        </w:rPr>
        <w:t xml:space="preserve"> (if no harmonized classification available);</w:t>
      </w:r>
    </w:p>
    <w:p w:rsidR="006B00A6" w:rsidRDefault="006B00A6" w:rsidP="006B00A6">
      <w:pPr>
        <w:autoSpaceDE w:val="0"/>
        <w:autoSpaceDN w:val="0"/>
        <w:adjustRightInd w:val="0"/>
        <w:spacing w:after="0"/>
        <w:ind w:left="400"/>
        <w:rPr>
          <w:rFonts w:eastAsia="Times New Roman"/>
          <w:lang w:eastAsia="en-GB"/>
        </w:rPr>
      </w:pPr>
      <w:r>
        <w:rPr>
          <w:rFonts w:eastAsia="Times New Roman"/>
          <w:szCs w:val="24"/>
          <w:lang w:val="en-US" w:eastAsia="zh-CN"/>
        </w:rPr>
        <w:t xml:space="preserve">v. mixture classifications according to the criteria laid down in Regulation (EC) No 1272/2008. </w:t>
      </w:r>
    </w:p>
    <w:bookmarkEnd w:id="8"/>
    <w:p w:rsidR="006B00A6" w:rsidRDefault="006B00A6" w:rsidP="006B00A6">
      <w:pPr>
        <w:spacing w:after="0"/>
        <w:rPr>
          <w:rFonts w:eastAsia="Times New Roman"/>
          <w:szCs w:val="24"/>
          <w:lang w:val="en-US" w:eastAsia="zh-CN"/>
        </w:rPr>
      </w:pPr>
      <w:r>
        <w:rPr>
          <w:rFonts w:eastAsia="Times New Roman"/>
          <w:szCs w:val="24"/>
          <w:lang w:val="en-US" w:eastAsia="zh-CN"/>
        </w:rPr>
        <w:t xml:space="preserve">When considering self-classification entries in the REACH registered substance database, priority shall be given to entries from joint submissions. </w:t>
      </w:r>
    </w:p>
    <w:p w:rsidR="006B00A6" w:rsidRDefault="006B00A6" w:rsidP="006B00A6">
      <w:pPr>
        <w:spacing w:after="0"/>
        <w:rPr>
          <w:rFonts w:eastAsia="Times New Roman"/>
          <w:strike/>
          <w:szCs w:val="24"/>
          <w:lang w:val="en-US" w:eastAsia="zh-CN"/>
        </w:rPr>
      </w:pPr>
      <w:r>
        <w:rPr>
          <w:rFonts w:eastAsia="Times New Roman"/>
          <w:szCs w:val="24"/>
          <w:lang w:val="en-US" w:eastAsia="zh-CN"/>
        </w:rPr>
        <w:lastRenderedPageBreak/>
        <w:t>Where a classification is recorded as "data-lacking" or "inconclusive" according to the REACH registered substance database, or when the substance has not yet been registered under the REACH system, toxicological data meeting the requirements of Annex VII to Regulation (EC) No 1907/2006 shall be provided that are sufficient to support conclusive self-classification in accordance with Annex I to Regulation (EC) No 1272/2008 and ECHA's supporting guidance. In the case of "data lacking" or "inconclusive" database entries, self-classifications shall be verified. For that purpose, the following information sources shall be accepted:</w:t>
      </w:r>
    </w:p>
    <w:p w:rsidR="006B00A6" w:rsidRDefault="006B00A6" w:rsidP="006B00A6">
      <w:pPr>
        <w:spacing w:after="0"/>
        <w:ind w:left="400"/>
        <w:rPr>
          <w:rFonts w:eastAsia="Times New Roman"/>
          <w:szCs w:val="24"/>
          <w:lang w:val="en-US" w:eastAsia="zh-CN"/>
        </w:rPr>
      </w:pPr>
      <w:r>
        <w:rPr>
          <w:rFonts w:eastAsia="Times New Roman"/>
          <w:szCs w:val="24"/>
          <w:lang w:val="en-US" w:eastAsia="zh-CN"/>
        </w:rPr>
        <w:t>i. toxicological studies and hazard assessments by ECHA peer regulatory agencies</w:t>
      </w:r>
      <w:r>
        <w:rPr>
          <w:vertAlign w:val="superscript"/>
        </w:rPr>
        <w:footnoteReference w:id="15"/>
      </w:r>
      <w:r>
        <w:rPr>
          <w:rFonts w:eastAsia="Times New Roman"/>
          <w:szCs w:val="24"/>
          <w:lang w:val="en-US" w:eastAsia="zh-CN"/>
        </w:rPr>
        <w:t xml:space="preserve">, Member State regulatory bodies or intergovernmental bodies; </w:t>
      </w:r>
    </w:p>
    <w:p w:rsidR="006B00A6" w:rsidRDefault="006B00A6" w:rsidP="006B00A6">
      <w:pPr>
        <w:spacing w:after="0"/>
        <w:ind w:left="400"/>
        <w:rPr>
          <w:rFonts w:eastAsia="Times New Roman"/>
          <w:szCs w:val="24"/>
          <w:lang w:val="en-US" w:eastAsia="zh-CN"/>
        </w:rPr>
      </w:pPr>
      <w:r>
        <w:rPr>
          <w:rFonts w:eastAsia="Times New Roman"/>
          <w:szCs w:val="24"/>
          <w:lang w:val="en-US" w:eastAsia="zh-CN"/>
        </w:rPr>
        <w:t>ii. a Safety Data Sheet (SDS) fully completed in accordance with Annex II to Regulation (EC) No 1907/2006;</w:t>
      </w:r>
    </w:p>
    <w:p w:rsidR="006B00A6" w:rsidRDefault="006B00A6" w:rsidP="006B00A6">
      <w:pPr>
        <w:spacing w:after="0"/>
        <w:ind w:left="400"/>
        <w:rPr>
          <w:rFonts w:eastAsia="Times New Roman"/>
          <w:szCs w:val="24"/>
          <w:lang w:val="en-US" w:eastAsia="zh-CN"/>
        </w:rPr>
      </w:pPr>
      <w:r>
        <w:rPr>
          <w:rFonts w:eastAsia="Times New Roman"/>
          <w:szCs w:val="24"/>
          <w:lang w:val="en-US" w:eastAsia="zh-CN"/>
        </w:rPr>
        <w:t>iii. a documented expert judgment provided by a professional toxicologist, which shall be based on a review of scientific literature and existing testing data, where necessary supported by results from new testing carried out by independent laboratories using methods approved by ECHA;</w:t>
      </w:r>
    </w:p>
    <w:p w:rsidR="006B00A6" w:rsidRDefault="006B00A6" w:rsidP="006B00A6">
      <w:pPr>
        <w:spacing w:after="0"/>
        <w:ind w:left="400"/>
        <w:rPr>
          <w:rFonts w:eastAsia="Times New Roman"/>
          <w:szCs w:val="24"/>
          <w:lang w:val="en-US" w:eastAsia="zh-CN"/>
        </w:rPr>
      </w:pPr>
      <w:r>
        <w:rPr>
          <w:rFonts w:eastAsia="Times New Roman"/>
          <w:szCs w:val="24"/>
          <w:lang w:val="en-US" w:eastAsia="zh-CN"/>
        </w:rPr>
        <w:t>iv. an attestation, where appropriate based on expert judgment, issued by an accredited conformity assessment body that carries out hazard assessments according to the Globally Harmonized System (GHS) or CLP hazard classification systems.</w:t>
      </w:r>
    </w:p>
    <w:bookmarkEnd w:id="10"/>
    <w:p w:rsidR="006B00A6" w:rsidRDefault="006B00A6" w:rsidP="006B00A6">
      <w:pPr>
        <w:spacing w:after="0"/>
        <w:rPr>
          <w:rFonts w:eastAsia="Times New Roman"/>
          <w:szCs w:val="24"/>
          <w:lang w:val="en-US" w:eastAsia="zh-CN"/>
        </w:rPr>
      </w:pPr>
      <w:r>
        <w:rPr>
          <w:rFonts w:eastAsia="Times New Roman"/>
          <w:szCs w:val="24"/>
          <w:lang w:val="en-US" w:eastAsia="zh-CN"/>
        </w:rPr>
        <w:t xml:space="preserve">Information on the hazardous properties of substances may, in accordance with Annex XI to Regulation (EC) No 1907/2006, be generated by means other than tests, for instance through the use of alternative methods such as in vitro methods, by quantitative structure activity models or by the use of grouping or read-across. </w:t>
      </w:r>
    </w:p>
    <w:p w:rsidR="006B00A6" w:rsidRDefault="006B00A6" w:rsidP="006B00A6">
      <w:pPr>
        <w:spacing w:after="0"/>
        <w:rPr>
          <w:rFonts w:eastAsia="Times New Roman"/>
          <w:b/>
          <w:bCs/>
          <w:noProof/>
          <w:sz w:val="26"/>
          <w:szCs w:val="26"/>
          <w:lang w:val="en-US"/>
        </w:rPr>
      </w:pPr>
    </w:p>
    <w:p w:rsidR="006B00A6" w:rsidRDefault="006B00A6" w:rsidP="006B00A6">
      <w:pPr>
        <w:spacing w:after="0"/>
        <w:rPr>
          <w:rFonts w:eastAsia="Times New Roman"/>
          <w:b/>
          <w:bCs/>
          <w:noProof/>
          <w:sz w:val="26"/>
          <w:szCs w:val="26"/>
        </w:rPr>
      </w:pPr>
      <w:r>
        <w:rPr>
          <w:rFonts w:eastAsia="Times New Roman"/>
          <w:b/>
          <w:noProof/>
          <w:sz w:val="26"/>
          <w:szCs w:val="26"/>
        </w:rPr>
        <w:t>Criterion</w:t>
      </w:r>
      <w:r>
        <w:rPr>
          <w:rFonts w:eastAsia="Times New Roman"/>
          <w:b/>
          <w:bCs/>
          <w:noProof/>
          <w:sz w:val="26"/>
          <w:szCs w:val="26"/>
        </w:rPr>
        <w:t xml:space="preserve"> 4. </w:t>
      </w:r>
      <w:r>
        <w:rPr>
          <w:rFonts w:eastAsia="Times New Roman"/>
          <w:b/>
          <w:sz w:val="26"/>
          <w:szCs w:val="26"/>
        </w:rPr>
        <w:t xml:space="preserve">Specific </w:t>
      </w:r>
      <w:r>
        <w:rPr>
          <w:rFonts w:eastAsia="Times New Roman"/>
          <w:b/>
          <w:bCs/>
          <w:noProof/>
          <w:sz w:val="26"/>
          <w:szCs w:val="26"/>
        </w:rPr>
        <w:t>substance requirements</w:t>
      </w:r>
    </w:p>
    <w:p w:rsidR="006B00A6" w:rsidRDefault="006B00A6" w:rsidP="006B00A6">
      <w:pPr>
        <w:keepNext/>
        <w:spacing w:after="0"/>
        <w:outlineLvl w:val="3"/>
        <w:rPr>
          <w:rFonts w:eastAsia="Times New Roman"/>
          <w:b/>
          <w:sz w:val="22"/>
          <w:u w:val="single"/>
          <w:lang w:eastAsia="zh-CN"/>
        </w:rPr>
      </w:pPr>
      <w:bookmarkStart w:id="11" w:name="criterion3a1"/>
      <w:bookmarkStart w:id="12" w:name="criterion3a"/>
      <w:bookmarkStart w:id="13" w:name="criterion3a2"/>
      <w:r>
        <w:rPr>
          <w:rFonts w:eastAsia="Times New Roman"/>
          <w:b/>
          <w:u w:val="single"/>
          <w:lang w:eastAsia="zh-CN"/>
        </w:rPr>
        <w:t>4. a. Contaminants in recycled wood, cork and bamboo</w:t>
      </w:r>
    </w:p>
    <w:p w:rsidR="006B00A6" w:rsidRDefault="006B00A6" w:rsidP="006B00A6">
      <w:pPr>
        <w:autoSpaceDE w:val="0"/>
        <w:autoSpaceDN w:val="0"/>
        <w:adjustRightInd w:val="0"/>
        <w:spacing w:after="0"/>
        <w:rPr>
          <w:rFonts w:eastAsia="Times New Roman"/>
          <w:lang w:eastAsia="zh-CN"/>
        </w:rPr>
      </w:pPr>
      <w:r>
        <w:rPr>
          <w:rFonts w:eastAsia="Times New Roman"/>
          <w:lang w:eastAsia="en-GB"/>
        </w:rPr>
        <w:t>Any recycled fibres or chips</w:t>
      </w:r>
      <w:r>
        <w:rPr>
          <w:rFonts w:eastAsia="Times New Roman"/>
          <w:lang w:eastAsia="zh-CN"/>
        </w:rPr>
        <w:t xml:space="preserve"> used in the manufacture of the final floor covering product shall be tested in accordance with the European Panel Federation (EPF) standard for delivery conditions of recycled wood</w:t>
      </w:r>
      <w:r>
        <w:rPr>
          <w:vertAlign w:val="superscript"/>
        </w:rPr>
        <w:footnoteReference w:id="16"/>
      </w:r>
      <w:r>
        <w:rPr>
          <w:rFonts w:eastAsia="Times New Roman"/>
          <w:lang w:eastAsia="zh-CN"/>
        </w:rPr>
        <w:t xml:space="preserve"> or with another equivalent standard that has equal or stricter limits, and shall comply with the limits for contaminants as listed in Table 4.1. </w:t>
      </w:r>
      <w:bookmarkEnd w:id="11"/>
      <w:bookmarkEnd w:id="12"/>
    </w:p>
    <w:p w:rsidR="006B00A6" w:rsidRDefault="006B00A6" w:rsidP="006B00A6">
      <w:pPr>
        <w:autoSpaceDE w:val="0"/>
        <w:autoSpaceDN w:val="0"/>
        <w:adjustRightInd w:val="0"/>
        <w:spacing w:after="0"/>
        <w:jc w:val="center"/>
        <w:rPr>
          <w:rFonts w:eastAsia="Times New Roman"/>
          <w:b/>
          <w:lang w:eastAsia="es-ES"/>
        </w:rPr>
      </w:pPr>
      <w:bookmarkStart w:id="14" w:name="criterion3a3"/>
      <w:bookmarkEnd w:id="13"/>
      <w:r>
        <w:rPr>
          <w:rFonts w:eastAsia="Times New Roman"/>
          <w:b/>
          <w:lang w:eastAsia="es-ES"/>
        </w:rPr>
        <w:t>Table 4.1. Limits for contaminants in recycled wood, cork, bamboo and their fibres or chips (mg/kg dry recycled material)</w:t>
      </w:r>
    </w:p>
    <w:tbl>
      <w:tblPr>
        <w:tblW w:w="7693"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2021"/>
        <w:gridCol w:w="1549"/>
        <w:gridCol w:w="2574"/>
        <w:gridCol w:w="1549"/>
      </w:tblGrid>
      <w:tr w:rsidR="006B00A6" w:rsidTr="006B00A6">
        <w:trPr>
          <w:trHeight w:val="189"/>
          <w:jc w:val="center"/>
        </w:trPr>
        <w:tc>
          <w:tcPr>
            <w:tcW w:w="2021"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b/>
                <w:strike/>
                <w:sz w:val="22"/>
              </w:rPr>
            </w:pPr>
            <w:r>
              <w:rPr>
                <w:rFonts w:eastAsia="Times New Roman"/>
                <w:b/>
              </w:rPr>
              <w:t>Contaminants</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b/>
                <w:sz w:val="22"/>
              </w:rPr>
            </w:pPr>
            <w:r>
              <w:rPr>
                <w:rFonts w:eastAsia="Times New Roman"/>
                <w:b/>
              </w:rPr>
              <w:t xml:space="preserve">Limit values </w:t>
            </w:r>
          </w:p>
        </w:tc>
        <w:tc>
          <w:tcPr>
            <w:tcW w:w="2574"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b/>
                <w:sz w:val="22"/>
              </w:rPr>
            </w:pPr>
            <w:r>
              <w:rPr>
                <w:rFonts w:eastAsia="Times New Roman"/>
                <w:b/>
              </w:rPr>
              <w:t>Contaminants</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b/>
                <w:sz w:val="22"/>
              </w:rPr>
            </w:pPr>
            <w:r>
              <w:rPr>
                <w:rFonts w:eastAsia="Times New Roman"/>
                <w:b/>
              </w:rPr>
              <w:t xml:space="preserve">Limit values </w:t>
            </w:r>
          </w:p>
        </w:tc>
      </w:tr>
      <w:tr w:rsidR="006B00A6" w:rsidTr="006B00A6">
        <w:trPr>
          <w:trHeight w:val="170"/>
          <w:jc w:val="center"/>
        </w:trPr>
        <w:tc>
          <w:tcPr>
            <w:tcW w:w="2021"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Arsenic (As)</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25</w:t>
            </w:r>
          </w:p>
        </w:tc>
        <w:tc>
          <w:tcPr>
            <w:tcW w:w="2574"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Mercury (Hg)</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25</w:t>
            </w:r>
          </w:p>
        </w:tc>
      </w:tr>
      <w:tr w:rsidR="006B00A6" w:rsidTr="006B00A6">
        <w:trPr>
          <w:trHeight w:val="170"/>
          <w:jc w:val="center"/>
        </w:trPr>
        <w:tc>
          <w:tcPr>
            <w:tcW w:w="2021"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Cadmium (Cd)</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50</w:t>
            </w:r>
          </w:p>
        </w:tc>
        <w:tc>
          <w:tcPr>
            <w:tcW w:w="2574"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Fluorine (F)</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100</w:t>
            </w:r>
          </w:p>
        </w:tc>
      </w:tr>
      <w:tr w:rsidR="006B00A6" w:rsidTr="006B00A6">
        <w:trPr>
          <w:trHeight w:val="170"/>
          <w:jc w:val="center"/>
        </w:trPr>
        <w:tc>
          <w:tcPr>
            <w:tcW w:w="2021"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Chromium (Cr)</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25</w:t>
            </w:r>
          </w:p>
        </w:tc>
        <w:tc>
          <w:tcPr>
            <w:tcW w:w="2574"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Chlorine (Cl)</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1000</w:t>
            </w:r>
          </w:p>
        </w:tc>
      </w:tr>
      <w:tr w:rsidR="006B00A6" w:rsidTr="006B00A6">
        <w:trPr>
          <w:trHeight w:val="170"/>
          <w:jc w:val="center"/>
        </w:trPr>
        <w:tc>
          <w:tcPr>
            <w:tcW w:w="2021"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Copper (Cu)</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40</w:t>
            </w:r>
          </w:p>
        </w:tc>
        <w:tc>
          <w:tcPr>
            <w:tcW w:w="2574"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Pentachlorophenol (PCP)</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5</w:t>
            </w:r>
          </w:p>
        </w:tc>
      </w:tr>
      <w:tr w:rsidR="006B00A6" w:rsidTr="006B00A6">
        <w:trPr>
          <w:trHeight w:val="170"/>
          <w:jc w:val="center"/>
        </w:trPr>
        <w:tc>
          <w:tcPr>
            <w:tcW w:w="2021"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Lead (Pb)</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90</w:t>
            </w:r>
          </w:p>
        </w:tc>
        <w:tc>
          <w:tcPr>
            <w:tcW w:w="2574"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rPr>
                <w:rFonts w:eastAsia="Times New Roman"/>
                <w:sz w:val="22"/>
              </w:rPr>
            </w:pPr>
            <w:r>
              <w:rPr>
                <w:rFonts w:eastAsia="Times New Roman"/>
              </w:rPr>
              <w:t>Tar oils (benzo(a)pyrene)</w:t>
            </w:r>
          </w:p>
        </w:tc>
        <w:tc>
          <w:tcPr>
            <w:tcW w:w="1549" w:type="dxa"/>
            <w:tcBorders>
              <w:top w:val="outset" w:sz="6" w:space="0" w:color="auto"/>
              <w:left w:val="outset" w:sz="6" w:space="0" w:color="auto"/>
              <w:bottom w:val="outset" w:sz="6" w:space="0" w:color="auto"/>
              <w:right w:val="outset" w:sz="6" w:space="0" w:color="auto"/>
            </w:tcBorders>
            <w:vAlign w:val="center"/>
            <w:hideMark/>
          </w:tcPr>
          <w:p w:rsidR="006B00A6" w:rsidRDefault="006B00A6">
            <w:pPr>
              <w:spacing w:after="0"/>
              <w:contextualSpacing/>
              <w:jc w:val="center"/>
              <w:rPr>
                <w:rFonts w:eastAsia="Times New Roman"/>
                <w:sz w:val="22"/>
              </w:rPr>
            </w:pPr>
            <w:r>
              <w:rPr>
                <w:rFonts w:eastAsia="Times New Roman"/>
              </w:rPr>
              <w:t>0.5</w:t>
            </w:r>
          </w:p>
        </w:tc>
      </w:tr>
    </w:tbl>
    <w:bookmarkEnd w:id="14"/>
    <w:p w:rsidR="006B00A6" w:rsidRDefault="006B00A6" w:rsidP="006B00A6">
      <w:pPr>
        <w:spacing w:after="0"/>
        <w:rPr>
          <w:rFonts w:eastAsia="Times New Roman"/>
          <w:b/>
          <w:i/>
          <w:sz w:val="22"/>
        </w:rPr>
      </w:pPr>
      <w:r>
        <w:rPr>
          <w:rFonts w:eastAsia="Times New Roman"/>
          <w:b/>
          <w:i/>
        </w:rPr>
        <w:t>Assessment and verification</w:t>
      </w:r>
    </w:p>
    <w:p w:rsidR="006B00A6" w:rsidRDefault="006B00A6" w:rsidP="006B00A6">
      <w:pPr>
        <w:spacing w:after="0"/>
        <w:rPr>
          <w:rFonts w:eastAsia="Times New Roman"/>
        </w:rPr>
      </w:pPr>
      <w:r>
        <w:rPr>
          <w:rFonts w:eastAsia="Times New Roman"/>
        </w:rPr>
        <w:lastRenderedPageBreak/>
        <w:t xml:space="preserve">The applicant shall provide to the competent body: </w:t>
      </w:r>
    </w:p>
    <w:p w:rsidR="006B00A6" w:rsidRDefault="006B00A6" w:rsidP="00AC318D">
      <w:pPr>
        <w:numPr>
          <w:ilvl w:val="0"/>
          <w:numId w:val="26"/>
        </w:numPr>
        <w:spacing w:after="0"/>
        <w:contextualSpacing/>
        <w:rPr>
          <w:rFonts w:eastAsia="Times New Roman"/>
        </w:rPr>
      </w:pPr>
      <w:r>
        <w:rPr>
          <w:rFonts w:eastAsia="Times New Roman"/>
        </w:rPr>
        <w:t>a declaration from the manufacturer or the panel supplier, as appropriate, that no recycled wood, cork, bamboo or their fibres or chips were used in the floor covering, or</w:t>
      </w:r>
    </w:p>
    <w:p w:rsidR="006B00A6" w:rsidRDefault="006B00A6" w:rsidP="00AC318D">
      <w:pPr>
        <w:numPr>
          <w:ilvl w:val="0"/>
          <w:numId w:val="26"/>
        </w:numPr>
        <w:spacing w:after="0"/>
        <w:contextualSpacing/>
        <w:rPr>
          <w:rFonts w:eastAsia="Times New Roman"/>
        </w:rPr>
      </w:pPr>
      <w:r>
        <w:rPr>
          <w:rFonts w:eastAsia="Times New Roman"/>
        </w:rPr>
        <w:t xml:space="preserve">a </w:t>
      </w:r>
      <w:r>
        <w:rPr>
          <w:rFonts w:eastAsia="Times New Roman"/>
          <w:lang w:eastAsia="en-GB"/>
        </w:rPr>
        <w:t xml:space="preserve">declaration from </w:t>
      </w:r>
      <w:r>
        <w:rPr>
          <w:rFonts w:eastAsia="Times New Roman"/>
        </w:rPr>
        <w:t xml:space="preserve">the manufacturer or the panel supplier, as appropriate, </w:t>
      </w:r>
      <w:r>
        <w:rPr>
          <w:rFonts w:eastAsia="Times New Roman"/>
          <w:lang w:eastAsia="en-GB"/>
        </w:rPr>
        <w:t>that all recycled</w:t>
      </w:r>
      <w:r>
        <w:rPr>
          <w:rFonts w:eastAsia="Times New Roman"/>
        </w:rPr>
        <w:t xml:space="preserve"> wood, cork, bamboo or their fibres or chips used have been representatively tested in accordance with the EPF standard for delivery conditions of recycled wood or with another equivalent standard that has equal or stricter limits, supported by test reports that demonstrate compliance of the recycled samples with the limits specified in Table 4.1</w:t>
      </w:r>
      <w:bookmarkStart w:id="15" w:name="criterion3a4"/>
      <w:r>
        <w:rPr>
          <w:rFonts w:eastAsia="Times New Roman"/>
        </w:rPr>
        <w:t>.</w:t>
      </w:r>
    </w:p>
    <w:p w:rsidR="006B00A6" w:rsidRDefault="006B00A6" w:rsidP="006B00A6">
      <w:pPr>
        <w:keepNext/>
        <w:spacing w:after="0"/>
        <w:ind w:left="1418" w:hanging="1418"/>
        <w:outlineLvl w:val="3"/>
        <w:rPr>
          <w:rFonts w:eastAsia="Times New Roman"/>
          <w:b/>
          <w:sz w:val="18"/>
          <w:u w:val="single"/>
          <w:vertAlign w:val="superscript"/>
          <w:lang w:val="en-US" w:eastAsia="es-ES"/>
        </w:rPr>
      </w:pPr>
      <w:bookmarkStart w:id="16" w:name="criterion3c"/>
      <w:bookmarkEnd w:id="15"/>
      <w:r>
        <w:rPr>
          <w:rFonts w:eastAsia="Times New Roman"/>
          <w:b/>
          <w:u w:val="single"/>
          <w:lang w:val="en-US" w:eastAsia="es-ES"/>
        </w:rPr>
        <w:t>4.b. Biocidal products</w:t>
      </w:r>
    </w:p>
    <w:p w:rsidR="006B00A6" w:rsidRDefault="006B00A6" w:rsidP="006B00A6">
      <w:pPr>
        <w:autoSpaceDE w:val="0"/>
        <w:autoSpaceDN w:val="0"/>
        <w:adjustRightInd w:val="0"/>
        <w:spacing w:after="0"/>
        <w:rPr>
          <w:rFonts w:eastAsia="Times New Roman"/>
          <w:sz w:val="22"/>
        </w:rPr>
      </w:pPr>
      <w:r>
        <w:rPr>
          <w:rFonts w:eastAsia="Times New Roman"/>
        </w:rPr>
        <w:t>The treatment of wood, cork and/or bamboo of the floor coverings with biocidal products shall not be permitted.</w:t>
      </w:r>
    </w:p>
    <w:p w:rsidR="006B00A6" w:rsidRDefault="006B00A6" w:rsidP="006B00A6">
      <w:pPr>
        <w:spacing w:after="0"/>
        <w:rPr>
          <w:rFonts w:eastAsia="Times New Roman"/>
        </w:rPr>
      </w:pPr>
      <w:r>
        <w:rPr>
          <w:rFonts w:eastAsia="Times New Roman"/>
        </w:rPr>
        <w:t>Active substances, other than blend (3:1) of chloromethylisothiazolinone (CMIT CAS No 26172-55-4) and methylisothiazolinone (MIT CAS No 2682-20-4), used for in-can preservation of water-based mixtures such as adhesives or lacquers shall however be exempt from this requirement.</w:t>
      </w:r>
    </w:p>
    <w:p w:rsidR="006B00A6" w:rsidRDefault="006B00A6" w:rsidP="006B00A6">
      <w:pPr>
        <w:spacing w:after="0"/>
        <w:rPr>
          <w:rFonts w:eastAsia="Times New Roman"/>
        </w:rPr>
      </w:pPr>
      <w:r>
        <w:rPr>
          <w:rFonts w:eastAsia="Times New Roman"/>
        </w:rPr>
        <w:t>Among active substances exempted from this requirement, methylisothiazolinone shall not be included in the adhesive, resin or surface treatment at a concentration above 200 ppm; other isothiazolines at a concentration above 500 ppm.</w:t>
      </w:r>
    </w:p>
    <w:p w:rsidR="006B00A6" w:rsidRDefault="006B00A6" w:rsidP="006B00A6">
      <w:pPr>
        <w:spacing w:after="0"/>
        <w:rPr>
          <w:rFonts w:eastAsia="Times New Roman"/>
        </w:rPr>
      </w:pPr>
      <w:r>
        <w:rPr>
          <w:rFonts w:eastAsia="Times New Roman"/>
          <w:b/>
          <w:i/>
        </w:rPr>
        <w:t>Assessment and verification</w:t>
      </w:r>
    </w:p>
    <w:p w:rsidR="006B00A6" w:rsidRDefault="006B00A6" w:rsidP="006B00A6">
      <w:pPr>
        <w:spacing w:after="0"/>
        <w:rPr>
          <w:rFonts w:eastAsia="Times New Roman"/>
        </w:rPr>
      </w:pPr>
      <w:r>
        <w:rPr>
          <w:rFonts w:eastAsia="Times New Roman"/>
        </w:rPr>
        <w:t>The applicant shall provide to the competent body a declaration of non-use of biocidal products or, if applicable, a declaration supported by an SDS from the water-based mixtures' suppliers stating what active substances have been used as in-can preservatives for the water-based mixtures.</w:t>
      </w:r>
    </w:p>
    <w:p w:rsidR="006B00A6" w:rsidRDefault="006B00A6" w:rsidP="006B00A6">
      <w:pPr>
        <w:autoSpaceDE w:val="0"/>
        <w:autoSpaceDN w:val="0"/>
        <w:adjustRightInd w:val="0"/>
        <w:spacing w:after="0"/>
        <w:rPr>
          <w:rFonts w:eastAsia="Times New Roman"/>
          <w:b/>
          <w:u w:val="single"/>
          <w:lang w:eastAsia="es-ES"/>
        </w:rPr>
      </w:pPr>
      <w:bookmarkStart w:id="17" w:name="criterion3f"/>
      <w:bookmarkEnd w:id="16"/>
      <w:r>
        <w:rPr>
          <w:rFonts w:eastAsia="Times New Roman"/>
          <w:b/>
          <w:u w:val="single"/>
          <w:lang w:eastAsia="es-ES"/>
        </w:rPr>
        <w:t>4.c. Heavy metals in paints, primers and varnishes</w:t>
      </w:r>
    </w:p>
    <w:p w:rsidR="006B00A6" w:rsidRDefault="006B00A6" w:rsidP="006B00A6">
      <w:pPr>
        <w:autoSpaceDE w:val="0"/>
        <w:autoSpaceDN w:val="0"/>
        <w:adjustRightInd w:val="0"/>
        <w:spacing w:after="0"/>
        <w:rPr>
          <w:rFonts w:eastAsia="Times New Roman"/>
          <w:lang w:eastAsia="es-ES"/>
        </w:rPr>
      </w:pPr>
      <w:r>
        <w:rPr>
          <w:rFonts w:eastAsia="Times New Roman"/>
          <w:lang w:eastAsia="es-ES"/>
        </w:rPr>
        <w:t xml:space="preserve">Any paints, primers or varnishes used on wood, wood-based, cork, cork-based, bamboo or bamboo-based materials shall not contain substances based on the following metals: cadmium, lead, chromium VI, mercury, arsenic or selenium at concentrations exceeding 0,010% (weight by weight) for each individual metal in the in-can paint, primer or varnish formulation. </w:t>
      </w:r>
    </w:p>
    <w:p w:rsidR="006B00A6" w:rsidRDefault="006B00A6" w:rsidP="006B00A6">
      <w:pPr>
        <w:autoSpaceDE w:val="0"/>
        <w:autoSpaceDN w:val="0"/>
        <w:adjustRightInd w:val="0"/>
        <w:spacing w:after="0"/>
        <w:rPr>
          <w:rFonts w:eastAsia="Times New Roman"/>
          <w:b/>
          <w:i/>
          <w:lang w:eastAsia="es-ES"/>
        </w:rPr>
      </w:pPr>
      <w:r>
        <w:rPr>
          <w:rFonts w:eastAsia="Times New Roman"/>
          <w:b/>
          <w:i/>
          <w:lang w:eastAsia="es-ES"/>
        </w:rPr>
        <w:t>Assessment and verification</w:t>
      </w:r>
    </w:p>
    <w:p w:rsidR="006B00A6" w:rsidRDefault="006B00A6" w:rsidP="006B00A6">
      <w:pPr>
        <w:autoSpaceDE w:val="0"/>
        <w:autoSpaceDN w:val="0"/>
        <w:adjustRightInd w:val="0"/>
        <w:spacing w:after="0"/>
        <w:rPr>
          <w:rFonts w:eastAsia="Times New Roman"/>
          <w:lang w:eastAsia="es-ES"/>
        </w:rPr>
      </w:pPr>
      <w:r>
        <w:rPr>
          <w:rFonts w:eastAsia="Times New Roman"/>
          <w:lang w:eastAsia="es-ES"/>
        </w:rPr>
        <w:t>The applicant or his supplier, as appropriate, shall provide to the competent body a declaration of compliance with this criterion and provide the respective SDS from the suppliers of the paints, primers and varnished used.</w:t>
      </w:r>
    </w:p>
    <w:p w:rsidR="006B00A6" w:rsidRDefault="006B00A6" w:rsidP="006B00A6">
      <w:pPr>
        <w:keepNext/>
        <w:spacing w:after="0"/>
        <w:outlineLvl w:val="3"/>
        <w:rPr>
          <w:rFonts w:eastAsia="Times New Roman"/>
          <w:b/>
          <w:u w:val="single"/>
          <w:lang w:eastAsia="zh-CN"/>
        </w:rPr>
      </w:pPr>
      <w:r>
        <w:rPr>
          <w:rFonts w:eastAsia="Times New Roman"/>
          <w:b/>
          <w:strike/>
          <w:u w:val="single"/>
          <w:lang w:eastAsia="zh-CN"/>
        </w:rPr>
        <w:t>4</w:t>
      </w:r>
      <w:r>
        <w:rPr>
          <w:rFonts w:eastAsia="Times New Roman"/>
          <w:b/>
          <w:u w:val="single"/>
          <w:lang w:eastAsia="zh-CN"/>
        </w:rPr>
        <w:t>. d. VOC content in surface treatment</w:t>
      </w:r>
    </w:p>
    <w:p w:rsidR="006B00A6" w:rsidRDefault="006B00A6" w:rsidP="006B00A6">
      <w:pPr>
        <w:spacing w:after="0"/>
        <w:rPr>
          <w:rFonts w:eastAsia="Times New Roman"/>
        </w:rPr>
      </w:pPr>
      <w:r>
        <w:rPr>
          <w:rFonts w:eastAsia="Times New Roman"/>
        </w:rPr>
        <w:t>Surface treatment products used on wood, wood-based, cork, cork-based, bamboo or bamboo-based materials shall have either of the following:</w:t>
      </w:r>
    </w:p>
    <w:p w:rsidR="006B00A6" w:rsidRDefault="006B00A6" w:rsidP="00AC318D">
      <w:pPr>
        <w:numPr>
          <w:ilvl w:val="0"/>
          <w:numId w:val="27"/>
        </w:numPr>
        <w:autoSpaceDE w:val="0"/>
        <w:autoSpaceDN w:val="0"/>
        <w:adjustRightInd w:val="0"/>
        <w:spacing w:after="0"/>
        <w:contextualSpacing/>
        <w:rPr>
          <w:rFonts w:eastAsia="Times New Roman"/>
        </w:rPr>
      </w:pPr>
      <w:r>
        <w:rPr>
          <w:rFonts w:eastAsia="Times New Roman"/>
        </w:rPr>
        <w:t>a total VOC content of less than or equal to 5% weight by weight (in-can substance concentration);</w:t>
      </w:r>
    </w:p>
    <w:p w:rsidR="006B00A6" w:rsidRDefault="006B00A6" w:rsidP="00AC318D">
      <w:pPr>
        <w:numPr>
          <w:ilvl w:val="0"/>
          <w:numId w:val="27"/>
        </w:numPr>
        <w:autoSpaceDE w:val="0"/>
        <w:autoSpaceDN w:val="0"/>
        <w:adjustRightInd w:val="0"/>
        <w:spacing w:after="0"/>
        <w:contextualSpacing/>
        <w:rPr>
          <w:rFonts w:eastAsia="Times New Roman"/>
        </w:rPr>
      </w:pPr>
      <w:r>
        <w:rPr>
          <w:rFonts w:eastAsia="Times New Roman"/>
        </w:rPr>
        <w:t>a total VOC content greater than 5% weight by weight provided that they are shown to be applied in quantities that amount to less than 10 g/m</w:t>
      </w:r>
      <w:r>
        <w:rPr>
          <w:rFonts w:eastAsia="Times New Roman"/>
          <w:vertAlign w:val="superscript"/>
        </w:rPr>
        <w:t>2</w:t>
      </w:r>
      <w:r>
        <w:rPr>
          <w:rFonts w:eastAsia="Times New Roman"/>
        </w:rPr>
        <w:t xml:space="preserve"> of treated surface area.</w:t>
      </w:r>
    </w:p>
    <w:p w:rsidR="006B00A6" w:rsidRDefault="006B00A6" w:rsidP="006B00A6">
      <w:pPr>
        <w:autoSpaceDE w:val="0"/>
        <w:autoSpaceDN w:val="0"/>
        <w:adjustRightInd w:val="0"/>
        <w:spacing w:after="0"/>
        <w:rPr>
          <w:rFonts w:eastAsia="Times New Roman"/>
        </w:rPr>
      </w:pPr>
      <w:r>
        <w:rPr>
          <w:rFonts w:eastAsia="Times New Roman"/>
        </w:rPr>
        <w:t xml:space="preserve">The criterion relates to the total VOC in the surface treatment products with the chemical composition they have in wet form. If the products require dilution before use, the calculation is to be based on the content in the diluted product. </w:t>
      </w:r>
    </w:p>
    <w:p w:rsidR="006B00A6" w:rsidRDefault="006B00A6" w:rsidP="006B00A6">
      <w:pPr>
        <w:spacing w:after="0"/>
        <w:rPr>
          <w:rFonts w:eastAsia="Times New Roman"/>
          <w:b/>
          <w:i/>
        </w:rPr>
      </w:pPr>
      <w:r>
        <w:rPr>
          <w:rFonts w:eastAsia="Times New Roman"/>
        </w:rPr>
        <w:lastRenderedPageBreak/>
        <w:t>This criterion does not apply to mixtures used for repairing (e.g. knots, checks, dents, etc.) during the manufacturing process.</w:t>
      </w:r>
      <w:r>
        <w:rPr>
          <w:rFonts w:eastAsia="Times New Roman"/>
          <w:b/>
          <w:i/>
        </w:rPr>
        <w:t xml:space="preserve"> </w:t>
      </w:r>
    </w:p>
    <w:p w:rsidR="006B00A6" w:rsidRDefault="006B00A6" w:rsidP="006B00A6">
      <w:pPr>
        <w:autoSpaceDE w:val="0"/>
        <w:autoSpaceDN w:val="0"/>
        <w:adjustRightInd w:val="0"/>
        <w:spacing w:after="0"/>
        <w:rPr>
          <w:rFonts w:eastAsia="Times New Roman"/>
          <w:b/>
          <w:i/>
          <w:lang w:eastAsia="es-ES"/>
        </w:rPr>
      </w:pPr>
      <w:r>
        <w:rPr>
          <w:rFonts w:eastAsia="Times New Roman"/>
          <w:b/>
          <w:i/>
          <w:lang w:eastAsia="es-ES"/>
        </w:rPr>
        <w:t>Assessment and verification</w:t>
      </w:r>
    </w:p>
    <w:p w:rsidR="006B00A6" w:rsidRDefault="006B00A6" w:rsidP="006B00A6">
      <w:pPr>
        <w:spacing w:after="0"/>
        <w:rPr>
          <w:rFonts w:eastAsia="Times New Roman"/>
        </w:rPr>
      </w:pPr>
      <w:r>
        <w:rPr>
          <w:rFonts w:eastAsia="Times New Roman"/>
        </w:rPr>
        <w:t>The applicant shall  provide to the competent body a declaration of compliance with this criterion supported by the SDS of any surface treatment substances or mixtures used on wood, wood-based, cork, cork-based, bamboo or/and bamboo-based materials. If the SDS states that the VOC content of the surface treatment</w:t>
      </w:r>
      <w:r>
        <w:rPr>
          <w:rFonts w:eastAsia="Times New Roman"/>
          <w:strike/>
        </w:rPr>
        <w:t xml:space="preserve"> </w:t>
      </w:r>
      <w:r>
        <w:rPr>
          <w:rFonts w:eastAsia="Times New Roman"/>
        </w:rPr>
        <w:t xml:space="preserve">substances or mixtures used is less than or equal to 5% weight by weight, no further verification shall be necessary. </w:t>
      </w:r>
    </w:p>
    <w:p w:rsidR="006B00A6" w:rsidRDefault="006B00A6" w:rsidP="006B00A6">
      <w:pPr>
        <w:spacing w:after="0"/>
        <w:rPr>
          <w:rFonts w:eastAsia="Times New Roman"/>
          <w:strike/>
        </w:rPr>
      </w:pPr>
      <w:r>
        <w:rPr>
          <w:rFonts w:eastAsia="Times New Roman"/>
        </w:rPr>
        <w:t>Should the VOC content information not be included in the SDS, the VOC content shall be calculated from the list of substances in the surface treatment mixture. The concentration of each VOC ingredient shall be stated as a percentage by weight.</w:t>
      </w:r>
    </w:p>
    <w:p w:rsidR="006B00A6" w:rsidRDefault="006B00A6" w:rsidP="006B00A6">
      <w:pPr>
        <w:spacing w:after="0"/>
        <w:rPr>
          <w:rFonts w:eastAsia="Times New Roman"/>
        </w:rPr>
      </w:pPr>
      <w:r>
        <w:rPr>
          <w:rFonts w:eastAsia="Times New Roman"/>
        </w:rPr>
        <w:t>Alternatively, if the VOC content is higher than 5% weight by weight, the applicant shall provide a calculation demonstrating that the effective quantity of VOC applied per m</w:t>
      </w:r>
      <w:r>
        <w:rPr>
          <w:rFonts w:eastAsia="Times New Roman"/>
          <w:vertAlign w:val="superscript"/>
        </w:rPr>
        <w:t>2</w:t>
      </w:r>
      <w:r>
        <w:rPr>
          <w:rFonts w:eastAsia="Times New Roman"/>
        </w:rPr>
        <w:t xml:space="preserve"> of the treated surface area of the floor covering is less than 10 g /m</w:t>
      </w:r>
      <w:r>
        <w:rPr>
          <w:rFonts w:eastAsia="Times New Roman"/>
          <w:vertAlign w:val="superscript"/>
        </w:rPr>
        <w:t>2</w:t>
      </w:r>
      <w:r>
        <w:rPr>
          <w:rFonts w:eastAsia="Times New Roman"/>
        </w:rPr>
        <w:t>, in accordance with the guidance provided in Appendix I.</w:t>
      </w:r>
    </w:p>
    <w:bookmarkEnd w:id="17"/>
    <w:p w:rsidR="006B00A6" w:rsidRDefault="006B00A6" w:rsidP="006B00A6">
      <w:pPr>
        <w:keepNext/>
        <w:spacing w:after="0"/>
        <w:outlineLvl w:val="3"/>
        <w:rPr>
          <w:rFonts w:eastAsia="Times New Roman"/>
          <w:b/>
          <w:u w:val="single"/>
          <w:lang w:eastAsia="zh-CN"/>
        </w:rPr>
      </w:pPr>
      <w:r>
        <w:rPr>
          <w:rFonts w:eastAsia="Times New Roman"/>
          <w:b/>
          <w:u w:val="single"/>
          <w:lang w:eastAsia="zh-CN"/>
        </w:rPr>
        <w:t xml:space="preserve">4.e. VOCs content in other used substances and mixtures </w:t>
      </w:r>
    </w:p>
    <w:p w:rsidR="006B00A6" w:rsidRDefault="006B00A6" w:rsidP="006B00A6">
      <w:pPr>
        <w:spacing w:after="0"/>
        <w:rPr>
          <w:rFonts w:eastAsia="Times New Roman"/>
        </w:rPr>
      </w:pPr>
      <w:r>
        <w:rPr>
          <w:rFonts w:eastAsia="Times New Roman"/>
        </w:rPr>
        <w:t xml:space="preserve">VOC content shall be less than: </w:t>
      </w:r>
    </w:p>
    <w:p w:rsidR="006B00A6" w:rsidRDefault="006B00A6" w:rsidP="00AC318D">
      <w:pPr>
        <w:numPr>
          <w:ilvl w:val="0"/>
          <w:numId w:val="28"/>
        </w:numPr>
        <w:spacing w:after="0"/>
        <w:contextualSpacing/>
        <w:rPr>
          <w:rFonts w:eastAsia="Times New Roman"/>
        </w:rPr>
      </w:pPr>
      <w:r>
        <w:rPr>
          <w:rFonts w:eastAsia="Times New Roman"/>
        </w:rPr>
        <w:t>3% weight by weight in both in-can adhesives and resins used in manufacturing of the floor coverings;</w:t>
      </w:r>
    </w:p>
    <w:p w:rsidR="006B00A6" w:rsidRDefault="006B00A6" w:rsidP="00AC318D">
      <w:pPr>
        <w:numPr>
          <w:ilvl w:val="0"/>
          <w:numId w:val="28"/>
        </w:numPr>
        <w:spacing w:after="0"/>
        <w:contextualSpacing/>
        <w:rPr>
          <w:rFonts w:eastAsia="Times New Roman"/>
        </w:rPr>
      </w:pPr>
      <w:r>
        <w:rPr>
          <w:rFonts w:eastAsia="Times New Roman"/>
        </w:rPr>
        <w:t>1% weight by weight in other substances apart from in-can adhesives, resins and surface treatment (criterion 4.d) used in manufacturing of the floor coverings.</w:t>
      </w:r>
    </w:p>
    <w:p w:rsidR="006B00A6" w:rsidRDefault="006B00A6" w:rsidP="006B00A6">
      <w:pPr>
        <w:spacing w:after="0"/>
        <w:rPr>
          <w:rFonts w:eastAsia="Times New Roman"/>
        </w:rPr>
      </w:pPr>
      <w:r>
        <w:rPr>
          <w:rFonts w:eastAsia="Times New Roman"/>
        </w:rPr>
        <w:t>Free-formaldehyde of liquid aminoplast resins used in the manufacturing of the floor coverings shall be less than 0,2% weight by weight.</w:t>
      </w:r>
    </w:p>
    <w:p w:rsidR="006B00A6" w:rsidRDefault="006B00A6" w:rsidP="006B00A6">
      <w:pPr>
        <w:autoSpaceDE w:val="0"/>
        <w:autoSpaceDN w:val="0"/>
        <w:adjustRightInd w:val="0"/>
        <w:spacing w:after="0"/>
        <w:rPr>
          <w:rFonts w:eastAsia="Times New Roman"/>
        </w:rPr>
      </w:pPr>
      <w:r>
        <w:rPr>
          <w:rFonts w:eastAsia="Times New Roman"/>
        </w:rPr>
        <w:t xml:space="preserve">The criterion relates to the total VOC in the substances with the chemical composition they have in wet form. If the mixtures require dilution prior to use, the calculation is to be based on the content in the diluted product. </w:t>
      </w:r>
    </w:p>
    <w:p w:rsidR="006B00A6" w:rsidRDefault="006B00A6" w:rsidP="006B00A6">
      <w:pPr>
        <w:spacing w:after="0"/>
        <w:rPr>
          <w:rFonts w:eastAsia="Times New Roman"/>
          <w:b/>
          <w:i/>
        </w:rPr>
      </w:pPr>
      <w:r>
        <w:rPr>
          <w:rFonts w:eastAsia="Times New Roman"/>
        </w:rPr>
        <w:t>This criterion does not apply to mixtures used for repairing (e.g. knots, checks, dents, etc.) during the manufacturing process.</w:t>
      </w:r>
      <w:r>
        <w:rPr>
          <w:rFonts w:eastAsia="Times New Roman"/>
          <w:b/>
          <w:i/>
        </w:rPr>
        <w:t xml:space="preserve"> </w:t>
      </w:r>
    </w:p>
    <w:p w:rsidR="006B00A6" w:rsidRDefault="006B00A6" w:rsidP="006B00A6">
      <w:pPr>
        <w:spacing w:after="0"/>
        <w:rPr>
          <w:rFonts w:eastAsia="Times New Roman"/>
        </w:rPr>
      </w:pPr>
      <w:r>
        <w:rPr>
          <w:rFonts w:eastAsia="Times New Roman"/>
          <w:b/>
          <w:i/>
        </w:rPr>
        <w:t>Assessment and verification</w:t>
      </w:r>
    </w:p>
    <w:p w:rsidR="006B00A6" w:rsidRDefault="006B00A6" w:rsidP="006B00A6">
      <w:pPr>
        <w:spacing w:after="0"/>
        <w:rPr>
          <w:rFonts w:eastAsia="Times New Roman"/>
        </w:rPr>
      </w:pPr>
      <w:r>
        <w:rPr>
          <w:rFonts w:eastAsia="Times New Roman"/>
        </w:rPr>
        <w:t>The applicant shall provide to the competent body a declaration of compliance with the criterion supported by the SDS of any in-can adhesive, resin or other substances used or equivalent documentation that supports the declaration of compliance, together with a complete recipe with designation of quantities and CAS numbers.</w:t>
      </w:r>
    </w:p>
    <w:p w:rsidR="006B00A6" w:rsidRDefault="006B00A6" w:rsidP="006B00A6">
      <w:pPr>
        <w:spacing w:after="0"/>
        <w:rPr>
          <w:rFonts w:eastAsia="Times New Roman"/>
        </w:rPr>
      </w:pPr>
      <w:r>
        <w:rPr>
          <w:rFonts w:eastAsia="Times New Roman"/>
        </w:rPr>
        <w:t xml:space="preserve">If the SDS states that the VOC content is less than 3% weight by weight of the in-can adhesive and resin used or less than 1% weight by weight of other substances used, no further verification shall be necessary. </w:t>
      </w:r>
    </w:p>
    <w:p w:rsidR="006B00A6" w:rsidRDefault="006B00A6" w:rsidP="006B00A6">
      <w:pPr>
        <w:spacing w:after="0"/>
        <w:rPr>
          <w:rFonts w:eastAsia="Times New Roman"/>
        </w:rPr>
      </w:pPr>
      <w:r>
        <w:rPr>
          <w:rFonts w:eastAsia="Times New Roman"/>
        </w:rPr>
        <w:t xml:space="preserve">Should the VOC content information not be included in the SDS, the VOC content shall be calculated from the list of substances. The concentration of each VOC ingredient shall be stated as a percentage by weight. </w:t>
      </w:r>
    </w:p>
    <w:p w:rsidR="006B00A6" w:rsidRDefault="006B00A6" w:rsidP="006B00A6">
      <w:pPr>
        <w:spacing w:after="0"/>
        <w:rPr>
          <w:rFonts w:eastAsia="Times New Roman"/>
        </w:rPr>
      </w:pPr>
      <w:r>
        <w:rPr>
          <w:rFonts w:eastAsia="Times New Roman"/>
        </w:rPr>
        <w:t>The applicant shall provide test reports demonstrating that the free-formaldehyde content in the liquid aminoplast resins is less than 0,2% weight by weight in accordance with standard EN1243.</w:t>
      </w:r>
    </w:p>
    <w:p w:rsidR="006B00A6" w:rsidRDefault="006B00A6" w:rsidP="006B00A6">
      <w:pPr>
        <w:keepNext/>
        <w:spacing w:after="0"/>
        <w:outlineLvl w:val="3"/>
        <w:rPr>
          <w:rFonts w:eastAsia="Times New Roman"/>
          <w:b/>
          <w:u w:val="single"/>
          <w:lang w:eastAsia="zh-CN"/>
        </w:rPr>
      </w:pPr>
      <w:bookmarkStart w:id="18" w:name="criterion3h"/>
      <w:r>
        <w:rPr>
          <w:rFonts w:eastAsia="Times New Roman"/>
          <w:b/>
          <w:u w:val="single"/>
          <w:lang w:eastAsia="zh-CN"/>
        </w:rPr>
        <w:lastRenderedPageBreak/>
        <w:t>4.f. Plasticisers</w:t>
      </w:r>
    </w:p>
    <w:p w:rsidR="006B00A6" w:rsidRDefault="006B00A6" w:rsidP="006B00A6">
      <w:pPr>
        <w:spacing w:after="0"/>
        <w:rPr>
          <w:rFonts w:eastAsia="Times New Roman"/>
          <w:lang w:eastAsia="zh-CN"/>
        </w:rPr>
      </w:pPr>
      <w:r>
        <w:rPr>
          <w:rFonts w:eastAsia="Times New Roman"/>
          <w:lang w:eastAsia="zh-CN"/>
        </w:rPr>
        <w:t>Any adhesive, resin or surface treatment substance or mixture shall not contain any phthalate plasticisers that are referred to in Article 57 of Regulation (EC) No 1907/2006. The non-presence of these phthalates shall be considered as the total sum of the listed phthalates amounting to less than 0,10% of the adhesive, resin or surface treatment substance or mixture weight (1000 mg/kg).</w:t>
      </w:r>
    </w:p>
    <w:p w:rsidR="006B00A6" w:rsidRDefault="006B00A6" w:rsidP="006B00A6">
      <w:pPr>
        <w:autoSpaceDE w:val="0"/>
        <w:autoSpaceDN w:val="0"/>
        <w:adjustRightInd w:val="0"/>
        <w:spacing w:after="0"/>
        <w:rPr>
          <w:rFonts w:eastAsia="Times New Roman"/>
          <w:b/>
          <w:i/>
          <w:lang w:eastAsia="es-ES"/>
        </w:rPr>
      </w:pPr>
      <w:r>
        <w:rPr>
          <w:rFonts w:eastAsia="Times New Roman"/>
          <w:b/>
          <w:i/>
          <w:lang w:eastAsia="es-ES"/>
        </w:rPr>
        <w:t>Assessment and verification</w:t>
      </w:r>
    </w:p>
    <w:p w:rsidR="006B00A6" w:rsidRDefault="006B00A6" w:rsidP="006B00A6">
      <w:pPr>
        <w:autoSpaceDE w:val="0"/>
        <w:autoSpaceDN w:val="0"/>
        <w:adjustRightInd w:val="0"/>
        <w:spacing w:after="0"/>
        <w:rPr>
          <w:rFonts w:eastAsia="Times New Roman"/>
          <w:lang w:eastAsia="zh-CN"/>
        </w:rPr>
      </w:pPr>
      <w:r>
        <w:rPr>
          <w:rFonts w:eastAsia="Times New Roman"/>
          <w:lang w:eastAsia="zh-CN"/>
        </w:rPr>
        <w:t xml:space="preserve">The applicant shall provide to the competent body either: </w:t>
      </w:r>
    </w:p>
    <w:p w:rsidR="006B00A6" w:rsidRDefault="006B00A6" w:rsidP="00AC318D">
      <w:pPr>
        <w:numPr>
          <w:ilvl w:val="0"/>
          <w:numId w:val="29"/>
        </w:numPr>
        <w:autoSpaceDE w:val="0"/>
        <w:autoSpaceDN w:val="0"/>
        <w:adjustRightInd w:val="0"/>
        <w:spacing w:after="0"/>
        <w:ind w:left="392"/>
        <w:rPr>
          <w:rFonts w:eastAsia="Times New Roman"/>
          <w:lang w:eastAsia="zh-CN"/>
        </w:rPr>
      </w:pPr>
      <w:r>
        <w:rPr>
          <w:rFonts w:eastAsia="Times New Roman"/>
          <w:lang w:eastAsia="zh-CN"/>
        </w:rPr>
        <w:t>a declaration of compliance with the criterion from the supplier or the floor manufacturer stating that phthalate plasticisers were not used, or</w:t>
      </w:r>
    </w:p>
    <w:p w:rsidR="006B00A6" w:rsidRDefault="006B00A6" w:rsidP="00AC318D">
      <w:pPr>
        <w:numPr>
          <w:ilvl w:val="0"/>
          <w:numId w:val="30"/>
        </w:numPr>
        <w:autoSpaceDE w:val="0"/>
        <w:autoSpaceDN w:val="0"/>
        <w:adjustRightInd w:val="0"/>
        <w:spacing w:before="0" w:after="0"/>
        <w:ind w:left="392"/>
        <w:rPr>
          <w:rFonts w:eastAsia="Times New Roman"/>
          <w:lang w:eastAsia="zh-CN"/>
        </w:rPr>
      </w:pPr>
      <w:r>
        <w:rPr>
          <w:rFonts w:eastAsia="Times New Roman"/>
          <w:lang w:eastAsia="zh-CN"/>
        </w:rPr>
        <w:t>a declaration of compliance with the criterion from the supplier or the floor manufacturer stating that phthalate plasticisers were used and that none of the phthalates meeting the criteria of Article 57 of Regulation (EC) No 1907/2006 have been used in the adhesive, resin or surface treatment substance or mixture. In the absence of a suitable declaration, adhesive, resin or surface treatment substance or mixture materials shall be tested for the presence of these phthalates according to the ISO 8214-6 standard.</w:t>
      </w:r>
    </w:p>
    <w:p w:rsidR="006B00A6" w:rsidRDefault="006B00A6" w:rsidP="006B00A6">
      <w:pPr>
        <w:keepNext/>
        <w:spacing w:after="0"/>
        <w:outlineLvl w:val="3"/>
        <w:rPr>
          <w:rFonts w:eastAsia="Times New Roman"/>
          <w:b/>
          <w:u w:val="single"/>
          <w:lang w:eastAsia="zh-CN"/>
        </w:rPr>
      </w:pPr>
      <w:bookmarkStart w:id="19" w:name="criterion3i"/>
      <w:bookmarkStart w:id="20" w:name="criterion3j"/>
      <w:bookmarkEnd w:id="18"/>
      <w:r>
        <w:rPr>
          <w:rFonts w:eastAsia="Times New Roman"/>
          <w:b/>
          <w:u w:val="single"/>
          <w:lang w:eastAsia="zh-CN"/>
        </w:rPr>
        <w:t>4.g. Halogenated organic compounds</w:t>
      </w:r>
    </w:p>
    <w:p w:rsidR="006B00A6" w:rsidRDefault="006B00A6" w:rsidP="006B00A6">
      <w:pPr>
        <w:spacing w:after="0"/>
        <w:rPr>
          <w:rFonts w:eastAsia="Times New Roman"/>
          <w:lang w:eastAsia="zh-CN"/>
        </w:rPr>
      </w:pPr>
      <w:r>
        <w:rPr>
          <w:rFonts w:eastAsia="Times New Roman"/>
          <w:lang w:eastAsia="zh-CN"/>
        </w:rPr>
        <w:t>Halogenated organic compounds shall not be permitted in the substances used in the manufacture of floor coverings (e.g. as binders, adhesives, coatings, etc.).</w:t>
      </w:r>
    </w:p>
    <w:p w:rsidR="006B00A6" w:rsidRDefault="006B00A6" w:rsidP="006B00A6">
      <w:pPr>
        <w:autoSpaceDE w:val="0"/>
        <w:autoSpaceDN w:val="0"/>
        <w:adjustRightInd w:val="0"/>
        <w:spacing w:after="0"/>
        <w:rPr>
          <w:rFonts w:eastAsia="Times New Roman"/>
          <w:b/>
          <w:i/>
          <w:lang w:eastAsia="es-ES"/>
        </w:rPr>
      </w:pPr>
      <w:r>
        <w:rPr>
          <w:rFonts w:eastAsia="Times New Roman"/>
          <w:b/>
          <w:i/>
          <w:lang w:eastAsia="es-ES"/>
        </w:rPr>
        <w:t>Assessment and verification</w:t>
      </w:r>
    </w:p>
    <w:p w:rsidR="006B00A6" w:rsidRDefault="006B00A6" w:rsidP="006B00A6">
      <w:pPr>
        <w:spacing w:after="0"/>
        <w:rPr>
          <w:rFonts w:eastAsia="Times New Roman"/>
          <w:szCs w:val="24"/>
          <w:lang w:eastAsia="zh-CN"/>
        </w:rPr>
      </w:pPr>
      <w:r>
        <w:rPr>
          <w:rFonts w:eastAsia="Times New Roman"/>
          <w:lang w:eastAsia="zh-CN"/>
        </w:rPr>
        <w:t>The applicant shall provide to the competent body a declaration of compliance supported by a declaration of non-use of halogenated organic compounds from the manufacturer of the substances. In addition, the respective SDS of the substances shall be provided.</w:t>
      </w:r>
      <w:bookmarkEnd w:id="19"/>
      <w:bookmarkEnd w:id="20"/>
    </w:p>
    <w:p w:rsidR="006B00A6" w:rsidRDefault="006B00A6" w:rsidP="006B00A6">
      <w:pPr>
        <w:keepNext/>
        <w:spacing w:after="0"/>
        <w:outlineLvl w:val="3"/>
        <w:rPr>
          <w:rFonts w:eastAsia="Times New Roman"/>
          <w:b/>
          <w:u w:val="single"/>
          <w:lang w:eastAsia="zh-CN"/>
        </w:rPr>
      </w:pPr>
      <w:r>
        <w:rPr>
          <w:rFonts w:eastAsia="Times New Roman"/>
          <w:b/>
          <w:strike/>
          <w:u w:val="single"/>
          <w:lang w:eastAsia="zh-CN"/>
        </w:rPr>
        <w:t>4</w:t>
      </w:r>
      <w:r>
        <w:rPr>
          <w:rFonts w:eastAsia="Times New Roman"/>
          <w:b/>
          <w:u w:val="single"/>
          <w:lang w:eastAsia="zh-CN"/>
        </w:rPr>
        <w:t>.h. Flame retardants</w:t>
      </w:r>
    </w:p>
    <w:p w:rsidR="006B00A6" w:rsidRDefault="006B00A6" w:rsidP="006B00A6">
      <w:pPr>
        <w:spacing w:after="0"/>
        <w:rPr>
          <w:rFonts w:eastAsia="Times New Roman"/>
        </w:rPr>
      </w:pPr>
      <w:r>
        <w:rPr>
          <w:rFonts w:eastAsia="Times New Roman"/>
        </w:rPr>
        <w:t xml:space="preserve">Flame retardants shall not be permitted in the substances used in the manufacture of floor coverings. </w:t>
      </w:r>
    </w:p>
    <w:p w:rsidR="006B00A6" w:rsidRDefault="006B00A6" w:rsidP="006B00A6">
      <w:pPr>
        <w:autoSpaceDE w:val="0"/>
        <w:autoSpaceDN w:val="0"/>
        <w:adjustRightInd w:val="0"/>
        <w:spacing w:after="0"/>
        <w:rPr>
          <w:rFonts w:eastAsia="Times New Roman"/>
          <w:b/>
          <w:i/>
          <w:lang w:eastAsia="es-ES"/>
        </w:rPr>
      </w:pPr>
      <w:r>
        <w:rPr>
          <w:rFonts w:eastAsia="Times New Roman"/>
          <w:b/>
          <w:i/>
          <w:lang w:eastAsia="es-ES"/>
        </w:rPr>
        <w:t>Assessment and verification</w:t>
      </w:r>
    </w:p>
    <w:p w:rsidR="006B00A6" w:rsidRDefault="006B00A6" w:rsidP="006B00A6">
      <w:pPr>
        <w:keepNext/>
        <w:spacing w:after="0"/>
        <w:outlineLvl w:val="3"/>
        <w:rPr>
          <w:rFonts w:eastAsia="Times New Roman"/>
        </w:rPr>
      </w:pPr>
      <w:r>
        <w:rPr>
          <w:rFonts w:eastAsia="Times New Roman"/>
        </w:rPr>
        <w:t>The applicant shall provide to the competent body a declaration of compliance supported by a declaration of non-use of flame retardants from the manufacturer of the substances. In addition, the respective SDS of the substances shall be provided.</w:t>
      </w:r>
    </w:p>
    <w:p w:rsidR="006B00A6" w:rsidRDefault="006B00A6" w:rsidP="006B00A6">
      <w:pPr>
        <w:keepNext/>
        <w:spacing w:after="0"/>
        <w:outlineLvl w:val="3"/>
        <w:rPr>
          <w:rFonts w:eastAsia="Times New Roman"/>
          <w:b/>
          <w:u w:val="single"/>
          <w:lang w:eastAsia="zh-CN"/>
        </w:rPr>
      </w:pPr>
      <w:r>
        <w:rPr>
          <w:rFonts w:eastAsia="Times New Roman"/>
          <w:b/>
          <w:strike/>
          <w:u w:val="single"/>
          <w:lang w:eastAsia="zh-CN"/>
        </w:rPr>
        <w:t>4</w:t>
      </w:r>
      <w:r>
        <w:rPr>
          <w:rFonts w:eastAsia="Times New Roman"/>
          <w:b/>
          <w:u w:val="single"/>
          <w:lang w:eastAsia="zh-CN"/>
        </w:rPr>
        <w:t>.i. Azidine and polyazidine</w:t>
      </w:r>
    </w:p>
    <w:p w:rsidR="006B00A6" w:rsidRDefault="006B00A6" w:rsidP="006B00A6">
      <w:pPr>
        <w:spacing w:after="0"/>
        <w:rPr>
          <w:rFonts w:eastAsia="Times New Roman"/>
        </w:rPr>
      </w:pPr>
      <w:r>
        <w:rPr>
          <w:rFonts w:eastAsia="Times New Roman"/>
        </w:rPr>
        <w:t>Aziridine and polyaziridine shall not be permitted in the substances used in the manufacture of floor coverings (e.g. as surface treatment, coatings, etc.).</w:t>
      </w:r>
    </w:p>
    <w:p w:rsidR="006B00A6" w:rsidRDefault="006B00A6" w:rsidP="006B00A6">
      <w:pPr>
        <w:autoSpaceDE w:val="0"/>
        <w:autoSpaceDN w:val="0"/>
        <w:adjustRightInd w:val="0"/>
        <w:spacing w:after="0"/>
        <w:rPr>
          <w:rFonts w:eastAsia="Times New Roman"/>
          <w:b/>
          <w:i/>
          <w:lang w:eastAsia="es-ES"/>
        </w:rPr>
      </w:pPr>
      <w:r>
        <w:rPr>
          <w:rFonts w:eastAsia="Times New Roman"/>
          <w:b/>
          <w:i/>
          <w:lang w:eastAsia="es-ES"/>
        </w:rPr>
        <w:t>Assessment and verification</w:t>
      </w:r>
    </w:p>
    <w:p w:rsidR="006B00A6" w:rsidRDefault="006B00A6" w:rsidP="006B00A6">
      <w:pPr>
        <w:spacing w:after="0"/>
        <w:rPr>
          <w:rFonts w:eastAsia="Times New Roman"/>
          <w:b/>
          <w:sz w:val="20"/>
          <w:szCs w:val="24"/>
        </w:rPr>
      </w:pPr>
      <w:r>
        <w:rPr>
          <w:rFonts w:eastAsia="Times New Roman"/>
        </w:rPr>
        <w:t>The applicant shall provide to the competent body a declaration of compliance supported by a declaration of non-use of aziridine and polyaziridine from the manufacturer of the substances. In addition, the respective SDS of the substances shall be provided</w:t>
      </w:r>
      <w:r>
        <w:rPr>
          <w:rFonts w:eastAsia="Times New Roman"/>
          <w:lang w:eastAsia="zh-CN"/>
        </w:rPr>
        <w:t>.</w:t>
      </w:r>
    </w:p>
    <w:p w:rsidR="006B00A6" w:rsidRDefault="006B00A6" w:rsidP="006B00A6">
      <w:pPr>
        <w:spacing w:after="0"/>
        <w:rPr>
          <w:rFonts w:eastAsia="Times New Roman"/>
          <w:b/>
          <w:bCs/>
          <w:sz w:val="22"/>
          <w:szCs w:val="24"/>
        </w:rPr>
      </w:pPr>
    </w:p>
    <w:p w:rsidR="006B00A6" w:rsidRDefault="006B00A6" w:rsidP="006B00A6">
      <w:pPr>
        <w:spacing w:after="0"/>
        <w:rPr>
          <w:rFonts w:eastAsia="Times New Roman"/>
          <w:b/>
          <w:bCs/>
          <w:sz w:val="26"/>
          <w:szCs w:val="26"/>
        </w:rPr>
      </w:pPr>
      <w:r>
        <w:rPr>
          <w:rFonts w:eastAsia="Times New Roman"/>
          <w:b/>
          <w:noProof/>
          <w:sz w:val="26"/>
          <w:szCs w:val="26"/>
        </w:rPr>
        <w:t>Criterion</w:t>
      </w:r>
      <w:r>
        <w:rPr>
          <w:rFonts w:eastAsia="Times New Roman"/>
          <w:b/>
          <w:bCs/>
          <w:sz w:val="26"/>
          <w:szCs w:val="26"/>
        </w:rPr>
        <w:t xml:space="preserve"> 5. Energy consumption in the </w:t>
      </w:r>
      <w:r>
        <w:rPr>
          <w:rFonts w:eastAsia="Times New Roman"/>
          <w:b/>
          <w:noProof/>
          <w:sz w:val="26"/>
          <w:szCs w:val="26"/>
        </w:rPr>
        <w:t>production process</w:t>
      </w:r>
    </w:p>
    <w:p w:rsidR="006B00A6" w:rsidRDefault="006B00A6" w:rsidP="006B00A6">
      <w:pPr>
        <w:spacing w:after="0"/>
        <w:rPr>
          <w:rFonts w:eastAsia="Times New Roman"/>
          <w:sz w:val="22"/>
        </w:rPr>
      </w:pPr>
      <w:bookmarkStart w:id="21" w:name="criterion4"/>
      <w:r>
        <w:rPr>
          <w:rFonts w:eastAsia="Times New Roman"/>
        </w:rPr>
        <w:t>The average annual energy consumed during the production of the floor coverings shall be calculated as indicated in Table 5.1 and Appendix II and shall exceed the following limits  (E = score):</w:t>
      </w:r>
    </w:p>
    <w:p w:rsidR="006B00A6" w:rsidRDefault="006B00A6" w:rsidP="006B00A6">
      <w:pPr>
        <w:spacing w:after="0"/>
        <w:rPr>
          <w:rFonts w:eastAsia="Times New Roman"/>
        </w:rPr>
      </w:pPr>
    </w:p>
    <w:tbl>
      <w:tblPr>
        <w:tblStyle w:val="TableGrid"/>
        <w:tblW w:w="0" w:type="auto"/>
        <w:jc w:val="center"/>
        <w:tblInd w:w="0" w:type="dxa"/>
        <w:tblLook w:val="04A0" w:firstRow="1" w:lastRow="0" w:firstColumn="1" w:lastColumn="0" w:noHBand="0" w:noVBand="1"/>
      </w:tblPr>
      <w:tblGrid>
        <w:gridCol w:w="4153"/>
        <w:gridCol w:w="980"/>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53"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Product</w:t>
            </w:r>
          </w:p>
        </w:tc>
        <w:tc>
          <w:tcPr>
            <w:tcW w:w="980"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E score</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53"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Solid wood floorings</w:t>
            </w:r>
          </w:p>
        </w:tc>
        <w:tc>
          <w:tcPr>
            <w:tcW w:w="980"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&gt; 11,0</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53"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rPr>
                <w:sz w:val="20"/>
              </w:rPr>
            </w:pPr>
            <w:r>
              <w:rPr>
                <w:sz w:val="20"/>
              </w:rPr>
              <w:t>Multi-layer wood floorings</w:t>
            </w:r>
          </w:p>
          <w:p w:rsidR="006B00A6" w:rsidRDefault="006B00A6">
            <w:pPr>
              <w:autoSpaceDE w:val="0"/>
              <w:autoSpaceDN w:val="0"/>
              <w:adjustRightInd w:val="0"/>
              <w:spacing w:after="0"/>
              <w:rPr>
                <w:sz w:val="20"/>
              </w:rPr>
            </w:pPr>
            <w:r>
              <w:rPr>
                <w:sz w:val="20"/>
              </w:rPr>
              <w:t>Wood veneer floor covering</w:t>
            </w:r>
          </w:p>
          <w:p w:rsidR="006B00A6" w:rsidRDefault="006B00A6">
            <w:pPr>
              <w:autoSpaceDE w:val="0"/>
              <w:autoSpaceDN w:val="0"/>
              <w:adjustRightInd w:val="0"/>
              <w:spacing w:after="0"/>
              <w:rPr>
                <w:sz w:val="20"/>
              </w:rPr>
            </w:pPr>
            <w:r>
              <w:rPr>
                <w:sz w:val="20"/>
              </w:rPr>
              <w:t>Cork floor coverings and cork tile floorings</w:t>
            </w:r>
          </w:p>
          <w:p w:rsidR="006B00A6" w:rsidRDefault="006B00A6">
            <w:pPr>
              <w:autoSpaceDE w:val="0"/>
              <w:autoSpaceDN w:val="0"/>
              <w:adjustRightInd w:val="0"/>
              <w:spacing w:after="0"/>
              <w:rPr>
                <w:sz w:val="20"/>
              </w:rPr>
            </w:pPr>
            <w:r>
              <w:rPr>
                <w:sz w:val="20"/>
              </w:rPr>
              <w:t>Bamboo floor coverings</w:t>
            </w:r>
          </w:p>
          <w:p w:rsidR="006B00A6" w:rsidRDefault="006B00A6">
            <w:pPr>
              <w:autoSpaceDE w:val="0"/>
              <w:autoSpaceDN w:val="0"/>
              <w:adjustRightInd w:val="0"/>
              <w:spacing w:after="0"/>
              <w:rPr>
                <w:sz w:val="20"/>
              </w:rPr>
            </w:pPr>
            <w:r>
              <w:rPr>
                <w:sz w:val="20"/>
              </w:rPr>
              <w:t>Laminate floorings</w:t>
            </w:r>
          </w:p>
        </w:tc>
        <w:tc>
          <w:tcPr>
            <w:tcW w:w="980"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&gt; 8,0</w:t>
            </w:r>
          </w:p>
        </w:tc>
      </w:tr>
    </w:tbl>
    <w:p w:rsidR="006B00A6" w:rsidRDefault="006B00A6" w:rsidP="006B00A6">
      <w:pPr>
        <w:jc w:val="center"/>
        <w:rPr>
          <w:rFonts w:eastAsia="Times New Roman"/>
          <w:b/>
          <w:sz w:val="22"/>
        </w:rPr>
      </w:pPr>
      <w:r>
        <w:rPr>
          <w:rFonts w:eastAsia="Times New Roman"/>
          <w:b/>
        </w:rPr>
        <w:t>Table 5.1. Calculation of the scoring point</w:t>
      </w:r>
    </w:p>
    <w:tbl>
      <w:tblPr>
        <w:tblStyle w:val="TableGrid"/>
        <w:tblW w:w="0" w:type="auto"/>
        <w:jc w:val="center"/>
        <w:tblInd w:w="0" w:type="dxa"/>
        <w:tblLook w:val="04A0" w:firstRow="1" w:lastRow="0" w:firstColumn="1" w:lastColumn="0" w:noHBand="0" w:noVBand="1"/>
      </w:tblPr>
      <w:tblGrid>
        <w:gridCol w:w="2666"/>
        <w:gridCol w:w="361"/>
        <w:gridCol w:w="3118"/>
        <w:gridCol w:w="946"/>
        <w:gridCol w:w="1261"/>
      </w:tblGrid>
      <w:tr w:rsidR="006B00A6" w:rsidTr="006B00A6">
        <w:trPr>
          <w:cnfStyle w:val="100000000000" w:firstRow="1" w:lastRow="0" w:firstColumn="0" w:lastColumn="0" w:oddVBand="0" w:evenVBand="0" w:oddHBand="0" w:evenHBand="0" w:firstRowFirstColumn="0" w:firstRowLastColumn="0" w:lastRowFirstColumn="0" w:lastRowLastColumn="0"/>
          <w:cantSplit/>
          <w:trHeight w:val="269"/>
          <w:tblHeader/>
          <w:jc w:val="center"/>
        </w:trPr>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Formula</w:t>
            </w:r>
          </w:p>
        </w:tc>
        <w:tc>
          <w:tcPr>
            <w:tcW w:w="0" w:type="auto"/>
            <w:tcBorders>
              <w:top w:val="single" w:sz="4" w:space="0" w:color="auto"/>
              <w:left w:val="single" w:sz="4" w:space="0" w:color="auto"/>
              <w:bottom w:val="single" w:sz="4" w:space="0" w:color="auto"/>
              <w:right w:val="single" w:sz="4" w:space="0" w:color="auto"/>
            </w:tcBorders>
          </w:tcPr>
          <w:p w:rsidR="006B00A6" w:rsidRDefault="006B00A6">
            <w:pPr>
              <w:spacing w:after="0"/>
              <w:rPr>
                <w:sz w:val="20"/>
              </w:rPr>
            </w:pPr>
          </w:p>
        </w:tc>
        <w:tc>
          <w:tcPr>
            <w:tcW w:w="4064" w:type="dxa"/>
            <w:gridSpan w:val="2"/>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Environmental parameter</w:t>
            </w:r>
          </w:p>
        </w:tc>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 xml:space="preserve">Maximum </w:t>
            </w:r>
          </w:p>
          <w:p w:rsidR="006B00A6" w:rsidRDefault="006B00A6">
            <w:pPr>
              <w:spacing w:after="0"/>
              <w:rPr>
                <w:sz w:val="20"/>
              </w:rPr>
            </w:pPr>
            <w:r>
              <w:rPr>
                <w:sz w:val="20"/>
              </w:rPr>
              <w:t>requirements</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m:oMathPara>
              <m:oMath>
                <m:r>
                  <w:rPr>
                    <w:rFonts w:ascii="Cambria Math" w:hAnsi="Cambria Math"/>
                    <w:sz w:val="20"/>
                  </w:rPr>
                  <m:t>E</m:t>
                </m:r>
                <m:r>
                  <m:rPr>
                    <m:sty m:val="p"/>
                  </m:rPr>
                  <w:rPr>
                    <w:rFonts w:ascii="Cambria Math" w:hAnsi="Cambria Math"/>
                    <w:sz w:val="20"/>
                  </w:rPr>
                  <m:t>=</m:t>
                </m:r>
                <m:f>
                  <m:fPr>
                    <m:ctrlPr>
                      <w:rPr>
                        <w:rFonts w:ascii="Cambria Math" w:hAnsi="Cambria Math"/>
                        <w:sz w:val="22"/>
                        <w:szCs w:val="22"/>
                        <w:lang w:eastAsia="en-US"/>
                      </w:rPr>
                    </m:ctrlPr>
                  </m:fPr>
                  <m:num>
                    <m:r>
                      <w:rPr>
                        <w:rFonts w:ascii="Cambria Math" w:hAnsi="Cambria Math"/>
                        <w:sz w:val="20"/>
                      </w:rPr>
                      <m:t>A</m:t>
                    </m:r>
                  </m:num>
                  <m:den>
                    <m:r>
                      <m:rPr>
                        <m:sty m:val="p"/>
                      </m:rPr>
                      <w:rPr>
                        <w:rFonts w:ascii="Cambria Math" w:hAnsi="Cambria Math"/>
                        <w:sz w:val="20"/>
                      </w:rPr>
                      <m:t>20</m:t>
                    </m:r>
                  </m:den>
                </m:f>
                <m:r>
                  <m:rPr>
                    <m:sty m:val="p"/>
                  </m:rPr>
                  <w:rPr>
                    <w:rFonts w:ascii="Cambria Math" w:hAnsi="Cambria Math"/>
                    <w:sz w:val="20"/>
                  </w:rPr>
                  <m:t>+</m:t>
                </m:r>
                <m:d>
                  <m:dPr>
                    <m:ctrlPr>
                      <w:rPr>
                        <w:rFonts w:ascii="Cambria Math" w:hAnsi="Cambria Math"/>
                        <w:sz w:val="22"/>
                        <w:szCs w:val="22"/>
                        <w:lang w:eastAsia="en-US"/>
                      </w:rPr>
                    </m:ctrlPr>
                  </m:dPr>
                  <m:e>
                    <m:r>
                      <m:rPr>
                        <m:sty m:val="p"/>
                      </m:rPr>
                      <w:rPr>
                        <w:rFonts w:ascii="Cambria Math" w:hAnsi="Cambria Math"/>
                        <w:sz w:val="20"/>
                      </w:rPr>
                      <m:t>5-</m:t>
                    </m:r>
                    <m:f>
                      <m:fPr>
                        <m:ctrlPr>
                          <w:rPr>
                            <w:rFonts w:ascii="Cambria Math" w:hAnsi="Cambria Math"/>
                            <w:sz w:val="22"/>
                            <w:szCs w:val="22"/>
                            <w:lang w:eastAsia="en-US"/>
                          </w:rPr>
                        </m:ctrlPr>
                      </m:fPr>
                      <m:num>
                        <m:r>
                          <w:rPr>
                            <w:rFonts w:ascii="Cambria Math" w:hAnsi="Cambria Math"/>
                            <w:sz w:val="20"/>
                          </w:rPr>
                          <m:t>B</m:t>
                        </m:r>
                      </m:num>
                      <m:den>
                        <m:r>
                          <m:rPr>
                            <m:sty m:val="p"/>
                          </m:rPr>
                          <w:rPr>
                            <w:rFonts w:ascii="Cambria Math" w:hAnsi="Cambria Math"/>
                            <w:sz w:val="20"/>
                          </w:rPr>
                          <m:t>3</m:t>
                        </m:r>
                      </m:den>
                    </m:f>
                  </m:e>
                </m:d>
                <m:r>
                  <m:rPr>
                    <m:sty m:val="p"/>
                  </m:rPr>
                  <w:rPr>
                    <w:rFonts w:ascii="Cambria Math" w:hAnsi="Cambria Math"/>
                    <w:sz w:val="20"/>
                  </w:rPr>
                  <m:t>+</m:t>
                </m:r>
                <m:d>
                  <m:dPr>
                    <m:ctrlPr>
                      <w:rPr>
                        <w:rFonts w:ascii="Cambria Math" w:hAnsi="Cambria Math"/>
                        <w:sz w:val="22"/>
                        <w:szCs w:val="22"/>
                        <w:lang w:eastAsia="en-US"/>
                      </w:rPr>
                    </m:ctrlPr>
                  </m:dPr>
                  <m:e>
                    <m:r>
                      <m:rPr>
                        <m:sty m:val="p"/>
                      </m:rPr>
                      <w:rPr>
                        <w:rFonts w:ascii="Cambria Math" w:hAnsi="Cambria Math"/>
                        <w:sz w:val="20"/>
                      </w:rPr>
                      <m:t>5-</m:t>
                    </m:r>
                    <m:f>
                      <m:fPr>
                        <m:ctrlPr>
                          <w:rPr>
                            <w:rFonts w:ascii="Cambria Math" w:hAnsi="Cambria Math"/>
                            <w:sz w:val="22"/>
                            <w:szCs w:val="22"/>
                            <w:lang w:eastAsia="en-US"/>
                          </w:rPr>
                        </m:ctrlPr>
                      </m:fPr>
                      <m:num>
                        <m:r>
                          <w:rPr>
                            <w:rFonts w:ascii="Cambria Math" w:hAnsi="Cambria Math"/>
                            <w:sz w:val="20"/>
                          </w:rPr>
                          <m:t>C</m:t>
                        </m:r>
                      </m:num>
                      <m:den>
                        <m:r>
                          <m:rPr>
                            <m:sty m:val="p"/>
                          </m:rPr>
                          <w:rPr>
                            <w:rFonts w:ascii="Cambria Math" w:hAnsi="Cambria Math"/>
                            <w:sz w:val="20"/>
                          </w:rPr>
                          <m:t>7</m:t>
                        </m:r>
                      </m:den>
                    </m:f>
                  </m:e>
                </m:d>
              </m:oMath>
            </m:oMathPara>
          </w:p>
        </w:tc>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A</w:t>
            </w:r>
          </w:p>
        </w:tc>
        <w:tc>
          <w:tcPr>
            <w:tcW w:w="3118"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Proportion of renewable energy in the total annual energy consumption</w:t>
            </w:r>
          </w:p>
        </w:tc>
        <w:tc>
          <w:tcPr>
            <w:tcW w:w="946"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w:t>
            </w:r>
          </w:p>
        </w:tc>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B</w:t>
            </w:r>
          </w:p>
        </w:tc>
        <w:tc>
          <w:tcPr>
            <w:tcW w:w="3118"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Annual electricity purchased</w:t>
            </w:r>
          </w:p>
        </w:tc>
        <w:tc>
          <w:tcPr>
            <w:tcW w:w="946"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kWh/m</w:t>
            </w:r>
            <w:r>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sz w:val="20"/>
              </w:rPr>
              <w:t>15 kWh/m</w:t>
            </w:r>
            <w:r>
              <w:rPr>
                <w:sz w:val="20"/>
                <w:vertAlign w:val="superscript"/>
              </w:rPr>
              <w:t>2</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C</w:t>
            </w:r>
          </w:p>
        </w:tc>
        <w:tc>
          <w:tcPr>
            <w:tcW w:w="3118"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 xml:space="preserve">Annual fuel consumption </w:t>
            </w:r>
          </w:p>
        </w:tc>
        <w:tc>
          <w:tcPr>
            <w:tcW w:w="946"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kWh/m</w:t>
            </w:r>
            <w:r>
              <w:rPr>
                <w:sz w:val="20"/>
                <w:vertAlign w:val="superscript"/>
              </w:rPr>
              <w:t>2</w:t>
            </w:r>
          </w:p>
        </w:tc>
        <w:tc>
          <w:tcPr>
            <w:tcW w:w="0" w:type="auto"/>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35 kWh/m</w:t>
            </w:r>
            <w:r>
              <w:rPr>
                <w:sz w:val="20"/>
                <w:vertAlign w:val="superscript"/>
              </w:rPr>
              <w:t>2</w:t>
            </w:r>
          </w:p>
        </w:tc>
      </w:tr>
    </w:tbl>
    <w:p w:rsidR="006B00A6" w:rsidRDefault="006B00A6" w:rsidP="006B00A6">
      <w:pPr>
        <w:autoSpaceDE w:val="0"/>
        <w:autoSpaceDN w:val="0"/>
        <w:adjustRightInd w:val="0"/>
        <w:spacing w:after="0"/>
        <w:rPr>
          <w:rFonts w:eastAsia="Times New Roman"/>
          <w:sz w:val="22"/>
        </w:rPr>
      </w:pPr>
    </w:p>
    <w:p w:rsidR="006B00A6" w:rsidRDefault="006B00A6" w:rsidP="006B00A6">
      <w:pPr>
        <w:spacing w:after="0"/>
        <w:rPr>
          <w:rFonts w:eastAsia="Times New Roman"/>
        </w:rPr>
      </w:pPr>
      <w:r>
        <w:rPr>
          <w:rFonts w:eastAsia="Times New Roman"/>
        </w:rPr>
        <w:t xml:space="preserve">Where A = Ratio between the energy coming from renewable energy sources and the total energy. </w:t>
      </w:r>
    </w:p>
    <w:p w:rsidR="006B00A6" w:rsidRDefault="006B00A6" w:rsidP="006B00A6">
      <w:pPr>
        <w:spacing w:after="0"/>
        <w:rPr>
          <w:rFonts w:eastAsia="Times New Roman"/>
        </w:rPr>
      </w:pPr>
      <w:r>
        <w:rPr>
          <w:rFonts w:eastAsia="Times New Roman"/>
        </w:rPr>
        <w:t xml:space="preserve">In the numerator of the A ratio shall read the </w:t>
      </w:r>
      <w:r>
        <w:rPr>
          <w:rFonts w:eastAsia="Times New Roman" w:cs="Garamond"/>
          <w:szCs w:val="24"/>
          <w:lang w:eastAsia="en-GB"/>
        </w:rPr>
        <w:t>purchased RES fuels as (amount of fuel x standard value), plus the heat generated on-site from non-fuel RES, plus 2,5 x electricity on-site generated non-fuel RES and plus 2,5 x purchased electricity from RES.</w:t>
      </w:r>
    </w:p>
    <w:p w:rsidR="006B00A6" w:rsidRDefault="006B00A6" w:rsidP="006B00A6">
      <w:pPr>
        <w:spacing w:after="0"/>
        <w:rPr>
          <w:rFonts w:eastAsia="Times New Roman" w:cs="Garamond"/>
          <w:szCs w:val="24"/>
          <w:lang w:eastAsia="en-GB"/>
        </w:rPr>
      </w:pPr>
      <w:r>
        <w:rPr>
          <w:rFonts w:eastAsia="Times New Roman" w:cs="Garamond"/>
          <w:szCs w:val="24"/>
          <w:lang w:eastAsia="en-GB"/>
        </w:rPr>
        <w:t>In the denominator of the A ratio shall read the purchased RES fuels as (amount of fuel x standard value), plus the purchased non-RES fuels as (amount of fuel x standard value), plus the heat generated on-site from non-fuel RES, plus 2,5 x electricity on-site generated non-fuel RES, plus 2,5 x purchased electricity from RES and plus 2,5 x purchased electricity from non-RES.</w:t>
      </w:r>
    </w:p>
    <w:p w:rsidR="006B00A6" w:rsidRDefault="006B00A6" w:rsidP="006B00A6">
      <w:pPr>
        <w:spacing w:after="0"/>
        <w:rPr>
          <w:rFonts w:eastAsia="Times New Roman"/>
        </w:rPr>
      </w:pPr>
      <w:r>
        <w:rPr>
          <w:rFonts w:eastAsia="Times New Roman"/>
        </w:rPr>
        <w:t>B = Annual electricity purchased means the sum of the electricity purchased from an external supplier. If the electricity purchased is electricity from RES, a factor of 0,8 shall be applied.</w:t>
      </w:r>
    </w:p>
    <w:p w:rsidR="006B00A6" w:rsidRDefault="006B00A6" w:rsidP="006B00A6">
      <w:pPr>
        <w:spacing w:after="0"/>
        <w:rPr>
          <w:rFonts w:eastAsia="Times New Roman"/>
        </w:rPr>
      </w:pPr>
      <w:r>
        <w:rPr>
          <w:rFonts w:eastAsia="Times New Roman"/>
        </w:rPr>
        <w:t>C = Annual fuel consumption means the sum of all fuels purchased or sourced as by-products in the manufacturing of the floorings and used to generate energy on-site.</w:t>
      </w:r>
    </w:p>
    <w:p w:rsidR="006B00A6" w:rsidRDefault="006B00A6" w:rsidP="006B00A6">
      <w:pPr>
        <w:autoSpaceDE w:val="0"/>
        <w:autoSpaceDN w:val="0"/>
        <w:adjustRightInd w:val="0"/>
        <w:spacing w:after="0"/>
        <w:rPr>
          <w:rFonts w:eastAsia="Times New Roman"/>
        </w:rPr>
      </w:pPr>
      <w:r>
        <w:rPr>
          <w:rFonts w:eastAsia="Times New Roman"/>
        </w:rPr>
        <w:t>E scoring shall be calculated per m</w:t>
      </w:r>
      <w:r>
        <w:rPr>
          <w:rFonts w:eastAsia="Times New Roman"/>
          <w:vertAlign w:val="superscript"/>
        </w:rPr>
        <w:t>2</w:t>
      </w:r>
      <w:r>
        <w:rPr>
          <w:rFonts w:eastAsia="Times New Roman"/>
        </w:rPr>
        <w:t xml:space="preserve"> of produced flooring and shall account the direct energy consumed in the production of the flooring. Indirect energy consumption is not considered.</w:t>
      </w:r>
    </w:p>
    <w:p w:rsidR="006B00A6" w:rsidRDefault="006B00A6" w:rsidP="006B00A6">
      <w:pPr>
        <w:autoSpaceDE w:val="0"/>
        <w:autoSpaceDN w:val="0"/>
        <w:adjustRightInd w:val="0"/>
        <w:spacing w:after="0"/>
        <w:rPr>
          <w:rFonts w:eastAsia="Times New Roman"/>
        </w:rPr>
      </w:pPr>
      <w:r>
        <w:rPr>
          <w:rFonts w:eastAsia="Times New Roman"/>
        </w:rPr>
        <w:t xml:space="preserve">The following is an indicative list of activities that shall be included and not included in the calculations of the energy consumption. Activities shall start at the reception of the fells (tree trunks), cork and bamboo in the manufacturer's or his suppliers facilities until the end of the manufacturing process. </w:t>
      </w:r>
    </w:p>
    <w:p w:rsidR="006B00A6" w:rsidRDefault="006B00A6" w:rsidP="006B00A6">
      <w:pPr>
        <w:autoSpaceDE w:val="0"/>
        <w:autoSpaceDN w:val="0"/>
        <w:adjustRightInd w:val="0"/>
        <w:spacing w:after="0"/>
        <w:rPr>
          <w:rFonts w:eastAsia="Times New Roman"/>
        </w:rPr>
      </w:pPr>
    </w:p>
    <w:tbl>
      <w:tblPr>
        <w:tblStyle w:val="TableGrid"/>
        <w:tblW w:w="9478" w:type="dxa"/>
        <w:jc w:val="center"/>
        <w:tblInd w:w="0" w:type="dxa"/>
        <w:tblLook w:val="04A0" w:firstRow="1" w:lastRow="0" w:firstColumn="1" w:lastColumn="0" w:noHBand="0" w:noVBand="1"/>
      </w:tblPr>
      <w:tblGrid>
        <w:gridCol w:w="1666"/>
        <w:gridCol w:w="5040"/>
        <w:gridCol w:w="2772"/>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666" w:type="dxa"/>
            <w:vMerge w:val="restart"/>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Product</w:t>
            </w:r>
          </w:p>
        </w:tc>
        <w:tc>
          <w:tcPr>
            <w:tcW w:w="7812" w:type="dxa"/>
            <w:gridSpan w:val="2"/>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Conditions for the electricity and fuel consumption (indicative list)</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p>
        </w:tc>
        <w:tc>
          <w:tcPr>
            <w:tcW w:w="5040"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Included</w:t>
            </w:r>
          </w:p>
        </w:tc>
        <w:tc>
          <w:tcPr>
            <w:tcW w:w="27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Not included</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666"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lastRenderedPageBreak/>
              <w:t>Solid wood floorings</w:t>
            </w:r>
          </w:p>
        </w:tc>
        <w:tc>
          <w:tcPr>
            <w:tcW w:w="5040"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 xml:space="preserve">- drying, grinding and sawing </w:t>
            </w:r>
          </w:p>
          <w:p w:rsidR="006B00A6" w:rsidRDefault="006B00A6">
            <w:pPr>
              <w:spacing w:after="0"/>
              <w:jc w:val="left"/>
              <w:rPr>
                <w:sz w:val="20"/>
              </w:rPr>
            </w:pPr>
            <w:r>
              <w:rPr>
                <w:sz w:val="20"/>
              </w:rPr>
              <w:t>- sizing and trimming</w:t>
            </w:r>
          </w:p>
          <w:p w:rsidR="006B00A6" w:rsidRDefault="006B00A6">
            <w:pPr>
              <w:spacing w:after="0"/>
              <w:jc w:val="left"/>
              <w:rPr>
                <w:sz w:val="20"/>
              </w:rPr>
            </w:pPr>
            <w:r>
              <w:rPr>
                <w:sz w:val="20"/>
              </w:rPr>
              <w:t>- sanding</w:t>
            </w:r>
          </w:p>
          <w:p w:rsidR="006B00A6" w:rsidRDefault="006B00A6">
            <w:pPr>
              <w:spacing w:after="0"/>
              <w:jc w:val="left"/>
              <w:rPr>
                <w:sz w:val="20"/>
              </w:rPr>
            </w:pPr>
            <w:r>
              <w:rPr>
                <w:sz w:val="20"/>
              </w:rPr>
              <w:t>- coating</w:t>
            </w:r>
          </w:p>
          <w:p w:rsidR="006B00A6" w:rsidRDefault="006B00A6">
            <w:pPr>
              <w:spacing w:after="0"/>
              <w:jc w:val="left"/>
              <w:rPr>
                <w:sz w:val="20"/>
              </w:rPr>
            </w:pPr>
            <w:r>
              <w:rPr>
                <w:sz w:val="20"/>
              </w:rPr>
              <w:t>- packaging</w:t>
            </w:r>
          </w:p>
          <w:p w:rsidR="006B00A6" w:rsidRDefault="006B00A6">
            <w:pPr>
              <w:spacing w:after="0"/>
              <w:jc w:val="left"/>
              <w:rPr>
                <w:sz w:val="20"/>
              </w:rPr>
            </w:pPr>
            <w:r>
              <w:rPr>
                <w:sz w:val="20"/>
              </w:rPr>
              <w:t>- and any other activity needed for manufacturing</w:t>
            </w:r>
          </w:p>
        </w:tc>
        <w:tc>
          <w:tcPr>
            <w:tcW w:w="2772" w:type="dxa"/>
            <w:vMerge w:val="restart"/>
            <w:tcBorders>
              <w:top w:val="single" w:sz="4" w:space="0" w:color="auto"/>
              <w:left w:val="single" w:sz="4" w:space="0" w:color="auto"/>
              <w:bottom w:val="single" w:sz="4" w:space="0" w:color="auto"/>
              <w:right w:val="single" w:sz="4" w:space="0" w:color="auto"/>
            </w:tcBorders>
          </w:tcPr>
          <w:p w:rsidR="006B00A6" w:rsidRDefault="006B00A6">
            <w:pPr>
              <w:spacing w:after="0"/>
              <w:jc w:val="left"/>
              <w:rPr>
                <w:sz w:val="20"/>
              </w:rPr>
            </w:pPr>
            <w:r>
              <w:rPr>
                <w:sz w:val="20"/>
              </w:rPr>
              <w:t>- manufacture of lacquers or any other in-can preparation</w:t>
            </w:r>
          </w:p>
          <w:p w:rsidR="006B00A6" w:rsidRDefault="006B00A6">
            <w:pPr>
              <w:spacing w:after="0"/>
              <w:jc w:val="left"/>
              <w:rPr>
                <w:sz w:val="20"/>
              </w:rPr>
            </w:pPr>
            <w:r>
              <w:rPr>
                <w:sz w:val="20"/>
              </w:rPr>
              <w:t>- energy consumed in the quality control activities</w:t>
            </w:r>
          </w:p>
          <w:p w:rsidR="006B00A6" w:rsidRDefault="006B00A6">
            <w:pPr>
              <w:spacing w:after="0"/>
              <w:jc w:val="left"/>
              <w:rPr>
                <w:sz w:val="20"/>
              </w:rPr>
            </w:pPr>
            <w:r>
              <w:rPr>
                <w:sz w:val="20"/>
              </w:rPr>
              <w:t>- indirect energy consumption (e.g. heating, lighting, internal transportation, etc.).</w:t>
            </w:r>
          </w:p>
          <w:p w:rsidR="006B00A6" w:rsidRDefault="006B00A6">
            <w:pPr>
              <w:spacing w:after="0"/>
              <w:jc w:val="left"/>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1771"/>
          <w:tblHeader/>
          <w:jc w:val="center"/>
        </w:trPr>
        <w:tc>
          <w:tcPr>
            <w:tcW w:w="1666"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Multi-layer wood floorings</w:t>
            </w:r>
          </w:p>
        </w:tc>
        <w:tc>
          <w:tcPr>
            <w:tcW w:w="50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xml:space="preserve">- drying, grinding and sawing </w:t>
            </w:r>
          </w:p>
          <w:p w:rsidR="006B00A6" w:rsidRDefault="006B00A6">
            <w:pPr>
              <w:spacing w:after="0"/>
              <w:jc w:val="left"/>
              <w:rPr>
                <w:sz w:val="20"/>
              </w:rPr>
            </w:pPr>
            <w:r>
              <w:rPr>
                <w:sz w:val="20"/>
              </w:rPr>
              <w:t>- sizing and trimming</w:t>
            </w:r>
          </w:p>
          <w:p w:rsidR="006B00A6" w:rsidRDefault="006B00A6">
            <w:pPr>
              <w:spacing w:after="0"/>
              <w:jc w:val="left"/>
              <w:rPr>
                <w:sz w:val="20"/>
              </w:rPr>
            </w:pPr>
            <w:r>
              <w:rPr>
                <w:sz w:val="20"/>
              </w:rPr>
              <w:t>- sanding</w:t>
            </w:r>
          </w:p>
          <w:p w:rsidR="006B00A6" w:rsidRDefault="006B00A6">
            <w:pPr>
              <w:autoSpaceDE w:val="0"/>
              <w:autoSpaceDN w:val="0"/>
              <w:adjustRightInd w:val="0"/>
              <w:spacing w:after="0"/>
              <w:jc w:val="left"/>
              <w:rPr>
                <w:sz w:val="20"/>
              </w:rPr>
            </w:pPr>
            <w:r>
              <w:rPr>
                <w:sz w:val="20"/>
              </w:rPr>
              <w:t xml:space="preserve">- pressing </w:t>
            </w:r>
          </w:p>
          <w:p w:rsidR="006B00A6" w:rsidRDefault="006B00A6">
            <w:pPr>
              <w:spacing w:after="0"/>
              <w:jc w:val="left"/>
              <w:rPr>
                <w:sz w:val="20"/>
              </w:rPr>
            </w:pPr>
            <w:r>
              <w:rPr>
                <w:sz w:val="20"/>
              </w:rPr>
              <w:t>- coating</w:t>
            </w:r>
          </w:p>
          <w:p w:rsidR="006B00A6" w:rsidRDefault="006B00A6">
            <w:pPr>
              <w:spacing w:after="0"/>
              <w:jc w:val="left"/>
              <w:rPr>
                <w:sz w:val="20"/>
              </w:rPr>
            </w:pPr>
            <w:r>
              <w:rPr>
                <w:sz w:val="20"/>
              </w:rPr>
              <w:t>- packaging</w:t>
            </w:r>
          </w:p>
          <w:p w:rsidR="006B00A6" w:rsidRDefault="006B00A6">
            <w:pPr>
              <w:autoSpaceDE w:val="0"/>
              <w:autoSpaceDN w:val="0"/>
              <w:adjustRightInd w:val="0"/>
              <w:spacing w:after="0"/>
              <w:jc w:val="left"/>
              <w:rPr>
                <w:sz w:val="20"/>
              </w:rPr>
            </w:pPr>
            <w:r>
              <w:rPr>
                <w:sz w:val="20"/>
              </w:rPr>
              <w:t>- and any other activity needed for manufacturing</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666"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Cork and cork tile floor covings</w:t>
            </w:r>
          </w:p>
        </w:tc>
        <w:tc>
          <w:tcPr>
            <w:tcW w:w="5040" w:type="dxa"/>
            <w:vMerge w:val="restart"/>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xml:space="preserve">- drying, grinding and sawing </w:t>
            </w:r>
          </w:p>
          <w:p w:rsidR="006B00A6" w:rsidRDefault="006B00A6">
            <w:pPr>
              <w:spacing w:after="0"/>
              <w:jc w:val="left"/>
              <w:rPr>
                <w:sz w:val="20"/>
              </w:rPr>
            </w:pPr>
            <w:r>
              <w:rPr>
                <w:sz w:val="20"/>
              </w:rPr>
              <w:t>- sizing and trimming</w:t>
            </w:r>
          </w:p>
          <w:p w:rsidR="006B00A6" w:rsidRDefault="006B00A6">
            <w:pPr>
              <w:spacing w:after="0"/>
              <w:jc w:val="left"/>
              <w:rPr>
                <w:sz w:val="20"/>
              </w:rPr>
            </w:pPr>
            <w:r>
              <w:rPr>
                <w:sz w:val="20"/>
              </w:rPr>
              <w:t>- sanding</w:t>
            </w:r>
          </w:p>
          <w:p w:rsidR="006B00A6" w:rsidRDefault="006B00A6">
            <w:pPr>
              <w:autoSpaceDE w:val="0"/>
              <w:autoSpaceDN w:val="0"/>
              <w:adjustRightInd w:val="0"/>
              <w:spacing w:after="0"/>
              <w:jc w:val="left"/>
              <w:rPr>
                <w:sz w:val="20"/>
              </w:rPr>
            </w:pPr>
            <w:r>
              <w:rPr>
                <w:sz w:val="20"/>
              </w:rPr>
              <w:t xml:space="preserve">- pressing </w:t>
            </w:r>
          </w:p>
          <w:p w:rsidR="006B00A6" w:rsidRDefault="006B00A6">
            <w:pPr>
              <w:autoSpaceDE w:val="0"/>
              <w:autoSpaceDN w:val="0"/>
              <w:adjustRightInd w:val="0"/>
              <w:spacing w:after="0"/>
              <w:jc w:val="left"/>
              <w:rPr>
                <w:sz w:val="20"/>
              </w:rPr>
            </w:pPr>
            <w:r>
              <w:rPr>
                <w:sz w:val="20"/>
              </w:rPr>
              <w:t>-  or manufacturing of the core board if used in its structure</w:t>
            </w:r>
          </w:p>
          <w:p w:rsidR="006B00A6" w:rsidRDefault="006B00A6">
            <w:pPr>
              <w:spacing w:after="0"/>
              <w:jc w:val="left"/>
              <w:rPr>
                <w:sz w:val="20"/>
              </w:rPr>
            </w:pPr>
            <w:r>
              <w:rPr>
                <w:sz w:val="20"/>
              </w:rPr>
              <w:t>- coating</w:t>
            </w:r>
          </w:p>
          <w:p w:rsidR="006B00A6" w:rsidRDefault="006B00A6">
            <w:pPr>
              <w:spacing w:after="0"/>
              <w:jc w:val="left"/>
              <w:rPr>
                <w:sz w:val="20"/>
              </w:rPr>
            </w:pPr>
            <w:r>
              <w:rPr>
                <w:sz w:val="20"/>
              </w:rPr>
              <w:t>- packaging</w:t>
            </w:r>
          </w:p>
          <w:p w:rsidR="006B00A6" w:rsidRDefault="006B00A6">
            <w:pPr>
              <w:autoSpaceDE w:val="0"/>
              <w:autoSpaceDN w:val="0"/>
              <w:adjustRightInd w:val="0"/>
              <w:spacing w:after="0"/>
              <w:jc w:val="left"/>
              <w:rPr>
                <w:sz w:val="20"/>
              </w:rPr>
            </w:pPr>
            <w:r>
              <w:rPr>
                <w:sz w:val="20"/>
              </w:rPr>
              <w:t>- and any other activity needed for manufacturing</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666"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Bamboo floor coverings</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1032"/>
          <w:tblHeader/>
          <w:jc w:val="center"/>
        </w:trPr>
        <w:tc>
          <w:tcPr>
            <w:tcW w:w="1666"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Laminate floorings</w:t>
            </w:r>
          </w:p>
        </w:tc>
        <w:tc>
          <w:tcPr>
            <w:tcW w:w="50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manufacturing of the core board</w:t>
            </w:r>
          </w:p>
          <w:p w:rsidR="006B00A6" w:rsidRDefault="006B00A6">
            <w:pPr>
              <w:autoSpaceDE w:val="0"/>
              <w:autoSpaceDN w:val="0"/>
              <w:adjustRightInd w:val="0"/>
              <w:spacing w:after="0"/>
              <w:jc w:val="left"/>
              <w:rPr>
                <w:sz w:val="20"/>
              </w:rPr>
            </w:pPr>
            <w:r>
              <w:rPr>
                <w:sz w:val="20"/>
              </w:rPr>
              <w:t>- impregnation process of the décor, overlay and backing paper</w:t>
            </w:r>
          </w:p>
          <w:p w:rsidR="006B00A6" w:rsidRDefault="006B00A6">
            <w:pPr>
              <w:autoSpaceDE w:val="0"/>
              <w:autoSpaceDN w:val="0"/>
              <w:adjustRightInd w:val="0"/>
              <w:spacing w:after="0"/>
              <w:jc w:val="left"/>
              <w:rPr>
                <w:sz w:val="20"/>
              </w:rPr>
            </w:pPr>
            <w:r>
              <w:rPr>
                <w:sz w:val="20"/>
              </w:rPr>
              <w:t xml:space="preserve">- pressing </w:t>
            </w:r>
          </w:p>
          <w:p w:rsidR="006B00A6" w:rsidRDefault="006B00A6">
            <w:pPr>
              <w:autoSpaceDE w:val="0"/>
              <w:autoSpaceDN w:val="0"/>
              <w:adjustRightInd w:val="0"/>
              <w:spacing w:after="0"/>
              <w:jc w:val="left"/>
              <w:rPr>
                <w:sz w:val="20"/>
              </w:rPr>
            </w:pPr>
            <w:r>
              <w:rPr>
                <w:sz w:val="20"/>
              </w:rPr>
              <w:t xml:space="preserve">- sizing </w:t>
            </w:r>
          </w:p>
          <w:p w:rsidR="006B00A6" w:rsidRDefault="006B00A6">
            <w:pPr>
              <w:spacing w:after="0"/>
              <w:jc w:val="left"/>
              <w:rPr>
                <w:sz w:val="20"/>
              </w:rPr>
            </w:pPr>
            <w:r>
              <w:rPr>
                <w:sz w:val="20"/>
              </w:rPr>
              <w:t>- packaging</w:t>
            </w:r>
          </w:p>
          <w:p w:rsidR="006B00A6" w:rsidRDefault="006B00A6">
            <w:pPr>
              <w:autoSpaceDE w:val="0"/>
              <w:autoSpaceDN w:val="0"/>
              <w:adjustRightInd w:val="0"/>
              <w:spacing w:after="0"/>
              <w:jc w:val="left"/>
              <w:rPr>
                <w:sz w:val="20"/>
              </w:rPr>
            </w:pPr>
            <w:r>
              <w:rPr>
                <w:sz w:val="20"/>
              </w:rPr>
              <w:t>- and any other activity needed for manufacturing</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bl>
    <w:bookmarkEnd w:id="21"/>
    <w:p w:rsidR="006B00A6" w:rsidRDefault="006B00A6" w:rsidP="006B00A6">
      <w:pPr>
        <w:spacing w:after="0"/>
        <w:rPr>
          <w:rFonts w:eastAsia="Times New Roman"/>
          <w:i/>
          <w:sz w:val="22"/>
        </w:rPr>
      </w:pPr>
      <w:r>
        <w:rPr>
          <w:rFonts w:eastAsia="Times New Roman"/>
          <w:b/>
          <w:i/>
        </w:rPr>
        <w:t>Assessment and verification</w:t>
      </w:r>
    </w:p>
    <w:p w:rsidR="006B00A6" w:rsidRDefault="006B00A6" w:rsidP="006B00A6">
      <w:pPr>
        <w:spacing w:after="0"/>
        <w:rPr>
          <w:rFonts w:eastAsia="Times New Roman"/>
        </w:rPr>
      </w:pPr>
      <w:r>
        <w:rPr>
          <w:rFonts w:eastAsia="Times New Roman"/>
        </w:rPr>
        <w:t>The applicant shall state and demonstrate:</w:t>
      </w:r>
    </w:p>
    <w:p w:rsidR="006B00A6" w:rsidRDefault="006B00A6" w:rsidP="00AC318D">
      <w:pPr>
        <w:numPr>
          <w:ilvl w:val="0"/>
          <w:numId w:val="31"/>
        </w:numPr>
        <w:autoSpaceDE w:val="0"/>
        <w:autoSpaceDN w:val="0"/>
        <w:adjustRightInd w:val="0"/>
        <w:spacing w:before="240" w:after="0"/>
        <w:ind w:left="714" w:hanging="357"/>
        <w:contextualSpacing/>
        <w:rPr>
          <w:rFonts w:eastAsia="Times New Roman"/>
        </w:rPr>
      </w:pPr>
      <w:r>
        <w:rPr>
          <w:rFonts w:eastAsia="Times New Roman"/>
        </w:rPr>
        <w:t xml:space="preserve">the type and quantity of electricity that has been, on average, purchased from an external supplier per year. Should electricity from RES be purchased, guarantees of origin in accordance with </w:t>
      </w:r>
      <w:r>
        <w:t xml:space="preserve">Directive 2009/28/EC </w:t>
      </w:r>
      <w:r>
        <w:rPr>
          <w:rFonts w:eastAsia="Times New Roman"/>
        </w:rPr>
        <w:t xml:space="preserve">shall be provided. Where Directive </w:t>
      </w:r>
      <w:r>
        <w:t xml:space="preserve">2009/28/EC is not applicable in the country where the </w:t>
      </w:r>
      <w:r>
        <w:rPr>
          <w:rFonts w:eastAsia="Times New Roman"/>
        </w:rPr>
        <w:t xml:space="preserve">floor covering is manufactured, an equivalent means of proof shall be provided; </w:t>
      </w:r>
      <w:r>
        <w:t xml:space="preserve"> </w:t>
      </w:r>
    </w:p>
    <w:p w:rsidR="006B00A6" w:rsidRDefault="006B00A6" w:rsidP="00AC318D">
      <w:pPr>
        <w:numPr>
          <w:ilvl w:val="0"/>
          <w:numId w:val="31"/>
        </w:numPr>
        <w:autoSpaceDE w:val="0"/>
        <w:autoSpaceDN w:val="0"/>
        <w:adjustRightInd w:val="0"/>
        <w:spacing w:before="0" w:after="0"/>
        <w:contextualSpacing/>
        <w:rPr>
          <w:rFonts w:eastAsia="Times New Roman"/>
        </w:rPr>
      </w:pPr>
      <w:r>
        <w:rPr>
          <w:rFonts w:eastAsia="Times New Roman"/>
        </w:rPr>
        <w:t>the type(s) of fuels and quantities that have been used in the manufacturing of the floor coverings by means of the contracts, bills or equivalent documentation that includes dates, quantity delivered/purchased and specifications of the fuel (e.g. physic-chemical properties, Low Heating Value (LHV), etc.). Declaration of which of those used fuels are coming from RES in accordance with Directive 2009/28/EC shall be included;</w:t>
      </w:r>
    </w:p>
    <w:p w:rsidR="006B00A6" w:rsidRDefault="006B00A6" w:rsidP="00AC318D">
      <w:pPr>
        <w:pStyle w:val="ListParagraph"/>
        <w:numPr>
          <w:ilvl w:val="0"/>
          <w:numId w:val="31"/>
        </w:numPr>
        <w:autoSpaceDE w:val="0"/>
        <w:autoSpaceDN w:val="0"/>
        <w:adjustRightInd w:val="0"/>
        <w:rPr>
          <w:szCs w:val="22"/>
        </w:rPr>
      </w:pPr>
      <w:r>
        <w:rPr>
          <w:szCs w:val="22"/>
        </w:rPr>
        <w:t xml:space="preserve">the quantity of energy that has been used in the manufacturing steps included in the calculation of the E score together with supporting documents (e.g. energy measurements at </w:t>
      </w:r>
      <w:r>
        <w:rPr>
          <w:szCs w:val="22"/>
        </w:rPr>
        <w:lastRenderedPageBreak/>
        <w:t>different manufacturing points, energy consumption of the equipment as reported in the product sheets, etc.);</w:t>
      </w:r>
    </w:p>
    <w:p w:rsidR="006B00A6" w:rsidRDefault="006B00A6" w:rsidP="00AC318D">
      <w:pPr>
        <w:numPr>
          <w:ilvl w:val="0"/>
          <w:numId w:val="31"/>
        </w:numPr>
        <w:autoSpaceDE w:val="0"/>
        <w:autoSpaceDN w:val="0"/>
        <w:adjustRightInd w:val="0"/>
        <w:spacing w:before="0" w:after="0"/>
        <w:contextualSpacing/>
        <w:rPr>
          <w:rFonts w:eastAsia="Times New Roman"/>
        </w:rPr>
      </w:pPr>
      <w:r>
        <w:rPr>
          <w:rFonts w:eastAsia="Times New Roman"/>
        </w:rPr>
        <w:t>the type and quantity of energy that has been sold. The calculations shall include the type and quantity of fuels, if any, used for generating the energy sold, the dates or periods of time in which it was generated and the selling dates;</w:t>
      </w:r>
    </w:p>
    <w:p w:rsidR="006B00A6" w:rsidRDefault="006B00A6" w:rsidP="00AC318D">
      <w:pPr>
        <w:numPr>
          <w:ilvl w:val="0"/>
          <w:numId w:val="31"/>
        </w:numPr>
        <w:autoSpaceDE w:val="0"/>
        <w:autoSpaceDN w:val="0"/>
        <w:adjustRightInd w:val="0"/>
        <w:spacing w:before="0" w:after="0"/>
        <w:contextualSpacing/>
        <w:rPr>
          <w:rFonts w:eastAsia="Times New Roman"/>
        </w:rPr>
      </w:pPr>
      <w:r>
        <w:rPr>
          <w:rFonts w:eastAsia="Times New Roman"/>
        </w:rPr>
        <w:t>a declaration of the quantity of flooring that applies for the EU Ecolabel (in m</w:t>
      </w:r>
      <w:r>
        <w:rPr>
          <w:rFonts w:eastAsia="Times New Roman"/>
          <w:vertAlign w:val="superscript"/>
        </w:rPr>
        <w:t>2</w:t>
      </w:r>
      <w:r>
        <w:rPr>
          <w:rFonts w:eastAsia="Times New Roman"/>
        </w:rPr>
        <w:t>) that has been, on average, annually produced.</w:t>
      </w:r>
    </w:p>
    <w:p w:rsidR="006B00A6" w:rsidRDefault="006B00A6" w:rsidP="006B00A6">
      <w:pPr>
        <w:autoSpaceDE w:val="0"/>
        <w:autoSpaceDN w:val="0"/>
        <w:adjustRightInd w:val="0"/>
        <w:spacing w:after="0"/>
        <w:rPr>
          <w:rFonts w:eastAsia="Times New Roman"/>
        </w:rPr>
      </w:pPr>
      <w:r>
        <w:rPr>
          <w:rFonts w:eastAsia="Times New Roman"/>
        </w:rPr>
        <w:t>The documents used to communicate the energy consumption, fuel purchase and energy generation as well as the documents to communicate flooring production to the national authorities may be used to demonstrate compliance with this criterion.</w:t>
      </w:r>
    </w:p>
    <w:p w:rsidR="006B00A6" w:rsidRDefault="006B00A6" w:rsidP="006B00A6">
      <w:pPr>
        <w:rPr>
          <w:rFonts w:eastAsia="Times New Roman"/>
          <w:b/>
          <w:bCs/>
          <w:sz w:val="26"/>
          <w:szCs w:val="26"/>
        </w:rPr>
      </w:pPr>
    </w:p>
    <w:p w:rsidR="006B00A6" w:rsidRDefault="006B00A6" w:rsidP="006B00A6">
      <w:pPr>
        <w:rPr>
          <w:rFonts w:eastAsia="Times New Roman"/>
          <w:b/>
          <w:bCs/>
          <w:sz w:val="26"/>
          <w:szCs w:val="26"/>
        </w:rPr>
      </w:pPr>
      <w:r>
        <w:rPr>
          <w:rFonts w:eastAsia="Times New Roman"/>
          <w:b/>
          <w:noProof/>
          <w:sz w:val="26"/>
          <w:szCs w:val="26"/>
        </w:rPr>
        <w:t>Criterion</w:t>
      </w:r>
      <w:r>
        <w:rPr>
          <w:rFonts w:eastAsia="Times New Roman"/>
          <w:b/>
          <w:bCs/>
          <w:sz w:val="26"/>
          <w:szCs w:val="26"/>
        </w:rPr>
        <w:t xml:space="preserve"> 6. Emissions of VOC from the floor coverings </w:t>
      </w:r>
    </w:p>
    <w:p w:rsidR="006B00A6" w:rsidRDefault="006B00A6" w:rsidP="006B00A6">
      <w:pPr>
        <w:spacing w:after="0"/>
        <w:rPr>
          <w:rFonts w:eastAsia="Times New Roman"/>
          <w:sz w:val="22"/>
          <w:lang w:eastAsia="en-GB"/>
        </w:rPr>
      </w:pPr>
      <w:bookmarkStart w:id="22" w:name="criterion6"/>
      <w:r>
        <w:rPr>
          <w:rFonts w:eastAsia="Times New Roman"/>
          <w:lang w:eastAsia="en-GB"/>
        </w:rPr>
        <w:t>The floor coverings shall not exceed the emission values listed in Table 6.1 measured in a test chamber in accordance with testing standard CEN/TS16516. Packaging and delivery of samples sent for testing, their handling and conditioning shall follow the procedures described in CEN/TS 16516.</w:t>
      </w:r>
    </w:p>
    <w:p w:rsidR="006B00A6" w:rsidRDefault="006B00A6" w:rsidP="006B00A6">
      <w:pPr>
        <w:jc w:val="center"/>
        <w:rPr>
          <w:rFonts w:eastAsia="Times New Roman"/>
          <w:b/>
          <w:i/>
        </w:rPr>
      </w:pPr>
      <w:r>
        <w:rPr>
          <w:rFonts w:eastAsia="Times New Roman"/>
          <w:b/>
          <w:lang w:eastAsia="en-GB"/>
        </w:rPr>
        <w:t>Table 6.1. Emission requirements</w:t>
      </w:r>
    </w:p>
    <w:tbl>
      <w:tblPr>
        <w:tblStyle w:val="TableGrid"/>
        <w:tblW w:w="0" w:type="auto"/>
        <w:jc w:val="center"/>
        <w:tblInd w:w="0" w:type="dxa"/>
        <w:tblLook w:val="04A0" w:firstRow="1" w:lastRow="0" w:firstColumn="1" w:lastColumn="0" w:noHBand="0" w:noVBand="1"/>
      </w:tblPr>
      <w:tblGrid>
        <w:gridCol w:w="2748"/>
        <w:gridCol w:w="3240"/>
        <w:gridCol w:w="3254"/>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vMerge w:val="restart"/>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Products</w:t>
            </w:r>
          </w:p>
        </w:tc>
        <w:tc>
          <w:tcPr>
            <w:tcW w:w="6494" w:type="dxa"/>
            <w:gridSpan w:val="2"/>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Emission requirements</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i/>
                <w:sz w:val="20"/>
              </w:rPr>
            </w:pPr>
            <w:r>
              <w:rPr>
                <w:sz w:val="20"/>
              </w:rPr>
              <w:t xml:space="preserve">Compound </w:t>
            </w:r>
          </w:p>
        </w:tc>
        <w:tc>
          <w:tcPr>
            <w:tcW w:w="3254"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i/>
                <w:sz w:val="20"/>
              </w:rPr>
            </w:pPr>
            <w:r>
              <w:rPr>
                <w:sz w:val="20"/>
              </w:rPr>
              <w:t>Limit value after 28 days storage in a ventilated test chamber (see CEN/TS16516</w:t>
            </w:r>
            <w:r>
              <w:rPr>
                <w:i/>
                <w:sz w:val="20"/>
              </w:rPr>
              <w:t xml:space="preserve">) </w:t>
            </w:r>
            <w:r>
              <w:rPr>
                <w:sz w:val="20"/>
              </w:rPr>
              <w:t>in mg/m</w:t>
            </w:r>
            <w:r>
              <w:rPr>
                <w:sz w:val="20"/>
                <w:vertAlign w:val="superscript"/>
              </w:rPr>
              <w:t>3</w:t>
            </w:r>
            <w:r>
              <w:rPr>
                <w:sz w:val="20"/>
              </w:rPr>
              <w:t xml:space="preserve"> air</w:t>
            </w:r>
            <w:r>
              <w:rPr>
                <w:sz w:val="20"/>
                <w:vertAlign w:val="superscript"/>
              </w:rPr>
              <w:t>d</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 xml:space="preserve">Solid wood floorings </w:t>
            </w:r>
          </w:p>
          <w:p w:rsidR="006B00A6" w:rsidRDefault="006B00A6">
            <w:pPr>
              <w:spacing w:after="0"/>
              <w:jc w:val="left"/>
              <w:rPr>
                <w:sz w:val="20"/>
              </w:rPr>
            </w:pPr>
            <w:r>
              <w:rPr>
                <w:sz w:val="20"/>
              </w:rPr>
              <w:t>Multi-layer  wood floorings</w:t>
            </w:r>
          </w:p>
          <w:p w:rsidR="006B00A6" w:rsidRDefault="006B00A6">
            <w:pPr>
              <w:spacing w:after="0"/>
              <w:jc w:val="left"/>
              <w:rPr>
                <w:sz w:val="20"/>
              </w:rPr>
            </w:pPr>
            <w:r>
              <w:rPr>
                <w:sz w:val="20"/>
              </w:rPr>
              <w:t>Wood veneer floor covering</w:t>
            </w: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lang w:val="pt-PT"/>
              </w:rPr>
            </w:pPr>
            <w:r>
              <w:rPr>
                <w:sz w:val="20"/>
                <w:lang w:val="pt-PT"/>
              </w:rPr>
              <w:t>Total VOC minus acetic acid</w:t>
            </w:r>
          </w:p>
          <w:p w:rsidR="006B00A6" w:rsidRDefault="006B00A6">
            <w:pPr>
              <w:autoSpaceDE w:val="0"/>
              <w:autoSpaceDN w:val="0"/>
              <w:adjustRightInd w:val="0"/>
              <w:spacing w:after="0"/>
              <w:jc w:val="left"/>
              <w:rPr>
                <w:sz w:val="20"/>
              </w:rPr>
            </w:pPr>
            <w:r>
              <w:rPr>
                <w:sz w:val="20"/>
                <w:lang w:val="pt-PT"/>
              </w:rPr>
              <w:t>(CAS 64-19-7)</w:t>
            </w:r>
          </w:p>
        </w:tc>
        <w:tc>
          <w:tcPr>
            <w:tcW w:w="3254" w:type="dxa"/>
            <w:vMerge w:val="restart"/>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rPr>
                <w:rFonts w:ascii="Verdana" w:hAnsi="Verdana"/>
                <w:sz w:val="20"/>
              </w:rPr>
            </w:pPr>
            <w:r>
              <w:rPr>
                <w:sz w:val="20"/>
              </w:rPr>
              <w:t>&lt; 0,3</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xml:space="preserve">Cork floor coverings </w:t>
            </w:r>
          </w:p>
          <w:p w:rsidR="006B00A6" w:rsidRDefault="006B00A6">
            <w:pPr>
              <w:autoSpaceDE w:val="0"/>
              <w:autoSpaceDN w:val="0"/>
              <w:adjustRightInd w:val="0"/>
              <w:spacing w:after="0"/>
              <w:jc w:val="left"/>
              <w:rPr>
                <w:sz w:val="20"/>
              </w:rPr>
            </w:pPr>
            <w:r>
              <w:rPr>
                <w:sz w:val="20"/>
              </w:rPr>
              <w:t xml:space="preserve">Bamboo floor coverings </w:t>
            </w: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Total VOC</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ascii="Verdana" w:hAnsi="Verdana"/>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Laminate floorings</w:t>
            </w: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Total VOC</w:t>
            </w:r>
          </w:p>
        </w:tc>
        <w:tc>
          <w:tcPr>
            <w:tcW w:w="3254"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rPr>
                <w:sz w:val="20"/>
              </w:rPr>
            </w:pPr>
            <w:r>
              <w:rPr>
                <w:sz w:val="20"/>
              </w:rPr>
              <w:t>&lt; 0,16</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All floor coverings</w:t>
            </w: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Total SVOC</w:t>
            </w:r>
          </w:p>
        </w:tc>
        <w:tc>
          <w:tcPr>
            <w:tcW w:w="3254"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rPr>
                <w:sz w:val="20"/>
              </w:rPr>
            </w:pPr>
            <w:r>
              <w:rPr>
                <w:sz w:val="20"/>
              </w:rPr>
              <w:t>&lt; 0,1</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 xml:space="preserve">Solid wood floorings </w:t>
            </w:r>
          </w:p>
          <w:p w:rsidR="006B00A6" w:rsidRDefault="006B00A6">
            <w:pPr>
              <w:spacing w:after="0"/>
              <w:jc w:val="left"/>
              <w:rPr>
                <w:sz w:val="20"/>
              </w:rPr>
            </w:pPr>
            <w:r>
              <w:rPr>
                <w:sz w:val="20"/>
              </w:rPr>
              <w:t>Multi-layer  wood floorings</w:t>
            </w:r>
          </w:p>
          <w:p w:rsidR="006B00A6" w:rsidRDefault="006B00A6">
            <w:pPr>
              <w:autoSpaceDE w:val="0"/>
              <w:autoSpaceDN w:val="0"/>
              <w:adjustRightInd w:val="0"/>
              <w:spacing w:after="0"/>
              <w:jc w:val="left"/>
              <w:rPr>
                <w:sz w:val="20"/>
              </w:rPr>
            </w:pPr>
            <w:r>
              <w:rPr>
                <w:sz w:val="20"/>
              </w:rPr>
              <w:t>Wood veneer floor covering</w:t>
            </w: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xml:space="preserve">R-value for LCI substances minus acetic acid </w:t>
            </w:r>
            <w:r>
              <w:rPr>
                <w:sz w:val="20"/>
                <w:lang w:val="pt-PT"/>
              </w:rPr>
              <w:t>(CAS 64-19-7)</w:t>
            </w:r>
          </w:p>
        </w:tc>
        <w:tc>
          <w:tcPr>
            <w:tcW w:w="3254"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rPr>
                <w:sz w:val="20"/>
              </w:rPr>
            </w:pPr>
            <w:r>
              <w:rPr>
                <w:rFonts w:ascii="Verdana" w:hAnsi="Verdana"/>
                <w:sz w:val="20"/>
              </w:rPr>
              <w:t>≤</w:t>
            </w:r>
            <w:r>
              <w:rPr>
                <w:sz w:val="20"/>
              </w:rPr>
              <w:t>1</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xml:space="preserve">Cork floor coverings </w:t>
            </w:r>
          </w:p>
          <w:p w:rsidR="006B00A6" w:rsidRDefault="006B00A6">
            <w:pPr>
              <w:autoSpaceDE w:val="0"/>
              <w:autoSpaceDN w:val="0"/>
              <w:adjustRightInd w:val="0"/>
              <w:spacing w:after="0"/>
              <w:jc w:val="left"/>
              <w:rPr>
                <w:sz w:val="20"/>
              </w:rPr>
            </w:pPr>
            <w:r>
              <w:rPr>
                <w:sz w:val="20"/>
              </w:rPr>
              <w:t>Bamboo floor coverings</w:t>
            </w:r>
          </w:p>
          <w:p w:rsidR="006B00A6" w:rsidRDefault="006B00A6">
            <w:pPr>
              <w:autoSpaceDE w:val="0"/>
              <w:autoSpaceDN w:val="0"/>
              <w:adjustRightInd w:val="0"/>
              <w:spacing w:after="0"/>
              <w:jc w:val="left"/>
              <w:rPr>
                <w:sz w:val="20"/>
              </w:rPr>
            </w:pPr>
            <w:r>
              <w:rPr>
                <w:sz w:val="20"/>
              </w:rPr>
              <w:t>Laminate floorings</w:t>
            </w: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R-value for LCI substances</w:t>
            </w:r>
          </w:p>
        </w:tc>
        <w:tc>
          <w:tcPr>
            <w:tcW w:w="3254"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rPr>
                <w:sz w:val="20"/>
              </w:rPr>
            </w:pPr>
            <w:r>
              <w:rPr>
                <w:rFonts w:ascii="Verdana" w:hAnsi="Verdana"/>
                <w:sz w:val="20"/>
              </w:rPr>
              <w:t>≤</w:t>
            </w:r>
            <w:r>
              <w:rPr>
                <w:sz w:val="20"/>
              </w:rPr>
              <w:t>1</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All floor coverings</w:t>
            </w:r>
          </w:p>
        </w:tc>
        <w:tc>
          <w:tcPr>
            <w:tcW w:w="3240"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Carcinogenic substances</w:t>
            </w:r>
          </w:p>
        </w:tc>
        <w:tc>
          <w:tcPr>
            <w:tcW w:w="3254"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rPr>
                <w:rFonts w:ascii="Verdana" w:hAnsi="Verdana"/>
                <w:sz w:val="20"/>
              </w:rPr>
            </w:pPr>
            <w:r>
              <w:rPr>
                <w:sz w:val="20"/>
              </w:rPr>
              <w:t>&lt; 0,001</w:t>
            </w:r>
          </w:p>
        </w:tc>
      </w:tr>
    </w:tbl>
    <w:p w:rsidR="006B00A6" w:rsidRDefault="006B00A6" w:rsidP="006B00A6">
      <w:pPr>
        <w:autoSpaceDE w:val="0"/>
        <w:autoSpaceDN w:val="0"/>
        <w:adjustRightInd w:val="0"/>
        <w:spacing w:after="0"/>
        <w:rPr>
          <w:rFonts w:eastAsia="Times New Roman"/>
          <w:sz w:val="18"/>
          <w:szCs w:val="18"/>
          <w:lang w:eastAsia="en-GB"/>
        </w:rPr>
      </w:pPr>
      <w:r>
        <w:rPr>
          <w:rFonts w:eastAsia="Times New Roman"/>
          <w:sz w:val="18"/>
          <w:szCs w:val="18"/>
          <w:vertAlign w:val="superscript"/>
          <w:lang w:eastAsia="en-GB"/>
        </w:rPr>
        <w:t>d</w:t>
      </w:r>
      <w:r>
        <w:rPr>
          <w:rFonts w:eastAsia="Times New Roman"/>
          <w:sz w:val="18"/>
          <w:szCs w:val="18"/>
          <w:lang w:eastAsia="en-GB"/>
        </w:rPr>
        <w:t xml:space="preserve"> The chamber test has to be carried out 28 days after the conclusion of the surface treatment. Up to this point in time the product to be tested is stored in a sealed package at the production site and thus delivered to the test laboratory.</w:t>
      </w:r>
    </w:p>
    <w:p w:rsidR="006B00A6" w:rsidRDefault="006B00A6" w:rsidP="006B00A6">
      <w:pPr>
        <w:spacing w:after="0"/>
        <w:rPr>
          <w:rFonts w:eastAsia="Times New Roman"/>
          <w:b/>
          <w:i/>
          <w:sz w:val="22"/>
        </w:rPr>
      </w:pPr>
      <w:r>
        <w:rPr>
          <w:rFonts w:eastAsia="Times New Roman"/>
          <w:b/>
          <w:i/>
        </w:rPr>
        <w:t>Assessment and verification</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The applicant shall provide to the competent body a declaration of compliance supported by the test reports from chamber tests carried out in accordance with CEN/TS16516 or an equivalent method showing that the limits in the Table 6.1 have been met. Test reports shall include:</w:t>
      </w:r>
    </w:p>
    <w:p w:rsidR="006B00A6" w:rsidRDefault="006B00A6" w:rsidP="00AC318D">
      <w:pPr>
        <w:numPr>
          <w:ilvl w:val="0"/>
          <w:numId w:val="32"/>
        </w:numPr>
        <w:autoSpaceDE w:val="0"/>
        <w:autoSpaceDN w:val="0"/>
        <w:adjustRightInd w:val="0"/>
        <w:spacing w:before="0" w:after="0"/>
        <w:rPr>
          <w:rFonts w:eastAsia="Times New Roman"/>
          <w:lang w:eastAsia="en-GB"/>
        </w:rPr>
      </w:pPr>
      <w:r>
        <w:rPr>
          <w:rFonts w:eastAsia="Times New Roman"/>
          <w:lang w:eastAsia="en-GB"/>
        </w:rPr>
        <w:t>The test method used;</w:t>
      </w:r>
    </w:p>
    <w:p w:rsidR="006B00A6" w:rsidRDefault="006B00A6" w:rsidP="00AC318D">
      <w:pPr>
        <w:numPr>
          <w:ilvl w:val="0"/>
          <w:numId w:val="32"/>
        </w:numPr>
        <w:autoSpaceDE w:val="0"/>
        <w:autoSpaceDN w:val="0"/>
        <w:adjustRightInd w:val="0"/>
        <w:spacing w:before="0" w:after="0"/>
        <w:rPr>
          <w:rFonts w:eastAsia="Times New Roman"/>
          <w:lang w:eastAsia="en-GB"/>
        </w:rPr>
      </w:pPr>
      <w:r>
        <w:rPr>
          <w:rFonts w:eastAsia="Times New Roman"/>
          <w:lang w:eastAsia="en-GB"/>
        </w:rPr>
        <w:lastRenderedPageBreak/>
        <w:t>The test results and needed calculations showings the limits in Table 6.1.</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xml:space="preserve">If the chamber concentration limits specified at 28 days can be met 3 days after placing the sample in the chamber, or any other time period between 3 and 27 days after placing the sample in the chamber, then the compliance with the requirements may be declared and the test may be stopped prematurely. </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Test data from up to 12 months prior to the EU Ecolabel application shall be valid for products as long as no changes to the manufacturing process or chemical formulations used have been made that would be considered to increase VOC emissions from the final product.</w:t>
      </w:r>
    </w:p>
    <w:p w:rsidR="006B00A6" w:rsidRDefault="006B00A6" w:rsidP="006B00A6">
      <w:pPr>
        <w:spacing w:after="0"/>
        <w:rPr>
          <w:rFonts w:eastAsia="Times New Roman"/>
          <w:lang w:eastAsia="en-GB"/>
        </w:rPr>
      </w:pPr>
      <w:r>
        <w:rPr>
          <w:rFonts w:eastAsia="Times New Roman"/>
          <w:lang w:eastAsia="en-GB"/>
        </w:rPr>
        <w:t>A valid certificate from relevant indoor climate labels may also be used as proof of compliance if the indoor climate label fulfils the requirements of this criterion, and if it is judged by the competent body to be equivalent</w:t>
      </w:r>
      <w:bookmarkEnd w:id="22"/>
      <w:r>
        <w:rPr>
          <w:rFonts w:eastAsia="Times New Roman"/>
          <w:lang w:eastAsia="en-GB"/>
        </w:rPr>
        <w:t>.</w:t>
      </w:r>
    </w:p>
    <w:p w:rsidR="006B00A6" w:rsidRDefault="006B00A6" w:rsidP="006B00A6">
      <w:pPr>
        <w:spacing w:after="0"/>
        <w:rPr>
          <w:rFonts w:eastAsia="Times New Roman"/>
          <w:lang w:eastAsia="en-GB"/>
        </w:rPr>
      </w:pPr>
    </w:p>
    <w:p w:rsidR="006B00A6" w:rsidRDefault="006B00A6" w:rsidP="006B00A6">
      <w:pPr>
        <w:spacing w:after="240"/>
        <w:rPr>
          <w:rFonts w:eastAsia="Times New Roman"/>
          <w:b/>
          <w:noProof/>
          <w:sz w:val="26"/>
          <w:szCs w:val="26"/>
        </w:rPr>
      </w:pPr>
      <w:r>
        <w:rPr>
          <w:rFonts w:eastAsia="Times New Roman"/>
          <w:b/>
          <w:noProof/>
          <w:sz w:val="26"/>
          <w:szCs w:val="26"/>
        </w:rPr>
        <w:t>Criterion</w:t>
      </w:r>
      <w:r>
        <w:rPr>
          <w:rFonts w:eastAsia="Times New Roman"/>
          <w:b/>
          <w:bCs/>
          <w:sz w:val="26"/>
          <w:szCs w:val="26"/>
        </w:rPr>
        <w:t xml:space="preserve"> 7. </w:t>
      </w:r>
      <w:r>
        <w:rPr>
          <w:rFonts w:eastAsia="Times New Roman"/>
          <w:b/>
          <w:noProof/>
          <w:sz w:val="26"/>
          <w:szCs w:val="26"/>
        </w:rPr>
        <w:t>Emissions of formaldehyde from the floor coverings and the core board</w:t>
      </w:r>
    </w:p>
    <w:p w:rsidR="006B00A6" w:rsidRDefault="006B00A6" w:rsidP="006B00A6">
      <w:pPr>
        <w:spacing w:after="0"/>
        <w:rPr>
          <w:rFonts w:eastAsia="Times New Roman"/>
          <w:bCs/>
          <w:iCs/>
          <w:noProof/>
          <w:sz w:val="22"/>
          <w:lang w:val="en-US"/>
        </w:rPr>
      </w:pPr>
      <w:r>
        <w:rPr>
          <w:rFonts w:eastAsia="Times New Roman"/>
          <w:lang w:eastAsia="en-GB"/>
        </w:rPr>
        <w:t xml:space="preserve">The floor covering manufactured by </w:t>
      </w:r>
      <w:r>
        <w:rPr>
          <w:rFonts w:eastAsia="Times New Roman"/>
          <w:bCs/>
          <w:iCs/>
          <w:noProof/>
          <w:lang w:val="en-US"/>
        </w:rPr>
        <w:t>using formaldehyde-based core boards, adhesives, resins or finishing agents and if used, the core boards manufactured by using formaldehyde-based adhesives or resines shall have either of the following:</w:t>
      </w:r>
    </w:p>
    <w:p w:rsidR="006B00A6" w:rsidRDefault="006B00A6" w:rsidP="00AC318D">
      <w:pPr>
        <w:numPr>
          <w:ilvl w:val="0"/>
          <w:numId w:val="33"/>
        </w:numPr>
        <w:autoSpaceDE w:val="0"/>
        <w:autoSpaceDN w:val="0"/>
        <w:adjustRightInd w:val="0"/>
        <w:contextualSpacing/>
        <w:rPr>
          <w:rFonts w:eastAsia="Times New Roman"/>
          <w:lang w:eastAsia="en-GB"/>
        </w:rPr>
      </w:pPr>
      <w:r>
        <w:rPr>
          <w:rFonts w:eastAsia="Times New Roman"/>
          <w:lang w:eastAsia="en-GB"/>
        </w:rPr>
        <w:t xml:space="preserve">formaldehyde emissions that are lower than 50% of the threshold value allowing them to be classified as </w:t>
      </w:r>
      <w:r>
        <w:rPr>
          <w:rFonts w:eastAsia="Times New Roman"/>
          <w:bCs/>
          <w:iCs/>
          <w:noProof/>
          <w:lang w:val="en-US"/>
        </w:rPr>
        <w:t>E1 as defined in Annex B to EN 13986+A1</w:t>
      </w:r>
      <w:r>
        <w:rPr>
          <w:rFonts w:eastAsia="Times New Roman"/>
          <w:lang w:eastAsia="en-GB"/>
        </w:rPr>
        <w:t xml:space="preserve"> (applying to all floor coverings and non-MDF core panels);</w:t>
      </w:r>
    </w:p>
    <w:p w:rsidR="006B00A6" w:rsidRDefault="006B00A6" w:rsidP="00AC318D">
      <w:pPr>
        <w:numPr>
          <w:ilvl w:val="0"/>
          <w:numId w:val="33"/>
        </w:numPr>
        <w:autoSpaceDE w:val="0"/>
        <w:autoSpaceDN w:val="0"/>
        <w:adjustRightInd w:val="0"/>
        <w:contextualSpacing/>
        <w:rPr>
          <w:rFonts w:eastAsia="Times New Roman"/>
          <w:lang w:eastAsia="en-GB"/>
        </w:rPr>
      </w:pPr>
      <w:r>
        <w:rPr>
          <w:rFonts w:eastAsia="Times New Roman"/>
          <w:lang w:eastAsia="en-GB"/>
        </w:rPr>
        <w:t xml:space="preserve">formaldehyde emissions that are lower than 65% of the E1 as defined in Annex B to EN 13986+A1 threshold limit applying to Medium Density Fibreboard (MDF) panels; </w:t>
      </w:r>
    </w:p>
    <w:p w:rsidR="006B00A6" w:rsidRDefault="006B00A6" w:rsidP="00AC318D">
      <w:pPr>
        <w:numPr>
          <w:ilvl w:val="0"/>
          <w:numId w:val="33"/>
        </w:numPr>
        <w:autoSpaceDE w:val="0"/>
        <w:autoSpaceDN w:val="0"/>
        <w:adjustRightInd w:val="0"/>
        <w:contextualSpacing/>
        <w:rPr>
          <w:rFonts w:eastAsia="Times New Roman"/>
          <w:b/>
          <w:bCs/>
          <w:i/>
          <w:iCs/>
          <w:noProof/>
        </w:rPr>
      </w:pPr>
      <w:r>
        <w:rPr>
          <w:rFonts w:eastAsia="Times New Roman"/>
          <w:lang w:eastAsia="en-GB"/>
        </w:rPr>
        <w:t>formaldehyde emissions that are lower than the limits set out in the California Air Resources Board (CARB) Phase II or the Japanese F-3 star or F-4 star standards.</w:t>
      </w:r>
    </w:p>
    <w:p w:rsidR="006B00A6" w:rsidRDefault="006B00A6" w:rsidP="006B00A6">
      <w:pPr>
        <w:autoSpaceDE w:val="0"/>
        <w:autoSpaceDN w:val="0"/>
        <w:adjustRightInd w:val="0"/>
        <w:ind w:left="720"/>
        <w:contextualSpacing/>
        <w:rPr>
          <w:rFonts w:eastAsia="Times New Roman"/>
          <w:b/>
          <w:bCs/>
          <w:i/>
          <w:iCs/>
          <w:noProof/>
        </w:rPr>
      </w:pPr>
    </w:p>
    <w:p w:rsidR="006B00A6" w:rsidRDefault="006B00A6" w:rsidP="006B00A6">
      <w:pPr>
        <w:spacing w:after="0"/>
        <w:rPr>
          <w:rFonts w:eastAsia="Times New Roman"/>
          <w:b/>
          <w:bCs/>
          <w:i/>
          <w:iCs/>
          <w:noProof/>
        </w:rPr>
      </w:pPr>
      <w:r>
        <w:rPr>
          <w:rFonts w:eastAsia="Times New Roman"/>
          <w:b/>
          <w:bCs/>
          <w:i/>
          <w:iCs/>
          <w:noProof/>
        </w:rPr>
        <w:t>Assessment and verification</w:t>
      </w:r>
    </w:p>
    <w:p w:rsidR="006B00A6" w:rsidRDefault="006B00A6" w:rsidP="006B00A6">
      <w:pPr>
        <w:spacing w:after="0"/>
        <w:rPr>
          <w:rFonts w:eastAsia="Times New Roman"/>
          <w:bCs/>
          <w:iCs/>
          <w:noProof/>
          <w:lang w:val="en-US"/>
        </w:rPr>
      </w:pPr>
      <w:r>
        <w:rPr>
          <w:rFonts w:eastAsia="Times New Roman"/>
          <w:bCs/>
          <w:iCs/>
          <w:noProof/>
          <w:lang w:val="en-US"/>
        </w:rPr>
        <w:t>The applicant shall provide to the competent body a declaration of compliance with this criterion. The assessment and verification of low formaldehyde emission floor coverings and core panels shall vary depending on the certification scheme it falls under. The verification documentation required for each scheme is described in Table 7.1.</w:t>
      </w:r>
    </w:p>
    <w:p w:rsidR="006B00A6" w:rsidRDefault="006B00A6" w:rsidP="006B00A6">
      <w:pPr>
        <w:spacing w:before="240"/>
        <w:jc w:val="center"/>
        <w:rPr>
          <w:rFonts w:eastAsia="Times New Roman"/>
          <w:b/>
          <w:bCs/>
          <w:iCs/>
          <w:noProof/>
          <w:lang w:val="en-US"/>
        </w:rPr>
      </w:pPr>
      <w:r>
        <w:rPr>
          <w:rFonts w:eastAsia="Times New Roman"/>
          <w:b/>
        </w:rPr>
        <w:t>Table 7.1</w:t>
      </w:r>
      <w:r>
        <w:rPr>
          <w:rFonts w:eastAsia="Times New Roman"/>
          <w:b/>
          <w:bCs/>
          <w:iCs/>
          <w:noProof/>
        </w:rPr>
        <w:t>. Verification documentation of low formaldehyde emission floor coverings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3"/>
        <w:gridCol w:w="7766"/>
      </w:tblGrid>
      <w:tr w:rsidR="006B00A6" w:rsidTr="006B00A6">
        <w:tc>
          <w:tcPr>
            <w:tcW w:w="1414"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
                <w:bCs/>
                <w:iCs/>
                <w:noProof/>
                <w:sz w:val="22"/>
                <w:lang w:val="en-US"/>
              </w:rPr>
            </w:pPr>
            <w:r>
              <w:rPr>
                <w:rFonts w:eastAsia="Times New Roman"/>
                <w:b/>
                <w:bCs/>
                <w:iCs/>
                <w:noProof/>
                <w:lang w:val="en-US"/>
              </w:rPr>
              <w:t>Certification scheme</w:t>
            </w:r>
          </w:p>
        </w:tc>
        <w:tc>
          <w:tcPr>
            <w:tcW w:w="7828"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
                <w:bCs/>
                <w:iCs/>
                <w:noProof/>
                <w:sz w:val="22"/>
                <w:lang w:val="en-US"/>
              </w:rPr>
            </w:pPr>
            <w:r>
              <w:rPr>
                <w:rFonts w:eastAsia="Times New Roman"/>
                <w:b/>
                <w:bCs/>
                <w:iCs/>
                <w:noProof/>
                <w:lang w:val="en-US"/>
              </w:rPr>
              <w:t>Assessment and verification</w:t>
            </w:r>
          </w:p>
        </w:tc>
      </w:tr>
      <w:tr w:rsidR="006B00A6" w:rsidTr="006B00A6">
        <w:trPr>
          <w:trHeight w:val="230"/>
        </w:trPr>
        <w:tc>
          <w:tcPr>
            <w:tcW w:w="1414"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Cs/>
                <w:iCs/>
                <w:noProof/>
                <w:lang w:val="en-US"/>
              </w:rPr>
            </w:pPr>
            <w:r>
              <w:rPr>
                <w:rFonts w:eastAsia="Times New Roman"/>
                <w:bCs/>
                <w:iCs/>
                <w:noProof/>
                <w:lang w:val="en-US"/>
              </w:rPr>
              <w:t xml:space="preserve">E1 </w:t>
            </w:r>
          </w:p>
          <w:p w:rsidR="006B00A6" w:rsidRDefault="006B00A6">
            <w:pPr>
              <w:spacing w:after="0"/>
              <w:rPr>
                <w:rFonts w:eastAsia="Times New Roman"/>
                <w:bCs/>
                <w:iCs/>
                <w:noProof/>
                <w:sz w:val="22"/>
                <w:lang w:val="en-US"/>
              </w:rPr>
            </w:pPr>
            <w:r>
              <w:rPr>
                <w:rFonts w:eastAsia="Times New Roman"/>
                <w:bCs/>
                <w:iCs/>
                <w:noProof/>
                <w:lang w:val="en-US"/>
              </w:rPr>
              <w:t>(as defined in Annex B to EN 13986+A1)</w:t>
            </w:r>
          </w:p>
        </w:tc>
        <w:tc>
          <w:tcPr>
            <w:tcW w:w="7828"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Cs/>
                <w:iCs/>
                <w:noProof/>
                <w:sz w:val="22"/>
              </w:rPr>
            </w:pPr>
            <w:r>
              <w:rPr>
                <w:rFonts w:eastAsia="Times New Roman"/>
                <w:bCs/>
                <w:iCs/>
                <w:noProof/>
              </w:rPr>
              <w:t xml:space="preserve">A declaration from the manufacturer and the core board supplier if applicable, stating that the floor covering and non-MDF panel are compliant with 50% of E1 </w:t>
            </w:r>
            <w:r>
              <w:rPr>
                <w:rFonts w:eastAsia="Times New Roman"/>
                <w:bCs/>
                <w:iCs/>
                <w:noProof/>
                <w:lang w:val="en-US"/>
              </w:rPr>
              <w:t xml:space="preserve">as defined in Annex B to EN 13986+A1 </w:t>
            </w:r>
            <w:r>
              <w:rPr>
                <w:rFonts w:eastAsia="Times New Roman"/>
                <w:bCs/>
                <w:iCs/>
                <w:noProof/>
              </w:rPr>
              <w:t>emission limits</w:t>
            </w:r>
            <w:r>
              <w:rPr>
                <w:rFonts w:eastAsia="Times New Roman"/>
                <w:bCs/>
                <w:iCs/>
                <w:noProof/>
                <w:sz w:val="18"/>
                <w:vertAlign w:val="superscript"/>
              </w:rPr>
              <w:footnoteReference w:id="17"/>
            </w:r>
            <w:r>
              <w:rPr>
                <w:rFonts w:eastAsia="Times New Roman"/>
                <w:bCs/>
                <w:iCs/>
                <w:noProof/>
              </w:rPr>
              <w:t xml:space="preserve"> or, in the case of MDF panels, with 65% of E1 </w:t>
            </w:r>
            <w:r>
              <w:rPr>
                <w:rFonts w:eastAsia="Times New Roman"/>
                <w:bCs/>
                <w:iCs/>
                <w:noProof/>
                <w:lang w:val="en-US"/>
              </w:rPr>
              <w:t xml:space="preserve">as defined in Annex B to EN 13986+A1 </w:t>
            </w:r>
            <w:r>
              <w:rPr>
                <w:rFonts w:eastAsia="Times New Roman"/>
                <w:bCs/>
                <w:iCs/>
                <w:noProof/>
              </w:rPr>
              <w:t>emission limits, supported by test reports carried out according to either EN 120, EN 717-2 or EN 717-1 or an equivalent method.</w:t>
            </w:r>
          </w:p>
        </w:tc>
      </w:tr>
      <w:tr w:rsidR="006B00A6" w:rsidTr="006B00A6">
        <w:tc>
          <w:tcPr>
            <w:tcW w:w="1414"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Cs/>
                <w:iCs/>
                <w:noProof/>
                <w:sz w:val="22"/>
                <w:lang w:val="en-US"/>
              </w:rPr>
            </w:pPr>
            <w:r>
              <w:rPr>
                <w:rFonts w:eastAsia="Times New Roman"/>
                <w:bCs/>
                <w:iCs/>
                <w:noProof/>
                <w:lang w:val="en-US"/>
              </w:rPr>
              <w:t>CARB: Phase II limits</w:t>
            </w:r>
          </w:p>
        </w:tc>
        <w:tc>
          <w:tcPr>
            <w:tcW w:w="7828"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Cs/>
                <w:iCs/>
                <w:noProof/>
              </w:rPr>
            </w:pPr>
            <w:r>
              <w:rPr>
                <w:rFonts w:eastAsia="Times New Roman"/>
                <w:bCs/>
                <w:iCs/>
                <w:noProof/>
              </w:rPr>
              <w:t xml:space="preserve">A declaration from the manufacturer and the core board supplier if applicable, supported by test results according to ASTM E1333 or ASTM D6007, demonstrating floor covering compliance with the formaldehyde Phase II </w:t>
            </w:r>
            <w:r>
              <w:rPr>
                <w:rFonts w:eastAsia="Times New Roman"/>
                <w:bCs/>
                <w:iCs/>
                <w:noProof/>
              </w:rPr>
              <w:lastRenderedPageBreak/>
              <w:t>emission limits defined in the California Composite Wood Products Regulation 93120</w:t>
            </w:r>
            <w:r>
              <w:rPr>
                <w:rFonts w:eastAsia="Times New Roman"/>
                <w:bCs/>
                <w:iCs/>
                <w:noProof/>
                <w:vertAlign w:val="superscript"/>
              </w:rPr>
              <w:footnoteReference w:id="18"/>
            </w:r>
            <w:r>
              <w:rPr>
                <w:rFonts w:eastAsia="Times New Roman"/>
                <w:bCs/>
                <w:iCs/>
                <w:noProof/>
              </w:rPr>
              <w:t xml:space="preserve">. </w:t>
            </w:r>
          </w:p>
          <w:p w:rsidR="006B00A6" w:rsidRDefault="006B00A6">
            <w:pPr>
              <w:spacing w:after="0"/>
              <w:rPr>
                <w:rFonts w:eastAsia="Times New Roman"/>
                <w:bCs/>
                <w:iCs/>
                <w:noProof/>
                <w:sz w:val="22"/>
              </w:rPr>
            </w:pPr>
            <w:r>
              <w:rPr>
                <w:rFonts w:eastAsia="Times New Roman"/>
                <w:bCs/>
                <w:iCs/>
                <w:noProof/>
              </w:rPr>
              <w:t>The floor covering and the core board if applicable may be labelled in accordance with Section 93120.3(e), containing details in respect of the manufacturer's name, the product lot number or batch produced, and the CARB assigned number for the third party certifier (this part is not mandatory if the products are sold outside of California or if the products were made using no-added formaldehyde or certain ultra-low emitting formaldehyde-based resins).</w:t>
            </w:r>
          </w:p>
        </w:tc>
      </w:tr>
      <w:tr w:rsidR="006B00A6" w:rsidTr="006B00A6">
        <w:tc>
          <w:tcPr>
            <w:tcW w:w="1414"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Cs/>
                <w:iCs/>
                <w:noProof/>
                <w:sz w:val="22"/>
                <w:lang w:val="en-US"/>
              </w:rPr>
            </w:pPr>
            <w:r>
              <w:rPr>
                <w:rFonts w:eastAsia="Times New Roman"/>
                <w:bCs/>
                <w:iCs/>
                <w:noProof/>
                <w:lang w:val="en-US"/>
              </w:rPr>
              <w:lastRenderedPageBreak/>
              <w:t>F-3 or 4 star limtis</w:t>
            </w:r>
          </w:p>
        </w:tc>
        <w:tc>
          <w:tcPr>
            <w:tcW w:w="7828"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rFonts w:eastAsia="Times New Roman"/>
                <w:bCs/>
                <w:iCs/>
                <w:noProof/>
                <w:sz w:val="22"/>
              </w:rPr>
            </w:pPr>
            <w:r>
              <w:rPr>
                <w:rFonts w:eastAsia="Times New Roman"/>
                <w:bCs/>
                <w:iCs/>
                <w:noProof/>
              </w:rPr>
              <w:t>A declaration from the manufacturer and the core board supplier if applicable, of compliance with the formaldehyde emission limits as per JIS A 5905 (for fibreboard) or JIS A 5908:2003 (for particleboard and plywood), supported by test reports according to the JIS A 1460 desicator method.</w:t>
            </w:r>
          </w:p>
        </w:tc>
      </w:tr>
    </w:tbl>
    <w:p w:rsidR="006B00A6" w:rsidRDefault="006B00A6" w:rsidP="006B00A6">
      <w:pPr>
        <w:spacing w:after="0"/>
        <w:rPr>
          <w:rFonts w:eastAsia="Times New Roman"/>
          <w:b/>
          <w:bCs/>
          <w:sz w:val="22"/>
          <w:szCs w:val="24"/>
        </w:rPr>
      </w:pPr>
    </w:p>
    <w:p w:rsidR="006B00A6" w:rsidRDefault="006B00A6" w:rsidP="006B00A6">
      <w:pPr>
        <w:spacing w:after="0"/>
        <w:rPr>
          <w:rFonts w:eastAsia="Times New Roman"/>
          <w:b/>
          <w:bCs/>
          <w:sz w:val="26"/>
          <w:szCs w:val="26"/>
        </w:rPr>
      </w:pPr>
      <w:r>
        <w:rPr>
          <w:rFonts w:eastAsia="Times New Roman"/>
          <w:b/>
          <w:noProof/>
          <w:sz w:val="26"/>
          <w:szCs w:val="26"/>
        </w:rPr>
        <w:t>Criterion</w:t>
      </w:r>
      <w:r>
        <w:rPr>
          <w:rFonts w:eastAsia="Times New Roman"/>
          <w:b/>
          <w:bCs/>
          <w:sz w:val="26"/>
          <w:szCs w:val="26"/>
        </w:rPr>
        <w:t xml:space="preserve"> 8. Fitness for use</w:t>
      </w:r>
      <w:bookmarkStart w:id="23" w:name="criterion7"/>
    </w:p>
    <w:bookmarkEnd w:id="23"/>
    <w:p w:rsidR="006B00A6" w:rsidRDefault="006B00A6" w:rsidP="006B00A6">
      <w:pPr>
        <w:spacing w:after="0"/>
        <w:rPr>
          <w:rFonts w:eastAsia="Times New Roman"/>
          <w:sz w:val="22"/>
          <w:lang w:eastAsia="en-GB"/>
        </w:rPr>
      </w:pPr>
      <w:r>
        <w:rPr>
          <w:rFonts w:eastAsia="Times New Roman"/>
          <w:lang w:eastAsia="en-GB"/>
        </w:rPr>
        <w:t xml:space="preserve">Only the requirements associated with the specific type of flooring have to be fulfilled. </w:t>
      </w:r>
    </w:p>
    <w:p w:rsidR="006B00A6" w:rsidRDefault="006B00A6" w:rsidP="006B00A6">
      <w:pPr>
        <w:spacing w:after="0"/>
        <w:rPr>
          <w:rFonts w:eastAsia="Times New Roman"/>
          <w:lang w:eastAsia="en-GB"/>
        </w:rPr>
      </w:pPr>
      <w:r>
        <w:rPr>
          <w:rFonts w:eastAsia="Times New Roman"/>
          <w:lang w:eastAsia="en-GB"/>
        </w:rPr>
        <w:t>The floor coverings shall be tested and classified in accordance with the latest versions of the standards and indications included in Table 8.1.</w:t>
      </w:r>
    </w:p>
    <w:p w:rsidR="006B00A6" w:rsidRDefault="006B00A6" w:rsidP="006B00A6">
      <w:pPr>
        <w:jc w:val="center"/>
        <w:rPr>
          <w:rFonts w:eastAsia="Times New Roman"/>
          <w:b/>
          <w:lang w:eastAsia="en-GB"/>
        </w:rPr>
      </w:pPr>
      <w:r>
        <w:rPr>
          <w:rFonts w:eastAsia="Times New Roman"/>
          <w:b/>
          <w:lang w:eastAsia="en-GB"/>
        </w:rPr>
        <w:t>Table 8.1. Standards for testing and classifying the floor coverings</w:t>
      </w:r>
    </w:p>
    <w:tbl>
      <w:tblPr>
        <w:tblStyle w:val="TableGrid"/>
        <w:tblW w:w="9242" w:type="dxa"/>
        <w:jc w:val="center"/>
        <w:tblInd w:w="0" w:type="dxa"/>
        <w:tblLook w:val="04A0" w:firstRow="1" w:lastRow="0" w:firstColumn="1" w:lastColumn="0" w:noHBand="0" w:noVBand="1"/>
      </w:tblPr>
      <w:tblGrid>
        <w:gridCol w:w="2733"/>
        <w:gridCol w:w="4935"/>
        <w:gridCol w:w="1574"/>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Flooring</w:t>
            </w:r>
          </w:p>
        </w:tc>
        <w:tc>
          <w:tcPr>
            <w:tcW w:w="4935"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Test method</w:t>
            </w:r>
          </w:p>
        </w:tc>
        <w:tc>
          <w:tcPr>
            <w:tcW w:w="1574"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rPr>
            </w:pPr>
            <w:r>
              <w:rPr>
                <w:b/>
                <w:sz w:val="20"/>
              </w:rPr>
              <w:t>Classification</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 xml:space="preserve">Wood veneer </w:t>
            </w:r>
          </w:p>
          <w:p w:rsidR="006B00A6" w:rsidRDefault="006B00A6">
            <w:pPr>
              <w:spacing w:after="0"/>
              <w:jc w:val="left"/>
              <w:rPr>
                <w:sz w:val="20"/>
              </w:rPr>
            </w:pPr>
            <w:r>
              <w:rPr>
                <w:sz w:val="20"/>
              </w:rPr>
              <w:t>floor covering</w:t>
            </w:r>
            <w:r>
              <w:rPr>
                <w:sz w:val="20"/>
                <w:szCs w:val="24"/>
                <w:vertAlign w:val="superscript"/>
              </w:rPr>
              <w:footnoteReference w:id="19"/>
            </w:r>
          </w:p>
        </w:tc>
        <w:tc>
          <w:tcPr>
            <w:tcW w:w="4935"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xml:space="preserve">EN 1534  for Resistance to indentation </w:t>
            </w:r>
          </w:p>
          <w:p w:rsidR="006B00A6" w:rsidRDefault="006B00A6">
            <w:pPr>
              <w:autoSpaceDE w:val="0"/>
              <w:autoSpaceDN w:val="0"/>
              <w:adjustRightInd w:val="0"/>
              <w:spacing w:after="0"/>
              <w:jc w:val="left"/>
              <w:rPr>
                <w:sz w:val="20"/>
              </w:rPr>
            </w:pPr>
            <w:r>
              <w:rPr>
                <w:sz w:val="20"/>
              </w:rPr>
              <w:t xml:space="preserve">EN 13329 for Thickness swelling </w:t>
            </w:r>
          </w:p>
          <w:p w:rsidR="006B00A6" w:rsidRDefault="006B00A6">
            <w:pPr>
              <w:autoSpaceDE w:val="0"/>
              <w:autoSpaceDN w:val="0"/>
              <w:adjustRightInd w:val="0"/>
              <w:spacing w:after="0"/>
              <w:jc w:val="left"/>
              <w:rPr>
                <w:b/>
                <w:i/>
                <w:sz w:val="20"/>
              </w:rPr>
            </w:pPr>
            <w:r>
              <w:rPr>
                <w:b/>
                <w:i/>
                <w:sz w:val="20"/>
              </w:rPr>
              <w:t>(Text to be added as per the approval by the CEN for impact resistance)</w:t>
            </w:r>
          </w:p>
          <w:p w:rsidR="006B00A6" w:rsidRDefault="006B00A6">
            <w:pPr>
              <w:autoSpaceDE w:val="0"/>
              <w:autoSpaceDN w:val="0"/>
              <w:adjustRightInd w:val="0"/>
              <w:spacing w:after="0"/>
              <w:jc w:val="left"/>
              <w:rPr>
                <w:b/>
                <w:i/>
                <w:sz w:val="20"/>
                <w:highlight w:val="green"/>
              </w:rPr>
            </w:pPr>
            <w:r>
              <w:rPr>
                <w:b/>
                <w:i/>
                <w:sz w:val="20"/>
              </w:rPr>
              <w:t>(Text to be added as per the approval by the CEN for wear resistance)</w:t>
            </w:r>
          </w:p>
          <w:p w:rsidR="006B00A6" w:rsidRDefault="006B00A6">
            <w:pPr>
              <w:autoSpaceDE w:val="0"/>
              <w:autoSpaceDN w:val="0"/>
              <w:adjustRightInd w:val="0"/>
              <w:spacing w:after="0"/>
              <w:jc w:val="left"/>
              <w:rPr>
                <w:rFonts w:ascii="Trebuchet MS" w:hAnsi="Trebuchet MS" w:cs="Trebuchet MS"/>
                <w:szCs w:val="24"/>
                <w:lang w:eastAsia="es-ES"/>
              </w:rPr>
            </w:pPr>
            <w:r>
              <w:rPr>
                <w:sz w:val="20"/>
              </w:rPr>
              <w:t xml:space="preserve">ISO 24334 for Locking strength </w:t>
            </w:r>
          </w:p>
        </w:tc>
        <w:tc>
          <w:tcPr>
            <w:tcW w:w="1574" w:type="dxa"/>
            <w:tcBorders>
              <w:top w:val="single" w:sz="4" w:space="0" w:color="auto"/>
              <w:left w:val="single" w:sz="4" w:space="0" w:color="auto"/>
              <w:bottom w:val="single" w:sz="4" w:space="0" w:color="auto"/>
              <w:right w:val="single" w:sz="4" w:space="0" w:color="auto"/>
            </w:tcBorders>
          </w:tcPr>
          <w:p w:rsidR="006B00A6" w:rsidRDefault="006B00A6">
            <w:pPr>
              <w:spacing w:after="0"/>
              <w:rPr>
                <w:sz w:val="20"/>
                <w:vertAlign w:val="superscript"/>
              </w:rPr>
            </w:pPr>
            <w:r>
              <w:rPr>
                <w:sz w:val="20"/>
              </w:rPr>
              <w:t>EN ISO 10874</w:t>
            </w:r>
            <w:r>
              <w:rPr>
                <w:sz w:val="20"/>
                <w:vertAlign w:val="superscript"/>
              </w:rPr>
              <w:t>a</w:t>
            </w:r>
          </w:p>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769"/>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Factory lacquer solid and multilayer wood floorings</w:t>
            </w:r>
          </w:p>
        </w:tc>
        <w:tc>
          <w:tcPr>
            <w:tcW w:w="4935" w:type="dxa"/>
            <w:vMerge w:val="restart"/>
            <w:tcBorders>
              <w:top w:val="single" w:sz="4" w:space="0" w:color="auto"/>
              <w:left w:val="single" w:sz="4" w:space="0" w:color="auto"/>
              <w:bottom w:val="single" w:sz="4" w:space="0" w:color="auto"/>
              <w:right w:val="single" w:sz="4" w:space="0" w:color="auto"/>
            </w:tcBorders>
          </w:tcPr>
          <w:p w:rsidR="006B00A6" w:rsidRDefault="006B00A6">
            <w:pPr>
              <w:spacing w:after="0"/>
              <w:jc w:val="left"/>
              <w:rPr>
                <w:sz w:val="20"/>
              </w:rPr>
            </w:pPr>
          </w:p>
          <w:p w:rsidR="006B00A6" w:rsidRDefault="006B00A6">
            <w:pPr>
              <w:spacing w:after="0"/>
              <w:jc w:val="left"/>
              <w:rPr>
                <w:sz w:val="20"/>
              </w:rPr>
            </w:pPr>
            <w:r>
              <w:rPr>
                <w:sz w:val="20"/>
              </w:rPr>
              <w:t>Thickness of the top layer</w:t>
            </w:r>
          </w:p>
          <w:p w:rsidR="006B00A6" w:rsidRDefault="006B00A6">
            <w:pPr>
              <w:spacing w:after="0"/>
              <w:jc w:val="left"/>
              <w:rPr>
                <w:sz w:val="20"/>
                <w:vertAlign w:val="superscript"/>
              </w:rPr>
            </w:pPr>
            <w:r>
              <w:rPr>
                <w:sz w:val="20"/>
              </w:rPr>
              <w:t>Wood hardness of the surface layer</w:t>
            </w:r>
            <w:r>
              <w:rPr>
                <w:sz w:val="20"/>
                <w:vertAlign w:val="superscript"/>
              </w:rPr>
              <w:t xml:space="preserve"> b</w:t>
            </w:r>
          </w:p>
          <w:p w:rsidR="006B00A6" w:rsidRDefault="006B00A6">
            <w:pPr>
              <w:spacing w:after="0"/>
              <w:jc w:val="left"/>
              <w:rPr>
                <w:sz w:val="20"/>
              </w:rPr>
            </w:pPr>
          </w:p>
        </w:tc>
        <w:tc>
          <w:tcPr>
            <w:tcW w:w="1574" w:type="dxa"/>
            <w:vMerge w:val="restart"/>
            <w:tcBorders>
              <w:top w:val="single" w:sz="4" w:space="0" w:color="auto"/>
              <w:left w:val="single" w:sz="4" w:space="0" w:color="auto"/>
              <w:bottom w:val="single" w:sz="4" w:space="0" w:color="auto"/>
              <w:right w:val="single" w:sz="4" w:space="0" w:color="auto"/>
            </w:tcBorders>
          </w:tcPr>
          <w:p w:rsidR="006B00A6" w:rsidRDefault="006B00A6">
            <w:pPr>
              <w:spacing w:after="0"/>
              <w:rPr>
                <w:sz w:val="20"/>
              </w:rPr>
            </w:pPr>
            <w:r>
              <w:rPr>
                <w:sz w:val="20"/>
              </w:rPr>
              <w:t>EN 685</w:t>
            </w:r>
            <w:r>
              <w:rPr>
                <w:sz w:val="20"/>
                <w:vertAlign w:val="superscript"/>
              </w:rPr>
              <w:t xml:space="preserve">b </w:t>
            </w:r>
            <w:r>
              <w:rPr>
                <w:sz w:val="20"/>
              </w:rPr>
              <w:t>CTBA</w:t>
            </w:r>
          </w:p>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769"/>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Factory oiled, uncoated wood and uncoated multilayer wood flooring</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Cork tile floor coverings</w:t>
            </w:r>
          </w:p>
        </w:tc>
        <w:tc>
          <w:tcPr>
            <w:tcW w:w="4935"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EN 12104</w:t>
            </w:r>
          </w:p>
        </w:tc>
        <w:tc>
          <w:tcPr>
            <w:tcW w:w="1574" w:type="dxa"/>
            <w:vMerge w:val="restart"/>
            <w:tcBorders>
              <w:top w:val="single" w:sz="4" w:space="0" w:color="auto"/>
              <w:left w:val="single" w:sz="4" w:space="0" w:color="auto"/>
              <w:bottom w:val="single" w:sz="4" w:space="0" w:color="auto"/>
              <w:right w:val="single" w:sz="4" w:space="0" w:color="auto"/>
            </w:tcBorders>
          </w:tcPr>
          <w:p w:rsidR="006B00A6" w:rsidRDefault="006B00A6">
            <w:pPr>
              <w:spacing w:after="0"/>
              <w:rPr>
                <w:sz w:val="20"/>
              </w:rPr>
            </w:pPr>
            <w:r>
              <w:rPr>
                <w:sz w:val="20"/>
              </w:rPr>
              <w:t>EN ISO 10874</w:t>
            </w:r>
          </w:p>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highlight w:val="yellow"/>
              </w:rPr>
            </w:pPr>
            <w:r>
              <w:rPr>
                <w:sz w:val="20"/>
              </w:rPr>
              <w:t>Cork floor coverings</w:t>
            </w:r>
          </w:p>
        </w:tc>
        <w:tc>
          <w:tcPr>
            <w:tcW w:w="4935"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EN 660-1 for wearing group</w:t>
            </w:r>
          </w:p>
          <w:p w:rsidR="006B00A6" w:rsidRDefault="006B00A6">
            <w:pPr>
              <w:spacing w:after="0"/>
              <w:jc w:val="left"/>
              <w:rPr>
                <w:sz w:val="20"/>
              </w:rPr>
            </w:pPr>
            <w:r>
              <w:rPr>
                <w:sz w:val="20"/>
              </w:rPr>
              <w:t>EN 425 for castor chair</w:t>
            </w:r>
          </w:p>
          <w:p w:rsidR="006B00A6" w:rsidRDefault="006B00A6">
            <w:pPr>
              <w:spacing w:after="0"/>
              <w:jc w:val="left"/>
              <w:rPr>
                <w:sz w:val="20"/>
              </w:rPr>
            </w:pPr>
            <w:r>
              <w:rPr>
                <w:sz w:val="20"/>
              </w:rPr>
              <w:t>EN 425 for simulated movement of a furniture leg</w:t>
            </w:r>
          </w:p>
          <w:p w:rsidR="006B00A6" w:rsidRDefault="006B00A6">
            <w:pPr>
              <w:spacing w:after="0"/>
              <w:jc w:val="left"/>
              <w:rPr>
                <w:sz w:val="20"/>
                <w:highlight w:val="yellow"/>
              </w:rPr>
            </w:pPr>
            <w:r>
              <w:rPr>
                <w:sz w:val="20"/>
              </w:rPr>
              <w:t>ISO 24343-1for residual indentation</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lastRenderedPageBreak/>
              <w:t>Bamboo floor coverings</w:t>
            </w:r>
          </w:p>
        </w:tc>
        <w:tc>
          <w:tcPr>
            <w:tcW w:w="4935"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EN 1534 for resistance to indentation</w:t>
            </w:r>
          </w:p>
          <w:p w:rsidR="006B00A6" w:rsidRDefault="006B00A6">
            <w:pPr>
              <w:autoSpaceDE w:val="0"/>
              <w:autoSpaceDN w:val="0"/>
              <w:adjustRightInd w:val="0"/>
              <w:spacing w:after="0"/>
              <w:jc w:val="left"/>
              <w:rPr>
                <w:b/>
                <w:i/>
                <w:sz w:val="20"/>
              </w:rPr>
            </w:pPr>
            <w:r>
              <w:rPr>
                <w:b/>
                <w:i/>
                <w:sz w:val="20"/>
              </w:rPr>
              <w:t>(Text to be added as per the approval by the CEN for top layer thickness or wear layer)</w:t>
            </w:r>
          </w:p>
        </w:tc>
        <w:tc>
          <w:tcPr>
            <w:tcW w:w="1574"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r>
              <w:rPr>
                <w:sz w:val="20"/>
              </w:rPr>
              <w:t>--</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33"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Laminate flooring</w:t>
            </w:r>
          </w:p>
        </w:tc>
        <w:tc>
          <w:tcPr>
            <w:tcW w:w="4935"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EN 13329</w:t>
            </w:r>
          </w:p>
          <w:p w:rsidR="006B00A6" w:rsidRDefault="006B00A6">
            <w:pPr>
              <w:spacing w:after="0"/>
              <w:jc w:val="left"/>
              <w:rPr>
                <w:sz w:val="20"/>
              </w:rPr>
            </w:pPr>
            <w:r>
              <w:rPr>
                <w:sz w:val="20"/>
              </w:rPr>
              <w:t>EN 14978</w:t>
            </w:r>
          </w:p>
          <w:p w:rsidR="006B00A6" w:rsidRDefault="006B00A6">
            <w:pPr>
              <w:spacing w:after="0"/>
              <w:jc w:val="left"/>
              <w:rPr>
                <w:sz w:val="20"/>
              </w:rPr>
            </w:pPr>
            <w:r>
              <w:rPr>
                <w:sz w:val="20"/>
              </w:rPr>
              <w:t>EN 15468</w:t>
            </w:r>
          </w:p>
        </w:tc>
        <w:tc>
          <w:tcPr>
            <w:tcW w:w="1574" w:type="dxa"/>
            <w:tcBorders>
              <w:top w:val="single" w:sz="4" w:space="0" w:color="auto"/>
              <w:left w:val="single" w:sz="4" w:space="0" w:color="auto"/>
              <w:bottom w:val="single" w:sz="4" w:space="0" w:color="auto"/>
              <w:right w:val="single" w:sz="4" w:space="0" w:color="auto"/>
            </w:tcBorders>
          </w:tcPr>
          <w:p w:rsidR="006B00A6" w:rsidRDefault="006B00A6">
            <w:pPr>
              <w:spacing w:after="0"/>
              <w:rPr>
                <w:sz w:val="20"/>
              </w:rPr>
            </w:pPr>
            <w:r>
              <w:rPr>
                <w:sz w:val="20"/>
              </w:rPr>
              <w:t>EN ISO 10874</w:t>
            </w:r>
          </w:p>
          <w:p w:rsidR="006B00A6" w:rsidRDefault="006B00A6">
            <w:pPr>
              <w:spacing w:after="0"/>
              <w:rPr>
                <w:strike/>
                <w:sz w:val="20"/>
              </w:rPr>
            </w:pPr>
          </w:p>
        </w:tc>
      </w:tr>
    </w:tbl>
    <w:p w:rsidR="006B00A6" w:rsidRDefault="006B00A6" w:rsidP="006B00A6">
      <w:pPr>
        <w:spacing w:after="0"/>
        <w:rPr>
          <w:rFonts w:eastAsia="Times New Roman"/>
          <w:sz w:val="22"/>
          <w:lang w:eastAsia="en-GB"/>
        </w:rPr>
      </w:pPr>
      <w:r>
        <w:rPr>
          <w:rFonts w:eastAsia="Times New Roman"/>
          <w:vertAlign w:val="superscript"/>
          <w:lang w:eastAsia="en-GB"/>
        </w:rPr>
        <w:t>a</w:t>
      </w:r>
      <w:r>
        <w:rPr>
          <w:rFonts w:eastAsia="Times New Roman"/>
          <w:sz w:val="20"/>
          <w:szCs w:val="20"/>
        </w:rPr>
        <w:t xml:space="preserve"> The abrasion resistance test method used (Annex D or Annex E) shall be declared and in the case of Annex D, the thickness of the top layer.</w:t>
      </w:r>
    </w:p>
    <w:p w:rsidR="006B00A6" w:rsidRDefault="006B00A6" w:rsidP="006B00A6">
      <w:pPr>
        <w:spacing w:after="0"/>
        <w:rPr>
          <w:rFonts w:eastAsia="Times New Roman"/>
          <w:sz w:val="20"/>
          <w:szCs w:val="20"/>
        </w:rPr>
      </w:pPr>
      <w:r>
        <w:rPr>
          <w:rFonts w:eastAsia="Times New Roman"/>
          <w:sz w:val="20"/>
          <w:szCs w:val="20"/>
          <w:vertAlign w:val="superscript"/>
        </w:rPr>
        <w:t>b</w:t>
      </w:r>
      <w:r>
        <w:rPr>
          <w:rFonts w:eastAsia="Times New Roman"/>
          <w:sz w:val="20"/>
          <w:szCs w:val="20"/>
        </w:rPr>
        <w:t xml:space="preserve"> Classification of wood species regarding the wood hardness and correlations between the use classes in the EN 685 and the thickness of the wear top layer and the species of wood can be found in CTBA Revetements interiors Parquet 71.01.</w:t>
      </w:r>
    </w:p>
    <w:p w:rsidR="006B00A6" w:rsidRDefault="006B00A6" w:rsidP="006B00A6">
      <w:pPr>
        <w:rPr>
          <w:rFonts w:eastAsia="Times New Roman"/>
          <w:sz w:val="22"/>
          <w:lang w:eastAsia="en-GB"/>
        </w:rPr>
      </w:pPr>
      <w:r>
        <w:rPr>
          <w:rFonts w:eastAsia="Times New Roman"/>
          <w:lang w:eastAsia="en-GB"/>
        </w:rPr>
        <w:t xml:space="preserve">Floor coverings shall achieve at least: </w:t>
      </w:r>
    </w:p>
    <w:tbl>
      <w:tblPr>
        <w:tblStyle w:val="TableGrid"/>
        <w:tblW w:w="9242" w:type="dxa"/>
        <w:jc w:val="center"/>
        <w:tblInd w:w="0" w:type="dxa"/>
        <w:tblLook w:val="04A0" w:firstRow="1" w:lastRow="0" w:firstColumn="1" w:lastColumn="0" w:noHBand="0" w:noVBand="1"/>
      </w:tblPr>
      <w:tblGrid>
        <w:gridCol w:w="2748"/>
        <w:gridCol w:w="6494"/>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b/>
                <w:sz w:val="20"/>
              </w:rPr>
            </w:pPr>
            <w:r>
              <w:rPr>
                <w:b/>
                <w:sz w:val="20"/>
              </w:rPr>
              <w:t>Flooring</w:t>
            </w:r>
          </w:p>
        </w:tc>
        <w:tc>
          <w:tcPr>
            <w:tcW w:w="6494"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b/>
                <w:sz w:val="20"/>
              </w:rPr>
            </w:pPr>
            <w:r>
              <w:rPr>
                <w:b/>
                <w:sz w:val="20"/>
              </w:rPr>
              <w:t>Limits</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b/>
                <w:sz w:val="20"/>
              </w:rPr>
            </w:pPr>
            <w:r>
              <w:rPr>
                <w:sz w:val="20"/>
              </w:rPr>
              <w:t>Veneer wood flooring</w:t>
            </w:r>
          </w:p>
        </w:tc>
        <w:tc>
          <w:tcPr>
            <w:tcW w:w="6494"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 the level of use of class 23 for floorings intended for private use</w:t>
            </w:r>
          </w:p>
          <w:p w:rsidR="006B00A6" w:rsidRDefault="006B00A6">
            <w:pPr>
              <w:spacing w:after="0"/>
              <w:jc w:val="left"/>
              <w:rPr>
                <w:b/>
                <w:sz w:val="20"/>
              </w:rPr>
            </w:pPr>
            <w:r>
              <w:rPr>
                <w:sz w:val="20"/>
              </w:rPr>
              <w:t>- the level of use of class 32 for floorings intended for commercial use.</w:t>
            </w: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266"/>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 xml:space="preserve">Factory lacquer solid </w:t>
            </w:r>
          </w:p>
          <w:p w:rsidR="006B00A6" w:rsidRDefault="006B00A6">
            <w:pPr>
              <w:spacing w:after="0"/>
              <w:jc w:val="left"/>
              <w:rPr>
                <w:sz w:val="20"/>
              </w:rPr>
            </w:pPr>
            <w:r>
              <w:rPr>
                <w:sz w:val="20"/>
              </w:rPr>
              <w:t>and multilayer wood floorings</w:t>
            </w:r>
          </w:p>
        </w:tc>
        <w:tc>
          <w:tcPr>
            <w:tcW w:w="6494" w:type="dxa"/>
            <w:vMerge w:val="restart"/>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the level of use of class 23 for floorings intended for private use and for commercial use</w:t>
            </w: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230"/>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Factory oiled, uncoated solid wood and uncoated  multilayer wood flooring</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230"/>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b/>
                <w:sz w:val="20"/>
              </w:rPr>
            </w:pPr>
            <w:r>
              <w:rPr>
                <w:sz w:val="20"/>
              </w:rPr>
              <w:t>Cork tile floor coverings</w:t>
            </w:r>
          </w:p>
        </w:tc>
        <w:tc>
          <w:tcPr>
            <w:tcW w:w="6494" w:type="dxa"/>
            <w:vMerge w:val="restart"/>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the level of use of class 23 for floorings intended for private use</w:t>
            </w:r>
          </w:p>
          <w:p w:rsidR="006B00A6" w:rsidRDefault="006B00A6">
            <w:pPr>
              <w:autoSpaceDE w:val="0"/>
              <w:autoSpaceDN w:val="0"/>
              <w:adjustRightInd w:val="0"/>
              <w:spacing w:after="0"/>
              <w:jc w:val="left"/>
              <w:rPr>
                <w:sz w:val="20"/>
              </w:rPr>
            </w:pPr>
            <w:r>
              <w:rPr>
                <w:sz w:val="20"/>
              </w:rPr>
              <w:t>- the level of use of class 32 for floorings intended for commercial use.</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Cork floor coverings</w:t>
            </w:r>
          </w:p>
        </w:tc>
        <w:tc>
          <w:tcPr>
            <w:tcW w:w="0" w:type="auto"/>
            <w:vMerge/>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 xml:space="preserve">Bamboo floor coverings </w:t>
            </w:r>
          </w:p>
        </w:tc>
        <w:tc>
          <w:tcPr>
            <w:tcW w:w="6494"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xml:space="preserve">- Equilibrium Moisture Content: 8% at 20°C and 50% rel. </w:t>
            </w:r>
          </w:p>
          <w:p w:rsidR="006B00A6" w:rsidRDefault="006B00A6">
            <w:pPr>
              <w:spacing w:after="0"/>
              <w:jc w:val="left"/>
              <w:rPr>
                <w:sz w:val="20"/>
              </w:rPr>
            </w:pPr>
            <w:r>
              <w:rPr>
                <w:sz w:val="20"/>
              </w:rPr>
              <w:t xml:space="preserve">- Resistance to Indentation : </w:t>
            </w:r>
          </w:p>
          <w:p w:rsidR="006B00A6" w:rsidRDefault="006B00A6">
            <w:pPr>
              <w:autoSpaceDE w:val="0"/>
              <w:autoSpaceDN w:val="0"/>
              <w:adjustRightInd w:val="0"/>
              <w:spacing w:after="0"/>
              <w:jc w:val="left"/>
              <w:rPr>
                <w:sz w:val="20"/>
              </w:rPr>
            </w:pPr>
            <w:r>
              <w:rPr>
                <w:sz w:val="20"/>
              </w:rPr>
              <w:t>≥ 4 kg/mm</w:t>
            </w:r>
            <w:r>
              <w:rPr>
                <w:sz w:val="20"/>
                <w:vertAlign w:val="superscript"/>
              </w:rPr>
              <w:t>2</w:t>
            </w:r>
            <w:r>
              <w:rPr>
                <w:sz w:val="20"/>
              </w:rPr>
              <w:t xml:space="preserve"> for plain and side pressed floor coverings</w:t>
            </w:r>
          </w:p>
          <w:p w:rsidR="006B00A6" w:rsidRDefault="006B00A6">
            <w:pPr>
              <w:spacing w:after="0"/>
              <w:jc w:val="left"/>
              <w:rPr>
                <w:sz w:val="20"/>
              </w:rPr>
            </w:pPr>
            <w:r>
              <w:rPr>
                <w:sz w:val="20"/>
              </w:rPr>
              <w:t>≥ 9,5 kg/mm</w:t>
            </w:r>
            <w:r>
              <w:rPr>
                <w:sz w:val="20"/>
                <w:vertAlign w:val="superscript"/>
              </w:rPr>
              <w:t>2</w:t>
            </w:r>
            <w:r>
              <w:rPr>
                <w:sz w:val="20"/>
              </w:rPr>
              <w:t xml:space="preserve"> for high density floor coverings </w:t>
            </w:r>
          </w:p>
        </w:tc>
      </w:tr>
      <w:tr w:rsidR="006B00A6" w:rsidTr="006B00A6">
        <w:trPr>
          <w:cnfStyle w:val="100000000000" w:firstRow="1" w:lastRow="0" w:firstColumn="0" w:lastColumn="0" w:oddVBand="0" w:evenVBand="0" w:oddHBand="0" w:evenHBand="0" w:firstRowFirstColumn="0" w:firstRowLastColumn="0" w:lastRowFirstColumn="0" w:lastRowLastColumn="0"/>
          <w:cantSplit/>
          <w:trHeight w:val="230"/>
          <w:tblHeader/>
          <w:jc w:val="center"/>
        </w:trPr>
        <w:tc>
          <w:tcPr>
            <w:tcW w:w="2748"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rPr>
            </w:pPr>
            <w:r>
              <w:rPr>
                <w:sz w:val="20"/>
              </w:rPr>
              <w:t>Laminate flooring</w:t>
            </w:r>
          </w:p>
        </w:tc>
        <w:tc>
          <w:tcPr>
            <w:tcW w:w="6494" w:type="dxa"/>
            <w:tcBorders>
              <w:top w:val="single" w:sz="4" w:space="0" w:color="auto"/>
              <w:left w:val="single" w:sz="4" w:space="0" w:color="auto"/>
              <w:bottom w:val="single" w:sz="4" w:space="0" w:color="auto"/>
              <w:right w:val="single" w:sz="4" w:space="0" w:color="auto"/>
            </w:tcBorders>
            <w:hideMark/>
          </w:tcPr>
          <w:p w:rsidR="006B00A6" w:rsidRDefault="006B00A6">
            <w:pPr>
              <w:autoSpaceDE w:val="0"/>
              <w:autoSpaceDN w:val="0"/>
              <w:adjustRightInd w:val="0"/>
              <w:spacing w:after="0"/>
              <w:jc w:val="left"/>
              <w:rPr>
                <w:sz w:val="20"/>
              </w:rPr>
            </w:pPr>
            <w:r>
              <w:rPr>
                <w:sz w:val="20"/>
              </w:rPr>
              <w:t>- the level of use of class 23 for floorings intended for private use</w:t>
            </w:r>
          </w:p>
          <w:p w:rsidR="006B00A6" w:rsidRDefault="006B00A6">
            <w:pPr>
              <w:autoSpaceDE w:val="0"/>
              <w:autoSpaceDN w:val="0"/>
              <w:adjustRightInd w:val="0"/>
              <w:spacing w:after="0"/>
              <w:jc w:val="left"/>
              <w:rPr>
                <w:sz w:val="20"/>
              </w:rPr>
            </w:pPr>
            <w:r>
              <w:rPr>
                <w:sz w:val="20"/>
              </w:rPr>
              <w:t xml:space="preserve">- the level of use of class 32 for floorings intended for commercial use. </w:t>
            </w:r>
          </w:p>
        </w:tc>
      </w:tr>
    </w:tbl>
    <w:p w:rsidR="006B00A6" w:rsidRDefault="006B00A6" w:rsidP="006B00A6">
      <w:pPr>
        <w:spacing w:after="0"/>
        <w:rPr>
          <w:rFonts w:eastAsia="Times New Roman"/>
          <w:b/>
          <w:i/>
          <w:sz w:val="22"/>
        </w:rPr>
      </w:pPr>
      <w:r>
        <w:rPr>
          <w:rFonts w:eastAsia="Times New Roman"/>
          <w:b/>
          <w:i/>
        </w:rPr>
        <w:t>Assessment and verification</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xml:space="preserve">The applicant shall provide to the competent body a declaration of compliance with the criterion. The declaration shall be supported by test reports that shall include: </w:t>
      </w:r>
    </w:p>
    <w:p w:rsidR="006B00A6" w:rsidRDefault="006B00A6" w:rsidP="00AC318D">
      <w:pPr>
        <w:numPr>
          <w:ilvl w:val="0"/>
          <w:numId w:val="34"/>
        </w:numPr>
        <w:autoSpaceDE w:val="0"/>
        <w:autoSpaceDN w:val="0"/>
        <w:adjustRightInd w:val="0"/>
        <w:spacing w:before="0" w:after="0"/>
        <w:rPr>
          <w:rFonts w:eastAsia="Times New Roman"/>
          <w:lang w:eastAsia="en-GB"/>
        </w:rPr>
      </w:pPr>
      <w:r>
        <w:rPr>
          <w:rFonts w:eastAsia="Times New Roman"/>
          <w:lang w:eastAsia="en-GB"/>
        </w:rPr>
        <w:t>the type of flooring;</w:t>
      </w:r>
    </w:p>
    <w:p w:rsidR="006B00A6" w:rsidRDefault="006B00A6" w:rsidP="00AC318D">
      <w:pPr>
        <w:numPr>
          <w:ilvl w:val="0"/>
          <w:numId w:val="34"/>
        </w:numPr>
        <w:autoSpaceDE w:val="0"/>
        <w:autoSpaceDN w:val="0"/>
        <w:adjustRightInd w:val="0"/>
        <w:spacing w:before="0" w:after="0"/>
        <w:rPr>
          <w:rFonts w:eastAsia="Times New Roman"/>
          <w:lang w:eastAsia="en-GB"/>
        </w:rPr>
      </w:pPr>
      <w:r>
        <w:rPr>
          <w:rFonts w:eastAsia="Times New Roman"/>
          <w:lang w:eastAsia="en-GB"/>
        </w:rPr>
        <w:t xml:space="preserve">the test method/s selected; </w:t>
      </w:r>
    </w:p>
    <w:p w:rsidR="006B00A6" w:rsidRDefault="006B00A6" w:rsidP="00AC318D">
      <w:pPr>
        <w:numPr>
          <w:ilvl w:val="0"/>
          <w:numId w:val="34"/>
        </w:numPr>
        <w:autoSpaceDE w:val="0"/>
        <w:autoSpaceDN w:val="0"/>
        <w:adjustRightInd w:val="0"/>
        <w:spacing w:before="0" w:after="0"/>
        <w:rPr>
          <w:rFonts w:eastAsia="Times New Roman"/>
          <w:lang w:eastAsia="en-GB"/>
        </w:rPr>
      </w:pPr>
      <w:r>
        <w:rPr>
          <w:rFonts w:eastAsia="Times New Roman"/>
          <w:lang w:eastAsia="en-GB"/>
        </w:rPr>
        <w:t>the test results and the classification of the flooring according to the results and the appropriate standard, if applicable.</w:t>
      </w:r>
    </w:p>
    <w:p w:rsidR="006B00A6" w:rsidRDefault="006B00A6" w:rsidP="006B00A6">
      <w:pPr>
        <w:spacing w:after="0"/>
        <w:rPr>
          <w:rFonts w:eastAsia="Times New Roman"/>
          <w:lang w:eastAsia="en-GB"/>
        </w:rPr>
      </w:pPr>
      <w:r>
        <w:rPr>
          <w:rFonts w:eastAsia="Times New Roman"/>
          <w:lang w:eastAsia="en-GB"/>
        </w:rPr>
        <w:t>If the floor covering has been tested according to a test method other than what is specified above, this may be acceptable if the test methods are comparable in the opinion of the competent body.</w:t>
      </w:r>
    </w:p>
    <w:p w:rsidR="006B00A6" w:rsidRDefault="006B00A6" w:rsidP="006B00A6">
      <w:pPr>
        <w:spacing w:after="0"/>
        <w:rPr>
          <w:rFonts w:eastAsia="Times New Roman"/>
          <w:b/>
          <w:bCs/>
          <w:noProof/>
        </w:rPr>
      </w:pPr>
    </w:p>
    <w:p w:rsidR="006B00A6" w:rsidRDefault="006B00A6" w:rsidP="006B00A6">
      <w:pPr>
        <w:spacing w:after="0"/>
        <w:rPr>
          <w:rFonts w:eastAsia="Times New Roman"/>
          <w:b/>
          <w:bCs/>
          <w:sz w:val="26"/>
          <w:szCs w:val="26"/>
        </w:rPr>
      </w:pPr>
      <w:r>
        <w:rPr>
          <w:rFonts w:eastAsia="Times New Roman"/>
          <w:b/>
          <w:noProof/>
          <w:sz w:val="26"/>
          <w:szCs w:val="26"/>
        </w:rPr>
        <w:t>Criterion</w:t>
      </w:r>
      <w:r>
        <w:rPr>
          <w:rFonts w:eastAsia="Times New Roman"/>
          <w:b/>
          <w:bCs/>
          <w:sz w:val="26"/>
          <w:szCs w:val="26"/>
        </w:rPr>
        <w:t xml:space="preserve"> 9. Reparability and extended guarantee</w:t>
      </w:r>
    </w:p>
    <w:p w:rsidR="006B00A6" w:rsidRDefault="006B00A6" w:rsidP="006B00A6">
      <w:pPr>
        <w:autoSpaceDE w:val="0"/>
        <w:autoSpaceDN w:val="0"/>
        <w:adjustRightInd w:val="0"/>
        <w:spacing w:after="0"/>
        <w:rPr>
          <w:rFonts w:eastAsia="Times New Roman"/>
          <w:sz w:val="22"/>
          <w:lang w:eastAsia="en-GB"/>
        </w:rPr>
      </w:pPr>
      <w:bookmarkStart w:id="24" w:name="criterion8"/>
      <w:r>
        <w:rPr>
          <w:rFonts w:eastAsia="Times New Roman"/>
          <w:lang w:eastAsia="en-GB"/>
        </w:rPr>
        <w:t xml:space="preserve">Only the requirements associated with the specific type of flooring have to be fulfilled. </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lastRenderedPageBreak/>
        <w:t>For the purpose of undertaking repair and replacement of worn out parts, the floor covering shall meet the following requirements:</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Reparability: Information shall be included in the consumer instructions or the manufacturer’s website to be accessible to the users and installers.</w:t>
      </w:r>
    </w:p>
    <w:p w:rsidR="006B00A6" w:rsidRDefault="006B00A6" w:rsidP="006B00A6">
      <w:pPr>
        <w:autoSpaceDE w:val="0"/>
        <w:autoSpaceDN w:val="0"/>
        <w:adjustRightInd w:val="0"/>
        <w:spacing w:after="0"/>
        <w:ind w:left="400"/>
        <w:rPr>
          <w:rFonts w:eastAsia="Times New Roman"/>
          <w:lang w:eastAsia="en-GB"/>
        </w:rPr>
      </w:pPr>
      <w:r>
        <w:rPr>
          <w:rFonts w:eastAsia="Times New Roman"/>
          <w:lang w:eastAsia="en-GB"/>
        </w:rPr>
        <w:t xml:space="preserve">a) </w:t>
      </w:r>
      <w:r>
        <w:rPr>
          <w:rFonts w:eastAsia="Times New Roman"/>
          <w:i/>
          <w:lang w:eastAsia="en-GB"/>
        </w:rPr>
        <w:t>Design for repair and repair document</w:t>
      </w:r>
      <w:r>
        <w:rPr>
          <w:rFonts w:eastAsia="Times New Roman"/>
          <w:lang w:eastAsia="en-GB"/>
        </w:rPr>
        <w:t>: For floor coverings that are not glued down, the flooring shall be designed for disassembly with a view to facilitating repair, reuse and recycling. Simple and illustrated instructions regarding the disassembly and replacement of damaged elements shall be provided. Disassembly and replacement operations shall be capable of being carried out using common and basic manual tools. Information/recommendation of keeping spare floor covering elements in stock for possible event of repair shall be provided;</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 xml:space="preserve">- Extended product guarantee: </w:t>
      </w:r>
    </w:p>
    <w:p w:rsidR="006B00A6" w:rsidRDefault="006B00A6" w:rsidP="006B00A6">
      <w:pPr>
        <w:autoSpaceDE w:val="0"/>
        <w:autoSpaceDN w:val="0"/>
        <w:adjustRightInd w:val="0"/>
        <w:spacing w:after="0"/>
        <w:ind w:left="400"/>
        <w:rPr>
          <w:rFonts w:eastAsia="Times New Roman"/>
          <w:lang w:eastAsia="en-GB"/>
        </w:rPr>
      </w:pPr>
      <w:r>
        <w:rPr>
          <w:rFonts w:eastAsia="Times New Roman"/>
          <w:lang w:eastAsia="en-GB"/>
        </w:rPr>
        <w:t xml:space="preserve">b) The applicant shall provide at no additional cost a minimum of a five year guarantee effective from the date of delivery of the product. This guarantee shall be provided without prejudice to the legal obligations of the manufacturer and seller under national law.  </w:t>
      </w:r>
    </w:p>
    <w:p w:rsidR="006B00A6" w:rsidRDefault="006B00A6" w:rsidP="006B00A6">
      <w:pPr>
        <w:spacing w:after="0"/>
        <w:rPr>
          <w:rFonts w:eastAsia="Times New Roman"/>
          <w:b/>
          <w:i/>
          <w:lang w:eastAsia="en-GB"/>
        </w:rPr>
      </w:pPr>
      <w:r>
        <w:rPr>
          <w:rFonts w:eastAsia="Times New Roman"/>
          <w:b/>
          <w:i/>
          <w:lang w:eastAsia="en-GB"/>
        </w:rPr>
        <w:t>Assessment and verification</w:t>
      </w:r>
    </w:p>
    <w:p w:rsidR="006B00A6" w:rsidRDefault="006B00A6" w:rsidP="006B00A6">
      <w:pPr>
        <w:autoSpaceDE w:val="0"/>
        <w:autoSpaceDN w:val="0"/>
        <w:adjustRightInd w:val="0"/>
        <w:spacing w:after="0"/>
        <w:rPr>
          <w:rFonts w:eastAsia="Times New Roman"/>
          <w:lang w:eastAsia="en-GB"/>
        </w:rPr>
      </w:pPr>
      <w:r>
        <w:rPr>
          <w:rFonts w:eastAsia="Times New Roman"/>
          <w:lang w:eastAsia="en-GB"/>
        </w:rPr>
        <w:t>The applicant shall provide to the competent body a declaration of compliance supported by:</w:t>
      </w:r>
    </w:p>
    <w:p w:rsidR="006B00A6" w:rsidRDefault="006B00A6" w:rsidP="00AC318D">
      <w:pPr>
        <w:numPr>
          <w:ilvl w:val="0"/>
          <w:numId w:val="35"/>
        </w:numPr>
        <w:autoSpaceDE w:val="0"/>
        <w:autoSpaceDN w:val="0"/>
        <w:adjustRightInd w:val="0"/>
        <w:spacing w:after="0"/>
        <w:contextualSpacing/>
        <w:rPr>
          <w:rFonts w:eastAsia="Times New Roman"/>
          <w:lang w:eastAsia="en-GB"/>
        </w:rPr>
      </w:pPr>
      <w:r>
        <w:rPr>
          <w:rFonts w:eastAsia="Times New Roman"/>
          <w:lang w:eastAsia="en-GB"/>
        </w:rPr>
        <w:t>a copy of the repair document or any other material where the information on design for repair is provided;</w:t>
      </w:r>
    </w:p>
    <w:p w:rsidR="006B00A6" w:rsidRDefault="006B00A6" w:rsidP="00AC318D">
      <w:pPr>
        <w:numPr>
          <w:ilvl w:val="0"/>
          <w:numId w:val="35"/>
        </w:numPr>
        <w:autoSpaceDE w:val="0"/>
        <w:autoSpaceDN w:val="0"/>
        <w:adjustRightInd w:val="0"/>
        <w:spacing w:after="0"/>
        <w:contextualSpacing/>
        <w:rPr>
          <w:rFonts w:eastAsia="Times New Roman"/>
          <w:lang w:eastAsia="en-GB"/>
        </w:rPr>
      </w:pPr>
      <w:r>
        <w:rPr>
          <w:rFonts w:eastAsia="Times New Roman"/>
          <w:lang w:eastAsia="en-GB"/>
        </w:rPr>
        <w:t>a copy of the guarantee that indicates the terms and conditions of the extended product guarantee that are provided in consumer information documentation and that meet the minimum requirements set out in this criterion.</w:t>
      </w:r>
    </w:p>
    <w:bookmarkEnd w:id="24"/>
    <w:p w:rsidR="006B00A6" w:rsidRDefault="006B00A6" w:rsidP="006B00A6">
      <w:pPr>
        <w:spacing w:after="0"/>
        <w:rPr>
          <w:rFonts w:eastAsia="Times New Roman"/>
          <w:b/>
          <w:bCs/>
          <w:noProof/>
        </w:rPr>
      </w:pPr>
    </w:p>
    <w:p w:rsidR="006B00A6" w:rsidRDefault="006B00A6" w:rsidP="006B00A6">
      <w:pPr>
        <w:spacing w:after="0"/>
        <w:rPr>
          <w:rFonts w:eastAsia="Times New Roman"/>
          <w:b/>
          <w:bCs/>
          <w:sz w:val="26"/>
          <w:szCs w:val="26"/>
        </w:rPr>
      </w:pPr>
      <w:r>
        <w:rPr>
          <w:rFonts w:eastAsia="Times New Roman"/>
          <w:b/>
          <w:noProof/>
          <w:sz w:val="26"/>
          <w:szCs w:val="26"/>
        </w:rPr>
        <w:t>Criterion</w:t>
      </w:r>
      <w:r>
        <w:rPr>
          <w:rFonts w:eastAsia="Times New Roman"/>
          <w:b/>
          <w:bCs/>
          <w:sz w:val="26"/>
          <w:szCs w:val="26"/>
        </w:rPr>
        <w:t xml:space="preserve"> 10. Consumer information</w:t>
      </w:r>
    </w:p>
    <w:p w:rsidR="006B00A6" w:rsidRDefault="006B00A6" w:rsidP="006B00A6">
      <w:pPr>
        <w:spacing w:after="0"/>
        <w:rPr>
          <w:rFonts w:eastAsia="Times New Roman"/>
          <w:sz w:val="22"/>
        </w:rPr>
      </w:pPr>
      <w:bookmarkStart w:id="25" w:name="criterion9"/>
      <w:r>
        <w:rPr>
          <w:rFonts w:eastAsia="Times New Roman"/>
        </w:rPr>
        <w:t xml:space="preserve">The product shall be sold with the relevant consumer information on the packaging or any other documentation accompanying the product. </w:t>
      </w:r>
      <w:r>
        <w:rPr>
          <w:rFonts w:eastAsia="Times New Roman"/>
          <w:lang w:eastAsia="en-GB"/>
        </w:rPr>
        <w:t>Only the requirements associated with the specific type of flooring have to be fulfilled</w:t>
      </w:r>
      <w:r>
        <w:rPr>
          <w:rFonts w:eastAsia="Times New Roman"/>
        </w:rPr>
        <w:t>.</w:t>
      </w:r>
    </w:p>
    <w:p w:rsidR="006B00A6" w:rsidRDefault="006B00A6" w:rsidP="006B00A6">
      <w:pPr>
        <w:spacing w:after="0"/>
        <w:rPr>
          <w:rFonts w:eastAsia="Times New Roman"/>
        </w:rPr>
      </w:pPr>
      <w:r>
        <w:rPr>
          <w:rFonts w:eastAsia="Times New Roman"/>
        </w:rPr>
        <w:t>Instructions shall be legible and be provided in the language of the country where the product is placed on the market and/or include graphical representation or icons related to the following aspects:</w:t>
      </w:r>
    </w:p>
    <w:p w:rsidR="006B00A6" w:rsidRDefault="006B00A6" w:rsidP="006B00A6">
      <w:pPr>
        <w:spacing w:after="0"/>
        <w:rPr>
          <w:rFonts w:eastAsia="Times New Roman"/>
        </w:rPr>
      </w:pPr>
      <w:r>
        <w:rPr>
          <w:rFonts w:eastAsia="Times New Roman"/>
        </w:rPr>
        <w:t>- Information on the subgroup to which the product belongs (solid or multi-layer wood flooring, cork flooring, cork tile flooring, bamboo flooring, laminate flooring, etc.), the amount of wood, cork or bamboo material in the final product in mass percentage and if a surface treatment is still needed at user's place.</w:t>
      </w:r>
    </w:p>
    <w:p w:rsidR="006B00A6" w:rsidRDefault="006B00A6" w:rsidP="006B00A6">
      <w:pPr>
        <w:autoSpaceDE w:val="0"/>
        <w:autoSpaceDN w:val="0"/>
        <w:adjustRightInd w:val="0"/>
        <w:spacing w:after="0"/>
        <w:rPr>
          <w:rFonts w:eastAsia="Times New Roman"/>
        </w:rPr>
      </w:pPr>
      <w:r>
        <w:rPr>
          <w:rFonts w:eastAsia="Times New Roman"/>
        </w:rPr>
        <w:t>- Recommendations for the installation:</w:t>
      </w:r>
    </w:p>
    <w:p w:rsidR="006B00A6" w:rsidRDefault="006B00A6" w:rsidP="006B00A6">
      <w:pPr>
        <w:autoSpaceDE w:val="0"/>
        <w:autoSpaceDN w:val="0"/>
        <w:adjustRightInd w:val="0"/>
        <w:spacing w:after="0"/>
        <w:rPr>
          <w:rFonts w:eastAsia="Times New Roman"/>
        </w:rPr>
      </w:pPr>
      <w:r>
        <w:rPr>
          <w:rFonts w:eastAsia="Times New Roman"/>
        </w:rPr>
        <w:t>All relevant instructions referring to the best environmental installation practices shall be included:</w:t>
      </w:r>
    </w:p>
    <w:p w:rsidR="006B00A6" w:rsidRDefault="006B00A6" w:rsidP="006B00A6">
      <w:pPr>
        <w:autoSpaceDE w:val="0"/>
        <w:autoSpaceDN w:val="0"/>
        <w:adjustRightInd w:val="0"/>
        <w:spacing w:after="0"/>
        <w:ind w:left="720"/>
        <w:contextualSpacing/>
        <w:rPr>
          <w:rFonts w:eastAsia="Times New Roman"/>
        </w:rPr>
      </w:pPr>
      <w:r>
        <w:rPr>
          <w:rFonts w:eastAsia="Times New Roman"/>
        </w:rPr>
        <w:t>- floating installation is recommended whenever possible. Reference shall be made to the necessary preparation of the underlaying surface and the auxiliary materials needed;</w:t>
      </w:r>
    </w:p>
    <w:p w:rsidR="006B00A6" w:rsidRDefault="006B00A6" w:rsidP="006B00A6">
      <w:pPr>
        <w:autoSpaceDE w:val="0"/>
        <w:autoSpaceDN w:val="0"/>
        <w:adjustRightInd w:val="0"/>
        <w:spacing w:after="0"/>
        <w:ind w:left="720"/>
        <w:contextualSpacing/>
        <w:rPr>
          <w:rFonts w:eastAsia="Times New Roman"/>
        </w:rPr>
      </w:pPr>
      <w:r>
        <w:rPr>
          <w:rFonts w:eastAsia="Times New Roman"/>
        </w:rPr>
        <w:t>- if a glued down installation is recommended due to the possible longer duration, recommendation of using an adhesive/glue certified with a Type I Ecolabel or a low emission adhesive complying with EMICODE EC1 or equivalent shall be included;</w:t>
      </w:r>
    </w:p>
    <w:p w:rsidR="006B00A6" w:rsidRDefault="006B00A6" w:rsidP="006B00A6">
      <w:pPr>
        <w:autoSpaceDE w:val="0"/>
        <w:autoSpaceDN w:val="0"/>
        <w:adjustRightInd w:val="0"/>
        <w:spacing w:after="0"/>
        <w:ind w:left="720"/>
        <w:contextualSpacing/>
        <w:rPr>
          <w:rFonts w:eastAsia="Times New Roman"/>
        </w:rPr>
      </w:pPr>
      <w:r>
        <w:rPr>
          <w:rFonts w:eastAsia="Times New Roman"/>
        </w:rPr>
        <w:lastRenderedPageBreak/>
        <w:t>- illustrated assembly and disassembly instructions as per the requirements of criterion 9.a. (if applicable).</w:t>
      </w:r>
    </w:p>
    <w:p w:rsidR="006B00A6" w:rsidRDefault="006B00A6" w:rsidP="006B00A6">
      <w:pPr>
        <w:autoSpaceDE w:val="0"/>
        <w:autoSpaceDN w:val="0"/>
        <w:adjustRightInd w:val="0"/>
        <w:spacing w:after="0"/>
        <w:rPr>
          <w:rFonts w:eastAsia="Times New Roman"/>
        </w:rPr>
      </w:pPr>
      <w:r>
        <w:rPr>
          <w:rFonts w:eastAsia="Times New Roman"/>
        </w:rPr>
        <w:t>- Recommendation for the surface treatment for uncoated floor coverings and floorings needing an oiled surface:</w:t>
      </w:r>
    </w:p>
    <w:p w:rsidR="006B00A6" w:rsidRDefault="006B00A6" w:rsidP="006B00A6">
      <w:pPr>
        <w:autoSpaceDE w:val="0"/>
        <w:autoSpaceDN w:val="0"/>
        <w:adjustRightInd w:val="0"/>
        <w:spacing w:after="0"/>
        <w:ind w:left="720"/>
        <w:contextualSpacing/>
        <w:rPr>
          <w:rFonts w:eastAsia="Times New Roman"/>
          <w:b/>
        </w:rPr>
      </w:pPr>
      <w:r>
        <w:rPr>
          <w:rFonts w:eastAsia="Times New Roman"/>
        </w:rPr>
        <w:t>- relevant information about the type and quantity of the coating products needed (e.g. oil or lacquer) to achieve the intended durability;</w:t>
      </w:r>
    </w:p>
    <w:p w:rsidR="006B00A6" w:rsidRDefault="006B00A6" w:rsidP="006B00A6">
      <w:pPr>
        <w:autoSpaceDE w:val="0"/>
        <w:autoSpaceDN w:val="0"/>
        <w:adjustRightInd w:val="0"/>
        <w:spacing w:after="0"/>
        <w:ind w:left="720"/>
        <w:contextualSpacing/>
        <w:rPr>
          <w:rFonts w:eastAsia="Times New Roman"/>
        </w:rPr>
      </w:pPr>
      <w:r>
        <w:rPr>
          <w:rFonts w:eastAsia="Times New Roman"/>
        </w:rPr>
        <w:t>- relevant information about the coating of the floorings with low emitting coating products in accordance with the Directive 2004/42/EC;</w:t>
      </w:r>
    </w:p>
    <w:p w:rsidR="006B00A6" w:rsidRDefault="006B00A6" w:rsidP="006B00A6">
      <w:pPr>
        <w:autoSpaceDE w:val="0"/>
        <w:autoSpaceDN w:val="0"/>
        <w:adjustRightInd w:val="0"/>
        <w:spacing w:after="0"/>
        <w:ind w:left="720"/>
        <w:contextualSpacing/>
        <w:rPr>
          <w:rFonts w:eastAsia="Times New Roman"/>
        </w:rPr>
      </w:pPr>
      <w:r>
        <w:rPr>
          <w:rFonts w:eastAsia="Times New Roman"/>
        </w:rPr>
        <w:t xml:space="preserve">- information about how the service life of the flooring can be extended through renovation e.g. sanding and surface treatment. </w:t>
      </w:r>
    </w:p>
    <w:p w:rsidR="006B00A6" w:rsidRDefault="006B00A6" w:rsidP="006B00A6">
      <w:pPr>
        <w:autoSpaceDE w:val="0"/>
        <w:autoSpaceDN w:val="0"/>
        <w:adjustRightInd w:val="0"/>
        <w:spacing w:after="0"/>
        <w:rPr>
          <w:rFonts w:eastAsia="Times New Roman"/>
        </w:rPr>
      </w:pPr>
      <w:r>
        <w:rPr>
          <w:rFonts w:eastAsia="Times New Roman"/>
        </w:rPr>
        <w:t>- Recommendations for the use, cleaning and maintenance of the product:</w:t>
      </w:r>
    </w:p>
    <w:p w:rsidR="006B00A6" w:rsidRDefault="006B00A6" w:rsidP="006B00A6">
      <w:pPr>
        <w:autoSpaceDE w:val="0"/>
        <w:autoSpaceDN w:val="0"/>
        <w:adjustRightInd w:val="0"/>
        <w:spacing w:after="0"/>
        <w:ind w:left="720"/>
        <w:contextualSpacing/>
        <w:rPr>
          <w:rFonts w:eastAsia="Times New Roman"/>
        </w:rPr>
      </w:pPr>
      <w:r>
        <w:rPr>
          <w:rFonts w:eastAsia="Times New Roman"/>
        </w:rPr>
        <w:t>- relevant information for routine cleaning shall be included if applicable to the floor covering type, with a mention to cleaning products with a Type I ecolabel;</w:t>
      </w:r>
    </w:p>
    <w:p w:rsidR="006B00A6" w:rsidRDefault="006B00A6" w:rsidP="006B00A6">
      <w:pPr>
        <w:autoSpaceDE w:val="0"/>
        <w:autoSpaceDN w:val="0"/>
        <w:adjustRightInd w:val="0"/>
        <w:spacing w:after="0"/>
        <w:ind w:left="720"/>
        <w:contextualSpacing/>
        <w:rPr>
          <w:rFonts w:eastAsia="Times New Roman"/>
        </w:rPr>
      </w:pPr>
      <w:r>
        <w:rPr>
          <w:rFonts w:eastAsia="Times New Roman"/>
        </w:rPr>
        <w:t>- maintenance instructions, including maintenance products, and products for renovation or intensive cleaning. If possible, maintenance products with a Type I ecolabel should be recommended;</w:t>
      </w:r>
    </w:p>
    <w:p w:rsidR="006B00A6" w:rsidRDefault="006B00A6" w:rsidP="006B00A6">
      <w:pPr>
        <w:autoSpaceDE w:val="0"/>
        <w:autoSpaceDN w:val="0"/>
        <w:adjustRightInd w:val="0"/>
        <w:spacing w:after="0"/>
        <w:ind w:left="720"/>
        <w:contextualSpacing/>
        <w:rPr>
          <w:rFonts w:eastAsia="Times New Roman"/>
        </w:rPr>
      </w:pPr>
      <w:r>
        <w:rPr>
          <w:rFonts w:eastAsia="Times New Roman"/>
        </w:rPr>
        <w:t>- a clear statement of the flooring's areas of use and a statement of compliance with the relevant EN standards for the product as referred to in criterion 8.</w:t>
      </w:r>
    </w:p>
    <w:p w:rsidR="006B00A6" w:rsidRDefault="006B00A6" w:rsidP="006B00A6">
      <w:pPr>
        <w:autoSpaceDE w:val="0"/>
        <w:autoSpaceDN w:val="0"/>
        <w:adjustRightInd w:val="0"/>
        <w:spacing w:after="0"/>
        <w:rPr>
          <w:rFonts w:eastAsia="Times New Roman"/>
        </w:rPr>
      </w:pPr>
      <w:r>
        <w:rPr>
          <w:rFonts w:eastAsia="Times New Roman"/>
        </w:rPr>
        <w:t xml:space="preserve">- Information related to the reparability: </w:t>
      </w:r>
    </w:p>
    <w:p w:rsidR="006B00A6" w:rsidRDefault="006B00A6" w:rsidP="006B00A6">
      <w:pPr>
        <w:autoSpaceDE w:val="0"/>
        <w:autoSpaceDN w:val="0"/>
        <w:adjustRightInd w:val="0"/>
        <w:spacing w:after="0"/>
        <w:ind w:left="720"/>
        <w:contextualSpacing/>
        <w:rPr>
          <w:rFonts w:eastAsia="Times New Roman"/>
        </w:rPr>
      </w:pPr>
      <w:r>
        <w:rPr>
          <w:rFonts w:eastAsia="Times New Roman"/>
        </w:rPr>
        <w:t>- a clear statement recommending the provision of spare parts as per the requirements of criterion 9.a.;</w:t>
      </w:r>
    </w:p>
    <w:p w:rsidR="006B00A6" w:rsidRDefault="006B00A6" w:rsidP="006B00A6">
      <w:pPr>
        <w:autoSpaceDE w:val="0"/>
        <w:autoSpaceDN w:val="0"/>
        <w:adjustRightInd w:val="0"/>
        <w:spacing w:after="0"/>
        <w:ind w:left="720"/>
        <w:contextualSpacing/>
        <w:rPr>
          <w:rFonts w:eastAsia="Times New Roman"/>
        </w:rPr>
      </w:pPr>
      <w:r>
        <w:rPr>
          <w:rFonts w:eastAsia="Times New Roman"/>
        </w:rPr>
        <w:t>- relevant information regarding the terms and conditions of the product guarantee as per the requirements of criterion 9.b.</w:t>
      </w:r>
    </w:p>
    <w:p w:rsidR="006B00A6" w:rsidRDefault="006B00A6" w:rsidP="006B00A6">
      <w:pPr>
        <w:spacing w:after="0"/>
        <w:rPr>
          <w:rFonts w:eastAsia="Times New Roman"/>
        </w:rPr>
      </w:pPr>
      <w:r>
        <w:rPr>
          <w:rFonts w:eastAsia="Times New Roman"/>
        </w:rPr>
        <w:t xml:space="preserve">- Information related to the end-of-life of the product: </w:t>
      </w:r>
    </w:p>
    <w:p w:rsidR="006B00A6" w:rsidRDefault="006B00A6" w:rsidP="006B00A6">
      <w:pPr>
        <w:spacing w:after="0"/>
        <w:rPr>
          <w:rFonts w:eastAsia="Times New Roman"/>
          <w:b/>
          <w:i/>
        </w:rPr>
      </w:pPr>
      <w:r>
        <w:rPr>
          <w:rFonts w:eastAsia="Times New Roman"/>
        </w:rPr>
        <w:t xml:space="preserve">A detailed description of the best ways to dispose of the product (i.e. reuse, recycling, energy recovery, etc.) shall be given to the consumer, ranking them according to the impact on the environment. </w:t>
      </w:r>
    </w:p>
    <w:p w:rsidR="006B00A6" w:rsidRDefault="006B00A6" w:rsidP="006B00A6">
      <w:pPr>
        <w:spacing w:after="0"/>
        <w:rPr>
          <w:rFonts w:eastAsia="Times New Roman"/>
          <w:b/>
          <w:i/>
        </w:rPr>
      </w:pPr>
      <w:r>
        <w:rPr>
          <w:rFonts w:eastAsia="Times New Roman"/>
          <w:b/>
          <w:i/>
        </w:rPr>
        <w:t>Assessment and verification</w:t>
      </w:r>
    </w:p>
    <w:p w:rsidR="006B00A6" w:rsidRDefault="006B00A6" w:rsidP="006B00A6">
      <w:pPr>
        <w:spacing w:after="0"/>
        <w:rPr>
          <w:rFonts w:eastAsia="Times New Roman"/>
          <w:b/>
          <w:bCs/>
        </w:rPr>
      </w:pPr>
      <w:r>
        <w:rPr>
          <w:rFonts w:eastAsia="Times New Roman"/>
        </w:rPr>
        <w:t>The applicant shall provide to the competent body a declaration of compliance with the criterion supported by a copy of the consumer information document that is to be provided with the product. The copy shall show compliance with each of the points listed in the criterion, as appropriate</w:t>
      </w:r>
      <w:bookmarkEnd w:id="25"/>
      <w:r>
        <w:rPr>
          <w:rFonts w:eastAsia="Times New Roman"/>
        </w:rPr>
        <w:t>.</w:t>
      </w:r>
    </w:p>
    <w:p w:rsidR="006B00A6" w:rsidRDefault="006B00A6" w:rsidP="006B00A6">
      <w:pPr>
        <w:spacing w:after="0"/>
        <w:rPr>
          <w:rFonts w:eastAsia="Times New Roman"/>
          <w:b/>
          <w:bCs/>
          <w:sz w:val="26"/>
          <w:szCs w:val="26"/>
        </w:rPr>
      </w:pPr>
    </w:p>
    <w:p w:rsidR="006B00A6" w:rsidRDefault="006B00A6" w:rsidP="006B00A6">
      <w:pPr>
        <w:spacing w:after="0"/>
        <w:rPr>
          <w:rFonts w:eastAsia="Times New Roman"/>
          <w:b/>
          <w:bCs/>
          <w:sz w:val="26"/>
          <w:szCs w:val="26"/>
        </w:rPr>
      </w:pPr>
      <w:r>
        <w:rPr>
          <w:rFonts w:eastAsia="Times New Roman"/>
          <w:b/>
          <w:noProof/>
          <w:sz w:val="26"/>
          <w:szCs w:val="26"/>
        </w:rPr>
        <w:t>Criterion</w:t>
      </w:r>
      <w:r>
        <w:rPr>
          <w:rFonts w:eastAsia="Times New Roman"/>
          <w:b/>
          <w:bCs/>
          <w:sz w:val="26"/>
          <w:szCs w:val="26"/>
        </w:rPr>
        <w:t xml:space="preserve"> 11. Information appearing on the EU Ecolabel</w:t>
      </w:r>
    </w:p>
    <w:p w:rsidR="006B00A6" w:rsidRDefault="006B00A6" w:rsidP="006B00A6">
      <w:pPr>
        <w:autoSpaceDE w:val="0"/>
        <w:autoSpaceDN w:val="0"/>
        <w:adjustRightInd w:val="0"/>
        <w:spacing w:after="0"/>
        <w:rPr>
          <w:rFonts w:eastAsia="Times New Roman"/>
          <w:sz w:val="22"/>
        </w:rPr>
      </w:pPr>
      <w:bookmarkStart w:id="26" w:name="criterion10"/>
      <w:r>
        <w:rPr>
          <w:rFonts w:eastAsia="Times New Roman"/>
          <w:lang w:eastAsia="zh-CN"/>
        </w:rPr>
        <w:t xml:space="preserve">The logo shall be visible and legible. The EU Ecolabel registration/licence number shall appear on the product and shall be legible and clearly visible. </w:t>
      </w:r>
    </w:p>
    <w:p w:rsidR="006B00A6" w:rsidRDefault="006B00A6" w:rsidP="006B00A6">
      <w:pPr>
        <w:spacing w:after="0"/>
        <w:rPr>
          <w:rFonts w:eastAsia="Times New Roman"/>
        </w:rPr>
      </w:pPr>
      <w:r>
        <w:rPr>
          <w:rFonts w:eastAsia="Times New Roman"/>
          <w:lang w:eastAsia="zh-CN"/>
        </w:rPr>
        <w:t xml:space="preserve">The optional label with text box shall contain the following text: </w:t>
      </w:r>
    </w:p>
    <w:p w:rsidR="006B00A6" w:rsidRDefault="006B00A6" w:rsidP="00AC318D">
      <w:pPr>
        <w:numPr>
          <w:ilvl w:val="0"/>
          <w:numId w:val="36"/>
        </w:numPr>
        <w:autoSpaceDE w:val="0"/>
        <w:autoSpaceDN w:val="0"/>
        <w:adjustRightInd w:val="0"/>
        <w:spacing w:after="0"/>
        <w:contextualSpacing/>
        <w:rPr>
          <w:rFonts w:eastAsia="Times New Roman"/>
        </w:rPr>
      </w:pPr>
      <w:r>
        <w:rPr>
          <w:rFonts w:eastAsia="Times New Roman"/>
        </w:rPr>
        <w:t>Wood, cork or bamboo material from sustainably managed forests</w:t>
      </w:r>
    </w:p>
    <w:p w:rsidR="006B00A6" w:rsidRDefault="006B00A6" w:rsidP="00AC318D">
      <w:pPr>
        <w:numPr>
          <w:ilvl w:val="0"/>
          <w:numId w:val="36"/>
        </w:numPr>
        <w:autoSpaceDE w:val="0"/>
        <w:autoSpaceDN w:val="0"/>
        <w:adjustRightInd w:val="0"/>
        <w:spacing w:after="0"/>
        <w:contextualSpacing/>
        <w:rPr>
          <w:rFonts w:eastAsia="Times New Roman"/>
        </w:rPr>
      </w:pPr>
      <w:r>
        <w:rPr>
          <w:rFonts w:eastAsia="Times New Roman"/>
          <w:lang w:eastAsia="zh-CN"/>
        </w:rPr>
        <w:t>Lower energy consumption for manufacturing</w:t>
      </w:r>
    </w:p>
    <w:p w:rsidR="006B00A6" w:rsidRDefault="006B00A6" w:rsidP="00AC318D">
      <w:pPr>
        <w:numPr>
          <w:ilvl w:val="0"/>
          <w:numId w:val="36"/>
        </w:numPr>
        <w:autoSpaceDE w:val="0"/>
        <w:autoSpaceDN w:val="0"/>
        <w:adjustRightInd w:val="0"/>
        <w:spacing w:after="0"/>
        <w:contextualSpacing/>
        <w:rPr>
          <w:rFonts w:eastAsia="Times New Roman"/>
          <w:b/>
          <w:i/>
        </w:rPr>
      </w:pPr>
      <w:r>
        <w:rPr>
          <w:rFonts w:eastAsia="Times New Roman"/>
          <w:lang w:eastAsia="zh-CN"/>
        </w:rPr>
        <w:t>Low-emitting product.</w:t>
      </w:r>
    </w:p>
    <w:p w:rsidR="006B00A6" w:rsidRDefault="006B00A6" w:rsidP="006B00A6">
      <w:pPr>
        <w:spacing w:after="0"/>
        <w:rPr>
          <w:rFonts w:eastAsia="Times New Roman"/>
          <w:b/>
          <w:i/>
        </w:rPr>
      </w:pPr>
      <w:r>
        <w:rPr>
          <w:rFonts w:eastAsia="Times New Roman"/>
          <w:b/>
          <w:i/>
        </w:rPr>
        <w:t>Assessment and verification</w:t>
      </w:r>
    </w:p>
    <w:p w:rsidR="006B00A6" w:rsidRDefault="006B00A6" w:rsidP="006B00A6">
      <w:pPr>
        <w:rPr>
          <w:rFonts w:eastAsia="Times New Roman"/>
          <w:b/>
          <w:sz w:val="26"/>
          <w:szCs w:val="26"/>
        </w:rPr>
      </w:pPr>
      <w:r>
        <w:rPr>
          <w:rFonts w:eastAsia="Times New Roman"/>
        </w:rPr>
        <w:t xml:space="preserve">The applicant shall provide to the competent body a declaration of compliance with the criterion supported by a copy of the information appearing on the EU Ecolabel. </w:t>
      </w:r>
      <w:bookmarkEnd w:id="26"/>
    </w:p>
    <w:p w:rsidR="006B00A6" w:rsidRDefault="006B00A6" w:rsidP="006B00A6">
      <w:pPr>
        <w:rPr>
          <w:rFonts w:eastAsia="Times New Roman"/>
          <w:b/>
          <w:sz w:val="26"/>
          <w:szCs w:val="26"/>
        </w:rPr>
      </w:pPr>
      <w:r>
        <w:rPr>
          <w:rFonts w:eastAsia="Times New Roman"/>
          <w:b/>
          <w:sz w:val="26"/>
          <w:szCs w:val="26"/>
        </w:rPr>
        <w:br w:type="page"/>
      </w:r>
    </w:p>
    <w:p w:rsidR="006B00A6" w:rsidRDefault="006B00A6" w:rsidP="006B00A6">
      <w:pPr>
        <w:spacing w:after="0"/>
        <w:rPr>
          <w:rFonts w:eastAsia="Times New Roman"/>
          <w:b/>
          <w:sz w:val="26"/>
          <w:szCs w:val="26"/>
        </w:rPr>
      </w:pPr>
      <w:r>
        <w:rPr>
          <w:rFonts w:eastAsia="Times New Roman"/>
          <w:b/>
          <w:sz w:val="26"/>
          <w:szCs w:val="26"/>
        </w:rPr>
        <w:lastRenderedPageBreak/>
        <w:t>Appendix I. Guidance on the calculation of the quantity of VOC applied</w:t>
      </w:r>
    </w:p>
    <w:p w:rsidR="006B00A6" w:rsidRDefault="006B00A6" w:rsidP="006B00A6">
      <w:pPr>
        <w:tabs>
          <w:tab w:val="left" w:pos="284"/>
        </w:tabs>
        <w:spacing w:after="0"/>
        <w:rPr>
          <w:rFonts w:eastAsia="Times New Roman"/>
          <w:bCs/>
          <w:sz w:val="22"/>
        </w:rPr>
      </w:pPr>
      <w:r>
        <w:rPr>
          <w:rFonts w:eastAsia="Times New Roman"/>
          <w:bCs/>
        </w:rPr>
        <w:t>The requirement relates to the total VOC in the surface treatment products with the chemical composition they have in the wet form. If the products required dilutions, the calculation is to be based on the content in the dilutive product.</w:t>
      </w:r>
    </w:p>
    <w:p w:rsidR="006B00A6" w:rsidRDefault="006B00A6" w:rsidP="006B00A6">
      <w:pPr>
        <w:tabs>
          <w:tab w:val="left" w:pos="284"/>
        </w:tabs>
        <w:spacing w:after="0"/>
        <w:rPr>
          <w:rFonts w:eastAsia="Times New Roman"/>
          <w:bCs/>
        </w:rPr>
      </w:pPr>
      <w:r>
        <w:rPr>
          <w:rFonts w:eastAsia="Times New Roman"/>
          <w:bCs/>
        </w:rPr>
        <w:t>This method is based on the application method that calculates the quantities applied per m</w:t>
      </w:r>
      <w:r>
        <w:rPr>
          <w:rFonts w:eastAsia="Times New Roman"/>
          <w:bCs/>
          <w:vertAlign w:val="superscript"/>
        </w:rPr>
        <w:t>2</w:t>
      </w:r>
      <w:r>
        <w:rPr>
          <w:rFonts w:eastAsia="Times New Roman"/>
          <w:bCs/>
        </w:rPr>
        <w:t xml:space="preserve"> surface area. It determines the content of the organic solvents as a percentage of quantity of the surface treatment applied. </w:t>
      </w:r>
    </w:p>
    <w:p w:rsidR="006B00A6" w:rsidRDefault="006B00A6" w:rsidP="006B00A6">
      <w:pPr>
        <w:tabs>
          <w:tab w:val="left" w:pos="284"/>
        </w:tabs>
        <w:spacing w:after="0"/>
        <w:rPr>
          <w:rFonts w:eastAsia="Times New Roman"/>
          <w:bCs/>
        </w:rPr>
      </w:pPr>
      <w:r>
        <w:rPr>
          <w:rFonts w:eastAsia="Times New Roman"/>
          <w:bCs/>
        </w:rPr>
        <w:t>The applied quantity of VOC is calculated using the following formula</w:t>
      </w:r>
    </w:p>
    <w:p w:rsidR="006B00A6" w:rsidRDefault="006B00A6" w:rsidP="006B00A6">
      <w:pPr>
        <w:tabs>
          <w:tab w:val="left" w:pos="284"/>
        </w:tabs>
        <w:spacing w:after="0"/>
        <w:rPr>
          <w:rFonts w:eastAsia="Times New Roman"/>
        </w:rPr>
      </w:pPr>
      <m:oMathPara>
        <m:oMath>
          <m:nary>
            <m:naryPr>
              <m:chr m:val="∑"/>
              <m:limLoc m:val="undOvr"/>
              <m:ctrlPr>
                <w:rPr>
                  <w:rFonts w:ascii="Cambria Math" w:eastAsia="Times New Roman" w:hAnsi="Cambria Math"/>
                  <w:i/>
                  <w:sz w:val="22"/>
                </w:rPr>
              </m:ctrlPr>
            </m:naryPr>
            <m:sub>
              <m:r>
                <w:rPr>
                  <w:rFonts w:ascii="Cambria Math" w:eastAsia="Times New Roman" w:hAnsi="Cambria Math"/>
                </w:rPr>
                <m:t>n=1</m:t>
              </m:r>
            </m:sub>
            <m:sup>
              <m:r>
                <w:rPr>
                  <w:rFonts w:ascii="Cambria Math" w:eastAsia="Times New Roman" w:hAnsi="Cambria Math"/>
                </w:rPr>
                <m:t>i</m:t>
              </m:r>
            </m:sup>
            <m:e>
              <m:r>
                <w:rPr>
                  <w:rFonts w:ascii="Cambria Math" w:eastAsia="Times New Roman" w:hAnsi="Cambria Math"/>
                </w:rPr>
                <m:t>Quantity of surface treatment product x % VOC x surface treatment efficacy</m:t>
              </m:r>
            </m:e>
          </m:nary>
        </m:oMath>
      </m:oMathPara>
    </w:p>
    <w:p w:rsidR="006B00A6" w:rsidRDefault="006B00A6" w:rsidP="006B00A6">
      <w:pPr>
        <w:tabs>
          <w:tab w:val="left" w:pos="284"/>
        </w:tabs>
        <w:spacing w:after="0"/>
        <w:rPr>
          <w:rFonts w:eastAsia="Times New Roman"/>
          <w:bCs/>
        </w:rPr>
      </w:pPr>
      <w:r>
        <w:rPr>
          <w:rFonts w:eastAsia="Times New Roman"/>
          <w:bCs/>
        </w:rPr>
        <w:t>The formula consists in:</w:t>
      </w:r>
    </w:p>
    <w:p w:rsidR="006B00A6" w:rsidRDefault="006B00A6" w:rsidP="00AC318D">
      <w:pPr>
        <w:numPr>
          <w:ilvl w:val="0"/>
          <w:numId w:val="37"/>
        </w:numPr>
        <w:autoSpaceDE w:val="0"/>
        <w:autoSpaceDN w:val="0"/>
        <w:adjustRightInd w:val="0"/>
        <w:spacing w:after="0"/>
        <w:contextualSpacing/>
        <w:rPr>
          <w:rFonts w:eastAsia="Times New Roman"/>
        </w:rPr>
      </w:pPr>
      <w:r>
        <w:rPr>
          <w:rFonts w:eastAsia="Times New Roman"/>
        </w:rPr>
        <w:t>Quantity of surface treatment product: per each coating applied, the amount of surface treatment fed in the system shall be reported in g/m</w:t>
      </w:r>
      <w:r>
        <w:rPr>
          <w:rFonts w:eastAsia="Times New Roman"/>
          <w:vertAlign w:val="superscript"/>
        </w:rPr>
        <w:t>2</w:t>
      </w:r>
      <w:r>
        <w:rPr>
          <w:rFonts w:eastAsia="Times New Roman"/>
        </w:rPr>
        <w:t>;</w:t>
      </w:r>
    </w:p>
    <w:p w:rsidR="006B00A6" w:rsidRDefault="006B00A6" w:rsidP="00AC318D">
      <w:pPr>
        <w:numPr>
          <w:ilvl w:val="0"/>
          <w:numId w:val="37"/>
        </w:numPr>
        <w:autoSpaceDE w:val="0"/>
        <w:autoSpaceDN w:val="0"/>
        <w:adjustRightInd w:val="0"/>
        <w:spacing w:after="0"/>
        <w:contextualSpacing/>
        <w:rPr>
          <w:rFonts w:eastAsia="Times New Roman"/>
        </w:rPr>
      </w:pPr>
      <w:r>
        <w:rPr>
          <w:rFonts w:eastAsia="Times New Roman"/>
        </w:rPr>
        <w:t>The proportion of VOC in the surface treatment products: the concentration is to be stated as a percentage by weight;</w:t>
      </w:r>
    </w:p>
    <w:p w:rsidR="006B00A6" w:rsidRDefault="006B00A6" w:rsidP="00AC318D">
      <w:pPr>
        <w:numPr>
          <w:ilvl w:val="0"/>
          <w:numId w:val="37"/>
        </w:numPr>
        <w:autoSpaceDE w:val="0"/>
        <w:autoSpaceDN w:val="0"/>
        <w:adjustRightInd w:val="0"/>
        <w:spacing w:after="0"/>
        <w:contextualSpacing/>
        <w:rPr>
          <w:rFonts w:eastAsia="Times New Roman"/>
        </w:rPr>
      </w:pPr>
      <w:r>
        <w:rPr>
          <w:rFonts w:eastAsia="Times New Roman"/>
        </w:rPr>
        <w:t>The surface treatment efficiency that depends on the application method. The efficacy is tabled in accordance with the state of the art of the surface treatment industry as shown in Table 4.2;</w:t>
      </w:r>
    </w:p>
    <w:p w:rsidR="006B00A6" w:rsidRDefault="006B00A6" w:rsidP="00AC318D">
      <w:pPr>
        <w:numPr>
          <w:ilvl w:val="0"/>
          <w:numId w:val="37"/>
        </w:numPr>
        <w:autoSpaceDE w:val="0"/>
        <w:autoSpaceDN w:val="0"/>
        <w:adjustRightInd w:val="0"/>
        <w:spacing w:after="0"/>
        <w:contextualSpacing/>
        <w:rPr>
          <w:rFonts w:eastAsia="Times New Roman"/>
        </w:rPr>
      </w:pPr>
      <w:r>
        <w:rPr>
          <w:rFonts w:eastAsia="Times New Roman"/>
        </w:rPr>
        <w:t xml:space="preserve">The sum of all the coatings applied. </w:t>
      </w:r>
    </w:p>
    <w:p w:rsidR="006B00A6" w:rsidRDefault="006B00A6" w:rsidP="006B00A6">
      <w:pPr>
        <w:tabs>
          <w:tab w:val="left" w:pos="284"/>
        </w:tabs>
        <w:spacing w:after="0"/>
        <w:ind w:left="1080"/>
        <w:contextualSpacing/>
        <w:rPr>
          <w:rFonts w:eastAsia="Times New Roman"/>
          <w:b/>
          <w:bCs/>
        </w:rPr>
      </w:pPr>
    </w:p>
    <w:p w:rsidR="006B00A6" w:rsidRDefault="006B00A6" w:rsidP="006B00A6">
      <w:pPr>
        <w:tabs>
          <w:tab w:val="left" w:pos="284"/>
        </w:tabs>
        <w:spacing w:after="0"/>
        <w:ind w:left="1080"/>
        <w:contextualSpacing/>
        <w:jc w:val="center"/>
        <w:rPr>
          <w:rFonts w:eastAsia="Times New Roman"/>
          <w:b/>
          <w:bCs/>
        </w:rPr>
      </w:pPr>
      <w:r>
        <w:rPr>
          <w:rFonts w:eastAsia="Times New Roman"/>
          <w:b/>
          <w:bCs/>
        </w:rPr>
        <w:t>Table 4.2. Efficacy of the surface treatments</w:t>
      </w:r>
    </w:p>
    <w:p w:rsidR="006B00A6" w:rsidRDefault="006B00A6" w:rsidP="006B00A6">
      <w:pPr>
        <w:tabs>
          <w:tab w:val="left" w:pos="284"/>
        </w:tabs>
        <w:spacing w:after="0"/>
        <w:ind w:left="1080"/>
        <w:contextualSpacing/>
        <w:jc w:val="center"/>
        <w:rPr>
          <w:rFonts w:eastAsia="Times New Roman"/>
          <w:b/>
          <w:bCs/>
        </w:rPr>
      </w:pPr>
    </w:p>
    <w:tbl>
      <w:tblPr>
        <w:tblStyle w:val="TableGrid"/>
        <w:tblW w:w="0" w:type="auto"/>
        <w:jc w:val="center"/>
        <w:tblInd w:w="0" w:type="dxa"/>
        <w:tblLook w:val="04A0" w:firstRow="1" w:lastRow="0" w:firstColumn="1" w:lastColumn="0" w:noHBand="0" w:noVBand="1"/>
      </w:tblPr>
      <w:tblGrid>
        <w:gridCol w:w="4139"/>
        <w:gridCol w:w="1157"/>
        <w:gridCol w:w="2031"/>
        <w:gridCol w:w="1157"/>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39"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
                <w:bCs/>
                <w:sz w:val="20"/>
              </w:rPr>
            </w:pPr>
            <w:r>
              <w:rPr>
                <w:b/>
                <w:bCs/>
                <w:sz w:val="20"/>
              </w:rPr>
              <w:t>Surface treatment</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
                <w:bCs/>
                <w:sz w:val="20"/>
              </w:rPr>
            </w:pPr>
            <w:r>
              <w:rPr>
                <w:b/>
                <w:bCs/>
                <w:sz w:val="20"/>
              </w:rPr>
              <w:t>Efficiency</w:t>
            </w:r>
          </w:p>
        </w:tc>
        <w:tc>
          <w:tcPr>
            <w:tcW w:w="2031"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
                <w:bCs/>
                <w:sz w:val="20"/>
              </w:rPr>
            </w:pPr>
            <w:r>
              <w:rPr>
                <w:b/>
                <w:bCs/>
                <w:sz w:val="20"/>
              </w:rPr>
              <w:t>Surface treatment</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
                <w:bCs/>
                <w:sz w:val="20"/>
              </w:rPr>
            </w:pPr>
            <w:r>
              <w:rPr>
                <w:b/>
                <w:bCs/>
                <w:sz w:val="20"/>
              </w:rPr>
              <w:t>Efficiency</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39"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Automatic spray application, no recycling</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50%</w:t>
            </w:r>
          </w:p>
        </w:tc>
        <w:tc>
          <w:tcPr>
            <w:tcW w:w="2031"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Roller coating</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95%</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39"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Automatic spray application with recycling</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70%</w:t>
            </w:r>
          </w:p>
        </w:tc>
        <w:tc>
          <w:tcPr>
            <w:tcW w:w="2031"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Curtain coating</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95%</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39"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Spray application, electrostatic</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65%</w:t>
            </w:r>
          </w:p>
        </w:tc>
        <w:tc>
          <w:tcPr>
            <w:tcW w:w="2031"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Vacuum coating</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95%</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4139"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Spray application, bell/disc</w:t>
            </w:r>
          </w:p>
        </w:tc>
        <w:tc>
          <w:tcPr>
            <w:tcW w:w="1157" w:type="dxa"/>
            <w:tcBorders>
              <w:top w:val="single" w:sz="4" w:space="0" w:color="auto"/>
              <w:left w:val="single" w:sz="4" w:space="0" w:color="auto"/>
              <w:bottom w:val="single" w:sz="4" w:space="0" w:color="auto"/>
              <w:right w:val="single" w:sz="4" w:space="0" w:color="auto"/>
            </w:tcBorders>
            <w:hideMark/>
          </w:tcPr>
          <w:p w:rsidR="006B00A6" w:rsidRDefault="006B00A6">
            <w:pPr>
              <w:tabs>
                <w:tab w:val="left" w:pos="284"/>
              </w:tabs>
              <w:spacing w:after="0"/>
              <w:rPr>
                <w:bCs/>
                <w:sz w:val="20"/>
              </w:rPr>
            </w:pPr>
            <w:r>
              <w:rPr>
                <w:bCs/>
                <w:sz w:val="20"/>
              </w:rPr>
              <w:t>80%</w:t>
            </w:r>
          </w:p>
        </w:tc>
        <w:tc>
          <w:tcPr>
            <w:tcW w:w="2031" w:type="dxa"/>
            <w:tcBorders>
              <w:top w:val="single" w:sz="4" w:space="0" w:color="auto"/>
              <w:left w:val="single" w:sz="4" w:space="0" w:color="auto"/>
              <w:bottom w:val="single" w:sz="4" w:space="0" w:color="auto"/>
              <w:right w:val="single" w:sz="4" w:space="0" w:color="auto"/>
            </w:tcBorders>
          </w:tcPr>
          <w:p w:rsidR="006B00A6" w:rsidRDefault="006B00A6">
            <w:pPr>
              <w:tabs>
                <w:tab w:val="left" w:pos="284"/>
              </w:tabs>
              <w:spacing w:after="0"/>
              <w:rPr>
                <w:bCs/>
                <w:sz w:val="20"/>
              </w:rPr>
            </w:pPr>
          </w:p>
        </w:tc>
        <w:tc>
          <w:tcPr>
            <w:tcW w:w="1157" w:type="dxa"/>
            <w:tcBorders>
              <w:top w:val="single" w:sz="4" w:space="0" w:color="auto"/>
              <w:left w:val="single" w:sz="4" w:space="0" w:color="auto"/>
              <w:bottom w:val="single" w:sz="4" w:space="0" w:color="auto"/>
              <w:right w:val="single" w:sz="4" w:space="0" w:color="auto"/>
            </w:tcBorders>
          </w:tcPr>
          <w:p w:rsidR="006B00A6" w:rsidRDefault="006B00A6">
            <w:pPr>
              <w:tabs>
                <w:tab w:val="left" w:pos="284"/>
              </w:tabs>
              <w:spacing w:after="0"/>
              <w:rPr>
                <w:bCs/>
                <w:sz w:val="20"/>
              </w:rPr>
            </w:pPr>
          </w:p>
        </w:tc>
      </w:tr>
    </w:tbl>
    <w:p w:rsidR="006B00A6" w:rsidRDefault="006B00A6" w:rsidP="006B00A6">
      <w:pPr>
        <w:spacing w:after="0"/>
        <w:rPr>
          <w:rFonts w:eastAsia="Times New Roman"/>
          <w:b/>
          <w:i/>
          <w:sz w:val="22"/>
          <w:u w:val="single"/>
        </w:rPr>
      </w:pPr>
    </w:p>
    <w:p w:rsidR="006B00A6" w:rsidRDefault="006B00A6" w:rsidP="006B00A6">
      <w:pPr>
        <w:rPr>
          <w:rFonts w:eastAsia="Times New Roman"/>
          <w:b/>
          <w:sz w:val="26"/>
          <w:szCs w:val="26"/>
        </w:rPr>
      </w:pPr>
      <w:r>
        <w:rPr>
          <w:rFonts w:eastAsia="Times New Roman"/>
          <w:b/>
          <w:sz w:val="26"/>
          <w:szCs w:val="26"/>
        </w:rPr>
        <w:br w:type="page"/>
      </w:r>
    </w:p>
    <w:p w:rsidR="006B00A6" w:rsidRDefault="006B00A6" w:rsidP="006B00A6">
      <w:pPr>
        <w:spacing w:after="0"/>
        <w:rPr>
          <w:rFonts w:eastAsia="Times New Roman"/>
          <w:b/>
          <w:sz w:val="26"/>
          <w:szCs w:val="26"/>
        </w:rPr>
      </w:pPr>
      <w:r>
        <w:rPr>
          <w:rFonts w:eastAsia="Times New Roman"/>
          <w:b/>
          <w:sz w:val="26"/>
          <w:szCs w:val="26"/>
        </w:rPr>
        <w:lastRenderedPageBreak/>
        <w:t>Appendix II. Guidance for calculating the</w:t>
      </w:r>
      <w:r>
        <w:rPr>
          <w:rFonts w:eastAsia="Times New Roman"/>
          <w:b/>
          <w:noProof/>
          <w:sz w:val="26"/>
          <w:szCs w:val="26"/>
        </w:rPr>
        <w:t xml:space="preserve"> </w:t>
      </w:r>
      <w:r>
        <w:rPr>
          <w:rFonts w:eastAsia="Times New Roman"/>
          <w:b/>
          <w:sz w:val="26"/>
          <w:szCs w:val="26"/>
        </w:rPr>
        <w:t>energy</w:t>
      </w:r>
      <w:r>
        <w:rPr>
          <w:rFonts w:eastAsia="Times New Roman"/>
          <w:b/>
          <w:noProof/>
          <w:sz w:val="26"/>
          <w:szCs w:val="26"/>
        </w:rPr>
        <w:t xml:space="preserve"> consumption in the production process</w:t>
      </w:r>
    </w:p>
    <w:p w:rsidR="006B00A6" w:rsidRDefault="006B00A6" w:rsidP="006B00A6">
      <w:pPr>
        <w:spacing w:before="160" w:after="0" w:line="241" w:lineRule="atLeast"/>
        <w:rPr>
          <w:rFonts w:eastAsia="Times New Roman"/>
          <w:sz w:val="22"/>
        </w:rPr>
      </w:pPr>
      <w:r>
        <w:rPr>
          <w:rFonts w:eastAsia="Times New Roman"/>
        </w:rPr>
        <w:t>Energy consumption per flooring m</w:t>
      </w:r>
      <w:r>
        <w:rPr>
          <w:rFonts w:eastAsia="Times New Roman"/>
          <w:vertAlign w:val="superscript"/>
        </w:rPr>
        <w:t>2</w:t>
      </w:r>
      <w:r>
        <w:rPr>
          <w:rFonts w:eastAsia="Times New Roman"/>
        </w:rPr>
        <w:t xml:space="preserve"> is calculated as an annual arithmetic average of the last three years. Should the company not have these data, the competent bodies will assess the acceptance of equivalent data.</w:t>
      </w:r>
    </w:p>
    <w:p w:rsidR="006B00A6" w:rsidRDefault="006B00A6" w:rsidP="006B00A6">
      <w:pPr>
        <w:spacing w:before="160" w:after="0" w:line="241" w:lineRule="atLeast"/>
        <w:rPr>
          <w:rFonts w:eastAsia="Times New Roman"/>
        </w:rPr>
      </w:pPr>
      <w:r>
        <w:rPr>
          <w:rFonts w:eastAsia="Times New Roman"/>
        </w:rPr>
        <w:t>If the producer has an energy surplus that is sold as electricity, steam or heat, the sold quantity can be deducted from the fuel consumption. Only fuel that is actually consumed in the manufacture of the floor covering</w:t>
      </w:r>
      <w:r>
        <w:rPr>
          <w:rFonts w:eastAsia="Times New Roman"/>
          <w:sz w:val="18"/>
          <w:vertAlign w:val="superscript"/>
        </w:rPr>
        <w:footnoteReference w:id="20"/>
      </w:r>
      <w:r>
        <w:rPr>
          <w:rFonts w:eastAsia="Times New Roman"/>
        </w:rPr>
        <w:t xml:space="preserve"> is to be included in the calculation. </w:t>
      </w:r>
    </w:p>
    <w:p w:rsidR="006B00A6" w:rsidRDefault="006B00A6" w:rsidP="006B00A6">
      <w:pPr>
        <w:spacing w:before="160" w:after="0" w:line="241" w:lineRule="atLeast"/>
        <w:rPr>
          <w:rFonts w:eastAsia="Times New Roman"/>
        </w:rPr>
      </w:pPr>
      <w:r>
        <w:rPr>
          <w:rFonts w:eastAsia="Times New Roman"/>
        </w:rPr>
        <w:t>Energy consumption is reported in kWh/m</w:t>
      </w:r>
      <w:r>
        <w:rPr>
          <w:rFonts w:eastAsia="Times New Roman"/>
          <w:vertAlign w:val="superscript"/>
        </w:rPr>
        <w:t>2</w:t>
      </w:r>
      <w:r>
        <w:rPr>
          <w:rFonts w:eastAsia="Times New Roman"/>
        </w:rPr>
        <w:t>, although calculations may also be made in MJ/m</w:t>
      </w:r>
      <w:r>
        <w:rPr>
          <w:rFonts w:eastAsia="Times New Roman"/>
          <w:vertAlign w:val="superscript"/>
        </w:rPr>
        <w:t>2</w:t>
      </w:r>
      <w:r>
        <w:rPr>
          <w:rFonts w:eastAsia="Times New Roman"/>
        </w:rPr>
        <w:t xml:space="preserve"> (1 kWh=3,6 MJ). </w:t>
      </w:r>
    </w:p>
    <w:p w:rsidR="006B00A6" w:rsidRDefault="006B00A6" w:rsidP="006B00A6">
      <w:pPr>
        <w:spacing w:before="160" w:after="0" w:line="241" w:lineRule="atLeast"/>
        <w:rPr>
          <w:rFonts w:eastAsia="Times New Roman"/>
        </w:rPr>
      </w:pPr>
      <w:r>
        <w:rPr>
          <w:rFonts w:eastAsia="Times New Roman"/>
        </w:rPr>
        <w:t>The energy content of the fuels is calculated based on the table 5.2. If electrical energy is produced on-site, one of the following methods can be used for calculating fuel consumption:</w:t>
      </w:r>
    </w:p>
    <w:p w:rsidR="006B00A6" w:rsidRDefault="006B00A6" w:rsidP="00AC318D">
      <w:pPr>
        <w:numPr>
          <w:ilvl w:val="0"/>
          <w:numId w:val="33"/>
        </w:numPr>
        <w:autoSpaceDE w:val="0"/>
        <w:autoSpaceDN w:val="0"/>
        <w:adjustRightInd w:val="0"/>
        <w:contextualSpacing/>
        <w:rPr>
          <w:rFonts w:eastAsia="Times New Roman"/>
        </w:rPr>
      </w:pPr>
      <w:r>
        <w:rPr>
          <w:rFonts w:eastAsia="Times New Roman"/>
        </w:rPr>
        <w:t>Actual annual consumption of fuel;</w:t>
      </w:r>
    </w:p>
    <w:p w:rsidR="006B00A6" w:rsidRDefault="006B00A6" w:rsidP="00AC318D">
      <w:pPr>
        <w:numPr>
          <w:ilvl w:val="0"/>
          <w:numId w:val="33"/>
        </w:numPr>
        <w:autoSpaceDE w:val="0"/>
        <w:autoSpaceDN w:val="0"/>
        <w:adjustRightInd w:val="0"/>
        <w:contextualSpacing/>
        <w:rPr>
          <w:rFonts w:eastAsia="Times New Roman"/>
        </w:rPr>
      </w:pPr>
      <w:r>
        <w:rPr>
          <w:rFonts w:eastAsia="Times New Roman"/>
        </w:rPr>
        <w:t>Consumption of electricity produced on-site multiplied by 2,5, if the origin is a non-combustible renewable source.</w:t>
      </w:r>
    </w:p>
    <w:p w:rsidR="006B00A6" w:rsidRDefault="006B00A6" w:rsidP="006B00A6">
      <w:pPr>
        <w:autoSpaceDE w:val="0"/>
        <w:autoSpaceDN w:val="0"/>
        <w:adjustRightInd w:val="0"/>
        <w:spacing w:before="240"/>
        <w:rPr>
          <w:rFonts w:eastAsia="Times New Roman"/>
        </w:rPr>
      </w:pPr>
      <w:r>
        <w:rPr>
          <w:rFonts w:eastAsia="Times New Roman"/>
        </w:rPr>
        <w:t>Values of the energy consumption shall be calculated by means of the standard fuel values. The energy contents of various fuels are given in Table 5.2.</w:t>
      </w:r>
    </w:p>
    <w:p w:rsidR="006B00A6" w:rsidRDefault="006B00A6" w:rsidP="006B00A6">
      <w:pPr>
        <w:spacing w:before="160" w:after="0" w:line="241" w:lineRule="atLeast"/>
        <w:jc w:val="center"/>
        <w:rPr>
          <w:rFonts w:eastAsia="Times New Roman"/>
          <w:b/>
        </w:rPr>
      </w:pPr>
      <w:r>
        <w:rPr>
          <w:rFonts w:eastAsia="Times New Roman"/>
        </w:rPr>
        <w:t xml:space="preserve"> </w:t>
      </w:r>
      <w:r>
        <w:rPr>
          <w:rFonts w:eastAsia="Times New Roman"/>
          <w:b/>
        </w:rPr>
        <w:t>Table 5.2. Standard fuel values</w:t>
      </w:r>
      <w:r>
        <w:rPr>
          <w:rFonts w:eastAsia="Times New Roman"/>
          <w:vertAlign w:val="superscript"/>
        </w:rPr>
        <w:footnoteReference w:id="21"/>
      </w:r>
    </w:p>
    <w:p w:rsidR="006B00A6" w:rsidRDefault="006B00A6" w:rsidP="006B00A6">
      <w:pPr>
        <w:spacing w:after="0" w:line="241" w:lineRule="atLeast"/>
        <w:jc w:val="center"/>
        <w:rPr>
          <w:rFonts w:eastAsia="Times New Roman"/>
          <w:lang w:eastAsia="zh-CN"/>
        </w:rPr>
      </w:pPr>
    </w:p>
    <w:tbl>
      <w:tblPr>
        <w:tblStyle w:val="TableGrid"/>
        <w:tblW w:w="6425" w:type="dxa"/>
        <w:jc w:val="center"/>
        <w:tblInd w:w="0" w:type="dxa"/>
        <w:tblLook w:val="04A0" w:firstRow="1" w:lastRow="0" w:firstColumn="1" w:lastColumn="0" w:noHBand="0" w:noVBand="1"/>
      </w:tblPr>
      <w:tblGrid>
        <w:gridCol w:w="1952"/>
        <w:gridCol w:w="872"/>
        <w:gridCol w:w="2196"/>
        <w:gridCol w:w="1405"/>
      </w:tblGrid>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lang w:eastAsia="zh-CN"/>
              </w:rPr>
            </w:pPr>
            <w:bookmarkStart w:id="27" w:name="appendixII"/>
            <w:bookmarkStart w:id="28" w:name="criterion4b"/>
            <w:r>
              <w:rPr>
                <w:b/>
                <w:sz w:val="20"/>
                <w:lang w:eastAsia="zh-CN"/>
              </w:rPr>
              <w:t>Fuel</w:t>
            </w:r>
          </w:p>
        </w:tc>
        <w:tc>
          <w:tcPr>
            <w:tcW w:w="8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lang w:eastAsia="zh-CN"/>
              </w:rPr>
            </w:pPr>
            <w:r>
              <w:rPr>
                <w:b/>
                <w:sz w:val="20"/>
                <w:lang w:eastAsia="zh-CN"/>
              </w:rPr>
              <w:t>MJ/kg</w:t>
            </w:r>
          </w:p>
        </w:tc>
        <w:tc>
          <w:tcPr>
            <w:tcW w:w="2196"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lang w:eastAsia="zh-CN"/>
              </w:rPr>
            </w:pPr>
            <w:r>
              <w:rPr>
                <w:b/>
                <w:sz w:val="20"/>
                <w:lang w:eastAsia="zh-CN"/>
              </w:rPr>
              <w:t>Fuel</w:t>
            </w:r>
          </w:p>
        </w:tc>
        <w:tc>
          <w:tcPr>
            <w:tcW w:w="1405"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b/>
                <w:sz w:val="20"/>
                <w:lang w:eastAsia="zh-CN"/>
              </w:rPr>
            </w:pPr>
            <w:r>
              <w:rPr>
                <w:b/>
                <w:sz w:val="20"/>
                <w:lang w:eastAsia="zh-CN"/>
              </w:rPr>
              <w:t>MJ/kg</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Petrol</w:t>
            </w:r>
          </w:p>
        </w:tc>
        <w:tc>
          <w:tcPr>
            <w:tcW w:w="8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44,0</w:t>
            </w:r>
          </w:p>
        </w:tc>
        <w:tc>
          <w:tcPr>
            <w:tcW w:w="2196"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lang w:eastAsia="zh-CN"/>
              </w:rPr>
            </w:pPr>
            <w:r>
              <w:rPr>
                <w:sz w:val="20"/>
                <w:lang w:eastAsia="zh-CN"/>
              </w:rPr>
              <w:t>Pellets (7% W)</w:t>
            </w:r>
          </w:p>
        </w:tc>
        <w:tc>
          <w:tcPr>
            <w:tcW w:w="1405"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16,8</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Diesel</w:t>
            </w:r>
          </w:p>
        </w:tc>
        <w:tc>
          <w:tcPr>
            <w:tcW w:w="872" w:type="dxa"/>
            <w:tcBorders>
              <w:top w:val="single" w:sz="4" w:space="0" w:color="auto"/>
              <w:left w:val="single" w:sz="4" w:space="0" w:color="auto"/>
              <w:bottom w:val="single" w:sz="4" w:space="0" w:color="auto"/>
              <w:right w:val="single" w:sz="4" w:space="0" w:color="auto"/>
            </w:tcBorders>
          </w:tcPr>
          <w:p w:rsidR="006B00A6" w:rsidRDefault="006B00A6">
            <w:pPr>
              <w:spacing w:after="0"/>
              <w:rPr>
                <w:sz w:val="20"/>
                <w:lang w:eastAsia="zh-CN"/>
              </w:rPr>
            </w:pPr>
          </w:p>
        </w:tc>
        <w:tc>
          <w:tcPr>
            <w:tcW w:w="2196"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lang w:eastAsia="zh-CN"/>
              </w:rPr>
            </w:pPr>
            <w:r>
              <w:rPr>
                <w:sz w:val="20"/>
                <w:lang w:eastAsia="zh-CN"/>
              </w:rPr>
              <w:t>Peat</w:t>
            </w:r>
          </w:p>
        </w:tc>
        <w:tc>
          <w:tcPr>
            <w:tcW w:w="1405"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7,8-13,8</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LPG</w:t>
            </w:r>
          </w:p>
        </w:tc>
        <w:tc>
          <w:tcPr>
            <w:tcW w:w="8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45,2</w:t>
            </w:r>
          </w:p>
        </w:tc>
        <w:tc>
          <w:tcPr>
            <w:tcW w:w="2196"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lang w:eastAsia="zh-CN"/>
              </w:rPr>
            </w:pPr>
            <w:r>
              <w:rPr>
                <w:sz w:val="20"/>
                <w:lang w:eastAsia="zh-CN"/>
              </w:rPr>
              <w:t>Straw (15% W)</w:t>
            </w:r>
          </w:p>
        </w:tc>
        <w:tc>
          <w:tcPr>
            <w:tcW w:w="1405" w:type="dxa"/>
            <w:tcBorders>
              <w:top w:val="single" w:sz="4" w:space="0" w:color="auto"/>
              <w:left w:val="single" w:sz="4" w:space="0" w:color="auto"/>
              <w:bottom w:val="single" w:sz="4" w:space="0" w:color="auto"/>
              <w:right w:val="single" w:sz="4" w:space="0" w:color="auto"/>
            </w:tcBorders>
          </w:tcPr>
          <w:p w:rsidR="006B00A6" w:rsidRDefault="006B00A6">
            <w:pPr>
              <w:spacing w:after="0"/>
              <w:rPr>
                <w:sz w:val="20"/>
                <w:lang w:eastAsia="zh-CN"/>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Eo1 oil</w:t>
            </w:r>
          </w:p>
        </w:tc>
        <w:tc>
          <w:tcPr>
            <w:tcW w:w="8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42,3</w:t>
            </w:r>
          </w:p>
        </w:tc>
        <w:tc>
          <w:tcPr>
            <w:tcW w:w="2196"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lang w:eastAsia="zh-CN"/>
              </w:rPr>
            </w:pPr>
            <w:r>
              <w:rPr>
                <w:sz w:val="20"/>
                <w:lang w:eastAsia="zh-CN"/>
              </w:rPr>
              <w:t>Biogas</w:t>
            </w:r>
          </w:p>
        </w:tc>
        <w:tc>
          <w:tcPr>
            <w:tcW w:w="1405" w:type="dxa"/>
            <w:tcBorders>
              <w:top w:val="single" w:sz="4" w:space="0" w:color="auto"/>
              <w:left w:val="single" w:sz="4" w:space="0" w:color="auto"/>
              <w:bottom w:val="single" w:sz="4" w:space="0" w:color="auto"/>
              <w:right w:val="single" w:sz="4" w:space="0" w:color="auto"/>
            </w:tcBorders>
          </w:tcPr>
          <w:p w:rsidR="006B00A6" w:rsidRDefault="006B00A6">
            <w:pPr>
              <w:spacing w:after="0"/>
              <w:rPr>
                <w:sz w:val="20"/>
                <w:lang w:eastAsia="zh-CN"/>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Eo5 oil</w:t>
            </w:r>
          </w:p>
        </w:tc>
        <w:tc>
          <w:tcPr>
            <w:tcW w:w="8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44,0</w:t>
            </w:r>
          </w:p>
        </w:tc>
        <w:tc>
          <w:tcPr>
            <w:tcW w:w="2196"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lang w:eastAsia="zh-CN"/>
              </w:rPr>
            </w:pPr>
            <w:r>
              <w:rPr>
                <w:sz w:val="20"/>
                <w:lang w:eastAsia="zh-CN"/>
              </w:rPr>
              <w:t>Wood chips (25%W)</w:t>
            </w:r>
          </w:p>
        </w:tc>
        <w:tc>
          <w:tcPr>
            <w:tcW w:w="1405"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 xml:space="preserve">13,8 </w:t>
            </w: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Natural gas</w:t>
            </w:r>
          </w:p>
        </w:tc>
        <w:tc>
          <w:tcPr>
            <w:tcW w:w="8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47,2</w:t>
            </w:r>
          </w:p>
        </w:tc>
        <w:tc>
          <w:tcPr>
            <w:tcW w:w="2196" w:type="dxa"/>
            <w:tcBorders>
              <w:top w:val="single" w:sz="4" w:space="0" w:color="auto"/>
              <w:left w:val="single" w:sz="4" w:space="0" w:color="auto"/>
              <w:bottom w:val="single" w:sz="4" w:space="0" w:color="auto"/>
              <w:right w:val="single" w:sz="4" w:space="0" w:color="auto"/>
            </w:tcBorders>
            <w:hideMark/>
          </w:tcPr>
          <w:p w:rsidR="006B00A6" w:rsidRDefault="006B00A6">
            <w:pPr>
              <w:spacing w:after="0"/>
              <w:jc w:val="left"/>
              <w:rPr>
                <w:sz w:val="20"/>
                <w:lang w:eastAsia="zh-CN"/>
              </w:rPr>
            </w:pPr>
            <w:r>
              <w:rPr>
                <w:sz w:val="20"/>
                <w:lang w:eastAsia="zh-CN"/>
              </w:rPr>
              <w:t>Waste Wood</w:t>
            </w:r>
          </w:p>
        </w:tc>
        <w:tc>
          <w:tcPr>
            <w:tcW w:w="1405" w:type="dxa"/>
            <w:tcBorders>
              <w:top w:val="single" w:sz="4" w:space="0" w:color="auto"/>
              <w:left w:val="single" w:sz="4" w:space="0" w:color="auto"/>
              <w:bottom w:val="single" w:sz="4" w:space="0" w:color="auto"/>
              <w:right w:val="single" w:sz="4" w:space="0" w:color="auto"/>
            </w:tcBorders>
          </w:tcPr>
          <w:p w:rsidR="006B00A6" w:rsidRDefault="006B00A6">
            <w:pPr>
              <w:spacing w:after="0"/>
              <w:rPr>
                <w:sz w:val="20"/>
                <w:lang w:eastAsia="zh-CN"/>
              </w:rPr>
            </w:pPr>
          </w:p>
        </w:tc>
      </w:tr>
      <w:tr w:rsidR="006B00A6" w:rsidTr="006B00A6">
        <w:trPr>
          <w:cnfStyle w:val="100000000000" w:firstRow="1" w:lastRow="0" w:firstColumn="0" w:lastColumn="0" w:oddVBand="0" w:evenVBand="0" w:oddHBand="0" w:evenHBand="0" w:firstRowFirstColumn="0" w:firstRowLastColumn="0" w:lastRowFirstColumn="0" w:lastRowLastColumn="0"/>
          <w:cantSplit/>
          <w:tblHeader/>
          <w:jc w:val="center"/>
        </w:trPr>
        <w:tc>
          <w:tcPr>
            <w:tcW w:w="195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Power station coal</w:t>
            </w:r>
          </w:p>
        </w:tc>
        <w:tc>
          <w:tcPr>
            <w:tcW w:w="872" w:type="dxa"/>
            <w:tcBorders>
              <w:top w:val="single" w:sz="4" w:space="0" w:color="auto"/>
              <w:left w:val="single" w:sz="4" w:space="0" w:color="auto"/>
              <w:bottom w:val="single" w:sz="4" w:space="0" w:color="auto"/>
              <w:right w:val="single" w:sz="4" w:space="0" w:color="auto"/>
            </w:tcBorders>
            <w:hideMark/>
          </w:tcPr>
          <w:p w:rsidR="006B00A6" w:rsidRDefault="006B00A6">
            <w:pPr>
              <w:spacing w:after="0"/>
              <w:rPr>
                <w:sz w:val="20"/>
                <w:lang w:eastAsia="zh-CN"/>
              </w:rPr>
            </w:pPr>
            <w:r>
              <w:rPr>
                <w:sz w:val="20"/>
                <w:lang w:eastAsia="zh-CN"/>
              </w:rPr>
              <w:t>28,5</w:t>
            </w:r>
          </w:p>
        </w:tc>
        <w:tc>
          <w:tcPr>
            <w:tcW w:w="3601" w:type="dxa"/>
            <w:gridSpan w:val="2"/>
            <w:tcBorders>
              <w:top w:val="single" w:sz="4" w:space="0" w:color="auto"/>
              <w:left w:val="single" w:sz="4" w:space="0" w:color="auto"/>
              <w:bottom w:val="single" w:sz="4" w:space="0" w:color="auto"/>
              <w:right w:val="single" w:sz="4" w:space="0" w:color="auto"/>
            </w:tcBorders>
            <w:hideMark/>
          </w:tcPr>
          <w:p w:rsidR="006B00A6" w:rsidRDefault="006B00A6">
            <w:pPr>
              <w:spacing w:after="0"/>
              <w:rPr>
                <w:i/>
                <w:sz w:val="20"/>
                <w:lang w:eastAsia="zh-CN"/>
              </w:rPr>
            </w:pPr>
            <w:r>
              <w:rPr>
                <w:i/>
                <w:sz w:val="20"/>
                <w:lang w:eastAsia="zh-CN"/>
              </w:rPr>
              <w:t>GJ/ton is equivalent to MJ/kg</w:t>
            </w:r>
          </w:p>
        </w:tc>
      </w:tr>
    </w:tbl>
    <w:p w:rsidR="006B00A6" w:rsidRDefault="006B00A6" w:rsidP="006B00A6">
      <w:pPr>
        <w:spacing w:before="160" w:after="0" w:line="241" w:lineRule="atLeast"/>
        <w:rPr>
          <w:rFonts w:eastAsia="Times New Roman"/>
          <w:sz w:val="22"/>
        </w:rPr>
      </w:pPr>
      <w:r>
        <w:rPr>
          <w:rFonts w:eastAsia="Times New Roman"/>
          <w:i/>
        </w:rPr>
        <w:t xml:space="preserve"> (% W) is the percentage by weight of water in the fuel and is given the letter f in the formulas below. If nothing else is stated, f = 0% W and the ash content is average</w:t>
      </w:r>
      <w:r>
        <w:rPr>
          <w:rFonts w:eastAsia="Times New Roman"/>
        </w:rPr>
        <w:t>.</w:t>
      </w:r>
    </w:p>
    <w:p w:rsidR="006B00A6" w:rsidRDefault="006B00A6" w:rsidP="006B00A6">
      <w:pPr>
        <w:spacing w:before="160" w:after="0" w:line="241" w:lineRule="atLeast"/>
        <w:rPr>
          <w:rFonts w:eastAsia="Times New Roman"/>
        </w:rPr>
      </w:pPr>
      <w:r>
        <w:rPr>
          <w:rFonts w:eastAsia="Times New Roman"/>
        </w:rPr>
        <w:t xml:space="preserve">The formula for calculating the energy content of woodchips depends on the water content. Energy is required to evaporate the water in the wood. This energy reduces the heat value of the woodchips. The energy content can be calculated as: </w:t>
      </w:r>
    </w:p>
    <w:p w:rsidR="006B00A6" w:rsidRDefault="006B00A6" w:rsidP="006B00A6">
      <w:pPr>
        <w:spacing w:before="160" w:after="0" w:line="241" w:lineRule="atLeast"/>
        <w:rPr>
          <w:rFonts w:eastAsia="Times New Roman"/>
          <w:i/>
        </w:rPr>
      </w:pPr>
      <m:oMathPara>
        <m:oMath>
          <m:r>
            <m:rPr>
              <m:sty m:val="p"/>
            </m:rPr>
            <w:rPr>
              <w:rFonts w:ascii="Cambria Math" w:eastAsia="Times New Roman" w:hAnsi="Cambria Math"/>
            </w:rPr>
            <m:t xml:space="preserve">Woodchip=19,0 </m:t>
          </m:r>
          <m:d>
            <m:dPr>
              <m:ctrlPr>
                <w:rPr>
                  <w:rFonts w:ascii="Cambria Math" w:eastAsia="Times New Roman" w:hAnsi="Cambria Math"/>
                  <w:sz w:val="22"/>
                </w:rPr>
              </m:ctrlPr>
            </m:dPr>
            <m:e>
              <m:f>
                <m:fPr>
                  <m:ctrlPr>
                    <w:rPr>
                      <w:rFonts w:ascii="Cambria Math" w:eastAsia="Times New Roman" w:hAnsi="Cambria Math"/>
                      <w:sz w:val="22"/>
                    </w:rPr>
                  </m:ctrlPr>
                </m:fPr>
                <m:num>
                  <m:r>
                    <m:rPr>
                      <m:sty m:val="p"/>
                    </m:rPr>
                    <w:rPr>
                      <w:rFonts w:ascii="Cambria Math" w:eastAsia="Times New Roman" w:hAnsi="Cambria Math"/>
                    </w:rPr>
                    <m:t>MJ</m:t>
                  </m:r>
                </m:num>
                <m:den>
                  <m:r>
                    <m:rPr>
                      <m:sty m:val="p"/>
                    </m:rPr>
                    <w:rPr>
                      <w:rFonts w:ascii="Cambria Math" w:eastAsia="Times New Roman" w:hAnsi="Cambria Math"/>
                    </w:rPr>
                    <m:t>kg</m:t>
                  </m:r>
                </m:den>
              </m:f>
            </m:e>
          </m:d>
          <m:r>
            <m:rPr>
              <m:sty m:val="p"/>
            </m:rPr>
            <w:rPr>
              <w:rFonts w:ascii="Cambria Math" w:eastAsia="Times New Roman" w:hAnsi="Cambria Math"/>
            </w:rPr>
            <m:t>-21,442×</m:t>
          </m:r>
          <m:f>
            <m:fPr>
              <m:ctrlPr>
                <w:rPr>
                  <w:rFonts w:ascii="Cambria Math" w:eastAsia="Times New Roman" w:hAnsi="Cambria Math"/>
                  <w:sz w:val="22"/>
                </w:rPr>
              </m:ctrlPr>
            </m:fPr>
            <m:num>
              <m:r>
                <m:rPr>
                  <m:sty m:val="p"/>
                </m:rPr>
                <w:rPr>
                  <w:rFonts w:ascii="Cambria Math" w:eastAsia="Times New Roman" w:hAnsi="Cambria Math"/>
                </w:rPr>
                <m:t>f</m:t>
              </m:r>
            </m:num>
            <m:den>
              <m:r>
                <m:rPr>
                  <m:sty m:val="p"/>
                </m:rPr>
                <w:rPr>
                  <w:rFonts w:ascii="Cambria Math" w:eastAsia="Times New Roman" w:hAnsi="Cambria Math"/>
                </w:rPr>
                <m:t>100</m:t>
              </m:r>
            </m:den>
          </m:f>
        </m:oMath>
      </m:oMathPara>
    </w:p>
    <w:p w:rsidR="006B00A6" w:rsidRDefault="006B00A6" w:rsidP="006B00A6">
      <w:pPr>
        <w:spacing w:after="0"/>
        <w:rPr>
          <w:rFonts w:eastAsia="Times New Roman"/>
        </w:rPr>
      </w:pPr>
    </w:p>
    <w:p w:rsidR="006B00A6" w:rsidRDefault="006B00A6" w:rsidP="006B00A6">
      <w:pPr>
        <w:spacing w:after="0"/>
        <w:rPr>
          <w:rFonts w:eastAsia="Times New Roman"/>
          <w:b/>
        </w:rPr>
      </w:pPr>
      <w:r>
        <w:rPr>
          <w:rFonts w:eastAsia="Times New Roman"/>
        </w:rPr>
        <w:lastRenderedPageBreak/>
        <w:t>Where f is the water content in %W of the wood. The factor 21,442 is the sum of water's heat of evaporation (2,442MJ/kg) and the energy content of dry wood 19,0 MJ/kg. If the applicant has laboratory analyses of the heat value of a fuel, the competent bodies may consider using this heat value for calculating the energy content.</w:t>
      </w:r>
    </w:p>
    <w:p w:rsidR="006B00A6" w:rsidRDefault="006B00A6" w:rsidP="006B00A6">
      <w:pPr>
        <w:spacing w:after="0"/>
        <w:rPr>
          <w:rFonts w:eastAsia="Times New Roman"/>
          <w:b/>
        </w:rPr>
      </w:pPr>
    </w:p>
    <w:bookmarkEnd w:id="27"/>
    <w:bookmarkEnd w:id="28"/>
    <w:p w:rsidR="006B00A6" w:rsidRDefault="006B00A6" w:rsidP="006B00A6">
      <w:pPr>
        <w:rPr>
          <w:rFonts w:eastAsia="Times New Roman"/>
          <w:b/>
          <w:sz w:val="26"/>
          <w:szCs w:val="26"/>
        </w:rPr>
      </w:pPr>
      <w:r>
        <w:rPr>
          <w:rFonts w:eastAsia="Times New Roman"/>
          <w:b/>
          <w:sz w:val="26"/>
          <w:szCs w:val="26"/>
        </w:rPr>
        <w:br w:type="page"/>
      </w:r>
    </w:p>
    <w:p w:rsidR="006B00A6" w:rsidRDefault="006B00A6" w:rsidP="006B00A6">
      <w:pPr>
        <w:spacing w:after="0"/>
        <w:rPr>
          <w:rFonts w:eastAsia="Times New Roman"/>
          <w:b/>
          <w:sz w:val="26"/>
          <w:szCs w:val="26"/>
        </w:rPr>
      </w:pPr>
      <w:r>
        <w:rPr>
          <w:rFonts w:eastAsia="Times New Roman"/>
          <w:b/>
          <w:sz w:val="26"/>
          <w:szCs w:val="26"/>
        </w:rPr>
        <w:lastRenderedPageBreak/>
        <w:t>Appendix III. List of standards and other technical specifications</w:t>
      </w:r>
    </w:p>
    <w:p w:rsidR="006B00A6" w:rsidRDefault="006B00A6" w:rsidP="006B00A6">
      <w:pPr>
        <w:spacing w:after="0"/>
        <w:rPr>
          <w:rFonts w:eastAsia="Times New Roman"/>
          <w:b/>
          <w:sz w:val="26"/>
          <w:szCs w:val="26"/>
        </w:rPr>
      </w:pPr>
    </w:p>
    <w:p w:rsidR="006B00A6" w:rsidRDefault="006B00A6" w:rsidP="006B00A6">
      <w:pPr>
        <w:jc w:val="center"/>
        <w:rPr>
          <w:rFonts w:eastAsia="Times New Roman"/>
          <w:b/>
          <w:sz w:val="20"/>
          <w:szCs w:val="24"/>
          <w:lang w:eastAsia="zh-CN"/>
        </w:rPr>
      </w:pPr>
      <w:r>
        <w:rPr>
          <w:rFonts w:eastAsia="Times New Roman"/>
          <w:b/>
          <w:sz w:val="20"/>
          <w:szCs w:val="24"/>
          <w:lang w:eastAsia="zh-CN"/>
        </w:rPr>
        <w:t xml:space="preserve">Table III.1. Indicative list of EN standards relevant to criteria </w:t>
      </w: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7483"/>
      </w:tblGrid>
      <w:tr w:rsidR="006B00A6" w:rsidTr="006B00A6">
        <w:trPr>
          <w:tblHeader/>
        </w:trPr>
        <w:tc>
          <w:tcPr>
            <w:tcW w:w="1775" w:type="dxa"/>
            <w:tcBorders>
              <w:top w:val="single" w:sz="12" w:space="0" w:color="auto"/>
              <w:left w:val="nil"/>
              <w:bottom w:val="single" w:sz="12" w:space="0" w:color="auto"/>
              <w:right w:val="single" w:sz="4" w:space="0" w:color="auto"/>
            </w:tcBorders>
            <w:vAlign w:val="center"/>
            <w:hideMark/>
          </w:tcPr>
          <w:p w:rsidR="006B00A6" w:rsidRDefault="006B00A6">
            <w:pPr>
              <w:spacing w:after="0" w:line="276" w:lineRule="auto"/>
              <w:jc w:val="center"/>
              <w:rPr>
                <w:rFonts w:eastAsia="Times New Roman"/>
                <w:b/>
                <w:sz w:val="22"/>
                <w:lang w:eastAsia="zh-CN"/>
              </w:rPr>
            </w:pPr>
            <w:r>
              <w:rPr>
                <w:rFonts w:eastAsia="Times New Roman"/>
                <w:b/>
                <w:szCs w:val="24"/>
                <w:lang w:eastAsia="zh-CN"/>
              </w:rPr>
              <w:t>Standard</w:t>
            </w:r>
          </w:p>
        </w:tc>
        <w:tc>
          <w:tcPr>
            <w:tcW w:w="7483" w:type="dxa"/>
            <w:tcBorders>
              <w:top w:val="single" w:sz="12" w:space="0" w:color="auto"/>
              <w:left w:val="single" w:sz="4" w:space="0" w:color="auto"/>
              <w:bottom w:val="single" w:sz="12" w:space="0" w:color="auto"/>
              <w:right w:val="nil"/>
            </w:tcBorders>
            <w:vAlign w:val="center"/>
            <w:hideMark/>
          </w:tcPr>
          <w:p w:rsidR="006B00A6" w:rsidRDefault="006B00A6">
            <w:pPr>
              <w:spacing w:after="0" w:line="276" w:lineRule="auto"/>
              <w:jc w:val="center"/>
              <w:rPr>
                <w:rFonts w:eastAsia="Times New Roman"/>
                <w:b/>
                <w:sz w:val="22"/>
                <w:lang w:eastAsia="zh-CN"/>
              </w:rPr>
            </w:pPr>
            <w:r>
              <w:rPr>
                <w:rFonts w:eastAsia="Times New Roman"/>
                <w:b/>
                <w:szCs w:val="24"/>
                <w:lang w:eastAsia="zh-CN"/>
              </w:rPr>
              <w:t>Title</w:t>
            </w:r>
          </w:p>
        </w:tc>
      </w:tr>
      <w:tr w:rsidR="006B00A6" w:rsidTr="006B00A6">
        <w:trPr>
          <w:cantSplit/>
          <w:tblHeader/>
        </w:trPr>
        <w:tc>
          <w:tcPr>
            <w:tcW w:w="9258" w:type="dxa"/>
            <w:gridSpan w:val="2"/>
            <w:tcBorders>
              <w:top w:val="single" w:sz="12" w:space="0" w:color="auto"/>
              <w:left w:val="nil"/>
              <w:bottom w:val="single" w:sz="12" w:space="0" w:color="auto"/>
              <w:right w:val="nil"/>
            </w:tcBorders>
            <w:vAlign w:val="center"/>
            <w:hideMark/>
          </w:tcPr>
          <w:p w:rsidR="006B00A6" w:rsidRDefault="006B00A6">
            <w:pPr>
              <w:spacing w:after="0" w:line="276" w:lineRule="auto"/>
              <w:jc w:val="center"/>
              <w:rPr>
                <w:rFonts w:eastAsia="Times New Roman"/>
                <w:b/>
                <w:sz w:val="20"/>
                <w:lang w:eastAsia="zh-CN"/>
              </w:rPr>
            </w:pPr>
            <w:r>
              <w:rPr>
                <w:rFonts w:eastAsia="Times New Roman"/>
                <w:b/>
                <w:sz w:val="20"/>
                <w:szCs w:val="24"/>
                <w:lang w:eastAsia="zh-CN"/>
              </w:rPr>
              <w:t>Floor covering definitions</w:t>
            </w:r>
          </w:p>
        </w:tc>
      </w:tr>
      <w:tr w:rsidR="006B00A6" w:rsidTr="006B00A6">
        <w:trPr>
          <w:cantSplit/>
          <w:tblHeader/>
        </w:trPr>
        <w:tc>
          <w:tcPr>
            <w:tcW w:w="1775" w:type="dxa"/>
            <w:tcBorders>
              <w:top w:val="single" w:sz="12"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12466</w:t>
            </w:r>
          </w:p>
        </w:tc>
        <w:tc>
          <w:tcPr>
            <w:tcW w:w="7483" w:type="dxa"/>
            <w:tcBorders>
              <w:top w:val="single" w:sz="12"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Resilient floor coverings - vocabulary</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13329</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rPr>
                <w:rFonts w:eastAsia="Times New Roman"/>
                <w:sz w:val="22"/>
                <w:lang w:eastAsia="en-GB"/>
              </w:rPr>
            </w:pPr>
            <w:r>
              <w:rPr>
                <w:rFonts w:eastAsia="Times New Roman"/>
                <w:lang w:eastAsia="en-GB"/>
              </w:rPr>
              <w:t>Laminate flooring. specifications, requirements and test methods</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ISO 14021</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Environmental labels and declarations - Self-declared environmental claims  (Type II environmental labelling)</w:t>
            </w:r>
          </w:p>
        </w:tc>
      </w:tr>
      <w:tr w:rsidR="006B00A6" w:rsidTr="006B00A6">
        <w:trPr>
          <w:cantSplit/>
          <w:tblHeader/>
        </w:trPr>
        <w:tc>
          <w:tcPr>
            <w:tcW w:w="9258" w:type="dxa"/>
            <w:gridSpan w:val="2"/>
            <w:tcBorders>
              <w:top w:val="single" w:sz="12" w:space="0" w:color="auto"/>
              <w:left w:val="nil"/>
              <w:bottom w:val="single" w:sz="12" w:space="0" w:color="auto"/>
              <w:right w:val="nil"/>
            </w:tcBorders>
            <w:vAlign w:val="center"/>
            <w:hideMark/>
          </w:tcPr>
          <w:p w:rsidR="006B00A6" w:rsidRDefault="006B00A6">
            <w:pPr>
              <w:spacing w:after="0" w:line="276" w:lineRule="auto"/>
              <w:jc w:val="center"/>
              <w:rPr>
                <w:rFonts w:eastAsia="Times New Roman"/>
                <w:sz w:val="22"/>
                <w:lang w:eastAsia="en-GB"/>
              </w:rPr>
            </w:pPr>
            <w:r>
              <w:rPr>
                <w:rFonts w:eastAsia="Times New Roman"/>
                <w:b/>
                <w:sz w:val="20"/>
                <w:szCs w:val="24"/>
                <w:lang w:eastAsia="zh-CN"/>
              </w:rPr>
              <w:t>Volatile organic compound emissions</w:t>
            </w:r>
          </w:p>
        </w:tc>
      </w:tr>
      <w:tr w:rsidR="006B00A6" w:rsidTr="006B00A6">
        <w:trPr>
          <w:cantSplit/>
          <w:tblHeader/>
        </w:trPr>
        <w:tc>
          <w:tcPr>
            <w:tcW w:w="1775" w:type="dxa"/>
            <w:tcBorders>
              <w:top w:val="single" w:sz="12"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CEN/TS 16516</w:t>
            </w:r>
          </w:p>
        </w:tc>
        <w:tc>
          <w:tcPr>
            <w:tcW w:w="7483" w:type="dxa"/>
            <w:tcBorders>
              <w:top w:val="single" w:sz="12"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Construction products – Assessment and release of dangerous substances- Determination of emissions into indoor air</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717-1</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Wood-based Panels – Determination of Formaldehyde Release – Formaldehyde emission by the chamber method</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717-2</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Wood-based Panels – Determination of Formaldehyde Release – Formaldehyde release by the gas analysis method</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120</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Wood-based panels – Determination of formaldehyde content – Extraction method called the perforator method</w:t>
            </w:r>
          </w:p>
        </w:tc>
      </w:tr>
      <w:tr w:rsidR="006B00A6" w:rsidTr="006B00A6">
        <w:trPr>
          <w:cantSplit/>
          <w:tblHeader/>
        </w:trPr>
        <w:tc>
          <w:tcPr>
            <w:tcW w:w="1775" w:type="dxa"/>
            <w:tcBorders>
              <w:top w:val="single" w:sz="4" w:space="0" w:color="auto"/>
              <w:left w:val="nil"/>
              <w:bottom w:val="single" w:sz="12"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 xml:space="preserve">EMICODE </w:t>
            </w:r>
          </w:p>
        </w:tc>
        <w:tc>
          <w:tcPr>
            <w:tcW w:w="7483" w:type="dxa"/>
            <w:tcBorders>
              <w:top w:val="single" w:sz="4" w:space="0" w:color="auto"/>
              <w:left w:val="single" w:sz="4" w:space="0" w:color="auto"/>
              <w:bottom w:val="single" w:sz="12"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http://www.emicode.com/en/emicode-r/</w:t>
            </w:r>
          </w:p>
        </w:tc>
      </w:tr>
      <w:tr w:rsidR="006B00A6" w:rsidTr="006B00A6">
        <w:trPr>
          <w:cantSplit/>
          <w:tblHeader/>
        </w:trPr>
        <w:tc>
          <w:tcPr>
            <w:tcW w:w="9258" w:type="dxa"/>
            <w:gridSpan w:val="2"/>
            <w:tcBorders>
              <w:top w:val="single" w:sz="12" w:space="0" w:color="auto"/>
              <w:left w:val="nil"/>
              <w:bottom w:val="single" w:sz="12" w:space="0" w:color="auto"/>
              <w:right w:val="nil"/>
            </w:tcBorders>
            <w:vAlign w:val="center"/>
            <w:hideMark/>
          </w:tcPr>
          <w:p w:rsidR="006B00A6" w:rsidRDefault="006B00A6">
            <w:pPr>
              <w:spacing w:after="0" w:line="276" w:lineRule="auto"/>
              <w:jc w:val="center"/>
              <w:rPr>
                <w:rFonts w:eastAsia="Times New Roman"/>
                <w:sz w:val="22"/>
                <w:lang w:eastAsia="en-GB"/>
              </w:rPr>
            </w:pPr>
            <w:r>
              <w:rPr>
                <w:rFonts w:eastAsia="Times New Roman"/>
                <w:b/>
                <w:sz w:val="20"/>
                <w:szCs w:val="24"/>
                <w:lang w:eastAsia="zh-CN"/>
              </w:rPr>
              <w:t>Raw materials</w:t>
            </w:r>
          </w:p>
        </w:tc>
      </w:tr>
      <w:tr w:rsidR="006B00A6" w:rsidTr="006B00A6">
        <w:trPr>
          <w:cantSplit/>
          <w:tblHeader/>
        </w:trPr>
        <w:tc>
          <w:tcPr>
            <w:tcW w:w="1775" w:type="dxa"/>
            <w:tcBorders>
              <w:top w:val="single" w:sz="12"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EPF</w:t>
            </w:r>
          </w:p>
        </w:tc>
        <w:tc>
          <w:tcPr>
            <w:tcW w:w="7483" w:type="dxa"/>
            <w:tcBorders>
              <w:top w:val="single" w:sz="12"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 xml:space="preserve">EPF Standard for delivery conditions of recycled wood", October 2002. </w:t>
            </w:r>
            <w:hyperlink r:id="rId16" w:history="1">
              <w:r>
                <w:rPr>
                  <w:rStyle w:val="Hyperlink"/>
                  <w:rFonts w:eastAsia="Times New Roman"/>
                  <w:lang w:eastAsia="en-GB"/>
                </w:rPr>
                <w:t>http://www.europanels.org/upload/EPF-Standard-for-recycled-wood-use.pdf</w:t>
              </w:r>
            </w:hyperlink>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1243</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Adhesives. Determination of free formaldehyde in amino and amidoformaldehyde condensates</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ISO 8214-6</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Safety of toys -- Part 6: Certain phthalate esters in toys and children's products</w:t>
            </w:r>
          </w:p>
        </w:tc>
      </w:tr>
      <w:tr w:rsidR="006B00A6" w:rsidTr="006B00A6">
        <w:trPr>
          <w:cantSplit/>
          <w:tblHeader/>
        </w:trPr>
        <w:tc>
          <w:tcPr>
            <w:tcW w:w="9258" w:type="dxa"/>
            <w:gridSpan w:val="2"/>
            <w:tcBorders>
              <w:top w:val="single" w:sz="12" w:space="0" w:color="auto"/>
              <w:left w:val="nil"/>
              <w:bottom w:val="single" w:sz="12" w:space="0" w:color="auto"/>
              <w:right w:val="nil"/>
            </w:tcBorders>
            <w:vAlign w:val="center"/>
            <w:hideMark/>
          </w:tcPr>
          <w:p w:rsidR="006B00A6" w:rsidRDefault="006B00A6">
            <w:pPr>
              <w:spacing w:after="0" w:line="276" w:lineRule="auto"/>
              <w:jc w:val="center"/>
              <w:rPr>
                <w:rFonts w:eastAsia="Times New Roman"/>
                <w:sz w:val="22"/>
                <w:lang w:eastAsia="en-GB"/>
              </w:rPr>
            </w:pPr>
            <w:r>
              <w:rPr>
                <w:rFonts w:eastAsia="Times New Roman"/>
                <w:b/>
                <w:sz w:val="20"/>
                <w:szCs w:val="24"/>
                <w:lang w:eastAsia="zh-CN"/>
              </w:rPr>
              <w:t>Fitness for use</w:t>
            </w:r>
          </w:p>
        </w:tc>
      </w:tr>
      <w:tr w:rsidR="006B00A6" w:rsidTr="006B00A6">
        <w:trPr>
          <w:cantSplit/>
          <w:tblHeader/>
        </w:trPr>
        <w:tc>
          <w:tcPr>
            <w:tcW w:w="1775" w:type="dxa"/>
            <w:tcBorders>
              <w:top w:val="single" w:sz="12"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425</w:t>
            </w:r>
          </w:p>
        </w:tc>
        <w:tc>
          <w:tcPr>
            <w:tcW w:w="7483" w:type="dxa"/>
            <w:tcBorders>
              <w:top w:val="single" w:sz="12"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Resilient and laminate floor coverings. Castor chair test</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660-1</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Resilient floor coverings. Determination of wear resistance. Stuttgart test</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685</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Resilient, textile and laminate floor coverings. Classification</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1543</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Products and systems for the protection and repair of concrete structures. Test methods. Determination of tensile strength development for polymers</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ISO 10874</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Resilient, textile and laminate floor coverings -- Classification</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lastRenderedPageBreak/>
              <w:t>EN 12104</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Resilient floor coverings. Cork floor tiles. Specification</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13329</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Laminate floor coverings. Specifications, requirements and test methods</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14978</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Laminate floor coverings - Elements with acrylic based surface layer, electron beam cured - Specifications, requirements and test methods</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EN 15468</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Laminate floor coverings. Elements with directly applied printing and resin surface layer. Specifications, requirements and test methods</w:t>
            </w:r>
          </w:p>
        </w:tc>
      </w:tr>
      <w:tr w:rsidR="006B00A6" w:rsidTr="006B00A6">
        <w:trPr>
          <w:cantSplit/>
          <w:tblHeader/>
        </w:trPr>
        <w:tc>
          <w:tcPr>
            <w:tcW w:w="1775" w:type="dxa"/>
            <w:tcBorders>
              <w:top w:val="single" w:sz="4" w:space="0" w:color="auto"/>
              <w:left w:val="nil"/>
              <w:bottom w:val="single" w:sz="4" w:space="0" w:color="auto"/>
              <w:right w:val="single" w:sz="4" w:space="0" w:color="auto"/>
            </w:tcBorders>
            <w:vAlign w:val="center"/>
            <w:hideMark/>
          </w:tcPr>
          <w:p w:rsidR="006B00A6" w:rsidRDefault="006B00A6">
            <w:pPr>
              <w:spacing w:after="0" w:line="276" w:lineRule="auto"/>
              <w:rPr>
                <w:rFonts w:eastAsia="Times New Roman"/>
                <w:sz w:val="22"/>
                <w:lang w:eastAsia="en-GB"/>
              </w:rPr>
            </w:pPr>
            <w:r>
              <w:rPr>
                <w:rFonts w:eastAsia="Times New Roman"/>
                <w:lang w:eastAsia="en-GB"/>
              </w:rPr>
              <w:t>ISO 24343-1</w:t>
            </w:r>
          </w:p>
        </w:tc>
        <w:tc>
          <w:tcPr>
            <w:tcW w:w="7483" w:type="dxa"/>
            <w:tcBorders>
              <w:top w:val="single" w:sz="4" w:space="0" w:color="auto"/>
              <w:left w:val="single" w:sz="4" w:space="0" w:color="auto"/>
              <w:bottom w:val="single" w:sz="4" w:space="0" w:color="auto"/>
              <w:right w:val="nil"/>
            </w:tcBorders>
            <w:vAlign w:val="center"/>
            <w:hideMark/>
          </w:tcPr>
          <w:p w:rsidR="006B00A6" w:rsidRDefault="006B00A6">
            <w:pPr>
              <w:spacing w:after="0" w:line="276" w:lineRule="auto"/>
              <w:rPr>
                <w:rFonts w:eastAsia="Times New Roman"/>
                <w:sz w:val="22"/>
                <w:lang w:eastAsia="en-GB"/>
              </w:rPr>
            </w:pPr>
            <w:r>
              <w:rPr>
                <w:rFonts w:eastAsia="Times New Roman"/>
                <w:lang w:eastAsia="en-GB"/>
              </w:rPr>
              <w:t>Resilient and laminate floor coverings - Determination of indentation and residual indentation - Part 1: Residual indentation</w:t>
            </w:r>
          </w:p>
        </w:tc>
      </w:tr>
      <w:tr w:rsidR="006B00A6" w:rsidTr="006B00A6">
        <w:trPr>
          <w:cantSplit/>
          <w:tblHeader/>
        </w:trPr>
        <w:tc>
          <w:tcPr>
            <w:tcW w:w="1775" w:type="dxa"/>
            <w:tcBorders>
              <w:top w:val="single" w:sz="4" w:space="0" w:color="auto"/>
              <w:left w:val="nil"/>
              <w:bottom w:val="single" w:sz="12" w:space="0" w:color="auto"/>
              <w:right w:val="single" w:sz="4" w:space="0" w:color="auto"/>
            </w:tcBorders>
            <w:vAlign w:val="center"/>
          </w:tcPr>
          <w:p w:rsidR="006B00A6" w:rsidRDefault="006B00A6">
            <w:pPr>
              <w:spacing w:after="0" w:line="276" w:lineRule="auto"/>
              <w:rPr>
                <w:rFonts w:eastAsia="Times New Roman"/>
                <w:sz w:val="22"/>
                <w:lang w:eastAsia="en-GB"/>
              </w:rPr>
            </w:pPr>
          </w:p>
        </w:tc>
        <w:tc>
          <w:tcPr>
            <w:tcW w:w="7483" w:type="dxa"/>
            <w:tcBorders>
              <w:top w:val="single" w:sz="4" w:space="0" w:color="auto"/>
              <w:left w:val="single" w:sz="4" w:space="0" w:color="auto"/>
              <w:bottom w:val="single" w:sz="12" w:space="0" w:color="auto"/>
              <w:right w:val="nil"/>
            </w:tcBorders>
            <w:vAlign w:val="center"/>
          </w:tcPr>
          <w:p w:rsidR="006B00A6" w:rsidRDefault="006B00A6">
            <w:pPr>
              <w:spacing w:after="0" w:line="276" w:lineRule="auto"/>
              <w:rPr>
                <w:rFonts w:eastAsia="Times New Roman"/>
                <w:sz w:val="22"/>
                <w:lang w:eastAsia="en-GB"/>
              </w:rPr>
            </w:pPr>
          </w:p>
        </w:tc>
      </w:tr>
    </w:tbl>
    <w:p w:rsidR="006B00A6" w:rsidRDefault="006B00A6" w:rsidP="006B00A6">
      <w:pPr>
        <w:rPr>
          <w:rFonts w:asciiTheme="minorHAnsi" w:hAnsiTheme="minorHAnsi" w:cstheme="minorBidi"/>
          <w:sz w:val="22"/>
        </w:rPr>
      </w:pPr>
    </w:p>
    <w:p w:rsidR="006B00A6" w:rsidRPr="006B00A6" w:rsidRDefault="006B00A6" w:rsidP="006B00A6">
      <w:pPr>
        <w:pStyle w:val="Institutionquisigne"/>
      </w:pPr>
      <w:bookmarkStart w:id="29" w:name="_GoBack"/>
      <w:bookmarkEnd w:id="29"/>
    </w:p>
    <w:sectPr w:rsidR="006B00A6" w:rsidRPr="006B00A6" w:rsidSect="008A1474">
      <w:footerReference w:type="default" r:id="rId17"/>
      <w:footerReference w:type="first" r:id="rId18"/>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18D" w:rsidRDefault="00AC318D" w:rsidP="001A7256">
      <w:pPr>
        <w:spacing w:before="0" w:after="0"/>
      </w:pPr>
      <w:r>
        <w:separator/>
      </w:r>
    </w:p>
  </w:endnote>
  <w:endnote w:type="continuationSeparator" w:id="0">
    <w:p w:rsidR="00AC318D" w:rsidRDefault="00AC318D" w:rsidP="001A725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EC Square Sans Pro">
    <w:altName w:val="Segoe UI"/>
    <w:charset w:val="00"/>
    <w:family w:val="swiss"/>
    <w:pitch w:val="variable"/>
    <w:sig w:usb0="00000001" w:usb1="5000E0F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CC"/>
    <w:family w:val="roman"/>
    <w:pitch w:val="variable"/>
    <w:sig w:usb0="E00002FF" w:usb1="42002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9D" w:rsidRDefault="00591E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56" w:rsidRPr="008A1474" w:rsidRDefault="008A1474" w:rsidP="008A1474">
    <w:pPr>
      <w:pStyle w:val="Footer"/>
      <w:rPr>
        <w:rFonts w:ascii="Arial" w:hAnsi="Arial" w:cs="Arial"/>
        <w:b/>
        <w:sz w:val="48"/>
      </w:rPr>
    </w:pPr>
    <w:r w:rsidRPr="008A1474">
      <w:rPr>
        <w:rFonts w:ascii="Arial" w:hAnsi="Arial" w:cs="Arial"/>
        <w:b/>
        <w:sz w:val="48"/>
      </w:rPr>
      <w:t>EN</w:t>
    </w:r>
    <w:r w:rsidRPr="008A1474">
      <w:rPr>
        <w:rFonts w:ascii="Arial" w:hAnsi="Arial" w:cs="Arial"/>
        <w:b/>
        <w:sz w:val="48"/>
      </w:rPr>
      <w:tab/>
    </w:r>
    <w:r w:rsidRPr="008A1474">
      <w:rPr>
        <w:rFonts w:ascii="Arial" w:hAnsi="Arial" w:cs="Arial"/>
        <w:b/>
        <w:sz w:val="48"/>
      </w:rPr>
      <w:tab/>
    </w:r>
    <w:r w:rsidR="00AC318D">
      <w:fldChar w:fldCharType="begin"/>
    </w:r>
    <w:r w:rsidR="00AC318D">
      <w:instrText xml:space="preserve"> DOCVARIABLE "LW_Confidence" \* MERGEFORMAT </w:instrText>
    </w:r>
    <w:r w:rsidR="00AC318D">
      <w:fldChar w:fldCharType="separate"/>
    </w:r>
    <w:r w:rsidR="000076DD">
      <w:t xml:space="preserve"> </w:t>
    </w:r>
    <w:r w:rsidR="00AC318D">
      <w:fldChar w:fldCharType="end"/>
    </w:r>
    <w:r w:rsidRPr="008A1474">
      <w:tab/>
    </w:r>
    <w:r w:rsidRPr="008A1474">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9D" w:rsidRDefault="00591E9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74" w:rsidRPr="008A1474" w:rsidRDefault="008A1474" w:rsidP="008A1474">
    <w:pPr>
      <w:pStyle w:val="Footer"/>
      <w:rPr>
        <w:rFonts w:ascii="Arial" w:hAnsi="Arial" w:cs="Arial"/>
        <w:b/>
        <w:sz w:val="48"/>
      </w:rPr>
    </w:pPr>
    <w:r w:rsidRPr="008A1474">
      <w:rPr>
        <w:rFonts w:ascii="Arial" w:hAnsi="Arial" w:cs="Arial"/>
        <w:b/>
        <w:sz w:val="48"/>
      </w:rPr>
      <w:t>EN</w:t>
    </w:r>
    <w:r w:rsidRPr="008A1474">
      <w:rPr>
        <w:rFonts w:ascii="Arial" w:hAnsi="Arial" w:cs="Arial"/>
        <w:b/>
        <w:sz w:val="48"/>
      </w:rPr>
      <w:tab/>
    </w:r>
    <w:r>
      <w:fldChar w:fldCharType="begin"/>
    </w:r>
    <w:r>
      <w:instrText xml:space="preserve"> PAGE  \* MERGEFORMAT </w:instrText>
    </w:r>
    <w:r>
      <w:fldChar w:fldCharType="separate"/>
    </w:r>
    <w:r w:rsidR="006B00A6">
      <w:rPr>
        <w:noProof/>
      </w:rPr>
      <w:t>27</w:t>
    </w:r>
    <w:r>
      <w:fldChar w:fldCharType="end"/>
    </w:r>
    <w:r>
      <w:tab/>
    </w:r>
    <w:r w:rsidR="00AC318D">
      <w:fldChar w:fldCharType="begin"/>
    </w:r>
    <w:r w:rsidR="00AC318D">
      <w:instrText xml:space="preserve"> DOCVARIABLE "LW_Confidence" \* MERGEFORMAT </w:instrText>
    </w:r>
    <w:r w:rsidR="00AC318D">
      <w:fldChar w:fldCharType="separate"/>
    </w:r>
    <w:r w:rsidR="000076DD">
      <w:t xml:space="preserve"> </w:t>
    </w:r>
    <w:r w:rsidR="00AC318D">
      <w:fldChar w:fldCharType="end"/>
    </w:r>
    <w:r w:rsidRPr="008A1474">
      <w:tab/>
    </w:r>
    <w:r w:rsidRPr="008A1474">
      <w:rPr>
        <w:rFonts w:ascii="Arial" w:hAnsi="Arial" w:cs="Arial"/>
        <w:b/>
        <w:sz w:val="48"/>
      </w:rPr>
      <w:t>EN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474" w:rsidRPr="008A1474" w:rsidRDefault="008A1474" w:rsidP="008A1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18D" w:rsidRDefault="00AC318D" w:rsidP="001A7256">
      <w:pPr>
        <w:spacing w:before="0" w:after="0"/>
      </w:pPr>
      <w:r>
        <w:separator/>
      </w:r>
    </w:p>
  </w:footnote>
  <w:footnote w:type="continuationSeparator" w:id="0">
    <w:p w:rsidR="00AC318D" w:rsidRDefault="00AC318D" w:rsidP="001A7256">
      <w:pPr>
        <w:spacing w:before="0" w:after="0"/>
      </w:pPr>
      <w:r>
        <w:continuationSeparator/>
      </w:r>
    </w:p>
  </w:footnote>
  <w:footnote w:id="1">
    <w:p w:rsidR="001A7256" w:rsidRPr="00645A61" w:rsidRDefault="001A7256" w:rsidP="001A7256">
      <w:pPr>
        <w:pStyle w:val="FootnoteText"/>
      </w:pPr>
      <w:r>
        <w:rPr>
          <w:rStyle w:val="FootnoteReference"/>
        </w:rPr>
        <w:footnoteRef/>
      </w:r>
      <w:r w:rsidRPr="00645A61">
        <w:tab/>
      </w:r>
      <w:r w:rsidR="009B6C72" w:rsidRPr="009B6C72">
        <w:t>Regulation (EC) No 66/2010 of the European Parliament and of the Council of 25 November 2009 on the EU Ecolabel</w:t>
      </w:r>
      <w:r w:rsidR="009B6C72">
        <w:t xml:space="preserve"> (OJ L 27 p. 1).</w:t>
      </w:r>
    </w:p>
  </w:footnote>
  <w:footnote w:id="2">
    <w:p w:rsidR="00E45DF2" w:rsidRPr="00E45DF2" w:rsidRDefault="00E45DF2">
      <w:pPr>
        <w:pStyle w:val="FootnoteText"/>
      </w:pPr>
      <w:r w:rsidRPr="006C674F">
        <w:rPr>
          <w:rStyle w:val="FootnoteReference"/>
        </w:rPr>
        <w:footnoteRef/>
      </w:r>
      <w:r w:rsidR="006C674F">
        <w:tab/>
      </w:r>
      <w:r w:rsidR="006E3B1B">
        <w:t xml:space="preserve">Commission </w:t>
      </w:r>
      <w:r w:rsidRPr="00E45DF2">
        <w:t>Decision 2010/18/EC of 26 November 2009 on establishing the ecological criteria for the award of the Community Ecolabel for wooden floor coverings (OJ L 8, 13.1.2010, p. 32).</w:t>
      </w:r>
    </w:p>
  </w:footnote>
  <w:footnote w:id="3">
    <w:p w:rsidR="007E4CC5" w:rsidRPr="007E4CC5" w:rsidRDefault="007E4CC5" w:rsidP="00C556CB">
      <w:pPr>
        <w:pStyle w:val="FootnoteText"/>
        <w:ind w:left="709" w:hanging="709"/>
      </w:pPr>
      <w:r w:rsidRPr="006C674F">
        <w:rPr>
          <w:rStyle w:val="FootnoteReference"/>
        </w:rPr>
        <w:footnoteRef/>
      </w:r>
      <w:r w:rsidR="006C674F">
        <w:tab/>
      </w:r>
      <w:r>
        <w:t>Directive 2004/42/CE of the European Parliament and of the Council of 21 April 2004 on the limitation of emissions of volatile organic compounds due to the use of organic solvents in certain paints and varnishes and vehicle refinishing products and amending Directive 1999/13/EC (OJ L 143, 30.04.2004, p. 89).</w:t>
      </w:r>
    </w:p>
  </w:footnote>
  <w:footnote w:id="4">
    <w:p w:rsidR="001A7256" w:rsidRPr="00D26248" w:rsidRDefault="001A7256" w:rsidP="001A7256">
      <w:pPr>
        <w:pStyle w:val="FootnoteText"/>
      </w:pPr>
      <w:r w:rsidRPr="00281334">
        <w:rPr>
          <w:rStyle w:val="FootnoteReference"/>
        </w:rPr>
        <w:footnoteRef/>
      </w:r>
      <w:r w:rsidR="00281334">
        <w:tab/>
      </w:r>
      <w:r w:rsidRPr="00D26248">
        <w:t>http://publications.jrc.ec.europa.eu/repository/bitstream/JRC83683/eca%20report%2029_final.pdf</w:t>
      </w:r>
    </w:p>
  </w:footnote>
  <w:footnote w:id="5">
    <w:p w:rsidR="00DE6D56" w:rsidRPr="00DE6D56" w:rsidRDefault="00DE6D56">
      <w:pPr>
        <w:pStyle w:val="FootnoteText"/>
      </w:pPr>
      <w:r w:rsidRPr="006C674F">
        <w:rPr>
          <w:rStyle w:val="FootnoteReference"/>
        </w:rPr>
        <w:footnoteRef/>
      </w:r>
      <w:r w:rsidR="006C674F">
        <w:tab/>
      </w:r>
      <w:r w:rsidRPr="00DE6D56">
        <w:t>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 (OJ L 396, 30.12.2006, p. 1).</w:t>
      </w:r>
    </w:p>
  </w:footnote>
  <w:footnote w:id="6">
    <w:p w:rsidR="001A7256" w:rsidRPr="00E36026" w:rsidRDefault="001A7256" w:rsidP="001A7256">
      <w:pPr>
        <w:pStyle w:val="FootnoteText"/>
      </w:pPr>
      <w:r w:rsidRPr="00281334">
        <w:rPr>
          <w:rStyle w:val="FootnoteReference"/>
        </w:rPr>
        <w:footnoteRef/>
      </w:r>
      <w:r w:rsidR="00281334" w:rsidRPr="00E36026">
        <w:tab/>
      </w:r>
      <w:r w:rsidR="00DE6D56" w:rsidRPr="00E36026">
        <w:rPr>
          <w:bCs/>
          <w:szCs w:val="18"/>
          <w:lang w:eastAsia="it-IT"/>
        </w:rPr>
        <w:t>Regulation (EU) No 528/2012 of the European Parliament and of the Council of 22 May 2012 concerning the making available on the market and use of biocidal products (OJ L167, 27.06.2012, p. 1).</w:t>
      </w:r>
    </w:p>
  </w:footnote>
  <w:footnote w:id="7">
    <w:p w:rsidR="001A7256" w:rsidRPr="0085104A" w:rsidRDefault="001A7256" w:rsidP="007B7D7B">
      <w:pPr>
        <w:pStyle w:val="FootnoteText"/>
        <w:rPr>
          <w:lang w:eastAsia="it-IT"/>
        </w:rPr>
      </w:pPr>
      <w:r w:rsidRPr="0007009F">
        <w:rPr>
          <w:rStyle w:val="FootnoteReference"/>
        </w:rPr>
        <w:footnoteRef/>
      </w:r>
      <w:r w:rsidR="00281334" w:rsidRPr="00E36026">
        <w:rPr>
          <w:rFonts w:ascii="Trebuchet MS" w:hAnsi="Trebuchet MS"/>
        </w:rPr>
        <w:tab/>
      </w:r>
      <w:r w:rsidR="0063253C" w:rsidRPr="00E36026">
        <w:rPr>
          <w:lang w:eastAsia="it-IT"/>
        </w:rPr>
        <w:t>Directive 2009/28/EC of the European Parliament and of the Council of 23 April 2009 on the promotion of the use of energy from renewable sources and amending and subsequently repealing Directives 2001/77/EC and 2003/30/EC (OJ L140, 5.6.2009, p. 16).</w:t>
      </w:r>
    </w:p>
  </w:footnote>
  <w:footnote w:id="8">
    <w:p w:rsidR="006B00A6" w:rsidRDefault="006B00A6" w:rsidP="006B00A6">
      <w:pPr>
        <w:pStyle w:val="FootnoteText"/>
        <w:ind w:left="567" w:hanging="567"/>
      </w:pPr>
      <w:r>
        <w:rPr>
          <w:rStyle w:val="FootnoteReference"/>
        </w:rPr>
        <w:footnoteRef/>
      </w:r>
      <w:r>
        <w:t xml:space="preserve"> </w:t>
      </w:r>
      <w:r>
        <w:tab/>
        <w:t>Regulation (EC) No 765/2008 of the European Parliament and of the Council of 9 July 2008 setting out the requirements for accreditation and market surveillance relating to the marketing of products and repealing Regulation (EEC) No 339/93 (OJ L 218, 13.8.2008, p. 30).</w:t>
      </w:r>
    </w:p>
  </w:footnote>
  <w:footnote w:id="9">
    <w:p w:rsidR="006B00A6" w:rsidRDefault="006B00A6" w:rsidP="006B00A6">
      <w:pPr>
        <w:pStyle w:val="FootnoteText"/>
        <w:ind w:left="567" w:hanging="567"/>
      </w:pPr>
      <w:r>
        <w:rPr>
          <w:rStyle w:val="FootnoteReference"/>
        </w:rPr>
        <w:footnoteRef/>
      </w:r>
      <w:r>
        <w:t xml:space="preserve"> </w:t>
      </w:r>
      <w:r>
        <w:tab/>
        <w:t>Trade name means all names under which the substance is marketed within the Union market.</w:t>
      </w:r>
    </w:p>
  </w:footnote>
  <w:footnote w:id="10">
    <w:p w:rsidR="006B00A6" w:rsidRDefault="006B00A6" w:rsidP="006B00A6">
      <w:pPr>
        <w:pStyle w:val="FootnoteText"/>
      </w:pPr>
      <w:r>
        <w:rPr>
          <w:rStyle w:val="FootnoteReference"/>
        </w:rPr>
        <w:footnoteRef/>
      </w:r>
      <w:r>
        <w:t xml:space="preserve"> Regulation (EC) No 1272/2008 of the European Parliament and of the Council of 16 December 2008 on classification, labelling and packaging of substances and mixtures, amending and repealing Directives 67/548/EEC and 1999/45/EC, and amending Regulation (EC) No 1907/2006 (OJ L 353, 31.12.2008, p. 1).</w:t>
      </w:r>
    </w:p>
  </w:footnote>
  <w:footnote w:id="11">
    <w:p w:rsidR="006B00A6" w:rsidRDefault="006B00A6" w:rsidP="006B00A6">
      <w:pPr>
        <w:pStyle w:val="FootnoteText"/>
        <w:ind w:left="284" w:hanging="284"/>
      </w:pPr>
      <w:r>
        <w:rPr>
          <w:rStyle w:val="FootnoteReference"/>
        </w:rPr>
        <w:footnoteRef/>
      </w:r>
      <w:r>
        <w:t xml:space="preserve">  </w:t>
      </w:r>
      <w:r>
        <w:tab/>
        <w:t xml:space="preserve">ECHA, Candidate List of substances of very high concern for Authorisation, </w:t>
      </w:r>
      <w:hyperlink r:id="rId1" w:history="1">
        <w:r>
          <w:rPr>
            <w:rStyle w:val="Hyperlink"/>
          </w:rPr>
          <w:t>http://www.echa.europa.eu/candidate-list-table</w:t>
        </w:r>
      </w:hyperlink>
      <w:r>
        <w:rPr>
          <w:rStyle w:val="Hyperlink"/>
        </w:rPr>
        <w:t>.</w:t>
      </w:r>
      <w:r>
        <w:t xml:space="preserve"> </w:t>
      </w:r>
    </w:p>
  </w:footnote>
  <w:footnote w:id="12">
    <w:p w:rsidR="006B00A6" w:rsidRDefault="006B00A6" w:rsidP="006B00A6">
      <w:pPr>
        <w:pStyle w:val="FootnoteText"/>
        <w:rPr>
          <w:lang w:val="fr-BE"/>
        </w:rPr>
      </w:pPr>
      <w:r>
        <w:rPr>
          <w:rStyle w:val="FootnoteReference"/>
        </w:rPr>
        <w:footnoteRef/>
      </w:r>
      <w:r>
        <w:rPr>
          <w:lang w:val="fr-BE"/>
        </w:rPr>
        <w:t xml:space="preserve"> </w:t>
      </w:r>
      <w:r>
        <w:rPr>
          <w:lang w:val="fr-BE"/>
        </w:rPr>
        <w:tab/>
        <w:t>CAS registry</w:t>
      </w:r>
      <w:r>
        <w:rPr>
          <w:color w:val="0070C0"/>
          <w:lang w:val="fr-BE"/>
        </w:rPr>
        <w:t xml:space="preserve">: </w:t>
      </w:r>
      <w:hyperlink r:id="rId2" w:history="1">
        <w:r>
          <w:rPr>
            <w:rStyle w:val="Hyperlink"/>
            <w:color w:val="000000"/>
            <w:lang w:val="fr-BE"/>
          </w:rPr>
          <w:t>https://www.cas.org/content/chemical-substances</w:t>
        </w:r>
      </w:hyperlink>
    </w:p>
  </w:footnote>
  <w:footnote w:id="13">
    <w:p w:rsidR="006B00A6" w:rsidRDefault="006B00A6" w:rsidP="006B00A6">
      <w:pPr>
        <w:pStyle w:val="FootnoteText"/>
      </w:pPr>
      <w:r>
        <w:rPr>
          <w:rStyle w:val="FootnoteReference"/>
        </w:rPr>
        <w:footnoteRef/>
      </w:r>
      <w:r>
        <w:t xml:space="preserve"> </w:t>
      </w:r>
      <w:r>
        <w:tab/>
      </w:r>
      <w:r>
        <w:rPr>
          <w:color w:val="0070C0"/>
        </w:rPr>
        <w:t xml:space="preserve">EC inventory: </w:t>
      </w:r>
      <w:hyperlink r:id="rId3" w:history="1">
        <w:r>
          <w:rPr>
            <w:rStyle w:val="Hyperlink"/>
            <w:color w:val="000000"/>
          </w:rPr>
          <w:t>http://echa.europa.eu/information-on-chemicals/ec-inventory</w:t>
        </w:r>
      </w:hyperlink>
    </w:p>
  </w:footnote>
  <w:footnote w:id="14">
    <w:p w:rsidR="006B00A6" w:rsidRDefault="006B00A6" w:rsidP="006B00A6">
      <w:pPr>
        <w:pStyle w:val="FootnoteText"/>
        <w:ind w:left="709" w:hanging="709"/>
      </w:pPr>
      <w:r>
        <w:rPr>
          <w:rStyle w:val="FootnoteReference"/>
        </w:rPr>
        <w:footnoteRef/>
      </w:r>
      <w:r>
        <w:t xml:space="preserve"> </w:t>
      </w:r>
      <w:r>
        <w:tab/>
      </w:r>
      <w:r>
        <w:tab/>
        <w:t xml:space="preserve">ECHA, REACH registered substances database: </w:t>
      </w:r>
      <w:hyperlink r:id="rId4" w:history="1">
        <w:r>
          <w:rPr>
            <w:rStyle w:val="Hyperlink"/>
          </w:rPr>
          <w:t>http://www.echa.europa.eu/information-on-chemicals/registered-substances</w:t>
        </w:r>
      </w:hyperlink>
      <w:r>
        <w:t xml:space="preserve">. </w:t>
      </w:r>
    </w:p>
  </w:footnote>
  <w:footnote w:id="15">
    <w:p w:rsidR="006B00A6" w:rsidRDefault="006B00A6" w:rsidP="006B00A6">
      <w:pPr>
        <w:pStyle w:val="FootnoteText"/>
        <w:ind w:left="709" w:hanging="709"/>
      </w:pPr>
      <w:r>
        <w:rPr>
          <w:rStyle w:val="FootnoteReference"/>
        </w:rPr>
        <w:footnoteRef/>
      </w:r>
      <w:r>
        <w:tab/>
      </w:r>
      <w:r>
        <w:tab/>
        <w:t>ECHA, Co-operation with peer regulatory agencies, http://echa.europa.eu/about-us/partners-and-networks/international-cooperation/cooperation-with-peer-regulatory-agencies.</w:t>
      </w:r>
      <w:hyperlink w:history="1"/>
    </w:p>
  </w:footnote>
  <w:footnote w:id="16">
    <w:p w:rsidR="006B00A6" w:rsidRDefault="006B00A6" w:rsidP="006B00A6">
      <w:pPr>
        <w:pStyle w:val="FootnoteText"/>
        <w:ind w:left="709" w:hanging="709"/>
      </w:pPr>
      <w:r>
        <w:rPr>
          <w:rStyle w:val="FootnoteReference"/>
        </w:rPr>
        <w:footnoteRef/>
      </w:r>
      <w:r>
        <w:t xml:space="preserve"> </w:t>
      </w:r>
      <w:r>
        <w:tab/>
      </w:r>
      <w:r>
        <w:tab/>
        <w:t xml:space="preserve">"EPF Standard for delivery conditions of recycled wood", October 2002 at: </w:t>
      </w:r>
      <w:hyperlink r:id="rId5" w:history="1">
        <w:r>
          <w:rPr>
            <w:rStyle w:val="Hyperlink"/>
          </w:rPr>
          <w:t>http://www.europanels.org/upload/EPF-Standard-for-recycled-wood-use.pdf</w:t>
        </w:r>
      </w:hyperlink>
      <w:r>
        <w:t>.</w:t>
      </w:r>
    </w:p>
  </w:footnote>
  <w:footnote w:id="17">
    <w:p w:rsidR="006B00A6" w:rsidRDefault="006B00A6" w:rsidP="006B00A6">
      <w:pPr>
        <w:pStyle w:val="FootnoteText"/>
      </w:pPr>
      <w:r>
        <w:rPr>
          <w:rStyle w:val="FootnoteReference"/>
        </w:rPr>
        <w:footnoteRef/>
      </w:r>
      <w:r>
        <w:t xml:space="preserve"> </w:t>
      </w:r>
      <w:r>
        <w:tab/>
        <w:t>The requirements apply to floor coverings with a moisture content of H=6,5%.</w:t>
      </w:r>
    </w:p>
  </w:footnote>
  <w:footnote w:id="18">
    <w:p w:rsidR="006B00A6" w:rsidRDefault="006B00A6" w:rsidP="006B00A6">
      <w:pPr>
        <w:pStyle w:val="FootnoteText"/>
        <w:ind w:left="709" w:hanging="709"/>
      </w:pPr>
      <w:r>
        <w:rPr>
          <w:rStyle w:val="FootnoteReference"/>
        </w:rPr>
        <w:footnoteRef/>
      </w:r>
      <w:r>
        <w:t xml:space="preserve"> </w:t>
      </w:r>
      <w:r>
        <w:tab/>
        <w:t>Regulation 93120 "Airborne toxic control measure to reduce formaldehyde emissions from composite wood products" California Code of Regulations.</w:t>
      </w:r>
    </w:p>
  </w:footnote>
  <w:footnote w:id="19">
    <w:p w:rsidR="006B00A6" w:rsidRDefault="006B00A6" w:rsidP="006B00A6">
      <w:pPr>
        <w:pStyle w:val="Default"/>
        <w:ind w:left="709" w:hanging="709"/>
        <w:rPr>
          <w:rFonts w:ascii="Arial" w:eastAsiaTheme="minorHAnsi" w:hAnsi="Arial" w:cs="Arial"/>
          <w:sz w:val="20"/>
          <w:szCs w:val="20"/>
          <w:lang w:val="en-GB" w:eastAsia="en-US"/>
        </w:rPr>
      </w:pPr>
      <w:r>
        <w:rPr>
          <w:rStyle w:val="FootnoteReference"/>
        </w:rPr>
        <w:footnoteRef/>
      </w:r>
      <w:r>
        <w:rPr>
          <w:lang w:val="en-GB"/>
        </w:rPr>
        <w:t xml:space="preserve"> </w:t>
      </w:r>
      <w:r>
        <w:rPr>
          <w:lang w:val="en-GB"/>
        </w:rPr>
        <w:tab/>
      </w:r>
      <w:r>
        <w:rPr>
          <w:rFonts w:ascii="Times New Roman" w:hAnsi="Times New Roman" w:cs="Times New Roman"/>
          <w:color w:val="auto"/>
          <w:sz w:val="18"/>
          <w:szCs w:val="20"/>
          <w:lang w:val="en-GB" w:eastAsia="en-US"/>
        </w:rPr>
        <w:t>Wood veneer floor covering means rigid floor covering consisting of a substrate made from a wood-based panel, with a top layer of wood veneer and possibly a backing.</w:t>
      </w:r>
    </w:p>
  </w:footnote>
  <w:footnote w:id="20">
    <w:p w:rsidR="006B00A6" w:rsidRDefault="006B00A6" w:rsidP="006B00A6">
      <w:pPr>
        <w:spacing w:after="0"/>
        <w:ind w:left="709" w:hanging="709"/>
        <w:rPr>
          <w:color w:val="000000"/>
          <w:sz w:val="18"/>
          <w:szCs w:val="18"/>
          <w:lang w:eastAsia="en-GB"/>
        </w:rPr>
      </w:pPr>
      <w:r>
        <w:rPr>
          <w:rStyle w:val="FootnoteReference"/>
          <w:szCs w:val="18"/>
        </w:rPr>
        <w:footnoteRef/>
      </w:r>
      <w:r>
        <w:rPr>
          <w:sz w:val="18"/>
          <w:szCs w:val="18"/>
        </w:rPr>
        <w:t xml:space="preserve"> </w:t>
      </w:r>
      <w:r>
        <w:rPr>
          <w:sz w:val="18"/>
          <w:szCs w:val="18"/>
        </w:rPr>
        <w:tab/>
      </w:r>
      <w:r>
        <w:rPr>
          <w:color w:val="000000"/>
          <w:sz w:val="18"/>
          <w:szCs w:val="18"/>
          <w:lang w:eastAsia="en-GB"/>
        </w:rPr>
        <w:t>Manufacture of the floor covering included energy used in the production line as well as other auxiliaries (e.g. lighting, heating, energy consumed in offices, etc.).</w:t>
      </w:r>
    </w:p>
  </w:footnote>
  <w:footnote w:id="21">
    <w:p w:rsidR="006B00A6" w:rsidRDefault="006B00A6" w:rsidP="006B00A6">
      <w:pPr>
        <w:pStyle w:val="FootnoteText"/>
        <w:ind w:left="709" w:hanging="709"/>
        <w:rPr>
          <w:sz w:val="18"/>
        </w:rPr>
      </w:pPr>
      <w:r>
        <w:rPr>
          <w:rStyle w:val="FootnoteReference"/>
        </w:rPr>
        <w:footnoteRef/>
      </w:r>
      <w:r>
        <w:t xml:space="preserve"> </w:t>
      </w:r>
      <w:r>
        <w:tab/>
        <w:t>The values are laid down in Annex IV to Directive 2012/27/EU of the European Parliament and of the Council of 25 October 2012 on energy efficiency, amending Directives 2009/125/EC and 2010/30/EU and repealing Directives 2004/8/EC and 2006/32/EC (OJ L 315, 14.11.2012 p.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9D" w:rsidRDefault="00591E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9D" w:rsidRDefault="00591E9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E9D" w:rsidRDefault="00591E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A84AFA"/>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CFE1772"/>
    <w:lvl w:ilvl="0">
      <w:start w:val="1"/>
      <w:numFmt w:val="decimal"/>
      <w:pStyle w:val="ListNumber3"/>
      <w:lvlText w:val="%1."/>
      <w:lvlJc w:val="left"/>
      <w:pPr>
        <w:tabs>
          <w:tab w:val="num" w:pos="926"/>
        </w:tabs>
        <w:ind w:left="926" w:hanging="360"/>
      </w:pPr>
    </w:lvl>
  </w:abstractNum>
  <w:abstractNum w:abstractNumId="2">
    <w:nsid w:val="FFFFFF7F"/>
    <w:multiLevelType w:val="singleLevel"/>
    <w:tmpl w:val="2F6A6352"/>
    <w:lvl w:ilvl="0">
      <w:start w:val="1"/>
      <w:numFmt w:val="decimal"/>
      <w:pStyle w:val="ListNumber2"/>
      <w:lvlText w:val="%1."/>
      <w:lvlJc w:val="left"/>
      <w:pPr>
        <w:tabs>
          <w:tab w:val="num" w:pos="643"/>
        </w:tabs>
        <w:ind w:left="643" w:hanging="360"/>
      </w:pPr>
    </w:lvl>
  </w:abstractNum>
  <w:abstractNum w:abstractNumId="3">
    <w:nsid w:val="FFFFFF81"/>
    <w:multiLevelType w:val="singleLevel"/>
    <w:tmpl w:val="537ABF8E"/>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D90DF5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E6E8A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2CEE3660"/>
    <w:lvl w:ilvl="0">
      <w:start w:val="1"/>
      <w:numFmt w:val="decimal"/>
      <w:pStyle w:val="ListNumber"/>
      <w:lvlText w:val="%1."/>
      <w:lvlJc w:val="left"/>
      <w:pPr>
        <w:tabs>
          <w:tab w:val="num" w:pos="360"/>
        </w:tabs>
        <w:ind w:left="360" w:hanging="360"/>
      </w:pPr>
    </w:lvl>
  </w:abstractNum>
  <w:abstractNum w:abstractNumId="7">
    <w:nsid w:val="FFFFFF89"/>
    <w:multiLevelType w:val="singleLevel"/>
    <w:tmpl w:val="BAC2312A"/>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51367EB"/>
    <w:multiLevelType w:val="hybridMultilevel"/>
    <w:tmpl w:val="E8FCA19E"/>
    <w:lvl w:ilvl="0" w:tplc="6194E25C">
      <w:numFmt w:val="bullet"/>
      <w:lvlText w:val="-"/>
      <w:lvlJc w:val="left"/>
      <w:pPr>
        <w:ind w:left="720" w:hanging="360"/>
      </w:pPr>
      <w:rPr>
        <w:rFonts w:ascii="EC Square Sans Pro" w:eastAsia="SimSun" w:hAnsi="EC Square Sans Pro" w:cs="Times New Roman"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0B6313EA"/>
    <w:multiLevelType w:val="hybridMultilevel"/>
    <w:tmpl w:val="5ED442E2"/>
    <w:lvl w:ilvl="0" w:tplc="6194E25C">
      <w:numFmt w:val="bullet"/>
      <w:lvlText w:val="-"/>
      <w:lvlJc w:val="left"/>
      <w:pPr>
        <w:ind w:left="720" w:hanging="360"/>
      </w:pPr>
      <w:rPr>
        <w:rFonts w:ascii="EC Square Sans Pro" w:eastAsia="SimSun" w:hAnsi="EC Square Sans Pro" w:cs="Times New Roman"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B4904D1"/>
    <w:multiLevelType w:val="hybridMultilevel"/>
    <w:tmpl w:val="0F848298"/>
    <w:lvl w:ilvl="0" w:tplc="21C0258C">
      <w:start w:val="2"/>
      <w:numFmt w:val="bullet"/>
      <w:lvlText w:val="-"/>
      <w:lvlJc w:val="left"/>
      <w:pPr>
        <w:ind w:left="720" w:hanging="360"/>
      </w:pPr>
      <w:rPr>
        <w:rFonts w:ascii="TimesNewRomanPSMT" w:eastAsia="Times New Roman"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79E1DA6"/>
    <w:multiLevelType w:val="hybridMultilevel"/>
    <w:tmpl w:val="5D980B70"/>
    <w:lvl w:ilvl="0" w:tplc="21C0258C">
      <w:start w:val="2"/>
      <w:numFmt w:val="bullet"/>
      <w:lvlText w:val="-"/>
      <w:lvlJc w:val="left"/>
      <w:pPr>
        <w:ind w:left="720" w:hanging="360"/>
      </w:pPr>
      <w:rPr>
        <w:rFonts w:ascii="TimesNewRomanPSMT" w:eastAsia="Times New Roman"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5">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6">
    <w:nsid w:val="425A2E87"/>
    <w:multiLevelType w:val="hybridMultilevel"/>
    <w:tmpl w:val="C4F8E996"/>
    <w:lvl w:ilvl="0" w:tplc="21C0258C">
      <w:start w:val="2"/>
      <w:numFmt w:val="bullet"/>
      <w:lvlText w:val="-"/>
      <w:lvlJc w:val="left"/>
      <w:pPr>
        <w:ind w:left="720" w:hanging="360"/>
      </w:pPr>
      <w:rPr>
        <w:rFonts w:ascii="TimesNewRomanPSMT" w:eastAsia="Times New Roman"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E86A95"/>
    <w:multiLevelType w:val="hybridMultilevel"/>
    <w:tmpl w:val="B48E3102"/>
    <w:name w:val="Point2"/>
    <w:lvl w:ilvl="0" w:tplc="0809000F">
      <w:start w:val="1"/>
      <w:numFmt w:val="decimal"/>
      <w:lvlText w:val="%1."/>
      <w:lvlJc w:val="left"/>
      <w:pPr>
        <w:ind w:left="1570" w:hanging="360"/>
      </w:pPr>
    </w:lvl>
    <w:lvl w:ilvl="1" w:tplc="08090019">
      <w:start w:val="1"/>
      <w:numFmt w:val="lowerLetter"/>
      <w:lvlText w:val="%2."/>
      <w:lvlJc w:val="left"/>
      <w:pPr>
        <w:ind w:left="2290" w:hanging="360"/>
      </w:pPr>
    </w:lvl>
    <w:lvl w:ilvl="2" w:tplc="0809001B">
      <w:start w:val="1"/>
      <w:numFmt w:val="lowerRoman"/>
      <w:lvlText w:val="%3."/>
      <w:lvlJc w:val="right"/>
      <w:pPr>
        <w:ind w:left="3010" w:hanging="180"/>
      </w:pPr>
    </w:lvl>
    <w:lvl w:ilvl="3" w:tplc="0809000F">
      <w:start w:val="1"/>
      <w:numFmt w:val="decimal"/>
      <w:lvlText w:val="%4."/>
      <w:lvlJc w:val="left"/>
      <w:pPr>
        <w:ind w:left="3730" w:hanging="360"/>
      </w:pPr>
    </w:lvl>
    <w:lvl w:ilvl="4" w:tplc="08090019">
      <w:start w:val="1"/>
      <w:numFmt w:val="lowerLetter"/>
      <w:lvlText w:val="%5."/>
      <w:lvlJc w:val="left"/>
      <w:pPr>
        <w:ind w:left="4450" w:hanging="360"/>
      </w:pPr>
    </w:lvl>
    <w:lvl w:ilvl="5" w:tplc="0809001B">
      <w:start w:val="1"/>
      <w:numFmt w:val="lowerRoman"/>
      <w:lvlText w:val="%6."/>
      <w:lvlJc w:val="right"/>
      <w:pPr>
        <w:ind w:left="5170" w:hanging="180"/>
      </w:pPr>
    </w:lvl>
    <w:lvl w:ilvl="6" w:tplc="0809000F">
      <w:start w:val="1"/>
      <w:numFmt w:val="decimal"/>
      <w:lvlText w:val="%7."/>
      <w:lvlJc w:val="left"/>
      <w:pPr>
        <w:ind w:left="5890" w:hanging="360"/>
      </w:pPr>
    </w:lvl>
    <w:lvl w:ilvl="7" w:tplc="08090019">
      <w:start w:val="1"/>
      <w:numFmt w:val="lowerLetter"/>
      <w:lvlText w:val="%8."/>
      <w:lvlJc w:val="left"/>
      <w:pPr>
        <w:ind w:left="6610" w:hanging="360"/>
      </w:pPr>
    </w:lvl>
    <w:lvl w:ilvl="8" w:tplc="0809001B">
      <w:start w:val="1"/>
      <w:numFmt w:val="lowerRoman"/>
      <w:lvlText w:val="%9."/>
      <w:lvlJc w:val="right"/>
      <w:pPr>
        <w:ind w:left="7330" w:hanging="180"/>
      </w:p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59E0E9D"/>
    <w:multiLevelType w:val="hybridMultilevel"/>
    <w:tmpl w:val="A0DE1532"/>
    <w:lvl w:ilvl="0" w:tplc="6194E25C">
      <w:numFmt w:val="bullet"/>
      <w:lvlText w:val="-"/>
      <w:lvlJc w:val="left"/>
      <w:pPr>
        <w:ind w:left="720" w:hanging="360"/>
      </w:pPr>
      <w:rPr>
        <w:rFonts w:ascii="EC Square Sans Pro" w:eastAsia="SimSun" w:hAnsi="EC Square Sans Pro" w:cs="Times New Roman"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47CB7ABD"/>
    <w:multiLevelType w:val="hybridMultilevel"/>
    <w:tmpl w:val="DB561C6E"/>
    <w:lvl w:ilvl="0" w:tplc="21C0258C">
      <w:start w:val="2"/>
      <w:numFmt w:val="bullet"/>
      <w:lvlText w:val="-"/>
      <w:lvlJc w:val="left"/>
      <w:pPr>
        <w:ind w:left="720" w:hanging="360"/>
      </w:pPr>
      <w:rPr>
        <w:rFonts w:ascii="TimesNewRomanPSMT" w:eastAsia="Times New Roman"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B0F0A05"/>
    <w:multiLevelType w:val="hybridMultilevel"/>
    <w:tmpl w:val="1598CA70"/>
    <w:lvl w:ilvl="0" w:tplc="21C0258C">
      <w:start w:val="2"/>
      <w:numFmt w:val="bullet"/>
      <w:lvlText w:val="-"/>
      <w:lvlJc w:val="left"/>
      <w:pPr>
        <w:ind w:left="720" w:hanging="360"/>
      </w:pPr>
      <w:rPr>
        <w:rFonts w:ascii="TimesNewRomanPSMT" w:eastAsia="Times New Roman"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E2F7FF3"/>
    <w:multiLevelType w:val="hybridMultilevel"/>
    <w:tmpl w:val="E60051E6"/>
    <w:lvl w:ilvl="0" w:tplc="21C0258C">
      <w:start w:val="2"/>
      <w:numFmt w:val="bullet"/>
      <w:lvlText w:val="-"/>
      <w:lvlJc w:val="left"/>
      <w:pPr>
        <w:ind w:left="720" w:hanging="360"/>
      </w:pPr>
      <w:rPr>
        <w:rFonts w:ascii="TimesNewRomanPSMT" w:eastAsia="Times New Roman"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0C129E9"/>
    <w:multiLevelType w:val="hybridMultilevel"/>
    <w:tmpl w:val="13BE9FF6"/>
    <w:lvl w:ilvl="0" w:tplc="21C0258C">
      <w:start w:val="2"/>
      <w:numFmt w:val="bullet"/>
      <w:lvlText w:val="-"/>
      <w:lvlJc w:val="left"/>
      <w:pPr>
        <w:ind w:left="720" w:hanging="360"/>
      </w:pPr>
      <w:rPr>
        <w:rFonts w:ascii="TimesNewRomanPSMT" w:eastAsia="Times New Roman" w:hAnsi="TimesNewRomanPSMT" w:cs="TimesNewRomanPSM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nsid w:val="61497E08"/>
    <w:multiLevelType w:val="hybridMultilevel"/>
    <w:tmpl w:val="AC96987C"/>
    <w:lvl w:ilvl="0" w:tplc="6194E25C">
      <w:numFmt w:val="bullet"/>
      <w:lvlText w:val="-"/>
      <w:lvlJc w:val="left"/>
      <w:pPr>
        <w:ind w:left="720" w:hanging="360"/>
      </w:pPr>
      <w:rPr>
        <w:rFonts w:ascii="EC Square Sans Pro" w:eastAsia="SimSun" w:hAnsi="EC Square Sans Pro" w:cs="Times New Roman" w:hint="default"/>
        <w:strike w:val="0"/>
        <w:dstrike w:val="0"/>
        <w:u w:val="none"/>
        <w:effect w:val="no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740CE1"/>
    <w:multiLevelType w:val="hybridMultilevel"/>
    <w:tmpl w:val="98022B36"/>
    <w:lvl w:ilvl="0" w:tplc="6194E25C">
      <w:numFmt w:val="bullet"/>
      <w:lvlText w:val="-"/>
      <w:lvlJc w:val="left"/>
      <w:pPr>
        <w:ind w:left="720" w:hanging="360"/>
      </w:pPr>
      <w:rPr>
        <w:rFonts w:ascii="EC Square Sans Pro" w:eastAsia="SimSun" w:hAnsi="EC Square Sans Pro" w:cs="Times New Roman"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2">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4">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35">
    <w:nsid w:val="7DF91C87"/>
    <w:multiLevelType w:val="hybridMultilevel"/>
    <w:tmpl w:val="61DA5464"/>
    <w:lvl w:ilvl="0" w:tplc="6194E25C">
      <w:numFmt w:val="bullet"/>
      <w:lvlText w:val="-"/>
      <w:lvlJc w:val="left"/>
      <w:pPr>
        <w:ind w:left="720" w:hanging="360"/>
      </w:pPr>
      <w:rPr>
        <w:rFonts w:ascii="EC Square Sans Pro" w:eastAsia="SimSun" w:hAnsi="EC Square Sans Pro" w:cs="Times New Roman" w:hint="default"/>
        <w:strike w:val="0"/>
        <w:dstrike w:val="0"/>
        <w:u w:val="none"/>
        <w:effect w:val="no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4"/>
    <w:lvlOverride w:ilvl="0">
      <w:startOverride w:val="1"/>
    </w:lvlOverride>
  </w:num>
  <w:num w:numId="2">
    <w:abstractNumId w:val="7"/>
  </w:num>
  <w:num w:numId="3">
    <w:abstractNumId w:val="5"/>
  </w:num>
  <w:num w:numId="4">
    <w:abstractNumId w:val="4"/>
  </w:num>
  <w:num w:numId="5">
    <w:abstractNumId w:val="3"/>
  </w:num>
  <w:num w:numId="6">
    <w:abstractNumId w:val="6"/>
  </w:num>
  <w:num w:numId="7">
    <w:abstractNumId w:val="2"/>
  </w:num>
  <w:num w:numId="8">
    <w:abstractNumId w:val="1"/>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7"/>
  </w:num>
  <w:num w:numId="13">
    <w:abstractNumId w:val="33"/>
  </w:num>
  <w:num w:numId="14">
    <w:abstractNumId w:val="15"/>
  </w:num>
  <w:num w:numId="15">
    <w:abstractNumId w:val="18"/>
  </w:num>
  <w:num w:numId="16">
    <w:abstractNumId w:val="12"/>
  </w:num>
  <w:num w:numId="17">
    <w:abstractNumId w:val="32"/>
  </w:num>
  <w:num w:numId="18">
    <w:abstractNumId w:val="10"/>
  </w:num>
  <w:num w:numId="19">
    <w:abstractNumId w:val="20"/>
  </w:num>
  <w:num w:numId="20">
    <w:abstractNumId w:val="25"/>
  </w:num>
  <w:num w:numId="21">
    <w:abstractNumId w:val="26"/>
  </w:num>
  <w:num w:numId="22">
    <w:abstractNumId w:val="14"/>
  </w:num>
  <w:num w:numId="23">
    <w:abstractNumId w:val="23"/>
  </w:num>
  <w:num w:numId="24">
    <w:abstractNumId w:val="34"/>
  </w:num>
  <w:num w:numId="25">
    <w:abstractNumId w:val="16"/>
    <w:lvlOverride w:ilvl="0"/>
    <w:lvlOverride w:ilvl="1"/>
    <w:lvlOverride w:ilvl="2"/>
    <w:lvlOverride w:ilvl="3"/>
    <w:lvlOverride w:ilvl="4"/>
    <w:lvlOverride w:ilvl="5"/>
    <w:lvlOverride w:ilvl="6"/>
    <w:lvlOverride w:ilvl="7"/>
    <w:lvlOverride w:ilvl="8"/>
  </w:num>
  <w:num w:numId="26">
    <w:abstractNumId w:val="28"/>
    <w:lvlOverride w:ilvl="0"/>
    <w:lvlOverride w:ilvl="1"/>
    <w:lvlOverride w:ilvl="2"/>
    <w:lvlOverride w:ilvl="3"/>
    <w:lvlOverride w:ilvl="4"/>
    <w:lvlOverride w:ilvl="5"/>
    <w:lvlOverride w:ilvl="6"/>
    <w:lvlOverride w:ilvl="7"/>
    <w:lvlOverride w:ilvl="8"/>
  </w:num>
  <w:num w:numId="27">
    <w:abstractNumId w:val="30"/>
    <w:lvlOverride w:ilvl="0"/>
    <w:lvlOverride w:ilvl="1"/>
    <w:lvlOverride w:ilvl="2"/>
    <w:lvlOverride w:ilvl="3"/>
    <w:lvlOverride w:ilvl="4"/>
    <w:lvlOverride w:ilvl="5"/>
    <w:lvlOverride w:ilvl="6"/>
    <w:lvlOverride w:ilvl="7"/>
    <w:lvlOverride w:ilvl="8"/>
  </w:num>
  <w:num w:numId="28">
    <w:abstractNumId w:val="13"/>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31"/>
    <w:lvlOverride w:ilvl="0"/>
    <w:lvlOverride w:ilvl="1"/>
    <w:lvlOverride w:ilvl="2"/>
    <w:lvlOverride w:ilvl="3"/>
    <w:lvlOverride w:ilvl="4"/>
    <w:lvlOverride w:ilvl="5"/>
    <w:lvlOverride w:ilvl="6"/>
    <w:lvlOverride w:ilvl="7"/>
    <w:lvlOverride w:ilvl="8"/>
  </w:num>
  <w:num w:numId="32">
    <w:abstractNumId w:val="22"/>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 w:numId="34">
    <w:abstractNumId w:val="11"/>
    <w:lvlOverride w:ilvl="0"/>
    <w:lvlOverride w:ilvl="1"/>
    <w:lvlOverride w:ilvl="2"/>
    <w:lvlOverride w:ilvl="3"/>
    <w:lvlOverride w:ilvl="4"/>
    <w:lvlOverride w:ilvl="5"/>
    <w:lvlOverride w:ilvl="6"/>
    <w:lvlOverride w:ilvl="7"/>
    <w:lvlOverride w:ilvl="8"/>
  </w:num>
  <w:num w:numId="35">
    <w:abstractNumId w:val="29"/>
    <w:lvlOverride w:ilvl="0"/>
    <w:lvlOverride w:ilvl="1"/>
    <w:lvlOverride w:ilvl="2"/>
    <w:lvlOverride w:ilvl="3"/>
    <w:lvlOverride w:ilvl="4"/>
    <w:lvlOverride w:ilvl="5"/>
    <w:lvlOverride w:ilvl="6"/>
    <w:lvlOverride w:ilvl="7"/>
    <w:lvlOverride w:ilvl="8"/>
  </w:num>
  <w:num w:numId="36">
    <w:abstractNumId w:val="35"/>
    <w:lvlOverride w:ilvl="0"/>
    <w:lvlOverride w:ilvl="1"/>
    <w:lvlOverride w:ilvl="2"/>
    <w:lvlOverride w:ilvl="3"/>
    <w:lvlOverride w:ilvl="4"/>
    <w:lvlOverride w:ilvl="5"/>
    <w:lvlOverride w:ilvl="6"/>
    <w:lvlOverride w:ilvl="7"/>
    <w:lvlOverride w:ilvl="8"/>
  </w:num>
  <w:num w:numId="37">
    <w:abstractNumId w:val="9"/>
    <w:lvlOverride w:ilvl="0"/>
    <w:lvlOverride w:ilvl="1"/>
    <w:lvlOverride w:ilvl="2"/>
    <w:lvlOverride w:ilvl="3"/>
    <w:lvlOverride w:ilvl="4"/>
    <w:lvlOverride w:ilvl="5"/>
    <w:lvlOverride w:ilvl="6"/>
    <w:lvlOverride w:ilvl="7"/>
    <w:lvlOverride w:ilv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6-05-25 11:27:46"/>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2"/>
    <w:docVar w:name="DQCResult_ModifiedMarkers" w:val="0;0"/>
    <w:docVar w:name="DQCResult_ModifiedNumbering" w:val="0;0"/>
    <w:docVar w:name="DQCResult_Objects" w:val="0;0"/>
    <w:docVar w:name="DQCResult_Sections" w:val="0;0"/>
    <w:docVar w:name="DQCResult_StructureCheck" w:val="0;0"/>
    <w:docVar w:name="DQCResult_SuperfluousWhitespace" w:val="0;6"/>
    <w:docVar w:name="DQCResult_UnknownFonts" w:val="0;0"/>
    <w:docVar w:name="DQCResult_UnknownStyles" w:val="0;0"/>
    <w:docVar w:name="DQCStatus" w:val="Green"/>
    <w:docVar w:name="DQCVersion" w:val="3"/>
    <w:docVar w:name="DQCWithWarnings" w:val="0"/>
    <w:docVar w:name="LW_CONFIDENCE" w:val=" "/>
    <w:docVar w:name="LW_CONST_RESTREINT_UE" w:val="RESTREINT UE/EU RESTRICTED"/>
    <w:docVar w:name="LW_COVERPAGE_GUID" w:val="3276D12BEFCF41798A36D30361937BC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10"/>
    <w:docVar w:name="LW_ID_DOCSIGNATURE" w:val="SJ-010"/>
    <w:docVar w:name="LW_ID_DOCSTRUCTURE" w:val="COM/AA"/>
    <w:docVar w:name="LW_ID_DOCTYPE" w:val="SJ-010"/>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lt;EMPTY&gt;"/>
    <w:docVar w:name="LW_REF.INST.NEW_ADOPTED" w:val="draft"/>
    <w:docVar w:name="LW_REF.INST.NEW_TEXT" w:val="(2016) XXX"/>
    <w:docVar w:name="LW_REF.INTERNE" w:val="&lt;UNUSED&gt;"/>
    <w:docVar w:name="LW_SOUS.TITRE.OBJ.CP" w:val="&lt;UNUSED&gt;"/>
    <w:docVar w:name="LW_SUPERTITRE" w:val="&lt;UNUSED&gt;"/>
    <w:docVar w:name="LW_TITRE.OBJ.CP" w:val="on establishing EU Ecolabel criteria for wood-, cork- and bamboo-based floor coverings"/>
    <w:docVar w:name="LW_TYPE.DOC.CP" w:val="COMMISSION DECISION"/>
  </w:docVars>
  <w:rsids>
    <w:rsidRoot w:val="001A7256"/>
    <w:rsid w:val="000076DD"/>
    <w:rsid w:val="00021AA2"/>
    <w:rsid w:val="0005115E"/>
    <w:rsid w:val="00051325"/>
    <w:rsid w:val="00061E88"/>
    <w:rsid w:val="0007009F"/>
    <w:rsid w:val="000A5128"/>
    <w:rsid w:val="000A6BA1"/>
    <w:rsid w:val="000B6E76"/>
    <w:rsid w:val="000C349C"/>
    <w:rsid w:val="000D3B73"/>
    <w:rsid w:val="000F1A79"/>
    <w:rsid w:val="00123920"/>
    <w:rsid w:val="0013540F"/>
    <w:rsid w:val="00135577"/>
    <w:rsid w:val="00150759"/>
    <w:rsid w:val="0017026E"/>
    <w:rsid w:val="00171635"/>
    <w:rsid w:val="00176A0C"/>
    <w:rsid w:val="001850CA"/>
    <w:rsid w:val="001A7256"/>
    <w:rsid w:val="001B7FBB"/>
    <w:rsid w:val="001C5A8C"/>
    <w:rsid w:val="001D499C"/>
    <w:rsid w:val="001F2D51"/>
    <w:rsid w:val="0020317F"/>
    <w:rsid w:val="00221F68"/>
    <w:rsid w:val="00270019"/>
    <w:rsid w:val="00274C5D"/>
    <w:rsid w:val="00281334"/>
    <w:rsid w:val="0028352C"/>
    <w:rsid w:val="00285978"/>
    <w:rsid w:val="002956AD"/>
    <w:rsid w:val="002E6FB1"/>
    <w:rsid w:val="002F2513"/>
    <w:rsid w:val="0030300C"/>
    <w:rsid w:val="00311F6E"/>
    <w:rsid w:val="0034445E"/>
    <w:rsid w:val="0034634C"/>
    <w:rsid w:val="00354DDF"/>
    <w:rsid w:val="00374E1A"/>
    <w:rsid w:val="00375003"/>
    <w:rsid w:val="003947A7"/>
    <w:rsid w:val="003C09FC"/>
    <w:rsid w:val="003C26DA"/>
    <w:rsid w:val="003C33DE"/>
    <w:rsid w:val="003C3635"/>
    <w:rsid w:val="003E71B6"/>
    <w:rsid w:val="003F5803"/>
    <w:rsid w:val="00402993"/>
    <w:rsid w:val="004227F5"/>
    <w:rsid w:val="00460C9F"/>
    <w:rsid w:val="0048221F"/>
    <w:rsid w:val="00482B29"/>
    <w:rsid w:val="00493E9E"/>
    <w:rsid w:val="004A4599"/>
    <w:rsid w:val="004B2C4E"/>
    <w:rsid w:val="004D34A2"/>
    <w:rsid w:val="004E35FF"/>
    <w:rsid w:val="004F4CF8"/>
    <w:rsid w:val="00501C71"/>
    <w:rsid w:val="00510A0C"/>
    <w:rsid w:val="0051362A"/>
    <w:rsid w:val="00531207"/>
    <w:rsid w:val="00577742"/>
    <w:rsid w:val="0058364C"/>
    <w:rsid w:val="00591E9D"/>
    <w:rsid w:val="005A21AE"/>
    <w:rsid w:val="005C29AB"/>
    <w:rsid w:val="005C46CD"/>
    <w:rsid w:val="005E5215"/>
    <w:rsid w:val="0063253C"/>
    <w:rsid w:val="006364DB"/>
    <w:rsid w:val="00641B41"/>
    <w:rsid w:val="00651663"/>
    <w:rsid w:val="00653BBA"/>
    <w:rsid w:val="006549BB"/>
    <w:rsid w:val="00673264"/>
    <w:rsid w:val="006B00A6"/>
    <w:rsid w:val="006C674F"/>
    <w:rsid w:val="006D2E0B"/>
    <w:rsid w:val="006D4689"/>
    <w:rsid w:val="006E3B1B"/>
    <w:rsid w:val="006E763B"/>
    <w:rsid w:val="006F28C1"/>
    <w:rsid w:val="007150FB"/>
    <w:rsid w:val="00715D61"/>
    <w:rsid w:val="007257CF"/>
    <w:rsid w:val="00751070"/>
    <w:rsid w:val="007B23A4"/>
    <w:rsid w:val="007B7D7B"/>
    <w:rsid w:val="007D1525"/>
    <w:rsid w:val="007D53B6"/>
    <w:rsid w:val="007E4CC5"/>
    <w:rsid w:val="007F7FA9"/>
    <w:rsid w:val="0081043F"/>
    <w:rsid w:val="00820527"/>
    <w:rsid w:val="00826EAC"/>
    <w:rsid w:val="008370A4"/>
    <w:rsid w:val="0085104A"/>
    <w:rsid w:val="0086394F"/>
    <w:rsid w:val="00870F2F"/>
    <w:rsid w:val="008A1474"/>
    <w:rsid w:val="008B52B6"/>
    <w:rsid w:val="008C068B"/>
    <w:rsid w:val="008C6605"/>
    <w:rsid w:val="00921D63"/>
    <w:rsid w:val="009369DA"/>
    <w:rsid w:val="00952CBD"/>
    <w:rsid w:val="00957B0F"/>
    <w:rsid w:val="009643A9"/>
    <w:rsid w:val="00973A01"/>
    <w:rsid w:val="009842F6"/>
    <w:rsid w:val="0099381A"/>
    <w:rsid w:val="00996EFC"/>
    <w:rsid w:val="009B189F"/>
    <w:rsid w:val="009B6C72"/>
    <w:rsid w:val="009C1340"/>
    <w:rsid w:val="009C67B4"/>
    <w:rsid w:val="009D07A0"/>
    <w:rsid w:val="009D2DBB"/>
    <w:rsid w:val="00A13BEB"/>
    <w:rsid w:val="00A33272"/>
    <w:rsid w:val="00A368FA"/>
    <w:rsid w:val="00A85F0B"/>
    <w:rsid w:val="00AC318D"/>
    <w:rsid w:val="00AF14E1"/>
    <w:rsid w:val="00AF2340"/>
    <w:rsid w:val="00AF2D07"/>
    <w:rsid w:val="00B042BD"/>
    <w:rsid w:val="00B04DCA"/>
    <w:rsid w:val="00B15D9A"/>
    <w:rsid w:val="00B30635"/>
    <w:rsid w:val="00B44CFD"/>
    <w:rsid w:val="00B62A60"/>
    <w:rsid w:val="00B82131"/>
    <w:rsid w:val="00BA667C"/>
    <w:rsid w:val="00BB5FAB"/>
    <w:rsid w:val="00BC4F87"/>
    <w:rsid w:val="00BF0FEF"/>
    <w:rsid w:val="00C10DF6"/>
    <w:rsid w:val="00C120E1"/>
    <w:rsid w:val="00C152D0"/>
    <w:rsid w:val="00C24773"/>
    <w:rsid w:val="00C556CB"/>
    <w:rsid w:val="00C809B6"/>
    <w:rsid w:val="00CE5793"/>
    <w:rsid w:val="00D16D61"/>
    <w:rsid w:val="00D9184E"/>
    <w:rsid w:val="00D92359"/>
    <w:rsid w:val="00D956F5"/>
    <w:rsid w:val="00DC2257"/>
    <w:rsid w:val="00DE6D56"/>
    <w:rsid w:val="00DF6DA6"/>
    <w:rsid w:val="00DF7A54"/>
    <w:rsid w:val="00E23CB4"/>
    <w:rsid w:val="00E36026"/>
    <w:rsid w:val="00E40C2A"/>
    <w:rsid w:val="00E45DF2"/>
    <w:rsid w:val="00E479E7"/>
    <w:rsid w:val="00E80335"/>
    <w:rsid w:val="00E8737B"/>
    <w:rsid w:val="00E90220"/>
    <w:rsid w:val="00E90A48"/>
    <w:rsid w:val="00E946E3"/>
    <w:rsid w:val="00EC7D06"/>
    <w:rsid w:val="00ED43DD"/>
    <w:rsid w:val="00EE500C"/>
    <w:rsid w:val="00F0345E"/>
    <w:rsid w:val="00F56973"/>
    <w:rsid w:val="00F72072"/>
    <w:rsid w:val="00F814D5"/>
    <w:rsid w:val="00F87183"/>
    <w:rsid w:val="00FB54AA"/>
    <w:rsid w:val="00FB65A1"/>
    <w:rsid w:val="00FF3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9"/>
    <w:semiHidden/>
    <w:unhideWhenUsed/>
    <w:qFormat/>
    <w:rsid w:val="007D53B6"/>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semiHidden/>
    <w:unhideWhenUsed/>
    <w:qFormat/>
    <w:rsid w:val="006B00A6"/>
    <w:pPr>
      <w:keepNext/>
      <w:tabs>
        <w:tab w:val="num" w:pos="1418"/>
        <w:tab w:val="left" w:pos="1701"/>
      </w:tabs>
      <w:spacing w:before="0" w:after="0"/>
      <w:ind w:left="1418" w:hanging="1418"/>
      <w:jc w:val="left"/>
      <w:outlineLvl w:val="4"/>
    </w:pPr>
    <w:rPr>
      <w:rFonts w:ascii="Arial" w:eastAsia="Times New Roman" w:hAnsi="Arial"/>
      <w:b/>
      <w:sz w:val="20"/>
      <w:szCs w:val="20"/>
      <w:lang w:eastAsia="zh-CN"/>
    </w:rPr>
  </w:style>
  <w:style w:type="paragraph" w:styleId="Heading6">
    <w:name w:val="heading 6"/>
    <w:basedOn w:val="Normal"/>
    <w:next w:val="Normal"/>
    <w:link w:val="Heading6Char"/>
    <w:uiPriority w:val="99"/>
    <w:semiHidden/>
    <w:unhideWhenUsed/>
    <w:qFormat/>
    <w:rsid w:val="006B00A6"/>
    <w:pPr>
      <w:keepNext/>
      <w:tabs>
        <w:tab w:val="num" w:pos="1843"/>
        <w:tab w:val="left" w:pos="1985"/>
      </w:tabs>
      <w:spacing w:before="0" w:after="0"/>
      <w:ind w:left="1843" w:hanging="1843"/>
      <w:jc w:val="left"/>
      <w:outlineLvl w:val="5"/>
    </w:pPr>
    <w:rPr>
      <w:rFonts w:ascii="Arial" w:eastAsia="Times New Roman" w:hAnsi="Arial"/>
      <w:sz w:val="20"/>
      <w:szCs w:val="20"/>
      <w:lang w:eastAsia="zh-CN"/>
    </w:rPr>
  </w:style>
  <w:style w:type="paragraph" w:styleId="Heading7">
    <w:name w:val="heading 7"/>
    <w:basedOn w:val="Normal"/>
    <w:next w:val="Normal"/>
    <w:link w:val="Heading7Char"/>
    <w:uiPriority w:val="99"/>
    <w:semiHidden/>
    <w:unhideWhenUsed/>
    <w:qFormat/>
    <w:rsid w:val="006B00A6"/>
    <w:pPr>
      <w:tabs>
        <w:tab w:val="num" w:pos="1296"/>
        <w:tab w:val="left" w:pos="2268"/>
      </w:tabs>
      <w:spacing w:before="0" w:after="0"/>
      <w:ind w:left="1296" w:hanging="1296"/>
      <w:outlineLvl w:val="6"/>
    </w:pPr>
    <w:rPr>
      <w:rFonts w:eastAsia="Times New Roman"/>
      <w:i/>
      <w:sz w:val="20"/>
      <w:szCs w:val="24"/>
    </w:rPr>
  </w:style>
  <w:style w:type="paragraph" w:styleId="Heading8">
    <w:name w:val="heading 8"/>
    <w:basedOn w:val="Normal"/>
    <w:next w:val="Normal"/>
    <w:link w:val="Heading8Char"/>
    <w:uiPriority w:val="99"/>
    <w:semiHidden/>
    <w:unhideWhenUsed/>
    <w:qFormat/>
    <w:rsid w:val="006B00A6"/>
    <w:pPr>
      <w:tabs>
        <w:tab w:val="num" w:pos="1440"/>
      </w:tabs>
      <w:spacing w:before="240" w:after="60"/>
      <w:ind w:left="1440" w:hanging="1440"/>
      <w:outlineLvl w:val="7"/>
    </w:pPr>
    <w:rPr>
      <w:rFonts w:eastAsia="Times New Roman"/>
      <w:i/>
      <w:iCs/>
      <w:szCs w:val="24"/>
    </w:rPr>
  </w:style>
  <w:style w:type="paragraph" w:styleId="Heading9">
    <w:name w:val="heading 9"/>
    <w:basedOn w:val="Normal"/>
    <w:next w:val="Normal"/>
    <w:link w:val="Heading9Char"/>
    <w:uiPriority w:val="99"/>
    <w:semiHidden/>
    <w:unhideWhenUsed/>
    <w:qFormat/>
    <w:rsid w:val="006B00A6"/>
    <w:pPr>
      <w:tabs>
        <w:tab w:val="num" w:pos="1584"/>
      </w:tabs>
      <w:spacing w:before="240" w:after="60"/>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256"/>
    <w:rPr>
      <w:b/>
      <w:bCs/>
    </w:rPr>
  </w:style>
  <w:style w:type="paragraph" w:customStyle="1" w:styleId="Default">
    <w:name w:val="Default"/>
    <w:uiPriority w:val="99"/>
    <w:rsid w:val="001A7256"/>
    <w:pPr>
      <w:autoSpaceDE w:val="0"/>
      <w:autoSpaceDN w:val="0"/>
      <w:adjustRightInd w:val="0"/>
      <w:spacing w:after="0" w:line="240" w:lineRule="auto"/>
    </w:pPr>
    <w:rPr>
      <w:rFonts w:ascii="Trebuchet MS" w:eastAsia="Times New Roman" w:hAnsi="Trebuchet MS" w:cs="Trebuchet MS"/>
      <w:color w:val="000000"/>
      <w:sz w:val="24"/>
      <w:szCs w:val="24"/>
      <w:lang w:val="es-ES" w:eastAsia="es-ES"/>
    </w:rPr>
  </w:style>
  <w:style w:type="paragraph" w:customStyle="1" w:styleId="CM4">
    <w:name w:val="CM4"/>
    <w:basedOn w:val="Default"/>
    <w:next w:val="Default"/>
    <w:uiPriority w:val="99"/>
    <w:rsid w:val="001A7256"/>
    <w:rPr>
      <w:rFonts w:ascii="EUAlbertina" w:hAnsi="EUAlbertina" w:cs="Times New Roman"/>
      <w:color w:val="auto"/>
      <w:lang w:val="en-GB" w:eastAsia="en-GB"/>
    </w:rPr>
  </w:style>
  <w:style w:type="paragraph" w:styleId="ListBullet">
    <w:name w:val="List Bullet"/>
    <w:basedOn w:val="Normal"/>
    <w:uiPriority w:val="99"/>
    <w:semiHidden/>
    <w:unhideWhenUsed/>
    <w:rsid w:val="008370A4"/>
    <w:pPr>
      <w:numPr>
        <w:numId w:val="2"/>
      </w:numPr>
      <w:contextualSpacing/>
    </w:pPr>
  </w:style>
  <w:style w:type="paragraph" w:styleId="ListBullet2">
    <w:name w:val="List Bullet 2"/>
    <w:basedOn w:val="Normal"/>
    <w:uiPriority w:val="99"/>
    <w:semiHidden/>
    <w:unhideWhenUsed/>
    <w:rsid w:val="008370A4"/>
    <w:pPr>
      <w:numPr>
        <w:numId w:val="3"/>
      </w:numPr>
      <w:contextualSpacing/>
    </w:pPr>
  </w:style>
  <w:style w:type="paragraph" w:styleId="ListBullet3">
    <w:name w:val="List Bullet 3"/>
    <w:basedOn w:val="Normal"/>
    <w:uiPriority w:val="99"/>
    <w:semiHidden/>
    <w:unhideWhenUsed/>
    <w:rsid w:val="008370A4"/>
    <w:pPr>
      <w:numPr>
        <w:numId w:val="4"/>
      </w:numPr>
      <w:contextualSpacing/>
    </w:pPr>
  </w:style>
  <w:style w:type="paragraph" w:styleId="ListBullet4">
    <w:name w:val="List Bullet 4"/>
    <w:basedOn w:val="Normal"/>
    <w:uiPriority w:val="99"/>
    <w:semiHidden/>
    <w:unhideWhenUsed/>
    <w:rsid w:val="008370A4"/>
    <w:pPr>
      <w:numPr>
        <w:numId w:val="5"/>
      </w:numPr>
      <w:contextualSpacing/>
    </w:pPr>
  </w:style>
  <w:style w:type="paragraph" w:styleId="Caption">
    <w:name w:val="caption"/>
    <w:basedOn w:val="Normal"/>
    <w:next w:val="Normal"/>
    <w:uiPriority w:val="35"/>
    <w:semiHidden/>
    <w:unhideWhenUsed/>
    <w:qFormat/>
    <w:rsid w:val="008C068B"/>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C068B"/>
    <w:pPr>
      <w:spacing w:after="0"/>
    </w:pPr>
  </w:style>
  <w:style w:type="paragraph" w:styleId="ListNumber">
    <w:name w:val="List Number"/>
    <w:basedOn w:val="Normal"/>
    <w:uiPriority w:val="99"/>
    <w:semiHidden/>
    <w:unhideWhenUsed/>
    <w:rsid w:val="008C068B"/>
    <w:pPr>
      <w:numPr>
        <w:numId w:val="6"/>
      </w:numPr>
      <w:contextualSpacing/>
    </w:pPr>
  </w:style>
  <w:style w:type="paragraph" w:styleId="ListNumber2">
    <w:name w:val="List Number 2"/>
    <w:basedOn w:val="Normal"/>
    <w:uiPriority w:val="99"/>
    <w:semiHidden/>
    <w:unhideWhenUsed/>
    <w:rsid w:val="008C068B"/>
    <w:pPr>
      <w:numPr>
        <w:numId w:val="7"/>
      </w:numPr>
      <w:contextualSpacing/>
    </w:pPr>
  </w:style>
  <w:style w:type="paragraph" w:styleId="ListNumber3">
    <w:name w:val="List Number 3"/>
    <w:basedOn w:val="Normal"/>
    <w:uiPriority w:val="99"/>
    <w:semiHidden/>
    <w:unhideWhenUsed/>
    <w:rsid w:val="008C068B"/>
    <w:pPr>
      <w:numPr>
        <w:numId w:val="8"/>
      </w:numPr>
      <w:contextualSpacing/>
    </w:pPr>
  </w:style>
  <w:style w:type="paragraph" w:styleId="ListNumber4">
    <w:name w:val="List Number 4"/>
    <w:basedOn w:val="Normal"/>
    <w:uiPriority w:val="99"/>
    <w:semiHidden/>
    <w:unhideWhenUsed/>
    <w:rsid w:val="008C068B"/>
    <w:pPr>
      <w:numPr>
        <w:numId w:val="9"/>
      </w:numPr>
      <w:contextualSpacing/>
    </w:pPr>
  </w:style>
  <w:style w:type="character" w:styleId="CommentReference">
    <w:name w:val="annotation reference"/>
    <w:basedOn w:val="DefaultParagraphFont"/>
    <w:uiPriority w:val="99"/>
    <w:semiHidden/>
    <w:unhideWhenUsed/>
    <w:rsid w:val="00281334"/>
    <w:rPr>
      <w:sz w:val="16"/>
      <w:szCs w:val="16"/>
    </w:rPr>
  </w:style>
  <w:style w:type="paragraph" w:styleId="CommentText">
    <w:name w:val="annotation text"/>
    <w:basedOn w:val="Normal"/>
    <w:link w:val="CommentTextChar"/>
    <w:uiPriority w:val="99"/>
    <w:semiHidden/>
    <w:unhideWhenUsed/>
    <w:rsid w:val="00281334"/>
    <w:rPr>
      <w:sz w:val="20"/>
      <w:szCs w:val="20"/>
    </w:rPr>
  </w:style>
  <w:style w:type="character" w:customStyle="1" w:styleId="CommentTextChar">
    <w:name w:val="Comment Text Char"/>
    <w:basedOn w:val="DefaultParagraphFont"/>
    <w:link w:val="CommentText"/>
    <w:uiPriority w:val="99"/>
    <w:semiHidden/>
    <w:rsid w:val="0028133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1334"/>
    <w:rPr>
      <w:b/>
      <w:bCs/>
    </w:rPr>
  </w:style>
  <w:style w:type="character" w:customStyle="1" w:styleId="CommentSubjectChar">
    <w:name w:val="Comment Subject Char"/>
    <w:basedOn w:val="CommentTextChar"/>
    <w:link w:val="CommentSubject"/>
    <w:uiPriority w:val="99"/>
    <w:semiHidden/>
    <w:rsid w:val="00281334"/>
    <w:rPr>
      <w:rFonts w:ascii="Times New Roman" w:hAnsi="Times New Roman" w:cs="Times New Roman"/>
      <w:b/>
      <w:bCs/>
      <w:sz w:val="20"/>
      <w:szCs w:val="20"/>
      <w:lang w:val="en-GB"/>
    </w:rPr>
  </w:style>
  <w:style w:type="character" w:styleId="Hyperlink">
    <w:name w:val="Hyperlink"/>
    <w:basedOn w:val="DefaultParagraphFont"/>
    <w:uiPriority w:val="99"/>
    <w:unhideWhenUsed/>
    <w:rsid w:val="00281334"/>
    <w:rPr>
      <w:color w:val="0000FF" w:themeColor="hyperlink"/>
      <w:u w:val="single"/>
    </w:rPr>
  </w:style>
  <w:style w:type="paragraph" w:styleId="BalloonText">
    <w:name w:val="Balloon Text"/>
    <w:basedOn w:val="Normal"/>
    <w:link w:val="BalloonTextChar"/>
    <w:uiPriority w:val="99"/>
    <w:semiHidden/>
    <w:unhideWhenUsed/>
    <w:rsid w:val="002813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34"/>
    <w:rPr>
      <w:rFonts w:ascii="Tahoma" w:hAnsi="Tahoma" w:cs="Tahoma"/>
      <w:sz w:val="16"/>
      <w:szCs w:val="16"/>
      <w:lang w:val="en-GB"/>
    </w:rPr>
  </w:style>
  <w:style w:type="paragraph" w:styleId="Revision">
    <w:name w:val="Revision"/>
    <w:hidden/>
    <w:uiPriority w:val="99"/>
    <w:semiHidden/>
    <w:rsid w:val="00EC7D06"/>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aliases w:val="Footnote Text_EP-LCA,Footnote,Text,Text_EP-LCA,Char5,Schriftart: 9 pt,Schriftart: 10 pt,Schriftart: 8 pt,WB-Fußnotentext,fn,Footnotes,Footnote ak,Geneva 9,Font: Geneva 9,Boston 10,f,Footnotetext,f Char Char,f Char,Footnote Text Char Char"/>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aliases w:val="Footnote Text_EP-LCA Char,Footnote Char,Text Char,Text_EP-LCA Char,Char5 Char,Schriftart: 9 pt Char,Schriftart: 10 pt Char,Schriftart: 8 pt Char,WB-Fußnotentext Char,fn Char,Footnotes Char,Footnote ak Char,Geneva 9 Char,Boston 10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aliases w:val="FootnoteStyle,stylish,number,SUPERS,Footnote symbol,Times 10 Point,Exposant 3 Point,Ref,de nota al pie,Footnote reference number,note TESI,EN Footnote Reference,-E Fußnotenzeichen,Source Reference,no...,Footnote number,footnote ref,FR"/>
    <w:basedOn w:val="DefaultParagraphFont"/>
    <w:uiPriority w:val="99"/>
    <w:semiHidden/>
    <w:unhideWhenUsed/>
    <w:rsid w:val="007D53B6"/>
    <w:rPr>
      <w:shd w:val="clear" w:color="auto" w:fill="auto"/>
      <w:vertAlign w:val="superscript"/>
    </w:rPr>
  </w:style>
  <w:style w:type="paragraph" w:customStyle="1" w:styleId="Text1">
    <w:name w:val="Text 1"/>
    <w:basedOn w:val="Normal"/>
    <w:uiPriority w:val="99"/>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uiPriority w:val="99"/>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uiPriority w:val="99"/>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uiPriority w:val="99"/>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uiPriority w:val="99"/>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uiPriority w:val="99"/>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uiPriority w:val="99"/>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uiPriority w:val="99"/>
    <w:rsid w:val="007D53B6"/>
    <w:pPr>
      <w:keepNext/>
      <w:spacing w:after="0"/>
    </w:pPr>
  </w:style>
  <w:style w:type="paragraph" w:customStyle="1" w:styleId="Formuledadoption">
    <w:name w:val="Formule d'adoption"/>
    <w:basedOn w:val="Normal"/>
    <w:next w:val="Titrearticle"/>
    <w:uiPriority w:val="99"/>
    <w:rsid w:val="007D53B6"/>
    <w:pPr>
      <w:keepNext/>
    </w:pPr>
  </w:style>
  <w:style w:type="paragraph" w:customStyle="1" w:styleId="Institutionquiagit">
    <w:name w:val="Institution qui agit"/>
    <w:basedOn w:val="Normal"/>
    <w:next w:val="Normal"/>
    <w:uiPriority w:val="99"/>
    <w:rsid w:val="007D53B6"/>
    <w:pPr>
      <w:keepNext/>
      <w:spacing w:before="600"/>
    </w:pPr>
  </w:style>
  <w:style w:type="paragraph" w:customStyle="1" w:styleId="Institutionquisigne">
    <w:name w:val="Institution qui signe"/>
    <w:basedOn w:val="Normal"/>
    <w:next w:val="Personnequisigne"/>
    <w:uiPriority w:val="99"/>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uiPriority w:val="99"/>
    <w:rsid w:val="007D53B6"/>
    <w:pPr>
      <w:keepNext/>
      <w:spacing w:before="360"/>
      <w:jc w:val="center"/>
    </w:pPr>
    <w:rPr>
      <w:i/>
    </w:rPr>
  </w:style>
  <w:style w:type="paragraph" w:customStyle="1" w:styleId="Titreobjet">
    <w:name w:val="Titre objet"/>
    <w:basedOn w:val="Normal"/>
    <w:next w:val="Sous-titreobjet"/>
    <w:uiPriority w:val="99"/>
    <w:rsid w:val="007D53B6"/>
    <w:pPr>
      <w:spacing w:before="360" w:after="360"/>
      <w:jc w:val="center"/>
    </w:pPr>
    <w:rPr>
      <w:b/>
    </w:rPr>
  </w:style>
  <w:style w:type="paragraph" w:customStyle="1" w:styleId="Typedudocument">
    <w:name w:val="Type du document"/>
    <w:basedOn w:val="Normal"/>
    <w:next w:val="Titreobjet"/>
    <w:uiPriority w:val="99"/>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uiPriority w:val="99"/>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character" w:customStyle="1" w:styleId="Heading5Char">
    <w:name w:val="Heading 5 Char"/>
    <w:basedOn w:val="DefaultParagraphFont"/>
    <w:link w:val="Heading5"/>
    <w:uiPriority w:val="99"/>
    <w:semiHidden/>
    <w:rsid w:val="006B00A6"/>
    <w:rPr>
      <w:rFonts w:ascii="Arial" w:eastAsia="Times New Roman" w:hAnsi="Arial" w:cs="Times New Roman"/>
      <w:b/>
      <w:sz w:val="20"/>
      <w:szCs w:val="20"/>
      <w:lang w:val="en-GB" w:eastAsia="zh-CN"/>
    </w:rPr>
  </w:style>
  <w:style w:type="character" w:customStyle="1" w:styleId="Heading6Char">
    <w:name w:val="Heading 6 Char"/>
    <w:basedOn w:val="DefaultParagraphFont"/>
    <w:link w:val="Heading6"/>
    <w:uiPriority w:val="99"/>
    <w:semiHidden/>
    <w:rsid w:val="006B00A6"/>
    <w:rPr>
      <w:rFonts w:ascii="Arial" w:eastAsia="Times New Roman" w:hAnsi="Arial" w:cs="Times New Roman"/>
      <w:sz w:val="20"/>
      <w:szCs w:val="20"/>
      <w:lang w:val="en-GB" w:eastAsia="zh-CN"/>
    </w:rPr>
  </w:style>
  <w:style w:type="character" w:customStyle="1" w:styleId="Heading7Char">
    <w:name w:val="Heading 7 Char"/>
    <w:basedOn w:val="DefaultParagraphFont"/>
    <w:link w:val="Heading7"/>
    <w:uiPriority w:val="99"/>
    <w:semiHidden/>
    <w:rsid w:val="006B00A6"/>
    <w:rPr>
      <w:rFonts w:ascii="Times New Roman" w:eastAsia="Times New Roman" w:hAnsi="Times New Roman" w:cs="Times New Roman"/>
      <w:i/>
      <w:sz w:val="20"/>
      <w:szCs w:val="24"/>
      <w:lang w:val="en-GB"/>
    </w:rPr>
  </w:style>
  <w:style w:type="character" w:customStyle="1" w:styleId="Heading8Char">
    <w:name w:val="Heading 8 Char"/>
    <w:basedOn w:val="DefaultParagraphFont"/>
    <w:link w:val="Heading8"/>
    <w:uiPriority w:val="99"/>
    <w:semiHidden/>
    <w:rsid w:val="006B00A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semiHidden/>
    <w:rsid w:val="006B00A6"/>
    <w:rPr>
      <w:rFonts w:ascii="Arial" w:eastAsia="Times New Roman" w:hAnsi="Arial" w:cs="Arial"/>
      <w:lang w:val="en-GB"/>
    </w:rPr>
  </w:style>
  <w:style w:type="character" w:styleId="FollowedHyperlink">
    <w:name w:val="FollowedHyperlink"/>
    <w:basedOn w:val="DefaultParagraphFont"/>
    <w:uiPriority w:val="99"/>
    <w:semiHidden/>
    <w:unhideWhenUsed/>
    <w:rsid w:val="006B00A6"/>
    <w:rPr>
      <w:color w:val="800080" w:themeColor="followedHyperlink"/>
      <w:u w:val="single"/>
    </w:rPr>
  </w:style>
  <w:style w:type="character" w:styleId="Emphasis">
    <w:name w:val="Emphasis"/>
    <w:basedOn w:val="DefaultParagraphFont"/>
    <w:uiPriority w:val="20"/>
    <w:qFormat/>
    <w:rsid w:val="006B00A6"/>
    <w:rPr>
      <w:i/>
      <w:iCs/>
      <w:vanish/>
      <w:webHidden w:val="0"/>
      <w:color w:val="0099CC"/>
      <w:specVanish/>
    </w:rPr>
  </w:style>
  <w:style w:type="paragraph" w:styleId="NormalWeb">
    <w:name w:val="Normal (Web)"/>
    <w:basedOn w:val="Normal"/>
    <w:uiPriority w:val="99"/>
    <w:semiHidden/>
    <w:unhideWhenUsed/>
    <w:rsid w:val="006B00A6"/>
    <w:pPr>
      <w:spacing w:after="30" w:line="432" w:lineRule="atLeast"/>
      <w:ind w:right="30"/>
      <w:jc w:val="left"/>
    </w:pPr>
    <w:rPr>
      <w:rFonts w:eastAsia="Times New Roman"/>
      <w:szCs w:val="24"/>
      <w:lang w:eastAsia="en-GB"/>
    </w:rPr>
  </w:style>
  <w:style w:type="character" w:customStyle="1" w:styleId="FootnoteTextChar1">
    <w:name w:val="Footnote Text Char1"/>
    <w:aliases w:val="Footnote Text_EP-LCA Char1,Footnote Char1,Text Char1,Text_EP-LCA Char1,Char5 Char1,Schriftart: 9 pt Char1,Schriftart: 10 pt Char1,Schriftart: 8 pt Char1,WB-Fußnotentext Char1,fn Char1,Footnotes Char1,Footnote ak Char1,Geneva 9 Char1"/>
    <w:basedOn w:val="DefaultParagraphFont"/>
    <w:uiPriority w:val="99"/>
    <w:semiHidden/>
    <w:rsid w:val="006B00A6"/>
    <w:rPr>
      <w:sz w:val="20"/>
      <w:szCs w:val="20"/>
      <w:lang w:val="en-GB"/>
    </w:rPr>
  </w:style>
  <w:style w:type="paragraph" w:styleId="EndnoteText">
    <w:name w:val="endnote text"/>
    <w:basedOn w:val="Normal"/>
    <w:link w:val="EndnoteTextChar"/>
    <w:uiPriority w:val="99"/>
    <w:semiHidden/>
    <w:unhideWhenUsed/>
    <w:rsid w:val="006B00A6"/>
    <w:pPr>
      <w:spacing w:before="0" w:after="0"/>
    </w:pPr>
    <w:rPr>
      <w:rFonts w:eastAsia="Times New Roman"/>
      <w:sz w:val="20"/>
      <w:szCs w:val="20"/>
    </w:rPr>
  </w:style>
  <w:style w:type="character" w:customStyle="1" w:styleId="EndnoteTextChar">
    <w:name w:val="Endnote Text Char"/>
    <w:basedOn w:val="DefaultParagraphFont"/>
    <w:link w:val="EndnoteText"/>
    <w:uiPriority w:val="99"/>
    <w:semiHidden/>
    <w:rsid w:val="006B00A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B00A6"/>
    <w:pPr>
      <w:spacing w:before="0" w:after="0"/>
      <w:ind w:left="720"/>
      <w:contextualSpacing/>
    </w:pPr>
    <w:rPr>
      <w:rFonts w:eastAsia="Times New Roman"/>
      <w:sz w:val="22"/>
      <w:szCs w:val="24"/>
    </w:rPr>
  </w:style>
  <w:style w:type="paragraph" w:customStyle="1" w:styleId="Tabellentext">
    <w:name w:val="Tabellentext"/>
    <w:basedOn w:val="Normal"/>
    <w:uiPriority w:val="99"/>
    <w:semiHidden/>
    <w:qFormat/>
    <w:rsid w:val="006B00A6"/>
    <w:pPr>
      <w:spacing w:before="40" w:after="40"/>
    </w:pPr>
    <w:rPr>
      <w:rFonts w:ascii="EC Square Sans Pro" w:eastAsia="Times New Roman" w:hAnsi="EC Square Sans Pro"/>
      <w:sz w:val="20"/>
      <w:szCs w:val="24"/>
    </w:rPr>
  </w:style>
  <w:style w:type="paragraph" w:customStyle="1" w:styleId="CM1">
    <w:name w:val="CM1"/>
    <w:basedOn w:val="Default"/>
    <w:next w:val="Default"/>
    <w:uiPriority w:val="99"/>
    <w:semiHidden/>
    <w:rsid w:val="006B00A6"/>
    <w:rPr>
      <w:rFonts w:ascii="EUAlbertina" w:eastAsiaTheme="minorHAnsi" w:hAnsi="EUAlbertina" w:cstheme="minorBidi"/>
      <w:color w:val="auto"/>
      <w:lang w:val="en-GB" w:eastAsia="en-US"/>
    </w:rPr>
  </w:style>
  <w:style w:type="paragraph" w:customStyle="1" w:styleId="CM3">
    <w:name w:val="CM3"/>
    <w:basedOn w:val="Default"/>
    <w:next w:val="Default"/>
    <w:uiPriority w:val="99"/>
    <w:semiHidden/>
    <w:rsid w:val="006B00A6"/>
    <w:rPr>
      <w:rFonts w:ascii="EUAlbertina" w:eastAsiaTheme="minorHAnsi" w:hAnsi="EUAlbertina" w:cstheme="minorBidi"/>
      <w:color w:val="auto"/>
      <w:lang w:val="en-GB" w:eastAsia="en-US"/>
    </w:rPr>
  </w:style>
  <w:style w:type="character" w:styleId="EndnoteReference">
    <w:name w:val="endnote reference"/>
    <w:semiHidden/>
    <w:unhideWhenUsed/>
    <w:rsid w:val="006B00A6"/>
    <w:rPr>
      <w:vertAlign w:val="superscript"/>
    </w:rPr>
  </w:style>
  <w:style w:type="character" w:customStyle="1" w:styleId="skypepnhdropartspan">
    <w:name w:val="skype_pnh_dropart_span"/>
    <w:basedOn w:val="DefaultParagraphFont"/>
    <w:rsid w:val="006B00A6"/>
  </w:style>
  <w:style w:type="character" w:customStyle="1" w:styleId="st1">
    <w:name w:val="st1"/>
    <w:basedOn w:val="DefaultParagraphFont"/>
    <w:rsid w:val="006B00A6"/>
  </w:style>
  <w:style w:type="table" w:styleId="TableGrid">
    <w:name w:val="Table Grid"/>
    <w:basedOn w:val="TableNormal"/>
    <w:rsid w:val="006B00A6"/>
    <w:pPr>
      <w:spacing w:after="0" w:line="240" w:lineRule="auto"/>
      <w:jc w:val="center"/>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sz w:val="20"/>
        <w:szCs w:val="20"/>
      </w:rPr>
    </w:tblStylePr>
  </w:style>
  <w:style w:type="table" w:customStyle="1" w:styleId="Listamedia11">
    <w:name w:val="Lista media 11"/>
    <w:basedOn w:val="TableNormal"/>
    <w:uiPriority w:val="65"/>
    <w:rsid w:val="006B00A6"/>
    <w:pPr>
      <w:spacing w:after="0" w:line="240" w:lineRule="auto"/>
    </w:pPr>
    <w:rPr>
      <w:rFonts w:ascii="Times New Roman" w:eastAsia="Times New Roman" w:hAnsi="Times New Roman" w:cs="Times New Roman"/>
      <w:color w:val="000000"/>
      <w:sz w:val="20"/>
      <w:szCs w:val="20"/>
      <w:lang w:val="it-IT" w:eastAsia="it-IT"/>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line="240" w:lineRule="auto"/>
      <w:jc w:val="both"/>
    </w:pPr>
    <w:rPr>
      <w:rFonts w:ascii="Times New Roman" w:hAnsi="Times New Roman" w:cs="Times New Roman"/>
      <w:sz w:val="24"/>
      <w:lang w:val="en-GB"/>
    </w:rPr>
  </w:style>
  <w:style w:type="paragraph" w:styleId="Heading1">
    <w:name w:val="heading 1"/>
    <w:basedOn w:val="Normal"/>
    <w:next w:val="Text1"/>
    <w:link w:val="Heading1Char"/>
    <w:uiPriority w:val="99"/>
    <w:qFormat/>
    <w:rsid w:val="007D53B6"/>
    <w:pPr>
      <w:keepNext/>
      <w:numPr>
        <w:numId w:val="17"/>
      </w:numPr>
      <w:spacing w:before="360"/>
      <w:outlineLvl w:val="0"/>
    </w:pPr>
    <w:rPr>
      <w:rFonts w:eastAsiaTheme="majorEastAsia"/>
      <w:b/>
      <w:bCs/>
      <w:smallCaps/>
      <w:szCs w:val="28"/>
    </w:rPr>
  </w:style>
  <w:style w:type="paragraph" w:styleId="Heading2">
    <w:name w:val="heading 2"/>
    <w:basedOn w:val="Normal"/>
    <w:next w:val="Text1"/>
    <w:link w:val="Heading2Char"/>
    <w:uiPriority w:val="99"/>
    <w:semiHidden/>
    <w:unhideWhenUsed/>
    <w:qFormat/>
    <w:rsid w:val="007D53B6"/>
    <w:pPr>
      <w:keepNext/>
      <w:numPr>
        <w:ilvl w:val="1"/>
        <w:numId w:val="17"/>
      </w:numPr>
      <w:outlineLvl w:val="1"/>
    </w:pPr>
    <w:rPr>
      <w:rFonts w:eastAsiaTheme="majorEastAsia"/>
      <w:b/>
      <w:bCs/>
      <w:szCs w:val="26"/>
    </w:rPr>
  </w:style>
  <w:style w:type="paragraph" w:styleId="Heading3">
    <w:name w:val="heading 3"/>
    <w:basedOn w:val="Normal"/>
    <w:next w:val="Text1"/>
    <w:link w:val="Heading3Char"/>
    <w:uiPriority w:val="99"/>
    <w:semiHidden/>
    <w:unhideWhenUsed/>
    <w:qFormat/>
    <w:rsid w:val="007D53B6"/>
    <w:pPr>
      <w:keepNext/>
      <w:numPr>
        <w:ilvl w:val="2"/>
        <w:numId w:val="17"/>
      </w:numPr>
      <w:outlineLvl w:val="2"/>
    </w:pPr>
    <w:rPr>
      <w:rFonts w:eastAsiaTheme="majorEastAsia"/>
      <w:bCs/>
      <w:i/>
    </w:rPr>
  </w:style>
  <w:style w:type="paragraph" w:styleId="Heading4">
    <w:name w:val="heading 4"/>
    <w:basedOn w:val="Normal"/>
    <w:next w:val="Text1"/>
    <w:link w:val="Heading4Char"/>
    <w:uiPriority w:val="99"/>
    <w:semiHidden/>
    <w:unhideWhenUsed/>
    <w:qFormat/>
    <w:rsid w:val="007D53B6"/>
    <w:pPr>
      <w:keepNext/>
      <w:numPr>
        <w:ilvl w:val="3"/>
        <w:numId w:val="17"/>
      </w:numPr>
      <w:outlineLvl w:val="3"/>
    </w:pPr>
    <w:rPr>
      <w:rFonts w:eastAsiaTheme="majorEastAsia"/>
      <w:bCs/>
      <w:iCs/>
    </w:rPr>
  </w:style>
  <w:style w:type="paragraph" w:styleId="Heading5">
    <w:name w:val="heading 5"/>
    <w:basedOn w:val="Normal"/>
    <w:next w:val="Normal"/>
    <w:link w:val="Heading5Char"/>
    <w:uiPriority w:val="99"/>
    <w:semiHidden/>
    <w:unhideWhenUsed/>
    <w:qFormat/>
    <w:rsid w:val="006B00A6"/>
    <w:pPr>
      <w:keepNext/>
      <w:tabs>
        <w:tab w:val="num" w:pos="1418"/>
        <w:tab w:val="left" w:pos="1701"/>
      </w:tabs>
      <w:spacing w:before="0" w:after="0"/>
      <w:ind w:left="1418" w:hanging="1418"/>
      <w:jc w:val="left"/>
      <w:outlineLvl w:val="4"/>
    </w:pPr>
    <w:rPr>
      <w:rFonts w:ascii="Arial" w:eastAsia="Times New Roman" w:hAnsi="Arial"/>
      <w:b/>
      <w:sz w:val="20"/>
      <w:szCs w:val="20"/>
      <w:lang w:eastAsia="zh-CN"/>
    </w:rPr>
  </w:style>
  <w:style w:type="paragraph" w:styleId="Heading6">
    <w:name w:val="heading 6"/>
    <w:basedOn w:val="Normal"/>
    <w:next w:val="Normal"/>
    <w:link w:val="Heading6Char"/>
    <w:uiPriority w:val="99"/>
    <w:semiHidden/>
    <w:unhideWhenUsed/>
    <w:qFormat/>
    <w:rsid w:val="006B00A6"/>
    <w:pPr>
      <w:keepNext/>
      <w:tabs>
        <w:tab w:val="num" w:pos="1843"/>
        <w:tab w:val="left" w:pos="1985"/>
      </w:tabs>
      <w:spacing w:before="0" w:after="0"/>
      <w:ind w:left="1843" w:hanging="1843"/>
      <w:jc w:val="left"/>
      <w:outlineLvl w:val="5"/>
    </w:pPr>
    <w:rPr>
      <w:rFonts w:ascii="Arial" w:eastAsia="Times New Roman" w:hAnsi="Arial"/>
      <w:sz w:val="20"/>
      <w:szCs w:val="20"/>
      <w:lang w:eastAsia="zh-CN"/>
    </w:rPr>
  </w:style>
  <w:style w:type="paragraph" w:styleId="Heading7">
    <w:name w:val="heading 7"/>
    <w:basedOn w:val="Normal"/>
    <w:next w:val="Normal"/>
    <w:link w:val="Heading7Char"/>
    <w:uiPriority w:val="99"/>
    <w:semiHidden/>
    <w:unhideWhenUsed/>
    <w:qFormat/>
    <w:rsid w:val="006B00A6"/>
    <w:pPr>
      <w:tabs>
        <w:tab w:val="num" w:pos="1296"/>
        <w:tab w:val="left" w:pos="2268"/>
      </w:tabs>
      <w:spacing w:before="0" w:after="0"/>
      <w:ind w:left="1296" w:hanging="1296"/>
      <w:outlineLvl w:val="6"/>
    </w:pPr>
    <w:rPr>
      <w:rFonts w:eastAsia="Times New Roman"/>
      <w:i/>
      <w:sz w:val="20"/>
      <w:szCs w:val="24"/>
    </w:rPr>
  </w:style>
  <w:style w:type="paragraph" w:styleId="Heading8">
    <w:name w:val="heading 8"/>
    <w:basedOn w:val="Normal"/>
    <w:next w:val="Normal"/>
    <w:link w:val="Heading8Char"/>
    <w:uiPriority w:val="99"/>
    <w:semiHidden/>
    <w:unhideWhenUsed/>
    <w:qFormat/>
    <w:rsid w:val="006B00A6"/>
    <w:pPr>
      <w:tabs>
        <w:tab w:val="num" w:pos="1440"/>
      </w:tabs>
      <w:spacing w:before="240" w:after="60"/>
      <w:ind w:left="1440" w:hanging="1440"/>
      <w:outlineLvl w:val="7"/>
    </w:pPr>
    <w:rPr>
      <w:rFonts w:eastAsia="Times New Roman"/>
      <w:i/>
      <w:iCs/>
      <w:szCs w:val="24"/>
    </w:rPr>
  </w:style>
  <w:style w:type="paragraph" w:styleId="Heading9">
    <w:name w:val="heading 9"/>
    <w:basedOn w:val="Normal"/>
    <w:next w:val="Normal"/>
    <w:link w:val="Heading9Char"/>
    <w:uiPriority w:val="99"/>
    <w:semiHidden/>
    <w:unhideWhenUsed/>
    <w:qFormat/>
    <w:rsid w:val="006B00A6"/>
    <w:pPr>
      <w:tabs>
        <w:tab w:val="num" w:pos="1584"/>
      </w:tabs>
      <w:spacing w:before="240" w:after="60"/>
      <w:ind w:left="1584" w:hanging="1584"/>
      <w:outlineLvl w:val="8"/>
    </w:pPr>
    <w:rPr>
      <w:rFonts w:ascii="Arial" w:eastAsia="Times New Roman"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A7256"/>
    <w:rPr>
      <w:b/>
      <w:bCs/>
    </w:rPr>
  </w:style>
  <w:style w:type="paragraph" w:customStyle="1" w:styleId="Default">
    <w:name w:val="Default"/>
    <w:uiPriority w:val="99"/>
    <w:rsid w:val="001A7256"/>
    <w:pPr>
      <w:autoSpaceDE w:val="0"/>
      <w:autoSpaceDN w:val="0"/>
      <w:adjustRightInd w:val="0"/>
      <w:spacing w:after="0" w:line="240" w:lineRule="auto"/>
    </w:pPr>
    <w:rPr>
      <w:rFonts w:ascii="Trebuchet MS" w:eastAsia="Times New Roman" w:hAnsi="Trebuchet MS" w:cs="Trebuchet MS"/>
      <w:color w:val="000000"/>
      <w:sz w:val="24"/>
      <w:szCs w:val="24"/>
      <w:lang w:val="es-ES" w:eastAsia="es-ES"/>
    </w:rPr>
  </w:style>
  <w:style w:type="paragraph" w:customStyle="1" w:styleId="CM4">
    <w:name w:val="CM4"/>
    <w:basedOn w:val="Default"/>
    <w:next w:val="Default"/>
    <w:uiPriority w:val="99"/>
    <w:rsid w:val="001A7256"/>
    <w:rPr>
      <w:rFonts w:ascii="EUAlbertina" w:hAnsi="EUAlbertina" w:cs="Times New Roman"/>
      <w:color w:val="auto"/>
      <w:lang w:val="en-GB" w:eastAsia="en-GB"/>
    </w:rPr>
  </w:style>
  <w:style w:type="paragraph" w:styleId="ListBullet">
    <w:name w:val="List Bullet"/>
    <w:basedOn w:val="Normal"/>
    <w:uiPriority w:val="99"/>
    <w:semiHidden/>
    <w:unhideWhenUsed/>
    <w:rsid w:val="008370A4"/>
    <w:pPr>
      <w:numPr>
        <w:numId w:val="2"/>
      </w:numPr>
      <w:contextualSpacing/>
    </w:pPr>
  </w:style>
  <w:style w:type="paragraph" w:styleId="ListBullet2">
    <w:name w:val="List Bullet 2"/>
    <w:basedOn w:val="Normal"/>
    <w:uiPriority w:val="99"/>
    <w:semiHidden/>
    <w:unhideWhenUsed/>
    <w:rsid w:val="008370A4"/>
    <w:pPr>
      <w:numPr>
        <w:numId w:val="3"/>
      </w:numPr>
      <w:contextualSpacing/>
    </w:pPr>
  </w:style>
  <w:style w:type="paragraph" w:styleId="ListBullet3">
    <w:name w:val="List Bullet 3"/>
    <w:basedOn w:val="Normal"/>
    <w:uiPriority w:val="99"/>
    <w:semiHidden/>
    <w:unhideWhenUsed/>
    <w:rsid w:val="008370A4"/>
    <w:pPr>
      <w:numPr>
        <w:numId w:val="4"/>
      </w:numPr>
      <w:contextualSpacing/>
    </w:pPr>
  </w:style>
  <w:style w:type="paragraph" w:styleId="ListBullet4">
    <w:name w:val="List Bullet 4"/>
    <w:basedOn w:val="Normal"/>
    <w:uiPriority w:val="99"/>
    <w:semiHidden/>
    <w:unhideWhenUsed/>
    <w:rsid w:val="008370A4"/>
    <w:pPr>
      <w:numPr>
        <w:numId w:val="5"/>
      </w:numPr>
      <w:contextualSpacing/>
    </w:pPr>
  </w:style>
  <w:style w:type="paragraph" w:styleId="Caption">
    <w:name w:val="caption"/>
    <w:basedOn w:val="Normal"/>
    <w:next w:val="Normal"/>
    <w:uiPriority w:val="35"/>
    <w:semiHidden/>
    <w:unhideWhenUsed/>
    <w:qFormat/>
    <w:rsid w:val="008C068B"/>
    <w:pPr>
      <w:spacing w:before="0" w:after="200"/>
    </w:pPr>
    <w:rPr>
      <w:b/>
      <w:bCs/>
      <w:color w:val="4F81BD" w:themeColor="accent1"/>
      <w:sz w:val="18"/>
      <w:szCs w:val="18"/>
    </w:rPr>
  </w:style>
  <w:style w:type="paragraph" w:styleId="TableofFigures">
    <w:name w:val="table of figures"/>
    <w:basedOn w:val="Normal"/>
    <w:next w:val="Normal"/>
    <w:uiPriority w:val="99"/>
    <w:semiHidden/>
    <w:unhideWhenUsed/>
    <w:rsid w:val="008C068B"/>
    <w:pPr>
      <w:spacing w:after="0"/>
    </w:pPr>
  </w:style>
  <w:style w:type="paragraph" w:styleId="ListNumber">
    <w:name w:val="List Number"/>
    <w:basedOn w:val="Normal"/>
    <w:uiPriority w:val="99"/>
    <w:semiHidden/>
    <w:unhideWhenUsed/>
    <w:rsid w:val="008C068B"/>
    <w:pPr>
      <w:numPr>
        <w:numId w:val="6"/>
      </w:numPr>
      <w:contextualSpacing/>
    </w:pPr>
  </w:style>
  <w:style w:type="paragraph" w:styleId="ListNumber2">
    <w:name w:val="List Number 2"/>
    <w:basedOn w:val="Normal"/>
    <w:uiPriority w:val="99"/>
    <w:semiHidden/>
    <w:unhideWhenUsed/>
    <w:rsid w:val="008C068B"/>
    <w:pPr>
      <w:numPr>
        <w:numId w:val="7"/>
      </w:numPr>
      <w:contextualSpacing/>
    </w:pPr>
  </w:style>
  <w:style w:type="paragraph" w:styleId="ListNumber3">
    <w:name w:val="List Number 3"/>
    <w:basedOn w:val="Normal"/>
    <w:uiPriority w:val="99"/>
    <w:semiHidden/>
    <w:unhideWhenUsed/>
    <w:rsid w:val="008C068B"/>
    <w:pPr>
      <w:numPr>
        <w:numId w:val="8"/>
      </w:numPr>
      <w:contextualSpacing/>
    </w:pPr>
  </w:style>
  <w:style w:type="paragraph" w:styleId="ListNumber4">
    <w:name w:val="List Number 4"/>
    <w:basedOn w:val="Normal"/>
    <w:uiPriority w:val="99"/>
    <w:semiHidden/>
    <w:unhideWhenUsed/>
    <w:rsid w:val="008C068B"/>
    <w:pPr>
      <w:numPr>
        <w:numId w:val="9"/>
      </w:numPr>
      <w:contextualSpacing/>
    </w:pPr>
  </w:style>
  <w:style w:type="character" w:styleId="CommentReference">
    <w:name w:val="annotation reference"/>
    <w:basedOn w:val="DefaultParagraphFont"/>
    <w:uiPriority w:val="99"/>
    <w:semiHidden/>
    <w:unhideWhenUsed/>
    <w:rsid w:val="00281334"/>
    <w:rPr>
      <w:sz w:val="16"/>
      <w:szCs w:val="16"/>
    </w:rPr>
  </w:style>
  <w:style w:type="paragraph" w:styleId="CommentText">
    <w:name w:val="annotation text"/>
    <w:basedOn w:val="Normal"/>
    <w:link w:val="CommentTextChar"/>
    <w:uiPriority w:val="99"/>
    <w:semiHidden/>
    <w:unhideWhenUsed/>
    <w:rsid w:val="00281334"/>
    <w:rPr>
      <w:sz w:val="20"/>
      <w:szCs w:val="20"/>
    </w:rPr>
  </w:style>
  <w:style w:type="character" w:customStyle="1" w:styleId="CommentTextChar">
    <w:name w:val="Comment Text Char"/>
    <w:basedOn w:val="DefaultParagraphFont"/>
    <w:link w:val="CommentText"/>
    <w:uiPriority w:val="99"/>
    <w:semiHidden/>
    <w:rsid w:val="00281334"/>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281334"/>
    <w:rPr>
      <w:b/>
      <w:bCs/>
    </w:rPr>
  </w:style>
  <w:style w:type="character" w:customStyle="1" w:styleId="CommentSubjectChar">
    <w:name w:val="Comment Subject Char"/>
    <w:basedOn w:val="CommentTextChar"/>
    <w:link w:val="CommentSubject"/>
    <w:uiPriority w:val="99"/>
    <w:semiHidden/>
    <w:rsid w:val="00281334"/>
    <w:rPr>
      <w:rFonts w:ascii="Times New Roman" w:hAnsi="Times New Roman" w:cs="Times New Roman"/>
      <w:b/>
      <w:bCs/>
      <w:sz w:val="20"/>
      <w:szCs w:val="20"/>
      <w:lang w:val="en-GB"/>
    </w:rPr>
  </w:style>
  <w:style w:type="character" w:styleId="Hyperlink">
    <w:name w:val="Hyperlink"/>
    <w:basedOn w:val="DefaultParagraphFont"/>
    <w:uiPriority w:val="99"/>
    <w:unhideWhenUsed/>
    <w:rsid w:val="00281334"/>
    <w:rPr>
      <w:color w:val="0000FF" w:themeColor="hyperlink"/>
      <w:u w:val="single"/>
    </w:rPr>
  </w:style>
  <w:style w:type="paragraph" w:styleId="BalloonText">
    <w:name w:val="Balloon Text"/>
    <w:basedOn w:val="Normal"/>
    <w:link w:val="BalloonTextChar"/>
    <w:uiPriority w:val="99"/>
    <w:semiHidden/>
    <w:unhideWhenUsed/>
    <w:rsid w:val="002813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1334"/>
    <w:rPr>
      <w:rFonts w:ascii="Tahoma" w:hAnsi="Tahoma" w:cs="Tahoma"/>
      <w:sz w:val="16"/>
      <w:szCs w:val="16"/>
      <w:lang w:val="en-GB"/>
    </w:rPr>
  </w:style>
  <w:style w:type="paragraph" w:styleId="Revision">
    <w:name w:val="Revision"/>
    <w:hidden/>
    <w:uiPriority w:val="99"/>
    <w:semiHidden/>
    <w:rsid w:val="00EC7D06"/>
    <w:pPr>
      <w:spacing w:after="0" w:line="240" w:lineRule="auto"/>
    </w:pPr>
    <w:rPr>
      <w:rFonts w:ascii="Times New Roman" w:hAnsi="Times New Roman" w:cs="Times New Roman"/>
      <w:sz w:val="24"/>
      <w:lang w:val="en-GB"/>
    </w:rPr>
  </w:style>
  <w:style w:type="paragraph" w:styleId="Header">
    <w:name w:val="header"/>
    <w:basedOn w:val="Normal"/>
    <w:link w:val="HeaderChar"/>
    <w:uiPriority w:val="99"/>
    <w:unhideWhenUsed/>
    <w:rsid w:val="007D53B6"/>
    <w:pPr>
      <w:tabs>
        <w:tab w:val="center" w:pos="4535"/>
        <w:tab w:val="right" w:pos="9071"/>
      </w:tabs>
      <w:spacing w:before="0"/>
    </w:pPr>
  </w:style>
  <w:style w:type="character" w:customStyle="1" w:styleId="HeaderChar">
    <w:name w:val="Header Char"/>
    <w:basedOn w:val="DefaultParagraphFont"/>
    <w:link w:val="Header"/>
    <w:uiPriority w:val="99"/>
    <w:rsid w:val="007D53B6"/>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sid w:val="007D53B6"/>
    <w:rPr>
      <w:rFonts w:ascii="Times New Roman" w:hAnsi="Times New Roman" w:cs="Times New Roman"/>
      <w:sz w:val="24"/>
      <w:shd w:val="clear" w:color="auto" w:fill="auto"/>
      <w:lang w:val="en-GB"/>
    </w:rPr>
  </w:style>
  <w:style w:type="paragraph" w:styleId="FootnoteText">
    <w:name w:val="footnote text"/>
    <w:aliases w:val="Footnote Text_EP-LCA,Footnote,Text,Text_EP-LCA,Char5,Schriftart: 9 pt,Schriftart: 10 pt,Schriftart: 8 pt,WB-Fußnotentext,fn,Footnotes,Footnote ak,Geneva 9,Font: Geneva 9,Boston 10,f,Footnotetext,f Char Char,f Char,Footnote Text Char Char"/>
    <w:basedOn w:val="Normal"/>
    <w:link w:val="FootnoteTextChar"/>
    <w:uiPriority w:val="99"/>
    <w:semiHidden/>
    <w:unhideWhenUsed/>
    <w:rsid w:val="007D53B6"/>
    <w:pPr>
      <w:spacing w:before="0" w:after="0"/>
      <w:ind w:left="720" w:hanging="720"/>
    </w:pPr>
    <w:rPr>
      <w:sz w:val="20"/>
      <w:szCs w:val="20"/>
    </w:rPr>
  </w:style>
  <w:style w:type="character" w:customStyle="1" w:styleId="FootnoteTextChar">
    <w:name w:val="Footnote Text Char"/>
    <w:aliases w:val="Footnote Text_EP-LCA Char,Footnote Char,Text Char,Text_EP-LCA Char,Char5 Char,Schriftart: 9 pt Char,Schriftart: 10 pt Char,Schriftart: 8 pt Char,WB-Fußnotentext Char,fn Char,Footnotes Char,Footnote ak Char,Geneva 9 Char,Boston 10 Char"/>
    <w:basedOn w:val="DefaultParagraphFont"/>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9"/>
    <w:rsid w:val="007D53B6"/>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9"/>
    <w:semiHidden/>
    <w:rsid w:val="007D53B6"/>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9"/>
    <w:semiHidden/>
    <w:rsid w:val="007D53B6"/>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9"/>
    <w:semiHidden/>
    <w:rsid w:val="007D53B6"/>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7D53B6"/>
    <w:pPr>
      <w:tabs>
        <w:tab w:val="center" w:pos="7285"/>
        <w:tab w:val="right" w:pos="14003"/>
      </w:tabs>
      <w:spacing w:before="0"/>
    </w:p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aliases w:val="FootnoteStyle,stylish,number,SUPERS,Footnote symbol,Times 10 Point,Exposant 3 Point,Ref,de nota al pie,Footnote reference number,note TESI,EN Footnote Reference,-E Fußnotenzeichen,Source Reference,no...,Footnote number,footnote ref,FR"/>
    <w:basedOn w:val="DefaultParagraphFont"/>
    <w:uiPriority w:val="99"/>
    <w:semiHidden/>
    <w:unhideWhenUsed/>
    <w:rsid w:val="007D53B6"/>
    <w:rPr>
      <w:shd w:val="clear" w:color="auto" w:fill="auto"/>
      <w:vertAlign w:val="superscript"/>
    </w:rPr>
  </w:style>
  <w:style w:type="paragraph" w:customStyle="1" w:styleId="Text1">
    <w:name w:val="Text 1"/>
    <w:basedOn w:val="Normal"/>
    <w:uiPriority w:val="99"/>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1"/>
      </w:numPr>
    </w:pPr>
  </w:style>
  <w:style w:type="paragraph" w:customStyle="1" w:styleId="Tiret1">
    <w:name w:val="Tiret 1"/>
    <w:basedOn w:val="Point1"/>
    <w:rsid w:val="007D53B6"/>
    <w:pPr>
      <w:numPr>
        <w:numId w:val="12"/>
      </w:numPr>
    </w:pPr>
  </w:style>
  <w:style w:type="paragraph" w:customStyle="1" w:styleId="Tiret2">
    <w:name w:val="Tiret 2"/>
    <w:basedOn w:val="Point2"/>
    <w:rsid w:val="007D53B6"/>
    <w:pPr>
      <w:numPr>
        <w:numId w:val="13"/>
      </w:numPr>
    </w:pPr>
  </w:style>
  <w:style w:type="paragraph" w:customStyle="1" w:styleId="Tiret3">
    <w:name w:val="Tiret 3"/>
    <w:basedOn w:val="Point3"/>
    <w:rsid w:val="007D53B6"/>
    <w:pPr>
      <w:numPr>
        <w:numId w:val="14"/>
      </w:numPr>
    </w:pPr>
  </w:style>
  <w:style w:type="paragraph" w:customStyle="1" w:styleId="Tiret4">
    <w:name w:val="Tiret 4"/>
    <w:basedOn w:val="Point4"/>
    <w:rsid w:val="007D53B6"/>
    <w:pPr>
      <w:numPr>
        <w:numId w:val="15"/>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uiPriority w:val="99"/>
    <w:rsid w:val="007D53B6"/>
    <w:pPr>
      <w:numPr>
        <w:numId w:val="16"/>
      </w:numPr>
    </w:pPr>
  </w:style>
  <w:style w:type="paragraph" w:customStyle="1" w:styleId="NumPar2">
    <w:name w:val="NumPar 2"/>
    <w:basedOn w:val="Normal"/>
    <w:next w:val="Text1"/>
    <w:rsid w:val="007D53B6"/>
    <w:pPr>
      <w:numPr>
        <w:ilvl w:val="1"/>
        <w:numId w:val="16"/>
      </w:numPr>
    </w:pPr>
  </w:style>
  <w:style w:type="paragraph" w:customStyle="1" w:styleId="NumPar3">
    <w:name w:val="NumPar 3"/>
    <w:basedOn w:val="Normal"/>
    <w:next w:val="Text1"/>
    <w:rsid w:val="007D53B6"/>
    <w:pPr>
      <w:numPr>
        <w:ilvl w:val="2"/>
        <w:numId w:val="16"/>
      </w:numPr>
    </w:pPr>
  </w:style>
  <w:style w:type="paragraph" w:customStyle="1" w:styleId="NumPar4">
    <w:name w:val="NumPar 4"/>
    <w:basedOn w:val="Normal"/>
    <w:next w:val="Text1"/>
    <w:rsid w:val="007D53B6"/>
    <w:pPr>
      <w:numPr>
        <w:ilvl w:val="3"/>
        <w:numId w:val="16"/>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basedOn w:val="DefaultParagraphFont"/>
    <w:rsid w:val="007D53B6"/>
    <w:rPr>
      <w:color w:val="0000FF"/>
      <w:shd w:val="clear" w:color="auto" w:fill="auto"/>
    </w:rPr>
  </w:style>
  <w:style w:type="character" w:customStyle="1" w:styleId="Marker1">
    <w:name w:val="Marker1"/>
    <w:basedOn w:val="DefaultParagraphFont"/>
    <w:rsid w:val="007D53B6"/>
    <w:rPr>
      <w:color w:val="008000"/>
      <w:shd w:val="clear" w:color="auto" w:fill="auto"/>
    </w:rPr>
  </w:style>
  <w:style w:type="character" w:customStyle="1" w:styleId="Marker2">
    <w:name w:val="Marker2"/>
    <w:basedOn w:val="DefaultParagraphFont"/>
    <w:uiPriority w:val="99"/>
    <w:rsid w:val="007D53B6"/>
    <w:rPr>
      <w:color w:val="FF0000"/>
      <w:shd w:val="clear" w:color="auto" w:fill="auto"/>
    </w:rPr>
  </w:style>
  <w:style w:type="paragraph" w:customStyle="1" w:styleId="Point0number">
    <w:name w:val="Point 0 (number)"/>
    <w:basedOn w:val="Normal"/>
    <w:rsid w:val="007D53B6"/>
    <w:pPr>
      <w:numPr>
        <w:numId w:val="18"/>
      </w:numPr>
    </w:pPr>
  </w:style>
  <w:style w:type="paragraph" w:customStyle="1" w:styleId="Point1number">
    <w:name w:val="Point 1 (number)"/>
    <w:basedOn w:val="Normal"/>
    <w:rsid w:val="007D53B6"/>
    <w:pPr>
      <w:numPr>
        <w:ilvl w:val="2"/>
        <w:numId w:val="18"/>
      </w:numPr>
    </w:pPr>
  </w:style>
  <w:style w:type="paragraph" w:customStyle="1" w:styleId="Point2number">
    <w:name w:val="Point 2 (number)"/>
    <w:basedOn w:val="Normal"/>
    <w:rsid w:val="007D53B6"/>
    <w:pPr>
      <w:numPr>
        <w:ilvl w:val="4"/>
        <w:numId w:val="18"/>
      </w:numPr>
    </w:pPr>
  </w:style>
  <w:style w:type="paragraph" w:customStyle="1" w:styleId="Point3number">
    <w:name w:val="Point 3 (number)"/>
    <w:basedOn w:val="Normal"/>
    <w:rsid w:val="007D53B6"/>
    <w:pPr>
      <w:numPr>
        <w:ilvl w:val="6"/>
        <w:numId w:val="18"/>
      </w:numPr>
    </w:pPr>
  </w:style>
  <w:style w:type="paragraph" w:customStyle="1" w:styleId="Point0letter">
    <w:name w:val="Point 0 (letter)"/>
    <w:basedOn w:val="Normal"/>
    <w:rsid w:val="007D53B6"/>
    <w:pPr>
      <w:numPr>
        <w:ilvl w:val="1"/>
        <w:numId w:val="18"/>
      </w:numPr>
    </w:pPr>
  </w:style>
  <w:style w:type="paragraph" w:customStyle="1" w:styleId="Point1letter">
    <w:name w:val="Point 1 (letter)"/>
    <w:basedOn w:val="Normal"/>
    <w:uiPriority w:val="99"/>
    <w:rsid w:val="007D53B6"/>
    <w:pPr>
      <w:numPr>
        <w:ilvl w:val="3"/>
        <w:numId w:val="18"/>
      </w:numPr>
    </w:pPr>
  </w:style>
  <w:style w:type="paragraph" w:customStyle="1" w:styleId="Point2letter">
    <w:name w:val="Point 2 (letter)"/>
    <w:basedOn w:val="Normal"/>
    <w:rsid w:val="007D53B6"/>
    <w:pPr>
      <w:numPr>
        <w:ilvl w:val="5"/>
        <w:numId w:val="18"/>
      </w:numPr>
    </w:pPr>
  </w:style>
  <w:style w:type="paragraph" w:customStyle="1" w:styleId="Point3letter">
    <w:name w:val="Point 3 (letter)"/>
    <w:basedOn w:val="Normal"/>
    <w:rsid w:val="007D53B6"/>
    <w:pPr>
      <w:numPr>
        <w:ilvl w:val="7"/>
        <w:numId w:val="18"/>
      </w:numPr>
    </w:pPr>
  </w:style>
  <w:style w:type="paragraph" w:customStyle="1" w:styleId="Point4letter">
    <w:name w:val="Point 4 (letter)"/>
    <w:basedOn w:val="Normal"/>
    <w:rsid w:val="007D53B6"/>
    <w:pPr>
      <w:numPr>
        <w:ilvl w:val="8"/>
        <w:numId w:val="18"/>
      </w:numPr>
    </w:pPr>
  </w:style>
  <w:style w:type="paragraph" w:customStyle="1" w:styleId="Bullet0">
    <w:name w:val="Bullet 0"/>
    <w:basedOn w:val="Normal"/>
    <w:rsid w:val="007D53B6"/>
    <w:pPr>
      <w:numPr>
        <w:numId w:val="19"/>
      </w:numPr>
    </w:pPr>
  </w:style>
  <w:style w:type="paragraph" w:customStyle="1" w:styleId="Bullet1">
    <w:name w:val="Bullet 1"/>
    <w:basedOn w:val="Normal"/>
    <w:rsid w:val="007D53B6"/>
    <w:pPr>
      <w:numPr>
        <w:numId w:val="20"/>
      </w:numPr>
    </w:pPr>
  </w:style>
  <w:style w:type="paragraph" w:customStyle="1" w:styleId="Bullet2">
    <w:name w:val="Bullet 2"/>
    <w:basedOn w:val="Normal"/>
    <w:rsid w:val="007D53B6"/>
    <w:pPr>
      <w:numPr>
        <w:numId w:val="21"/>
      </w:numPr>
    </w:pPr>
  </w:style>
  <w:style w:type="paragraph" w:customStyle="1" w:styleId="Bullet3">
    <w:name w:val="Bullet 3"/>
    <w:basedOn w:val="Normal"/>
    <w:rsid w:val="007D53B6"/>
    <w:pPr>
      <w:numPr>
        <w:numId w:val="22"/>
      </w:numPr>
    </w:pPr>
  </w:style>
  <w:style w:type="paragraph" w:customStyle="1" w:styleId="Bullet4">
    <w:name w:val="Bullet 4"/>
    <w:basedOn w:val="Normal"/>
    <w:rsid w:val="007D53B6"/>
    <w:pPr>
      <w:numPr>
        <w:numId w:val="23"/>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uiPriority w:val="99"/>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uiPriority w:val="99"/>
    <w:rsid w:val="007D53B6"/>
    <w:pPr>
      <w:numPr>
        <w:numId w:val="24"/>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uiPriority w:val="99"/>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uiPriority w:val="99"/>
    <w:rsid w:val="007D53B6"/>
    <w:pPr>
      <w:keepNext/>
      <w:spacing w:after="0"/>
    </w:pPr>
  </w:style>
  <w:style w:type="paragraph" w:customStyle="1" w:styleId="Formuledadoption">
    <w:name w:val="Formule d'adoption"/>
    <w:basedOn w:val="Normal"/>
    <w:next w:val="Titrearticle"/>
    <w:uiPriority w:val="99"/>
    <w:rsid w:val="007D53B6"/>
    <w:pPr>
      <w:keepNext/>
    </w:pPr>
  </w:style>
  <w:style w:type="paragraph" w:customStyle="1" w:styleId="Institutionquiagit">
    <w:name w:val="Institution qui agit"/>
    <w:basedOn w:val="Normal"/>
    <w:next w:val="Normal"/>
    <w:uiPriority w:val="99"/>
    <w:rsid w:val="007D53B6"/>
    <w:pPr>
      <w:keepNext/>
      <w:spacing w:before="600"/>
    </w:pPr>
  </w:style>
  <w:style w:type="paragraph" w:customStyle="1" w:styleId="Institutionquisigne">
    <w:name w:val="Institution qui signe"/>
    <w:basedOn w:val="Normal"/>
    <w:next w:val="Personnequisigne"/>
    <w:uiPriority w:val="99"/>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uiPriority w:val="99"/>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uiPriority w:val="99"/>
    <w:rsid w:val="007D53B6"/>
    <w:pPr>
      <w:keepNext/>
      <w:spacing w:before="360"/>
      <w:jc w:val="center"/>
    </w:pPr>
    <w:rPr>
      <w:i/>
    </w:rPr>
  </w:style>
  <w:style w:type="paragraph" w:customStyle="1" w:styleId="Titreobjet">
    <w:name w:val="Titre objet"/>
    <w:basedOn w:val="Normal"/>
    <w:next w:val="Sous-titreobjet"/>
    <w:uiPriority w:val="99"/>
    <w:rsid w:val="007D53B6"/>
    <w:pPr>
      <w:spacing w:before="360" w:after="360"/>
      <w:jc w:val="center"/>
    </w:pPr>
    <w:rPr>
      <w:b/>
    </w:rPr>
  </w:style>
  <w:style w:type="paragraph" w:customStyle="1" w:styleId="Typedudocument">
    <w:name w:val="Type du document"/>
    <w:basedOn w:val="Normal"/>
    <w:next w:val="Titreobjet"/>
    <w:uiPriority w:val="99"/>
    <w:rsid w:val="007D53B6"/>
    <w:pPr>
      <w:spacing w:before="360" w:after="0"/>
      <w:jc w:val="center"/>
    </w:pPr>
    <w:rPr>
      <w:b/>
    </w:rPr>
  </w:style>
  <w:style w:type="character" w:customStyle="1" w:styleId="Added">
    <w:name w:val="Added"/>
    <w:basedOn w:val="DefaultParagraphFont"/>
    <w:rsid w:val="007D53B6"/>
    <w:rPr>
      <w:b/>
      <w:u w:val="single"/>
      <w:shd w:val="clear" w:color="auto" w:fill="auto"/>
    </w:rPr>
  </w:style>
  <w:style w:type="character" w:customStyle="1" w:styleId="Deleted">
    <w:name w:val="Deleted"/>
    <w:basedOn w:val="DefaultParagraphFont"/>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uiPriority w:val="99"/>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 w:type="character" w:customStyle="1" w:styleId="Heading5Char">
    <w:name w:val="Heading 5 Char"/>
    <w:basedOn w:val="DefaultParagraphFont"/>
    <w:link w:val="Heading5"/>
    <w:uiPriority w:val="99"/>
    <w:semiHidden/>
    <w:rsid w:val="006B00A6"/>
    <w:rPr>
      <w:rFonts w:ascii="Arial" w:eastAsia="Times New Roman" w:hAnsi="Arial" w:cs="Times New Roman"/>
      <w:b/>
      <w:sz w:val="20"/>
      <w:szCs w:val="20"/>
      <w:lang w:val="en-GB" w:eastAsia="zh-CN"/>
    </w:rPr>
  </w:style>
  <w:style w:type="character" w:customStyle="1" w:styleId="Heading6Char">
    <w:name w:val="Heading 6 Char"/>
    <w:basedOn w:val="DefaultParagraphFont"/>
    <w:link w:val="Heading6"/>
    <w:uiPriority w:val="99"/>
    <w:semiHidden/>
    <w:rsid w:val="006B00A6"/>
    <w:rPr>
      <w:rFonts w:ascii="Arial" w:eastAsia="Times New Roman" w:hAnsi="Arial" w:cs="Times New Roman"/>
      <w:sz w:val="20"/>
      <w:szCs w:val="20"/>
      <w:lang w:val="en-GB" w:eastAsia="zh-CN"/>
    </w:rPr>
  </w:style>
  <w:style w:type="character" w:customStyle="1" w:styleId="Heading7Char">
    <w:name w:val="Heading 7 Char"/>
    <w:basedOn w:val="DefaultParagraphFont"/>
    <w:link w:val="Heading7"/>
    <w:uiPriority w:val="99"/>
    <w:semiHidden/>
    <w:rsid w:val="006B00A6"/>
    <w:rPr>
      <w:rFonts w:ascii="Times New Roman" w:eastAsia="Times New Roman" w:hAnsi="Times New Roman" w:cs="Times New Roman"/>
      <w:i/>
      <w:sz w:val="20"/>
      <w:szCs w:val="24"/>
      <w:lang w:val="en-GB"/>
    </w:rPr>
  </w:style>
  <w:style w:type="character" w:customStyle="1" w:styleId="Heading8Char">
    <w:name w:val="Heading 8 Char"/>
    <w:basedOn w:val="DefaultParagraphFont"/>
    <w:link w:val="Heading8"/>
    <w:uiPriority w:val="99"/>
    <w:semiHidden/>
    <w:rsid w:val="006B00A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semiHidden/>
    <w:rsid w:val="006B00A6"/>
    <w:rPr>
      <w:rFonts w:ascii="Arial" w:eastAsia="Times New Roman" w:hAnsi="Arial" w:cs="Arial"/>
      <w:lang w:val="en-GB"/>
    </w:rPr>
  </w:style>
  <w:style w:type="character" w:styleId="FollowedHyperlink">
    <w:name w:val="FollowedHyperlink"/>
    <w:basedOn w:val="DefaultParagraphFont"/>
    <w:uiPriority w:val="99"/>
    <w:semiHidden/>
    <w:unhideWhenUsed/>
    <w:rsid w:val="006B00A6"/>
    <w:rPr>
      <w:color w:val="800080" w:themeColor="followedHyperlink"/>
      <w:u w:val="single"/>
    </w:rPr>
  </w:style>
  <w:style w:type="character" w:styleId="Emphasis">
    <w:name w:val="Emphasis"/>
    <w:basedOn w:val="DefaultParagraphFont"/>
    <w:uiPriority w:val="20"/>
    <w:qFormat/>
    <w:rsid w:val="006B00A6"/>
    <w:rPr>
      <w:i/>
      <w:iCs/>
      <w:vanish/>
      <w:webHidden w:val="0"/>
      <w:color w:val="0099CC"/>
      <w:specVanish/>
    </w:rPr>
  </w:style>
  <w:style w:type="paragraph" w:styleId="NormalWeb">
    <w:name w:val="Normal (Web)"/>
    <w:basedOn w:val="Normal"/>
    <w:uiPriority w:val="99"/>
    <w:semiHidden/>
    <w:unhideWhenUsed/>
    <w:rsid w:val="006B00A6"/>
    <w:pPr>
      <w:spacing w:after="30" w:line="432" w:lineRule="atLeast"/>
      <w:ind w:right="30"/>
      <w:jc w:val="left"/>
    </w:pPr>
    <w:rPr>
      <w:rFonts w:eastAsia="Times New Roman"/>
      <w:szCs w:val="24"/>
      <w:lang w:eastAsia="en-GB"/>
    </w:rPr>
  </w:style>
  <w:style w:type="character" w:customStyle="1" w:styleId="FootnoteTextChar1">
    <w:name w:val="Footnote Text Char1"/>
    <w:aliases w:val="Footnote Text_EP-LCA Char1,Footnote Char1,Text Char1,Text_EP-LCA Char1,Char5 Char1,Schriftart: 9 pt Char1,Schriftart: 10 pt Char1,Schriftart: 8 pt Char1,WB-Fußnotentext Char1,fn Char1,Footnotes Char1,Footnote ak Char1,Geneva 9 Char1"/>
    <w:basedOn w:val="DefaultParagraphFont"/>
    <w:uiPriority w:val="99"/>
    <w:semiHidden/>
    <w:rsid w:val="006B00A6"/>
    <w:rPr>
      <w:sz w:val="20"/>
      <w:szCs w:val="20"/>
      <w:lang w:val="en-GB"/>
    </w:rPr>
  </w:style>
  <w:style w:type="paragraph" w:styleId="EndnoteText">
    <w:name w:val="endnote text"/>
    <w:basedOn w:val="Normal"/>
    <w:link w:val="EndnoteTextChar"/>
    <w:uiPriority w:val="99"/>
    <w:semiHidden/>
    <w:unhideWhenUsed/>
    <w:rsid w:val="006B00A6"/>
    <w:pPr>
      <w:spacing w:before="0" w:after="0"/>
    </w:pPr>
    <w:rPr>
      <w:rFonts w:eastAsia="Times New Roman"/>
      <w:sz w:val="20"/>
      <w:szCs w:val="20"/>
    </w:rPr>
  </w:style>
  <w:style w:type="character" w:customStyle="1" w:styleId="EndnoteTextChar">
    <w:name w:val="Endnote Text Char"/>
    <w:basedOn w:val="DefaultParagraphFont"/>
    <w:link w:val="EndnoteText"/>
    <w:uiPriority w:val="99"/>
    <w:semiHidden/>
    <w:rsid w:val="006B00A6"/>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6B00A6"/>
    <w:pPr>
      <w:spacing w:before="0" w:after="0"/>
      <w:ind w:left="720"/>
      <w:contextualSpacing/>
    </w:pPr>
    <w:rPr>
      <w:rFonts w:eastAsia="Times New Roman"/>
      <w:sz w:val="22"/>
      <w:szCs w:val="24"/>
    </w:rPr>
  </w:style>
  <w:style w:type="paragraph" w:customStyle="1" w:styleId="Tabellentext">
    <w:name w:val="Tabellentext"/>
    <w:basedOn w:val="Normal"/>
    <w:uiPriority w:val="99"/>
    <w:semiHidden/>
    <w:qFormat/>
    <w:rsid w:val="006B00A6"/>
    <w:pPr>
      <w:spacing w:before="40" w:after="40"/>
    </w:pPr>
    <w:rPr>
      <w:rFonts w:ascii="EC Square Sans Pro" w:eastAsia="Times New Roman" w:hAnsi="EC Square Sans Pro"/>
      <w:sz w:val="20"/>
      <w:szCs w:val="24"/>
    </w:rPr>
  </w:style>
  <w:style w:type="paragraph" w:customStyle="1" w:styleId="CM1">
    <w:name w:val="CM1"/>
    <w:basedOn w:val="Default"/>
    <w:next w:val="Default"/>
    <w:uiPriority w:val="99"/>
    <w:semiHidden/>
    <w:rsid w:val="006B00A6"/>
    <w:rPr>
      <w:rFonts w:ascii="EUAlbertina" w:eastAsiaTheme="minorHAnsi" w:hAnsi="EUAlbertina" w:cstheme="minorBidi"/>
      <w:color w:val="auto"/>
      <w:lang w:val="en-GB" w:eastAsia="en-US"/>
    </w:rPr>
  </w:style>
  <w:style w:type="paragraph" w:customStyle="1" w:styleId="CM3">
    <w:name w:val="CM3"/>
    <w:basedOn w:val="Default"/>
    <w:next w:val="Default"/>
    <w:uiPriority w:val="99"/>
    <w:semiHidden/>
    <w:rsid w:val="006B00A6"/>
    <w:rPr>
      <w:rFonts w:ascii="EUAlbertina" w:eastAsiaTheme="minorHAnsi" w:hAnsi="EUAlbertina" w:cstheme="minorBidi"/>
      <w:color w:val="auto"/>
      <w:lang w:val="en-GB" w:eastAsia="en-US"/>
    </w:rPr>
  </w:style>
  <w:style w:type="character" w:styleId="EndnoteReference">
    <w:name w:val="endnote reference"/>
    <w:semiHidden/>
    <w:unhideWhenUsed/>
    <w:rsid w:val="006B00A6"/>
    <w:rPr>
      <w:vertAlign w:val="superscript"/>
    </w:rPr>
  </w:style>
  <w:style w:type="character" w:customStyle="1" w:styleId="skypepnhdropartspan">
    <w:name w:val="skype_pnh_dropart_span"/>
    <w:basedOn w:val="DefaultParagraphFont"/>
    <w:rsid w:val="006B00A6"/>
  </w:style>
  <w:style w:type="character" w:customStyle="1" w:styleId="st1">
    <w:name w:val="st1"/>
    <w:basedOn w:val="DefaultParagraphFont"/>
    <w:rsid w:val="006B00A6"/>
  </w:style>
  <w:style w:type="table" w:styleId="TableGrid">
    <w:name w:val="Table Grid"/>
    <w:basedOn w:val="TableNormal"/>
    <w:rsid w:val="006B00A6"/>
    <w:pPr>
      <w:spacing w:after="0" w:line="240" w:lineRule="auto"/>
      <w:jc w:val="center"/>
    </w:pPr>
    <w:rPr>
      <w:rFonts w:ascii="Times New Roman" w:eastAsia="Times New Roman" w:hAnsi="Times New Roman" w:cs="Times New Roman"/>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tblStylePr w:type="firstRow">
      <w:pPr>
        <w:jc w:val="center"/>
      </w:pPr>
      <w:rPr>
        <w:rFonts w:ascii="Times New Roman" w:hAnsi="Times New Roman" w:cs="Times New Roman" w:hint="default"/>
        <w:sz w:val="20"/>
        <w:szCs w:val="20"/>
      </w:rPr>
    </w:tblStylePr>
  </w:style>
  <w:style w:type="table" w:customStyle="1" w:styleId="Listamedia11">
    <w:name w:val="Lista media 11"/>
    <w:basedOn w:val="TableNormal"/>
    <w:uiPriority w:val="65"/>
    <w:rsid w:val="006B00A6"/>
    <w:pPr>
      <w:spacing w:after="0" w:line="240" w:lineRule="auto"/>
    </w:pPr>
    <w:rPr>
      <w:rFonts w:ascii="Times New Roman" w:eastAsia="Times New Roman" w:hAnsi="Times New Roman" w:cs="Times New Roman"/>
      <w:color w:val="000000"/>
      <w:sz w:val="20"/>
      <w:szCs w:val="20"/>
      <w:lang w:val="it-IT" w:eastAsia="it-IT"/>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5809">
      <w:bodyDiv w:val="1"/>
      <w:marLeft w:val="0"/>
      <w:marRight w:val="0"/>
      <w:marTop w:val="0"/>
      <w:marBottom w:val="0"/>
      <w:divBdr>
        <w:top w:val="none" w:sz="0" w:space="0" w:color="auto"/>
        <w:left w:val="none" w:sz="0" w:space="0" w:color="auto"/>
        <w:bottom w:val="none" w:sz="0" w:space="0" w:color="auto"/>
        <w:right w:val="none" w:sz="0" w:space="0" w:color="auto"/>
      </w:divBdr>
    </w:div>
    <w:div w:id="1067145046">
      <w:bodyDiv w:val="1"/>
      <w:marLeft w:val="0"/>
      <w:marRight w:val="0"/>
      <w:marTop w:val="0"/>
      <w:marBottom w:val="0"/>
      <w:divBdr>
        <w:top w:val="none" w:sz="0" w:space="0" w:color="auto"/>
        <w:left w:val="none" w:sz="0" w:space="0" w:color="auto"/>
        <w:bottom w:val="none" w:sz="0" w:space="0" w:color="auto"/>
        <w:right w:val="none" w:sz="0" w:space="0" w:color="auto"/>
      </w:divBdr>
    </w:div>
    <w:div w:id="1091975844">
      <w:bodyDiv w:val="1"/>
      <w:marLeft w:val="0"/>
      <w:marRight w:val="0"/>
      <w:marTop w:val="0"/>
      <w:marBottom w:val="0"/>
      <w:divBdr>
        <w:top w:val="none" w:sz="0" w:space="0" w:color="auto"/>
        <w:left w:val="none" w:sz="0" w:space="0" w:color="auto"/>
        <w:bottom w:val="none" w:sz="0" w:space="0" w:color="auto"/>
        <w:right w:val="none" w:sz="0" w:space="0" w:color="auto"/>
      </w:divBdr>
    </w:div>
    <w:div w:id="20978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europanels.org/upload/EPF-Standard-for-recycled-wood-us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echa.europa.eu/information-on-chemicals/ec-inventory" TargetMode="External"/><Relationship Id="rId2" Type="http://schemas.openxmlformats.org/officeDocument/2006/relationships/hyperlink" Target="https://www.cas.org/content/chemical-substances" TargetMode="External"/><Relationship Id="rId1" Type="http://schemas.openxmlformats.org/officeDocument/2006/relationships/hyperlink" Target="http://www.echa.europa.eu/candidate-list-table" TargetMode="External"/><Relationship Id="rId5" Type="http://schemas.openxmlformats.org/officeDocument/2006/relationships/hyperlink" Target="http://www.europanels.org/upload/EPF-Standard-for-recycled-wood-use.pdf" TargetMode="External"/><Relationship Id="rId4" Type="http://schemas.openxmlformats.org/officeDocument/2006/relationships/hyperlink" Target="http://www.echa.europa.eu/information-on-chemicals/registered-substanc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27A42-0942-4C5A-9202-2CCEDC58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1</TotalTime>
  <Pages>27</Pages>
  <Words>8581</Words>
  <Characters>48915</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PAUNESCU Emilia (ENV-EXT)</dc:creator>
  <cp:lastModifiedBy>NHristova</cp:lastModifiedBy>
  <cp:revision>2</cp:revision>
  <cp:lastPrinted>2016-06-01T08:25:00Z</cp:lastPrinted>
  <dcterms:created xsi:type="dcterms:W3CDTF">2016-06-07T10:45:00Z</dcterms:created>
  <dcterms:modified xsi:type="dcterms:W3CDTF">2016-06-07T10:45:00Z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SJ-010</vt:lpwstr>
  </property>
  <property fmtid="{D5CDD505-2E9C-101B-9397-08002B2CF9AE}" pid="10" name="DQCStatus">
    <vt:lpwstr>Green (DQC version 03)</vt:lpwstr>
  </property>
</Properties>
</file>