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8E" w:rsidRDefault="00235C8E" w:rsidP="000D570F">
      <w:pPr>
        <w:spacing w:after="0" w:line="240" w:lineRule="auto"/>
        <w:contextualSpacing/>
        <w:jc w:val="center"/>
        <w:rPr>
          <w:rFonts w:ascii="Times New Roman" w:hAnsi="Times New Roman"/>
          <w:b/>
          <w:bCs/>
          <w:color w:val="1F497D"/>
          <w:sz w:val="32"/>
          <w:szCs w:val="32"/>
          <w:lang w:eastAsia="bg-BG"/>
        </w:rPr>
      </w:pPr>
    </w:p>
    <w:p w:rsidR="00235C8E" w:rsidRDefault="00235C8E" w:rsidP="000D570F">
      <w:pPr>
        <w:spacing w:after="0" w:line="240" w:lineRule="auto"/>
        <w:contextualSpacing/>
        <w:jc w:val="center"/>
        <w:rPr>
          <w:rFonts w:ascii="Times New Roman" w:hAnsi="Times New Roman"/>
          <w:b/>
          <w:bCs/>
          <w:color w:val="1F497D"/>
          <w:sz w:val="32"/>
          <w:szCs w:val="32"/>
          <w:lang w:eastAsia="bg-BG"/>
        </w:rPr>
      </w:pPr>
    </w:p>
    <w:p w:rsidR="00B25125"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B25125">
        <w:rPr>
          <w:rFonts w:ascii="Times New Roman" w:hAnsi="Times New Roman"/>
          <w:b/>
          <w:bCs/>
          <w:color w:val="1F497D"/>
          <w:sz w:val="32"/>
          <w:szCs w:val="32"/>
          <w:lang w:eastAsia="bg-BG"/>
        </w:rPr>
        <w:t>2</w:t>
      </w:r>
      <w:r w:rsidR="00D664BB">
        <w:rPr>
          <w:rFonts w:ascii="Times New Roman" w:hAnsi="Times New Roman"/>
          <w:b/>
          <w:bCs/>
          <w:color w:val="1F497D"/>
          <w:sz w:val="32"/>
          <w:szCs w:val="32"/>
          <w:lang w:eastAsia="bg-BG"/>
        </w:rPr>
        <w:t>2</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 xml:space="preserve">Остров </w:t>
      </w:r>
      <w:r w:rsidR="00D664BB">
        <w:rPr>
          <w:rFonts w:ascii="Times New Roman" w:hAnsi="Times New Roman"/>
          <w:b/>
          <w:bCs/>
          <w:color w:val="1F497D"/>
          <w:sz w:val="32"/>
          <w:szCs w:val="32"/>
          <w:lang w:eastAsia="bg-BG"/>
        </w:rPr>
        <w:t>Кутово</w:t>
      </w:r>
    </w:p>
    <w:p w:rsidR="00B25125" w:rsidRDefault="00B25125" w:rsidP="000D570F">
      <w:pPr>
        <w:spacing w:after="0" w:line="240" w:lineRule="auto"/>
        <w:contextualSpacing/>
        <w:jc w:val="center"/>
        <w:rPr>
          <w:rFonts w:ascii="Times New Roman" w:hAnsi="Times New Roman"/>
          <w:b/>
          <w:bCs/>
          <w:color w:val="1F497D"/>
          <w:sz w:val="32"/>
          <w:szCs w:val="32"/>
          <w:lang w:eastAsia="bg-BG"/>
        </w:rPr>
      </w:pPr>
    </w:p>
    <w:p w:rsidR="005C21BC" w:rsidRDefault="005C21BC"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235C8E" w:rsidRDefault="00235C8E" w:rsidP="005C21BC">
      <w:pPr>
        <w:pageBreakBefore/>
      </w:pPr>
    </w:p>
    <w:sdt>
      <w:sdtPr>
        <w:rPr>
          <w:rFonts w:ascii="Calibri" w:eastAsia="Times New Roman" w:hAnsi="Calibri" w:cs="Times New Roman"/>
          <w:b w:val="0"/>
          <w:bCs w:val="0"/>
          <w:color w:val="auto"/>
          <w:sz w:val="22"/>
          <w:szCs w:val="22"/>
          <w:lang w:val="bg-BG" w:eastAsia="en-US"/>
        </w:rPr>
        <w:id w:val="800113235"/>
        <w:docPartObj>
          <w:docPartGallery w:val="Table of Contents"/>
          <w:docPartUnique/>
        </w:docPartObj>
      </w:sdtPr>
      <w:sdtEndPr>
        <w:rPr>
          <w:noProof/>
        </w:rPr>
      </w:sdtEndPr>
      <w:sdtContent>
        <w:p w:rsidR="00235C8E" w:rsidRPr="00235C8E" w:rsidRDefault="00235C8E" w:rsidP="00235C8E">
          <w:pPr>
            <w:pStyle w:val="TOCHeading"/>
            <w:jc w:val="center"/>
            <w:rPr>
              <w:lang w:val="bg-BG"/>
            </w:rPr>
          </w:pPr>
          <w:r w:rsidRPr="00235C8E">
            <w:rPr>
              <w:rFonts w:ascii="Times New Roman" w:hAnsi="Times New Roman" w:cs="Times New Roman"/>
              <w:lang w:val="bg-BG"/>
            </w:rPr>
            <w:t>Съдържание</w:t>
          </w:r>
        </w:p>
        <w:p w:rsidR="00235C8E" w:rsidRPr="003B157A" w:rsidRDefault="00235C8E" w:rsidP="003B157A">
          <w:pPr>
            <w:pStyle w:val="TOC1"/>
          </w:pPr>
          <w:r>
            <w:rPr>
              <w:noProof w:val="0"/>
            </w:rPr>
            <w:fldChar w:fldCharType="begin"/>
          </w:r>
          <w:r>
            <w:instrText xml:space="preserve"> TOC \o "1-3" \h \z \u </w:instrText>
          </w:r>
          <w:r>
            <w:rPr>
              <w:noProof w:val="0"/>
            </w:rPr>
            <w:fldChar w:fldCharType="separate"/>
          </w:r>
          <w:hyperlink w:anchor="_Toc88907885" w:history="1">
            <w:r w:rsidRPr="003B157A">
              <w:rPr>
                <w:rStyle w:val="Hyperlink"/>
                <w:b/>
                <w:color w:val="1F497D" w:themeColor="text2"/>
              </w:rPr>
              <w:t>Природни местообитания</w:t>
            </w:r>
            <w:r w:rsidRPr="003B157A">
              <w:rPr>
                <w:webHidden/>
              </w:rPr>
              <w:tab/>
            </w:r>
            <w:r w:rsidRPr="003B157A">
              <w:rPr>
                <w:webHidden/>
              </w:rPr>
              <w:fldChar w:fldCharType="begin"/>
            </w:r>
            <w:r w:rsidRPr="003B157A">
              <w:rPr>
                <w:webHidden/>
              </w:rPr>
              <w:instrText xml:space="preserve"> PAGEREF _Toc88907885 \h </w:instrText>
            </w:r>
            <w:r w:rsidRPr="003B157A">
              <w:rPr>
                <w:webHidden/>
              </w:rPr>
            </w:r>
            <w:r w:rsidRPr="003B157A">
              <w:rPr>
                <w:webHidden/>
              </w:rPr>
              <w:fldChar w:fldCharType="separate"/>
            </w:r>
            <w:r w:rsidR="005C21BC">
              <w:rPr>
                <w:webHidden/>
              </w:rPr>
              <w:t>4</w:t>
            </w:r>
            <w:r w:rsidRPr="003B157A">
              <w:rPr>
                <w:webHidden/>
              </w:rPr>
              <w:fldChar w:fldCharType="end"/>
            </w:r>
          </w:hyperlink>
        </w:p>
        <w:p w:rsidR="00235C8E" w:rsidRPr="003B157A" w:rsidRDefault="00192B96">
          <w:pPr>
            <w:pStyle w:val="TOC2"/>
            <w:tabs>
              <w:tab w:val="right" w:leader="dot" w:pos="9062"/>
            </w:tabs>
            <w:rPr>
              <w:noProof/>
              <w:color w:val="1F497D" w:themeColor="text2"/>
              <w:sz w:val="28"/>
              <w:szCs w:val="28"/>
            </w:rPr>
          </w:pPr>
          <w:hyperlink w:anchor="_Toc88907886" w:history="1">
            <w:r w:rsidR="00235C8E" w:rsidRPr="003B157A">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235C8E" w:rsidRPr="003B157A">
              <w:rPr>
                <w:rStyle w:val="Hyperlink"/>
                <w:rFonts w:ascii="Times New Roman" w:eastAsia="Calibri" w:hAnsi="Times New Roman"/>
                <w:i/>
                <w:noProof/>
                <w:color w:val="1F497D" w:themeColor="text2"/>
                <w:sz w:val="28"/>
                <w:szCs w:val="28"/>
              </w:rPr>
              <w:t>Littorelletea uniflor</w:t>
            </w:r>
            <w:bookmarkStart w:id="0" w:name="_GoBack"/>
            <w:bookmarkEnd w:id="0"/>
            <w:r w:rsidR="00235C8E" w:rsidRPr="003B157A">
              <w:rPr>
                <w:rStyle w:val="Hyperlink"/>
                <w:rFonts w:ascii="Times New Roman" w:eastAsia="Calibri" w:hAnsi="Times New Roman"/>
                <w:i/>
                <w:noProof/>
                <w:color w:val="1F497D" w:themeColor="text2"/>
                <w:sz w:val="28"/>
                <w:szCs w:val="28"/>
              </w:rPr>
              <w:t>ae</w:t>
            </w:r>
            <w:r w:rsidR="00235C8E" w:rsidRPr="003B157A">
              <w:rPr>
                <w:rStyle w:val="Hyperlink"/>
                <w:rFonts w:ascii="Times New Roman" w:eastAsia="Calibri" w:hAnsi="Times New Roman"/>
                <w:noProof/>
                <w:color w:val="1F497D" w:themeColor="text2"/>
                <w:sz w:val="28"/>
                <w:szCs w:val="28"/>
              </w:rPr>
              <w:t xml:space="preserve"> и/или </w:t>
            </w:r>
            <w:r w:rsidR="00235C8E" w:rsidRPr="003B157A">
              <w:rPr>
                <w:rStyle w:val="Hyperlink"/>
                <w:rFonts w:ascii="Times New Roman" w:eastAsia="Calibri" w:hAnsi="Times New Roman"/>
                <w:i/>
                <w:noProof/>
                <w:color w:val="1F497D" w:themeColor="text2"/>
                <w:sz w:val="28"/>
                <w:szCs w:val="28"/>
              </w:rPr>
              <w:t>Isoeto-Nanojuncetea</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_Toc88907886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4</w:t>
            </w:r>
            <w:r w:rsidR="00235C8E" w:rsidRPr="003B157A">
              <w:rPr>
                <w:noProof/>
                <w:webHidden/>
                <w:color w:val="1F497D" w:themeColor="text2"/>
                <w:sz w:val="28"/>
                <w:szCs w:val="28"/>
              </w:rPr>
              <w:fldChar w:fldCharType="end"/>
            </w:r>
          </w:hyperlink>
        </w:p>
        <w:p w:rsidR="00235C8E" w:rsidRPr="003B157A" w:rsidRDefault="00192B96">
          <w:pPr>
            <w:pStyle w:val="TOC2"/>
            <w:tabs>
              <w:tab w:val="right" w:leader="dot" w:pos="9062"/>
            </w:tabs>
            <w:rPr>
              <w:noProof/>
              <w:color w:val="1F497D" w:themeColor="text2"/>
              <w:sz w:val="28"/>
              <w:szCs w:val="28"/>
            </w:rPr>
          </w:pPr>
          <w:hyperlink w:anchor="_Toc88907887" w:history="1">
            <w:r w:rsidR="00235C8E" w:rsidRPr="003B157A">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235C8E" w:rsidRPr="003B157A">
              <w:rPr>
                <w:rStyle w:val="Hyperlink"/>
                <w:rFonts w:ascii="Times New Roman" w:eastAsia="Calibri" w:hAnsi="Times New Roman"/>
                <w:i/>
                <w:noProof/>
                <w:color w:val="1F497D" w:themeColor="text2"/>
                <w:sz w:val="28"/>
                <w:szCs w:val="28"/>
              </w:rPr>
              <w:t>Chenopodion rubri</w:t>
            </w:r>
            <w:r w:rsidR="00235C8E" w:rsidRPr="003B157A">
              <w:rPr>
                <w:rStyle w:val="Hyperlink"/>
                <w:rFonts w:ascii="Times New Roman" w:eastAsia="Calibri" w:hAnsi="Times New Roman"/>
                <w:noProof/>
                <w:color w:val="1F497D" w:themeColor="text2"/>
                <w:sz w:val="28"/>
                <w:szCs w:val="28"/>
              </w:rPr>
              <w:t xml:space="preserve"> и </w:t>
            </w:r>
            <w:r w:rsidR="00235C8E" w:rsidRPr="003B157A">
              <w:rPr>
                <w:rStyle w:val="Hyperlink"/>
                <w:rFonts w:ascii="Times New Roman" w:eastAsia="Calibri" w:hAnsi="Times New Roman"/>
                <w:i/>
                <w:noProof/>
                <w:color w:val="1F497D" w:themeColor="text2"/>
                <w:sz w:val="28"/>
                <w:szCs w:val="28"/>
              </w:rPr>
              <w:t>Bidention</w:t>
            </w:r>
            <w:r w:rsidR="00235C8E" w:rsidRPr="003B157A">
              <w:rPr>
                <w:rStyle w:val="Hyperlink"/>
                <w:rFonts w:ascii="Times New Roman" w:eastAsia="Calibri" w:hAnsi="Times New Roman"/>
                <w:noProof/>
                <w:color w:val="1F497D" w:themeColor="text2"/>
                <w:sz w:val="28"/>
                <w:szCs w:val="28"/>
              </w:rPr>
              <w:t xml:space="preserve"> p.p.</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_Toc88907887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7</w:t>
            </w:r>
            <w:r w:rsidR="00235C8E" w:rsidRPr="003B157A">
              <w:rPr>
                <w:noProof/>
                <w:webHidden/>
                <w:color w:val="1F497D" w:themeColor="text2"/>
                <w:sz w:val="28"/>
                <w:szCs w:val="28"/>
              </w:rPr>
              <w:fldChar w:fldCharType="end"/>
            </w:r>
          </w:hyperlink>
        </w:p>
        <w:p w:rsidR="00235C8E" w:rsidRPr="003B157A" w:rsidRDefault="00192B96">
          <w:pPr>
            <w:pStyle w:val="TOC2"/>
            <w:tabs>
              <w:tab w:val="right" w:leader="dot" w:pos="9062"/>
            </w:tabs>
            <w:rPr>
              <w:noProof/>
              <w:color w:val="1F497D" w:themeColor="text2"/>
              <w:sz w:val="28"/>
              <w:szCs w:val="28"/>
            </w:rPr>
          </w:pPr>
          <w:hyperlink w:anchor="_Toc88907888" w:history="1">
            <w:r w:rsidR="00235C8E" w:rsidRPr="003B157A">
              <w:rPr>
                <w:rStyle w:val="Hyperlink"/>
                <w:rFonts w:ascii="Times New Roman" w:hAnsi="Times New Roman"/>
                <w:noProof/>
                <w:color w:val="1F497D" w:themeColor="text2"/>
                <w:sz w:val="28"/>
                <w:szCs w:val="28"/>
              </w:rPr>
              <w:t xml:space="preserve">Природно местообитание 91Е0 *Алувиални гори с </w:t>
            </w:r>
            <w:r w:rsidR="00235C8E" w:rsidRPr="003B157A">
              <w:rPr>
                <w:rStyle w:val="Hyperlink"/>
                <w:rFonts w:ascii="Times New Roman" w:hAnsi="Times New Roman"/>
                <w:i/>
                <w:noProof/>
                <w:color w:val="1F497D" w:themeColor="text2"/>
                <w:sz w:val="28"/>
                <w:szCs w:val="28"/>
              </w:rPr>
              <w:t>Alnus glutinosa</w:t>
            </w:r>
            <w:r w:rsidR="00235C8E" w:rsidRPr="003B157A">
              <w:rPr>
                <w:rStyle w:val="Hyperlink"/>
                <w:rFonts w:ascii="Times New Roman" w:hAnsi="Times New Roman"/>
                <w:noProof/>
                <w:color w:val="1F497D" w:themeColor="text2"/>
                <w:sz w:val="28"/>
                <w:szCs w:val="28"/>
              </w:rPr>
              <w:t xml:space="preserve"> и </w:t>
            </w:r>
            <w:r w:rsidR="00235C8E" w:rsidRPr="003B157A">
              <w:rPr>
                <w:rStyle w:val="Hyperlink"/>
                <w:rFonts w:ascii="Times New Roman" w:hAnsi="Times New Roman"/>
                <w:i/>
                <w:noProof/>
                <w:color w:val="1F497D" w:themeColor="text2"/>
                <w:sz w:val="28"/>
                <w:szCs w:val="28"/>
              </w:rPr>
              <w:t>Fraxinus excelsior</w:t>
            </w:r>
            <w:r w:rsidR="00235C8E" w:rsidRPr="003B157A">
              <w:rPr>
                <w:rStyle w:val="Hyperlink"/>
                <w:rFonts w:ascii="Times New Roman" w:hAnsi="Times New Roman"/>
                <w:noProof/>
                <w:color w:val="1F497D" w:themeColor="text2"/>
                <w:sz w:val="28"/>
                <w:szCs w:val="28"/>
              </w:rPr>
              <w:t xml:space="preserve"> (Alno-Padion, Alnion incanae, Salicion albae)</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_Toc88907888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11</w:t>
            </w:r>
            <w:r w:rsidR="00235C8E" w:rsidRPr="003B157A">
              <w:rPr>
                <w:noProof/>
                <w:webHidden/>
                <w:color w:val="1F497D" w:themeColor="text2"/>
                <w:sz w:val="28"/>
                <w:szCs w:val="28"/>
              </w:rPr>
              <w:fldChar w:fldCharType="end"/>
            </w:r>
          </w:hyperlink>
        </w:p>
        <w:p w:rsidR="00235C8E" w:rsidRPr="003B157A" w:rsidRDefault="00192B96" w:rsidP="003B157A">
          <w:pPr>
            <w:pStyle w:val="TOC1"/>
          </w:pPr>
          <w:hyperlink w:anchor="_Toc88907889" w:history="1">
            <w:r w:rsidR="00235C8E" w:rsidRPr="003B157A">
              <w:rPr>
                <w:rStyle w:val="Hyperlink"/>
                <w:b/>
                <w:color w:val="1F497D" w:themeColor="text2"/>
              </w:rPr>
              <w:t>Земноводни и влечуги</w:t>
            </w:r>
            <w:r w:rsidR="00235C8E" w:rsidRPr="003B157A">
              <w:rPr>
                <w:webHidden/>
              </w:rPr>
              <w:tab/>
            </w:r>
            <w:r w:rsidR="00235C8E" w:rsidRPr="003B157A">
              <w:rPr>
                <w:webHidden/>
              </w:rPr>
              <w:fldChar w:fldCharType="begin"/>
            </w:r>
            <w:r w:rsidR="00235C8E" w:rsidRPr="003B157A">
              <w:rPr>
                <w:webHidden/>
              </w:rPr>
              <w:instrText xml:space="preserve"> PAGEREF _Toc88907889 \h </w:instrText>
            </w:r>
            <w:r w:rsidR="00235C8E" w:rsidRPr="003B157A">
              <w:rPr>
                <w:webHidden/>
              </w:rPr>
            </w:r>
            <w:r w:rsidR="00235C8E" w:rsidRPr="003B157A">
              <w:rPr>
                <w:webHidden/>
              </w:rPr>
              <w:fldChar w:fldCharType="separate"/>
            </w:r>
            <w:r w:rsidR="005C21BC">
              <w:rPr>
                <w:webHidden/>
              </w:rPr>
              <w:t>17</w:t>
            </w:r>
            <w:r w:rsidR="00235C8E" w:rsidRPr="003B157A">
              <w:rPr>
                <w:webHidden/>
              </w:rPr>
              <w:fldChar w:fldCharType="end"/>
            </w:r>
          </w:hyperlink>
        </w:p>
        <w:p w:rsidR="00235C8E" w:rsidRPr="003B157A" w:rsidRDefault="00192B96">
          <w:pPr>
            <w:pStyle w:val="TOC2"/>
            <w:tabs>
              <w:tab w:val="right" w:leader="dot" w:pos="9062"/>
            </w:tabs>
            <w:rPr>
              <w:noProof/>
              <w:color w:val="1F497D" w:themeColor="text2"/>
              <w:sz w:val="28"/>
              <w:szCs w:val="28"/>
            </w:rPr>
          </w:pPr>
          <w:hyperlink w:anchor="_Toc88907890" w:history="1">
            <w:r w:rsidR="00235C8E" w:rsidRPr="003B157A">
              <w:rPr>
                <w:rStyle w:val="Hyperlink"/>
                <w:rFonts w:ascii="Times New Roman" w:hAnsi="Times New Roman"/>
                <w:noProof/>
                <w:color w:val="1F497D" w:themeColor="text2"/>
                <w:sz w:val="28"/>
                <w:szCs w:val="28"/>
              </w:rPr>
              <w:t xml:space="preserve">Природозащитни цели за 1188 </w:t>
            </w:r>
            <w:r w:rsidR="00235C8E" w:rsidRPr="003B157A">
              <w:rPr>
                <w:rStyle w:val="Hyperlink"/>
                <w:rFonts w:ascii="Times New Roman" w:hAnsi="Times New Roman"/>
                <w:i/>
                <w:noProof/>
                <w:color w:val="1F497D" w:themeColor="text2"/>
                <w:sz w:val="28"/>
                <w:szCs w:val="28"/>
              </w:rPr>
              <w:t>Bombina bombina</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_Toc88907890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17</w:t>
            </w:r>
            <w:r w:rsidR="00235C8E" w:rsidRPr="003B157A">
              <w:rPr>
                <w:noProof/>
                <w:webHidden/>
                <w:color w:val="1F497D" w:themeColor="text2"/>
                <w:sz w:val="28"/>
                <w:szCs w:val="28"/>
              </w:rPr>
              <w:fldChar w:fldCharType="end"/>
            </w:r>
          </w:hyperlink>
        </w:p>
        <w:p w:rsidR="00235C8E" w:rsidRPr="003B157A" w:rsidRDefault="00192B96">
          <w:pPr>
            <w:pStyle w:val="TOC2"/>
            <w:tabs>
              <w:tab w:val="right" w:leader="dot" w:pos="9062"/>
            </w:tabs>
            <w:rPr>
              <w:noProof/>
              <w:color w:val="1F497D" w:themeColor="text2"/>
              <w:sz w:val="28"/>
              <w:szCs w:val="28"/>
            </w:rPr>
          </w:pPr>
          <w:hyperlink w:anchor="_Toc88907891" w:history="1">
            <w:r w:rsidR="00235C8E" w:rsidRPr="003B157A">
              <w:rPr>
                <w:rStyle w:val="Hyperlink"/>
                <w:rFonts w:ascii="Times New Roman" w:hAnsi="Times New Roman"/>
                <w:noProof/>
                <w:color w:val="1F497D" w:themeColor="text2"/>
                <w:sz w:val="28"/>
                <w:szCs w:val="28"/>
              </w:rPr>
              <w:t xml:space="preserve">Природозащитни цели за 1220 </w:t>
            </w:r>
            <w:r w:rsidR="00235C8E" w:rsidRPr="003B157A">
              <w:rPr>
                <w:rStyle w:val="Hyperlink"/>
                <w:rFonts w:ascii="Times New Roman" w:hAnsi="Times New Roman"/>
                <w:i/>
                <w:noProof/>
                <w:color w:val="1F497D" w:themeColor="text2"/>
                <w:sz w:val="28"/>
                <w:szCs w:val="28"/>
              </w:rPr>
              <w:t>Emys orbicularis</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_Toc88907891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21</w:t>
            </w:r>
            <w:r w:rsidR="00235C8E" w:rsidRPr="003B157A">
              <w:rPr>
                <w:noProof/>
                <w:webHidden/>
                <w:color w:val="1F497D" w:themeColor="text2"/>
                <w:sz w:val="28"/>
                <w:szCs w:val="28"/>
              </w:rPr>
              <w:fldChar w:fldCharType="end"/>
            </w:r>
          </w:hyperlink>
        </w:p>
        <w:p w:rsidR="00235C8E" w:rsidRDefault="00192B96">
          <w:pPr>
            <w:pStyle w:val="TOC2"/>
            <w:tabs>
              <w:tab w:val="right" w:leader="dot" w:pos="9062"/>
            </w:tabs>
            <w:rPr>
              <w:noProof/>
            </w:rPr>
          </w:pPr>
          <w:hyperlink w:anchor="_Toc88907892" w:history="1">
            <w:r w:rsidR="00235C8E" w:rsidRPr="003B157A">
              <w:rPr>
                <w:rStyle w:val="Hyperlink"/>
                <w:rFonts w:ascii="Times New Roman" w:hAnsi="Times New Roman"/>
                <w:noProof/>
                <w:color w:val="1F497D" w:themeColor="text2"/>
                <w:sz w:val="28"/>
                <w:szCs w:val="28"/>
              </w:rPr>
              <w:t xml:space="preserve">Природозащитни цели за 1993 </w:t>
            </w:r>
            <w:r w:rsidR="00235C8E" w:rsidRPr="003B157A">
              <w:rPr>
                <w:rStyle w:val="Hyperlink"/>
                <w:rFonts w:ascii="Times New Roman" w:hAnsi="Times New Roman"/>
                <w:i/>
                <w:noProof/>
                <w:color w:val="1F497D" w:themeColor="text2"/>
                <w:sz w:val="28"/>
                <w:szCs w:val="28"/>
              </w:rPr>
              <w:t>Triturus dobrogicus</w:t>
            </w:r>
            <w:r w:rsidR="00235C8E" w:rsidRPr="003B157A">
              <w:rPr>
                <w:noProof/>
                <w:webHidden/>
                <w:color w:val="1F497D" w:themeColor="text2"/>
                <w:sz w:val="28"/>
                <w:szCs w:val="28"/>
              </w:rPr>
              <w:tab/>
            </w:r>
            <w:r w:rsidR="00235C8E" w:rsidRPr="003B157A">
              <w:rPr>
                <w:noProof/>
                <w:webHidden/>
                <w:color w:val="1F497D" w:themeColor="text2"/>
                <w:sz w:val="28"/>
                <w:szCs w:val="28"/>
              </w:rPr>
              <w:fldChar w:fldCharType="begin"/>
            </w:r>
            <w:r w:rsidR="00235C8E" w:rsidRPr="003B157A">
              <w:rPr>
                <w:noProof/>
                <w:webHidden/>
                <w:color w:val="1F497D" w:themeColor="text2"/>
                <w:sz w:val="28"/>
                <w:szCs w:val="28"/>
              </w:rPr>
              <w:instrText xml:space="preserve"> PAGEREF _Toc88907892 \h </w:instrText>
            </w:r>
            <w:r w:rsidR="00235C8E" w:rsidRPr="003B157A">
              <w:rPr>
                <w:noProof/>
                <w:webHidden/>
                <w:color w:val="1F497D" w:themeColor="text2"/>
                <w:sz w:val="28"/>
                <w:szCs w:val="28"/>
              </w:rPr>
            </w:r>
            <w:r w:rsidR="00235C8E" w:rsidRPr="003B157A">
              <w:rPr>
                <w:noProof/>
                <w:webHidden/>
                <w:color w:val="1F497D" w:themeColor="text2"/>
                <w:sz w:val="28"/>
                <w:szCs w:val="28"/>
              </w:rPr>
              <w:fldChar w:fldCharType="separate"/>
            </w:r>
            <w:r w:rsidR="005C21BC">
              <w:rPr>
                <w:noProof/>
                <w:webHidden/>
                <w:color w:val="1F497D" w:themeColor="text2"/>
                <w:sz w:val="28"/>
                <w:szCs w:val="28"/>
              </w:rPr>
              <w:t>25</w:t>
            </w:r>
            <w:r w:rsidR="00235C8E" w:rsidRPr="003B157A">
              <w:rPr>
                <w:noProof/>
                <w:webHidden/>
                <w:color w:val="1F497D" w:themeColor="text2"/>
                <w:sz w:val="28"/>
                <w:szCs w:val="28"/>
              </w:rPr>
              <w:fldChar w:fldCharType="end"/>
            </w:r>
          </w:hyperlink>
        </w:p>
        <w:p w:rsidR="00235C8E" w:rsidRDefault="00235C8E">
          <w:r>
            <w:rPr>
              <w:b/>
              <w:bCs/>
              <w:noProof/>
            </w:rPr>
            <w:fldChar w:fldCharType="end"/>
          </w:r>
        </w:p>
      </w:sdtContent>
    </w:sdt>
    <w:p w:rsidR="00235C8E" w:rsidRDefault="00235C8E"/>
    <w:p w:rsidR="00B25125" w:rsidRDefault="00B25125" w:rsidP="00235C8E">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BG0000552 Остров Кутово по Директива 92/43/ЕИО заема площ от 118</w:t>
      </w:r>
      <w:r w:rsidRPr="000F25CB">
        <w:rPr>
          <w:rFonts w:ascii="Times New Roman" w:hAnsi="Times New Roman"/>
          <w:sz w:val="24"/>
          <w:szCs w:val="24"/>
        </w:rPr>
        <w:t>.</w:t>
      </w:r>
      <w:r>
        <w:rPr>
          <w:rFonts w:ascii="Times New Roman" w:hAnsi="Times New Roman"/>
          <w:sz w:val="24"/>
          <w:szCs w:val="24"/>
        </w:rPr>
        <w:t>33</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239 </w:t>
      </w:r>
      <w:r w:rsidRPr="001F6245">
        <w:rPr>
          <w:rFonts w:ascii="Times New Roman" w:hAnsi="Times New Roman"/>
          <w:sz w:val="24"/>
          <w:szCs w:val="24"/>
        </w:rPr>
        <w:t xml:space="preserve">от </w:t>
      </w:r>
      <w:r>
        <w:rPr>
          <w:rFonts w:ascii="Times New Roman" w:hAnsi="Times New Roman"/>
          <w:sz w:val="24"/>
          <w:szCs w:val="24"/>
        </w:rPr>
        <w:t>16.04.</w:t>
      </w:r>
      <w:r w:rsidRPr="001F6245">
        <w:rPr>
          <w:rFonts w:ascii="Times New Roman" w:hAnsi="Times New Roman"/>
          <w:sz w:val="24"/>
          <w:szCs w:val="24"/>
        </w:rPr>
        <w:t>20</w:t>
      </w:r>
      <w:r>
        <w:rPr>
          <w:rFonts w:ascii="Times New Roman" w:hAnsi="Times New Roman"/>
          <w:sz w:val="24"/>
          <w:szCs w:val="24"/>
        </w:rPr>
        <w:t>15</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е природно местообитание 91Е0 </w:t>
      </w:r>
      <w:r>
        <w:rPr>
          <w:rFonts w:ascii="Times New Roman" w:hAnsi="Times New Roman"/>
          <w:sz w:val="24"/>
          <w:szCs w:val="24"/>
          <w:lang w:val="en-US"/>
        </w:rPr>
        <w:t>*</w:t>
      </w:r>
      <w:r w:rsidRPr="00B25125">
        <w:rPr>
          <w:rFonts w:ascii="Times New Roman" w:hAnsi="Times New Roman"/>
          <w:sz w:val="24"/>
          <w:szCs w:val="24"/>
          <w:lang w:val="en-US"/>
        </w:rPr>
        <w:t xml:space="preserve">Алувиални гори </w:t>
      </w:r>
      <w:r>
        <w:rPr>
          <w:rFonts w:ascii="Times New Roman" w:hAnsi="Times New Roman"/>
          <w:sz w:val="24"/>
          <w:szCs w:val="24"/>
        </w:rPr>
        <w:t xml:space="preserve">с </w:t>
      </w:r>
      <w:r w:rsidRPr="00B25125">
        <w:rPr>
          <w:rFonts w:ascii="Times New Roman" w:hAnsi="Times New Roman"/>
          <w:i/>
          <w:sz w:val="24"/>
          <w:szCs w:val="24"/>
          <w:lang w:val="en-US"/>
        </w:rPr>
        <w:t>Alnus glutinosa</w:t>
      </w:r>
      <w:r w:rsidRPr="00B25125">
        <w:rPr>
          <w:rFonts w:ascii="Times New Roman" w:hAnsi="Times New Roman"/>
          <w:sz w:val="24"/>
          <w:szCs w:val="24"/>
          <w:lang w:val="en-US"/>
        </w:rPr>
        <w:t xml:space="preserve"> и </w:t>
      </w:r>
      <w:r w:rsidRPr="00B25125">
        <w:rPr>
          <w:rFonts w:ascii="Times New Roman" w:hAnsi="Times New Roman"/>
          <w:i/>
          <w:sz w:val="24"/>
          <w:szCs w:val="24"/>
          <w:lang w:val="en-US"/>
        </w:rPr>
        <w:t>Fraxinus excelsior</w:t>
      </w:r>
      <w:r w:rsidRPr="00B25125">
        <w:rPr>
          <w:rFonts w:ascii="Times New Roman" w:hAnsi="Times New Roman"/>
          <w:sz w:val="24"/>
          <w:szCs w:val="24"/>
          <w:lang w:val="en-US"/>
        </w:rPr>
        <w:t xml:space="preserve"> (Alno-Padion,</w:t>
      </w:r>
      <w:r>
        <w:rPr>
          <w:rFonts w:ascii="Times New Roman" w:hAnsi="Times New Roman"/>
          <w:sz w:val="24"/>
          <w:szCs w:val="24"/>
          <w:lang w:val="en-US"/>
        </w:rPr>
        <w:t xml:space="preserve"> </w:t>
      </w:r>
      <w:r w:rsidRPr="00B25125">
        <w:rPr>
          <w:rFonts w:ascii="Times New Roman" w:hAnsi="Times New Roman"/>
          <w:sz w:val="24"/>
          <w:szCs w:val="24"/>
          <w:lang w:val="en-US"/>
        </w:rPr>
        <w:t>Alnion incanae, Salicion albae)</w:t>
      </w:r>
      <w:r>
        <w:rPr>
          <w:rFonts w:ascii="Times New Roman" w:hAnsi="Times New Roman"/>
          <w:sz w:val="24"/>
          <w:szCs w:val="24"/>
        </w:rPr>
        <w:t xml:space="preserve"> и 3 вида от херпетофауната на България – </w:t>
      </w:r>
      <w:r w:rsidRPr="00B25125">
        <w:rPr>
          <w:rFonts w:ascii="Times New Roman" w:hAnsi="Times New Roman"/>
          <w:i/>
          <w:sz w:val="24"/>
          <w:szCs w:val="24"/>
          <w:lang w:val="en-US"/>
        </w:rPr>
        <w:t>Bombina bombina</w:t>
      </w:r>
      <w:r>
        <w:rPr>
          <w:rFonts w:ascii="Times New Roman" w:hAnsi="Times New Roman"/>
          <w:sz w:val="24"/>
          <w:szCs w:val="24"/>
          <w:lang w:val="en-US"/>
        </w:rPr>
        <w:t xml:space="preserve"> </w:t>
      </w:r>
      <w:r>
        <w:rPr>
          <w:rFonts w:ascii="Times New Roman" w:hAnsi="Times New Roman"/>
          <w:sz w:val="24"/>
          <w:szCs w:val="24"/>
        </w:rPr>
        <w:t>(Червенокоремна бумка)</w:t>
      </w:r>
      <w:r>
        <w:rPr>
          <w:rFonts w:ascii="Times New Roman" w:hAnsi="Times New Roman"/>
          <w:sz w:val="24"/>
          <w:szCs w:val="24"/>
          <w:lang w:val="en-US"/>
        </w:rPr>
        <w:t xml:space="preserve">, </w:t>
      </w:r>
      <w:r w:rsidRPr="00B25125">
        <w:rPr>
          <w:rFonts w:ascii="Times New Roman" w:hAnsi="Times New Roman"/>
          <w:i/>
          <w:sz w:val="24"/>
          <w:szCs w:val="24"/>
          <w:lang w:val="en-US"/>
        </w:rPr>
        <w:t>Emys orbicularis</w:t>
      </w:r>
      <w:r w:rsidRPr="00B25125">
        <w:rPr>
          <w:rFonts w:ascii="Times New Roman" w:hAnsi="Times New Roman"/>
          <w:i/>
          <w:sz w:val="24"/>
          <w:szCs w:val="24"/>
        </w:rPr>
        <w:t xml:space="preserve"> </w:t>
      </w:r>
      <w:r>
        <w:rPr>
          <w:rFonts w:ascii="Times New Roman" w:hAnsi="Times New Roman"/>
          <w:sz w:val="24"/>
          <w:szCs w:val="24"/>
        </w:rPr>
        <w:t>(Обикновена блатна костенурка) и</w:t>
      </w:r>
      <w:r>
        <w:rPr>
          <w:rFonts w:ascii="Times New Roman" w:hAnsi="Times New Roman"/>
          <w:sz w:val="24"/>
          <w:szCs w:val="24"/>
          <w:lang w:val="en-US"/>
        </w:rPr>
        <w:t xml:space="preserve"> </w:t>
      </w:r>
      <w:r w:rsidRPr="00B25125">
        <w:rPr>
          <w:rFonts w:ascii="Times New Roman" w:hAnsi="Times New Roman"/>
          <w:i/>
          <w:sz w:val="24"/>
          <w:szCs w:val="24"/>
          <w:lang w:val="en-US"/>
        </w:rPr>
        <w:t>Triturus</w:t>
      </w:r>
      <w:r>
        <w:rPr>
          <w:rFonts w:ascii="Times New Roman" w:hAnsi="Times New Roman"/>
          <w:sz w:val="24"/>
          <w:szCs w:val="24"/>
          <w:lang w:val="en-US"/>
        </w:rPr>
        <w:t xml:space="preserve"> </w:t>
      </w:r>
      <w:r w:rsidRPr="00B25125">
        <w:rPr>
          <w:rFonts w:ascii="Times New Roman" w:hAnsi="Times New Roman"/>
          <w:i/>
          <w:sz w:val="24"/>
          <w:szCs w:val="24"/>
          <w:lang w:val="en-US"/>
        </w:rPr>
        <w:t>dobrogicus</w:t>
      </w:r>
      <w:r>
        <w:rPr>
          <w:rFonts w:ascii="Times New Roman" w:hAnsi="Times New Roman"/>
          <w:sz w:val="24"/>
          <w:szCs w:val="24"/>
        </w:rPr>
        <w:t xml:space="preserve"> (Дунавски гребенест тритон).</w:t>
      </w:r>
    </w:p>
    <w:p w:rsidR="00B25125" w:rsidRDefault="00B25125" w:rsidP="00B25125">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B25125" w:rsidRPr="00993220" w:rsidRDefault="00B25125" w:rsidP="00B2512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B25125" w:rsidRPr="00993220" w:rsidRDefault="00B25125" w:rsidP="00B2512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B25125" w:rsidRDefault="00B25125" w:rsidP="00B25125">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B000B9">
        <w:rPr>
          <w:rFonts w:ascii="Times New Roman" w:hAnsi="Times New Roman"/>
          <w:sz w:val="24"/>
          <w:szCs w:val="24"/>
        </w:rPr>
        <w:t>.</w:t>
      </w:r>
    </w:p>
    <w:p w:rsidR="00B000B9" w:rsidRDefault="00B000B9" w:rsidP="00B000B9">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5C21BC">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B000B9" w:rsidRDefault="00B000B9" w:rsidP="00B000B9">
      <w:pPr>
        <w:spacing w:after="0"/>
        <w:ind w:firstLine="709"/>
        <w:jc w:val="both"/>
        <w:rPr>
          <w:rFonts w:ascii="Times New Roman" w:hAnsi="Times New Roman"/>
          <w:sz w:val="24"/>
          <w:szCs w:val="24"/>
        </w:rPr>
      </w:pPr>
      <w:r>
        <w:rPr>
          <w:rFonts w:ascii="Times New Roman" w:hAnsi="Times New Roman"/>
          <w:sz w:val="24"/>
          <w:szCs w:val="24"/>
        </w:rPr>
        <w:t xml:space="preserve">В случаите, когато е регистриран нов тип природно местообитание или нов вид, направени са предложения за включване в Стандартния формуляр. </w:t>
      </w:r>
    </w:p>
    <w:p w:rsidR="00B000B9" w:rsidRDefault="00B000B9" w:rsidP="00B000B9">
      <w:pPr>
        <w:spacing w:after="0"/>
        <w:ind w:firstLine="709"/>
        <w:jc w:val="both"/>
        <w:rPr>
          <w:rFonts w:ascii="Times New Roman" w:hAnsi="Times New Roman"/>
          <w:sz w:val="24"/>
          <w:szCs w:val="24"/>
          <w:lang w:val="en-US"/>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 в Стандартния формуляр.</w:t>
      </w:r>
    </w:p>
    <w:p w:rsidR="00B000B9" w:rsidRDefault="00B000B9" w:rsidP="00B25125">
      <w:pPr>
        <w:spacing w:after="0"/>
        <w:ind w:firstLine="709"/>
        <w:jc w:val="both"/>
        <w:rPr>
          <w:rFonts w:ascii="Times New Roman" w:hAnsi="Times New Roman"/>
          <w:sz w:val="24"/>
          <w:szCs w:val="24"/>
        </w:rPr>
      </w:pPr>
    </w:p>
    <w:p w:rsidR="00B25125" w:rsidRDefault="00B25125" w:rsidP="005C21BC">
      <w:pPr>
        <w:pageBreakBefore/>
      </w:pPr>
    </w:p>
    <w:p w:rsidR="005E7363" w:rsidRPr="005C21BC" w:rsidRDefault="005E7363">
      <w:pPr>
        <w:rPr>
          <w:i/>
        </w:rPr>
      </w:pPr>
    </w:p>
    <w:p w:rsidR="005E7363" w:rsidRDefault="005E7363" w:rsidP="00235C8E">
      <w:pPr>
        <w:pStyle w:val="Heading1"/>
        <w:rPr>
          <w:rFonts w:ascii="Times New Roman" w:hAnsi="Times New Roman"/>
          <w:b w:val="0"/>
          <w:color w:val="1F497D" w:themeColor="text2"/>
          <w:u w:val="single"/>
        </w:rPr>
      </w:pPr>
      <w:bookmarkStart w:id="1" w:name="_Toc88907885"/>
      <w:r w:rsidRPr="005E7363">
        <w:rPr>
          <w:rFonts w:ascii="Times New Roman" w:hAnsi="Times New Roman"/>
          <w:color w:val="1F497D" w:themeColor="text2"/>
          <w:u w:val="single"/>
        </w:rPr>
        <w:t>Природни местообитания</w:t>
      </w:r>
      <w:bookmarkEnd w:id="1"/>
    </w:p>
    <w:p w:rsidR="00235C8E" w:rsidRPr="00235C8E" w:rsidRDefault="00235C8E" w:rsidP="00235C8E">
      <w:pPr>
        <w:pStyle w:val="Heading2"/>
        <w:rPr>
          <w:rFonts w:ascii="Times New Roman" w:eastAsia="Calibri" w:hAnsi="Times New Roman"/>
          <w:b w:val="0"/>
          <w:noProof/>
          <w:color w:val="1F497D"/>
          <w:sz w:val="28"/>
          <w:szCs w:val="28"/>
        </w:rPr>
      </w:pPr>
      <w:bookmarkStart w:id="2" w:name="_Toc88907886"/>
      <w:r w:rsidRPr="00235C8E">
        <w:rPr>
          <w:rFonts w:ascii="Times New Roman" w:eastAsia="Calibri" w:hAnsi="Times New Roman"/>
          <w:b w:val="0"/>
          <w:noProof/>
          <w:color w:val="1F497D"/>
          <w:sz w:val="28"/>
          <w:szCs w:val="28"/>
        </w:rPr>
        <w:t xml:space="preserve">Природно местообитание 3130 Олиготрофни до мезотрофни стоящи води с растителност от </w:t>
      </w:r>
      <w:r w:rsidRPr="00235C8E">
        <w:rPr>
          <w:rFonts w:ascii="Times New Roman" w:eastAsia="Calibri" w:hAnsi="Times New Roman"/>
          <w:b w:val="0"/>
          <w:i/>
          <w:noProof/>
          <w:color w:val="1F497D"/>
          <w:sz w:val="28"/>
          <w:szCs w:val="28"/>
        </w:rPr>
        <w:t>Littorelletea uniflorae</w:t>
      </w:r>
      <w:r w:rsidRPr="00235C8E">
        <w:rPr>
          <w:rFonts w:ascii="Times New Roman" w:eastAsia="Calibri" w:hAnsi="Times New Roman"/>
          <w:b w:val="0"/>
          <w:noProof/>
          <w:color w:val="1F497D"/>
          <w:sz w:val="28"/>
          <w:szCs w:val="28"/>
        </w:rPr>
        <w:t xml:space="preserve"> и/или </w:t>
      </w:r>
      <w:r w:rsidRPr="00235C8E">
        <w:rPr>
          <w:rFonts w:ascii="Times New Roman" w:eastAsia="Calibri" w:hAnsi="Times New Roman"/>
          <w:b w:val="0"/>
          <w:i/>
          <w:noProof/>
          <w:color w:val="1F497D"/>
          <w:sz w:val="28"/>
          <w:szCs w:val="28"/>
        </w:rPr>
        <w:t>Isoeto-Nanojuncetea</w:t>
      </w:r>
      <w:bookmarkEnd w:id="2"/>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spacing w:after="0" w:line="240" w:lineRule="auto"/>
        <w:jc w:val="both"/>
        <w:rPr>
          <w:rFonts w:ascii="Times New Roman" w:hAnsi="Times New Roman"/>
          <w:bCs/>
          <w:i/>
          <w:sz w:val="24"/>
          <w:szCs w:val="24"/>
          <w:lang w:eastAsia="bg-BG"/>
        </w:rPr>
      </w:pPr>
      <w:r w:rsidRPr="00235C8E">
        <w:rPr>
          <w:rFonts w:ascii="Times New Roman" w:eastAsia="Calibri" w:hAnsi="Times New Roman"/>
          <w:b/>
          <w:sz w:val="24"/>
          <w:szCs w:val="24"/>
        </w:rPr>
        <w:t xml:space="preserve">1. Код и наименование на типа местообитание: </w:t>
      </w:r>
      <w:r w:rsidRPr="00235C8E">
        <w:rPr>
          <w:rFonts w:ascii="Times New Roman" w:hAnsi="Times New Roman"/>
          <w:bCs/>
          <w:sz w:val="24"/>
          <w:szCs w:val="24"/>
          <w:lang w:eastAsia="bg-BG"/>
        </w:rPr>
        <w:t xml:space="preserve">3130 Олиготрофни до мезотрофни стоящи води с растителност от </w:t>
      </w:r>
      <w:r w:rsidRPr="00235C8E">
        <w:rPr>
          <w:rFonts w:ascii="Times New Roman" w:hAnsi="Times New Roman"/>
          <w:bCs/>
          <w:i/>
          <w:sz w:val="24"/>
          <w:szCs w:val="24"/>
          <w:lang w:eastAsia="bg-BG"/>
        </w:rPr>
        <w:t>Littorelletea uniflorae</w:t>
      </w:r>
      <w:r w:rsidRPr="00235C8E">
        <w:rPr>
          <w:rFonts w:ascii="Times New Roman" w:hAnsi="Times New Roman"/>
          <w:bCs/>
          <w:sz w:val="24"/>
          <w:szCs w:val="24"/>
          <w:lang w:eastAsia="bg-BG"/>
        </w:rPr>
        <w:t xml:space="preserve"> и/или </w:t>
      </w:r>
      <w:r w:rsidRPr="00235C8E">
        <w:rPr>
          <w:rFonts w:ascii="Times New Roman" w:hAnsi="Times New Roman"/>
          <w:bCs/>
          <w:i/>
          <w:sz w:val="24"/>
          <w:szCs w:val="24"/>
          <w:lang w:eastAsia="bg-BG"/>
        </w:rPr>
        <w:t>Isoeto-Nanojuncetea</w:t>
      </w:r>
    </w:p>
    <w:p w:rsidR="00235C8E" w:rsidRPr="00235C8E" w:rsidRDefault="00235C8E" w:rsidP="00235C8E">
      <w:pPr>
        <w:spacing w:after="0" w:line="240" w:lineRule="auto"/>
        <w:jc w:val="both"/>
        <w:rPr>
          <w:rFonts w:ascii="Times New Roman" w:eastAsia="Calibri" w:hAnsi="Times New Roman"/>
          <w:sz w:val="24"/>
          <w:szCs w:val="24"/>
          <w:highlight w:val="green"/>
        </w:rPr>
      </w:pPr>
    </w:p>
    <w:p w:rsidR="00235C8E" w:rsidRPr="00235C8E" w:rsidRDefault="00235C8E" w:rsidP="00235C8E">
      <w:pPr>
        <w:spacing w:after="0" w:line="240" w:lineRule="auto"/>
        <w:rPr>
          <w:rFonts w:ascii="Times New Roman" w:eastAsia="Calibri" w:hAnsi="Times New Roman"/>
          <w:b/>
          <w:sz w:val="24"/>
          <w:szCs w:val="24"/>
        </w:rPr>
      </w:pPr>
      <w:r w:rsidRPr="00235C8E">
        <w:rPr>
          <w:rFonts w:ascii="Times New Roman" w:eastAsia="Calibri" w:hAnsi="Times New Roman"/>
          <w:b/>
          <w:sz w:val="24"/>
          <w:szCs w:val="24"/>
        </w:rPr>
        <w:t>2. Кратка характеристика на целевия обект</w:t>
      </w:r>
    </w:p>
    <w:p w:rsidR="00235C8E" w:rsidRPr="00235C8E" w:rsidRDefault="00235C8E" w:rsidP="00235C8E">
      <w:pPr>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М</w:t>
      </w:r>
      <w:r w:rsidRPr="00235C8E">
        <w:rPr>
          <w:rFonts w:ascii="Times New Roman" w:eastAsia="Calibri" w:hAnsi="Times New Roman"/>
          <w:sz w:val="24"/>
          <w:szCs w:val="24"/>
          <w:lang w:val="en-US"/>
        </w:rPr>
        <w:t xml:space="preserve">естообитанието </w:t>
      </w:r>
      <w:r w:rsidRPr="00235C8E">
        <w:rPr>
          <w:rFonts w:ascii="Times New Roman" w:eastAsia="Calibri" w:hAnsi="Times New Roman"/>
          <w:sz w:val="24"/>
          <w:szCs w:val="24"/>
        </w:rPr>
        <w:t>представлява</w:t>
      </w:r>
      <w:r w:rsidRPr="00235C8E">
        <w:rPr>
          <w:rFonts w:ascii="Times New Roman" w:eastAsia="Calibri" w:hAnsi="Times New Roman"/>
          <w:sz w:val="24"/>
          <w:szCs w:val="24"/>
          <w:lang w:val="en-US"/>
        </w:rPr>
        <w:t xml:space="preserve"> пионерни</w:t>
      </w:r>
      <w:r w:rsidRPr="00235C8E">
        <w:rPr>
          <w:rFonts w:ascii="Times New Roman" w:eastAsia="Calibri" w:hAnsi="Times New Roman"/>
          <w:sz w:val="24"/>
          <w:szCs w:val="24"/>
        </w:rPr>
        <w:t xml:space="preserve"> и временни</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фито</w:t>
      </w:r>
      <w:r w:rsidRPr="00235C8E">
        <w:rPr>
          <w:rFonts w:ascii="Times New Roman" w:eastAsia="Calibri" w:hAnsi="Times New Roman"/>
          <w:sz w:val="24"/>
          <w:szCs w:val="24"/>
          <w:lang w:val="en-US"/>
        </w:rPr>
        <w:t xml:space="preserve">ценози от ниски (до 10 сm) едногодишни </w:t>
      </w:r>
      <w:r w:rsidRPr="00235C8E">
        <w:rPr>
          <w:rFonts w:ascii="Times New Roman" w:eastAsia="Calibri" w:hAnsi="Times New Roman"/>
          <w:sz w:val="24"/>
          <w:szCs w:val="24"/>
        </w:rPr>
        <w:t>влаголюбиви растения</w:t>
      </w:r>
      <w:r w:rsidRPr="00235C8E">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235C8E">
        <w:rPr>
          <w:rFonts w:ascii="Times New Roman" w:eastAsia="Calibri" w:hAnsi="Times New Roman"/>
          <w:sz w:val="24"/>
          <w:szCs w:val="24"/>
        </w:rPr>
        <w:t xml:space="preserve">и есента </w:t>
      </w:r>
      <w:r w:rsidRPr="00235C8E">
        <w:rPr>
          <w:rFonts w:ascii="Times New Roman" w:eastAsia="Calibri" w:hAnsi="Times New Roman"/>
          <w:sz w:val="24"/>
          <w:szCs w:val="24"/>
          <w:lang w:val="en-US"/>
        </w:rPr>
        <w:t xml:space="preserve">при спадане на нивото на водоемите. </w:t>
      </w:r>
      <w:r w:rsidRPr="00235C8E">
        <w:rPr>
          <w:rFonts w:ascii="Times New Roman" w:eastAsia="Calibri" w:hAnsi="Times New Roman"/>
          <w:sz w:val="24"/>
          <w:szCs w:val="24"/>
        </w:rPr>
        <w:t>Срещат се главно край р. Дунав и някои по-големи реки, но</w:t>
      </w:r>
      <w:r w:rsidRPr="00235C8E">
        <w:rPr>
          <w:rFonts w:ascii="Times New Roman" w:eastAsia="Calibri" w:hAnsi="Times New Roman"/>
          <w:sz w:val="24"/>
          <w:szCs w:val="24"/>
          <w:lang w:val="en-US"/>
        </w:rPr>
        <w:t xml:space="preserve"> и по </w:t>
      </w:r>
      <w:r w:rsidRPr="00235C8E">
        <w:rPr>
          <w:rFonts w:ascii="Times New Roman" w:eastAsia="Calibri" w:hAnsi="Times New Roman"/>
          <w:sz w:val="24"/>
          <w:szCs w:val="24"/>
        </w:rPr>
        <w:t>бреговете</w:t>
      </w:r>
      <w:r w:rsidRPr="00235C8E">
        <w:rPr>
          <w:rFonts w:ascii="Times New Roman" w:eastAsia="Calibri" w:hAnsi="Times New Roman"/>
          <w:sz w:val="24"/>
          <w:szCs w:val="24"/>
          <w:lang w:val="en-US"/>
        </w:rPr>
        <w:t xml:space="preserve"> на езера и блата, рибарници и край някои големи язовири. </w:t>
      </w:r>
      <w:r w:rsidRPr="00235C8E">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през годината и динамиката на речното ниво. Характерни видове</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 xml:space="preserve">са </w:t>
      </w:r>
      <w:r w:rsidRPr="00235C8E">
        <w:rPr>
          <w:rFonts w:ascii="Times New Roman" w:eastAsia="Calibri" w:hAnsi="Times New Roman"/>
          <w:i/>
          <w:iCs/>
          <w:sz w:val="24"/>
          <w:szCs w:val="24"/>
          <w:lang w:val="en-US"/>
        </w:rPr>
        <w:t>Eleocharis аcicularis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Dichostylis michelianus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Butomus umbellatus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Cyperus fuscus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Echinochloa crus-galli</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Eleocharis palustris</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Gnaphalium uliginosum</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Lindernia dubia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Persicaria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lapathifolia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Portulaca oleracea</w:t>
      </w:r>
      <w:r w:rsidRPr="00235C8E">
        <w:rPr>
          <w:rFonts w:ascii="Times New Roman" w:eastAsia="Calibri" w:hAnsi="Times New Roman"/>
          <w:sz w:val="24"/>
          <w:szCs w:val="24"/>
          <w:lang w:val="en-US"/>
        </w:rPr>
        <w:t xml:space="preserve">, </w:t>
      </w:r>
      <w:r w:rsidRPr="00235C8E">
        <w:rPr>
          <w:rFonts w:ascii="Times New Roman" w:eastAsia="Calibri" w:hAnsi="Times New Roman"/>
          <w:i/>
          <w:iCs/>
          <w:sz w:val="24"/>
          <w:szCs w:val="24"/>
          <w:lang w:val="en-US"/>
        </w:rPr>
        <w:t>Rorippa sylvestris</w:t>
      </w:r>
      <w:r w:rsidRPr="00235C8E">
        <w:rPr>
          <w:rFonts w:ascii="Times New Roman" w:eastAsia="Calibri" w:hAnsi="Times New Roman"/>
          <w:i/>
          <w:iCs/>
          <w:sz w:val="24"/>
          <w:szCs w:val="24"/>
        </w:rPr>
        <w:t xml:space="preserve"> </w:t>
      </w:r>
      <w:r w:rsidRPr="00235C8E">
        <w:rPr>
          <w:rFonts w:ascii="Times New Roman" w:eastAsia="Calibri" w:hAnsi="Times New Roman"/>
          <w:iCs/>
          <w:sz w:val="24"/>
          <w:szCs w:val="24"/>
        </w:rPr>
        <w:t>и др.</w:t>
      </w:r>
      <w:r w:rsidRPr="00235C8E">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235C8E">
        <w:rPr>
          <w:rFonts w:ascii="Times New Roman" w:eastAsia="Calibri" w:hAnsi="Times New Roman"/>
          <w:i/>
          <w:sz w:val="24"/>
          <w:szCs w:val="24"/>
          <w:lang w:val="en-US"/>
        </w:rPr>
        <w:t>Mentha pulegium, Inula britannica, Cynodon dactylon, Trifolium fragiferum, Pulicaria dysentherica, Bidens</w:t>
      </w:r>
      <w:r w:rsidRPr="00235C8E">
        <w:rPr>
          <w:rFonts w:ascii="Times New Roman" w:eastAsia="Calibri" w:hAnsi="Times New Roman"/>
          <w:sz w:val="24"/>
          <w:szCs w:val="24"/>
          <w:lang w:val="en-US"/>
        </w:rPr>
        <w:t xml:space="preserve"> spp. </w:t>
      </w:r>
      <w:r w:rsidRPr="00235C8E">
        <w:rPr>
          <w:rFonts w:ascii="Times New Roman" w:eastAsia="Calibri" w:hAnsi="Times New Roman"/>
          <w:sz w:val="24"/>
          <w:szCs w:val="24"/>
        </w:rPr>
        <w:t>и др.</w:t>
      </w:r>
    </w:p>
    <w:p w:rsidR="00235C8E" w:rsidRPr="00235C8E" w:rsidRDefault="00235C8E" w:rsidP="00235C8E">
      <w:pPr>
        <w:spacing w:after="0" w:line="240" w:lineRule="auto"/>
        <w:ind w:firstLine="709"/>
        <w:jc w:val="both"/>
        <w:rPr>
          <w:rFonts w:ascii="Times New Roman" w:hAnsi="Times New Roman"/>
          <w:bCs/>
          <w:sz w:val="24"/>
          <w:szCs w:val="24"/>
          <w:lang w:val="en-US" w:eastAsia="bg-BG"/>
        </w:rPr>
      </w:pPr>
      <w:proofErr w:type="gramStart"/>
      <w:r w:rsidRPr="00235C8E">
        <w:rPr>
          <w:rFonts w:ascii="Times New Roman" w:hAnsi="Times New Roman"/>
          <w:bCs/>
          <w:sz w:val="24"/>
          <w:szCs w:val="24"/>
          <w:lang w:val="en-US" w:eastAsia="bg-BG"/>
        </w:rPr>
        <w:t xml:space="preserve">Съобщества от този тип са широко разпространени по </w:t>
      </w:r>
      <w:r w:rsidRPr="00235C8E">
        <w:rPr>
          <w:rFonts w:ascii="Times New Roman" w:hAnsi="Times New Roman"/>
          <w:bCs/>
          <w:sz w:val="24"/>
          <w:szCs w:val="24"/>
          <w:lang w:eastAsia="bg-BG"/>
        </w:rPr>
        <w:t>брега на река Дунав</w:t>
      </w:r>
      <w:r w:rsidRPr="00235C8E">
        <w:rPr>
          <w:rFonts w:ascii="Times New Roman" w:hAnsi="Times New Roman"/>
          <w:bCs/>
          <w:sz w:val="24"/>
          <w:szCs w:val="24"/>
          <w:lang w:val="en-US" w:eastAsia="bg-BG"/>
        </w:rPr>
        <w:t xml:space="preserve">, както и по </w:t>
      </w:r>
      <w:r w:rsidRPr="00235C8E">
        <w:rPr>
          <w:rFonts w:ascii="Times New Roman" w:hAnsi="Times New Roman"/>
          <w:bCs/>
          <w:sz w:val="24"/>
          <w:szCs w:val="24"/>
          <w:lang w:eastAsia="bg-BG"/>
        </w:rPr>
        <w:t>бреговете на островите, вкл.</w:t>
      </w:r>
      <w:proofErr w:type="gramEnd"/>
      <w:r w:rsidRPr="00235C8E">
        <w:rPr>
          <w:rFonts w:ascii="Times New Roman" w:hAnsi="Times New Roman"/>
          <w:bCs/>
          <w:sz w:val="24"/>
          <w:szCs w:val="24"/>
          <w:lang w:eastAsia="bg-BG"/>
        </w:rPr>
        <w:t xml:space="preserve"> и на остров Кутово (Голя)</w:t>
      </w:r>
      <w:r w:rsidRPr="00235C8E">
        <w:rPr>
          <w:rFonts w:ascii="Times New Roman" w:hAnsi="Times New Roman"/>
          <w:bCs/>
          <w:sz w:val="24"/>
          <w:szCs w:val="24"/>
          <w:lang w:val="en-US" w:eastAsia="bg-BG"/>
        </w:rPr>
        <w:t xml:space="preserve">. </w:t>
      </w:r>
      <w:r w:rsidRPr="00235C8E">
        <w:rPr>
          <w:rFonts w:ascii="Times New Roman" w:hAnsi="Times New Roman"/>
          <w:bCs/>
          <w:sz w:val="24"/>
          <w:szCs w:val="24"/>
          <w:lang w:eastAsia="bg-BG"/>
        </w:rPr>
        <w:t>Ц</w:t>
      </w:r>
      <w:r w:rsidRPr="00235C8E">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p>
    <w:p w:rsidR="00235C8E" w:rsidRPr="00235C8E" w:rsidRDefault="00235C8E" w:rsidP="00235C8E">
      <w:pPr>
        <w:spacing w:after="0" w:line="240" w:lineRule="auto"/>
        <w:jc w:val="both"/>
        <w:rPr>
          <w:rFonts w:ascii="Times New Roman" w:eastAsia="Calibri" w:hAnsi="Times New Roman"/>
          <w:sz w:val="24"/>
          <w:szCs w:val="24"/>
          <w:highlight w:val="green"/>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3. Състояние на биогеографско ниво и разпространение в мрежата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235C8E">
        <w:rPr>
          <w:rFonts w:ascii="Times New Roman" w:hAnsi="Times New Roman"/>
          <w:noProof/>
          <w:position w:val="-1"/>
          <w:sz w:val="24"/>
          <w:szCs w:val="24"/>
        </w:rPr>
        <w:t xml:space="preserve">Natura 2000 update April 2019: </w:t>
      </w:r>
      <w:hyperlink r:id="rId9">
        <w:r w:rsidRPr="00235C8E">
          <w:rPr>
            <w:rFonts w:ascii="Times New Roman" w:hAnsi="Times New Roman"/>
            <w:noProof/>
            <w:color w:val="0563C1"/>
            <w:position w:val="-1"/>
            <w:sz w:val="24"/>
            <w:szCs w:val="24"/>
            <w:u w:val="single"/>
          </w:rPr>
          <w:t>https://cdr.eionet.europa.eu/bg/eu/n2000</w:t>
        </w:r>
      </w:hyperlink>
      <w:r w:rsidRPr="00235C8E">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235C8E">
        <w:rPr>
          <w:rFonts w:ascii="Times New Roman" w:eastAsia="Calibri" w:hAnsi="Times New Roman"/>
          <w:sz w:val="24"/>
          <w:szCs w:val="24"/>
        </w:rPr>
        <w:t>.</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235C8E">
        <w:rPr>
          <w:rFonts w:ascii="Times New Roman" w:eastAsia="Calibri" w:hAnsi="Times New Roman"/>
          <w:sz w:val="24"/>
          <w:szCs w:val="24"/>
        </w:rPr>
        <w:t xml:space="preserve"> и в неблагоприятно-незадоволително за Континенталния (благоприятно състояние по разпространение и неблагоприятно-незадоволително по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lastRenderedPageBreak/>
        <w:t>регион</w:t>
      </w:r>
      <w:r w:rsidRPr="00235C8E">
        <w:rPr>
          <w:rFonts w:ascii="Times New Roman" w:eastAsia="Calibri" w:hAnsi="Times New Roman"/>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235C8E">
        <w:rPr>
          <w:rFonts w:ascii="Times New Roman" w:eastAsia="Calibri" w:hAnsi="Times New Roman"/>
          <w:sz w:val="24"/>
          <w:szCs w:val="24"/>
        </w:rPr>
        <w:t>.</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rPr>
          <w:rFonts w:ascii="Times New Roman" w:eastAsia="Calibri" w:hAnsi="Times New Roman"/>
          <w:i/>
          <w:sz w:val="24"/>
          <w:szCs w:val="24"/>
        </w:rPr>
      </w:pPr>
      <w:r w:rsidRPr="00235C8E">
        <w:rPr>
          <w:rFonts w:ascii="Times New Roman" w:eastAsia="Calibri" w:hAnsi="Times New Roman"/>
          <w:b/>
          <w:sz w:val="24"/>
          <w:szCs w:val="24"/>
        </w:rPr>
        <w:t>4. Състояние на ниво защитена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Местообитанието е новоустановено в защитена зона BG0000552 „Остров Кутово“.</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b/>
          <w:sz w:val="24"/>
          <w:szCs w:val="24"/>
        </w:rPr>
        <w:t>5. Анализ на наличната информация</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 xml:space="preserve">През 2021 г. при теренната работа местообитанието е новоустановено в зоната. 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235C8E">
        <w:rPr>
          <w:rFonts w:ascii="Times New Roman" w:hAnsi="Times New Roman"/>
          <w:bCs/>
          <w:i/>
          <w:sz w:val="24"/>
          <w:szCs w:val="24"/>
          <w:lang w:eastAsia="bg-BG"/>
        </w:rPr>
        <w:t>Chenopodion rubri</w:t>
      </w:r>
      <w:r w:rsidRPr="00235C8E">
        <w:rPr>
          <w:rFonts w:ascii="Times New Roman" w:hAnsi="Times New Roman"/>
          <w:bCs/>
          <w:sz w:val="24"/>
          <w:szCs w:val="24"/>
          <w:lang w:eastAsia="bg-BG"/>
        </w:rPr>
        <w:t xml:space="preserve"> и </w:t>
      </w:r>
      <w:r w:rsidRPr="00235C8E">
        <w:rPr>
          <w:rFonts w:ascii="Times New Roman" w:hAnsi="Times New Roman"/>
          <w:bCs/>
          <w:i/>
          <w:sz w:val="24"/>
          <w:szCs w:val="24"/>
          <w:lang w:eastAsia="bg-BG"/>
        </w:rPr>
        <w:t>Bidention</w:t>
      </w:r>
      <w:r w:rsidRPr="00235C8E">
        <w:rPr>
          <w:rFonts w:ascii="Times New Roman" w:hAnsi="Times New Roman"/>
          <w:bCs/>
          <w:sz w:val="24"/>
          <w:szCs w:val="24"/>
          <w:lang w:eastAsia="bg-BG"/>
        </w:rPr>
        <w:t xml:space="preserve"> p.p., с което в поречието на р. Дунав двете местообитания обрауват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hAnsi="Times New Roman"/>
          <w:bCs/>
          <w:sz w:val="24"/>
          <w:szCs w:val="24"/>
          <w:lang w:eastAsia="bg-BG"/>
        </w:rPr>
        <w:t xml:space="preserve">След теренната работа през 2021 г. и след оглед на наличната информация е направено моделиране и определената при него стойност </w:t>
      </w:r>
      <w:r w:rsidRPr="00235C8E">
        <w:rPr>
          <w:rFonts w:ascii="Times New Roman" w:hAnsi="Times New Roman"/>
          <w:bCs/>
          <w:sz w:val="24"/>
          <w:szCs w:val="24"/>
          <w:lang w:val="en-US" w:eastAsia="bg-BG"/>
        </w:rPr>
        <w:t xml:space="preserve">(2 ha) </w:t>
      </w:r>
      <w:r w:rsidRPr="00235C8E">
        <w:rPr>
          <w:rFonts w:ascii="Times New Roman" w:hAnsi="Times New Roman"/>
          <w:bCs/>
          <w:sz w:val="24"/>
          <w:szCs w:val="24"/>
          <w:lang w:eastAsia="bg-BG"/>
        </w:rPr>
        <w:t>е подходяща да бъде приета за минимална, предвид дължината на бреговите ивици на остров Кутово. Предлагаме тя да бъде приета за актуална и записана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p>
    <w:p w:rsidR="00235C8E" w:rsidRPr="00235C8E" w:rsidRDefault="00235C8E" w:rsidP="00235C8E">
      <w:pPr>
        <w:spacing w:after="0" w:line="240" w:lineRule="auto"/>
        <w:jc w:val="both"/>
        <w:rPr>
          <w:rFonts w:ascii="Times New Roman" w:eastAsia="Calibri" w:hAnsi="Times New Roman"/>
          <w:b/>
          <w:i/>
          <w:sz w:val="24"/>
          <w:szCs w:val="24"/>
          <w:lang w:val="en-US"/>
        </w:rPr>
      </w:pPr>
      <w:r w:rsidRPr="00235C8E">
        <w:rPr>
          <w:rFonts w:ascii="Times New Roman" w:eastAsia="Calibri" w:hAnsi="Times New Roman"/>
          <w:b/>
          <w:sz w:val="24"/>
          <w:szCs w:val="24"/>
        </w:rPr>
        <w:lastRenderedPageBreak/>
        <w:t>6. Цели за подобряване/поддържане на природозащитното състояние на местообитанието в зоната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35C8E" w:rsidRPr="00235C8E" w:rsidRDefault="00235C8E" w:rsidP="00235C8E">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35C8E" w:rsidRPr="00235C8E" w:rsidTr="00895A9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235C8E" w:rsidRPr="00235C8E" w:rsidRDefault="00235C8E" w:rsidP="00235C8E">
            <w:pPr>
              <w:spacing w:after="160" w:line="259" w:lineRule="auto"/>
              <w:rPr>
                <w:rFonts w:ascii="Times New Roman" w:eastAsia="Calibri" w:hAnsi="Times New Roman"/>
                <w:b/>
                <w:bCs/>
                <w:sz w:val="20"/>
                <w:szCs w:val="20"/>
              </w:rPr>
            </w:pPr>
            <w:r w:rsidRPr="00235C8E">
              <w:rPr>
                <w:rFonts w:ascii="Times New Roman" w:eastAsia="Calibri" w:hAnsi="Times New Roman"/>
                <w:b/>
                <w:bCs/>
                <w:sz w:val="20"/>
                <w:szCs w:val="20"/>
              </w:rPr>
              <w:t>Специфична цел</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Най-малко 2 ha</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 xml:space="preserve">Поддържане на площта – най-малко </w:t>
            </w:r>
            <w:r w:rsidRPr="00235C8E">
              <w:rPr>
                <w:rFonts w:ascii="Times New Roman" w:eastAsia="Calibri" w:hAnsi="Times New Roman"/>
                <w:sz w:val="20"/>
                <w:szCs w:val="20"/>
              </w:rPr>
              <w:t xml:space="preserve">2 </w:t>
            </w:r>
            <w:r w:rsidRPr="00235C8E">
              <w:rPr>
                <w:rFonts w:ascii="Times New Roman" w:eastAsia="Calibri" w:hAnsi="Times New Roman"/>
                <w:sz w:val="20"/>
                <w:szCs w:val="20"/>
                <w:lang w:val="en-US"/>
              </w:rPr>
              <w:t>ha.</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rPr>
            </w:pPr>
            <w:r w:rsidRPr="00235C8E">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rPr>
            </w:pPr>
            <w:r w:rsidRPr="00235C8E">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rPr>
            </w:pPr>
            <w:r w:rsidRPr="00235C8E">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i/>
                <w:sz w:val="20"/>
                <w:szCs w:val="20"/>
              </w:rPr>
            </w:pPr>
            <w:r w:rsidRPr="00235C8E">
              <w:rPr>
                <w:rFonts w:ascii="Times New Roman" w:eastAsia="Calibri" w:hAnsi="Times New Roman"/>
                <w:sz w:val="20"/>
                <w:szCs w:val="20"/>
              </w:rPr>
              <w:t xml:space="preserve">Типични видове: </w:t>
            </w:r>
            <w:r w:rsidRPr="00235C8E">
              <w:rPr>
                <w:rFonts w:ascii="Times New Roman" w:eastAsia="Calibri" w:hAnsi="Times New Roman"/>
                <w:i/>
                <w:sz w:val="20"/>
                <w:szCs w:val="20"/>
              </w:rPr>
              <w:t>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Glinus lotoides, Mentha pulegium, Pulicaria vulgaris, Inula britannica,</w:t>
            </w:r>
            <w:r w:rsidRPr="00235C8E">
              <w:rPr>
                <w:rFonts w:ascii="Times New Roman" w:eastAsia="Calibri" w:hAnsi="Times New Roman"/>
                <w:i/>
                <w:sz w:val="20"/>
                <w:szCs w:val="20"/>
                <w:lang w:val="en-US"/>
              </w:rPr>
              <w:t xml:space="preserve"> Potentilla supine,</w:t>
            </w:r>
            <w:r w:rsidRPr="00235C8E">
              <w:rPr>
                <w:rFonts w:ascii="Times New Roman" w:eastAsia="Calibri" w:hAnsi="Times New Roman"/>
                <w:i/>
                <w:sz w:val="20"/>
                <w:szCs w:val="20"/>
              </w:rPr>
              <w:t xml:space="preserve"> Potentilla anserina, </w:t>
            </w: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rPr>
            </w:pPr>
            <w:r w:rsidRPr="00235C8E">
              <w:rPr>
                <w:rFonts w:ascii="Times New Roman" w:eastAsia="Calibri" w:hAnsi="Times New Roman"/>
                <w:sz w:val="20"/>
                <w:szCs w:val="20"/>
              </w:rPr>
              <w:t>Поддържане на състоянието – присъстват поне 5 от типичните видове.</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7. Необходимост от актуализация на СФ на защитената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Предложено е допълване на стандартния формуляр на защитената зона с новоустановеното природно местообитание.</w:t>
      </w:r>
    </w:p>
    <w:p w:rsidR="00235C8E" w:rsidRPr="00235C8E" w:rsidRDefault="00235C8E" w:rsidP="00235C8E">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35C8E" w:rsidRPr="00235C8E" w:rsidTr="00895A90">
        <w:tc>
          <w:tcPr>
            <w:tcW w:w="4957" w:type="dxa"/>
            <w:gridSpan w:val="6"/>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Annex I Habitat types</w:t>
            </w:r>
          </w:p>
        </w:tc>
        <w:tc>
          <w:tcPr>
            <w:tcW w:w="5244" w:type="dxa"/>
            <w:gridSpan w:val="4"/>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Site assessment</w:t>
            </w:r>
          </w:p>
        </w:tc>
      </w:tr>
      <w:tr w:rsidR="00235C8E" w:rsidRPr="00235C8E" w:rsidTr="00895A90">
        <w:tc>
          <w:tcPr>
            <w:tcW w:w="70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Code</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PF</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NP</w:t>
            </w:r>
          </w:p>
        </w:tc>
        <w:tc>
          <w:tcPr>
            <w:tcW w:w="851"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 xml:space="preserve">Cover </w:t>
            </w:r>
            <w:r w:rsidRPr="00235C8E">
              <w:rPr>
                <w:rFonts w:ascii="Times New Roman" w:hAnsi="Times New Roman"/>
                <w:b/>
                <w:noProof/>
                <w:color w:val="000000"/>
                <w:position w:val="-1"/>
                <w:sz w:val="20"/>
                <w:szCs w:val="20"/>
              </w:rPr>
              <w:lastRenderedPageBreak/>
              <w:t>(ha)</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lastRenderedPageBreak/>
              <w:t xml:space="preserve">Cave </w:t>
            </w:r>
            <w:r w:rsidRPr="00235C8E">
              <w:rPr>
                <w:rFonts w:ascii="Times New Roman" w:hAnsi="Times New Roman"/>
                <w:b/>
                <w:noProof/>
                <w:color w:val="000000"/>
                <w:position w:val="-1"/>
                <w:sz w:val="20"/>
                <w:szCs w:val="20"/>
              </w:rPr>
              <w:lastRenderedPageBreak/>
              <w:t>(number)</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lastRenderedPageBreak/>
              <w:t xml:space="preserve">Data </w:t>
            </w:r>
            <w:r w:rsidRPr="00235C8E">
              <w:rPr>
                <w:rFonts w:ascii="Times New Roman" w:hAnsi="Times New Roman"/>
                <w:b/>
                <w:noProof/>
                <w:color w:val="000000"/>
                <w:position w:val="-1"/>
                <w:sz w:val="20"/>
                <w:szCs w:val="20"/>
              </w:rPr>
              <w:lastRenderedPageBreak/>
              <w:t>quality</w:t>
            </w:r>
          </w:p>
        </w:tc>
        <w:tc>
          <w:tcPr>
            <w:tcW w:w="1842"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lastRenderedPageBreak/>
              <w:t>A/B/C/D</w:t>
            </w:r>
          </w:p>
        </w:tc>
        <w:tc>
          <w:tcPr>
            <w:tcW w:w="3402" w:type="dxa"/>
            <w:gridSpan w:val="3"/>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w:t>
            </w:r>
          </w:p>
        </w:tc>
      </w:tr>
      <w:tr w:rsidR="00235C8E" w:rsidRPr="00235C8E" w:rsidTr="00895A90">
        <w:tc>
          <w:tcPr>
            <w:tcW w:w="704"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851"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842"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Representativity</w:t>
            </w:r>
          </w:p>
        </w:tc>
        <w:tc>
          <w:tcPr>
            <w:tcW w:w="993"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Relative Surface</w:t>
            </w:r>
          </w:p>
        </w:tc>
        <w:tc>
          <w:tcPr>
            <w:tcW w:w="1559"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Conservation</w:t>
            </w:r>
          </w:p>
        </w:tc>
        <w:tc>
          <w:tcPr>
            <w:tcW w:w="850"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Global</w:t>
            </w:r>
          </w:p>
        </w:tc>
      </w:tr>
      <w:tr w:rsidR="00235C8E" w:rsidRPr="00235C8E" w:rsidTr="00895A90">
        <w:tc>
          <w:tcPr>
            <w:tcW w:w="704" w:type="dxa"/>
          </w:tcPr>
          <w:p w:rsidR="00235C8E" w:rsidRPr="00235C8E" w:rsidRDefault="00235C8E" w:rsidP="00235C8E">
            <w:pPr>
              <w:rPr>
                <w:rFonts w:ascii="Times New Roman" w:eastAsia="Calibri" w:hAnsi="Times New Roman"/>
                <w:b/>
                <w:color w:val="FF0000"/>
                <w:sz w:val="20"/>
                <w:szCs w:val="20"/>
              </w:rPr>
            </w:pPr>
            <w:r w:rsidRPr="00235C8E">
              <w:rPr>
                <w:rFonts w:ascii="Times New Roman" w:eastAsia="Calibri" w:hAnsi="Times New Roman"/>
                <w:b/>
                <w:color w:val="FF0000"/>
                <w:sz w:val="20"/>
                <w:szCs w:val="20"/>
              </w:rPr>
              <w:t>3130</w:t>
            </w:r>
          </w:p>
        </w:tc>
        <w:tc>
          <w:tcPr>
            <w:tcW w:w="567" w:type="dxa"/>
          </w:tcPr>
          <w:p w:rsidR="00235C8E" w:rsidRPr="00235C8E" w:rsidRDefault="00235C8E" w:rsidP="00235C8E">
            <w:pPr>
              <w:rPr>
                <w:rFonts w:ascii="Times New Roman" w:eastAsia="Calibri" w:hAnsi="Times New Roman"/>
                <w:b/>
                <w:sz w:val="20"/>
                <w:szCs w:val="20"/>
                <w:lang w:val="en-US"/>
              </w:rPr>
            </w:pPr>
          </w:p>
        </w:tc>
        <w:tc>
          <w:tcPr>
            <w:tcW w:w="567" w:type="dxa"/>
          </w:tcPr>
          <w:p w:rsidR="00235C8E" w:rsidRPr="00235C8E" w:rsidRDefault="00235C8E" w:rsidP="00235C8E">
            <w:pPr>
              <w:rPr>
                <w:rFonts w:ascii="Times New Roman" w:eastAsia="Calibri" w:hAnsi="Times New Roman"/>
                <w:b/>
                <w:sz w:val="20"/>
                <w:szCs w:val="20"/>
                <w:lang w:val="en-US"/>
              </w:rPr>
            </w:pPr>
          </w:p>
        </w:tc>
        <w:tc>
          <w:tcPr>
            <w:tcW w:w="851" w:type="dxa"/>
          </w:tcPr>
          <w:p w:rsidR="00235C8E" w:rsidRPr="00235C8E" w:rsidRDefault="00235C8E" w:rsidP="00235C8E">
            <w:pPr>
              <w:rPr>
                <w:rFonts w:ascii="Times New Roman" w:eastAsia="Calibri" w:hAnsi="Times New Roman"/>
                <w:b/>
                <w:color w:val="FF0000"/>
                <w:sz w:val="20"/>
                <w:szCs w:val="20"/>
              </w:rPr>
            </w:pPr>
            <w:r w:rsidRPr="00235C8E">
              <w:rPr>
                <w:rFonts w:ascii="Times New Roman" w:eastAsia="Calibri" w:hAnsi="Times New Roman"/>
                <w:b/>
                <w:color w:val="FF0000"/>
                <w:sz w:val="20"/>
                <w:szCs w:val="20"/>
              </w:rPr>
              <w:t>2</w:t>
            </w:r>
          </w:p>
        </w:tc>
        <w:tc>
          <w:tcPr>
            <w:tcW w:w="1134" w:type="dxa"/>
          </w:tcPr>
          <w:p w:rsidR="00235C8E" w:rsidRPr="00235C8E" w:rsidRDefault="00235C8E" w:rsidP="00235C8E">
            <w:pPr>
              <w:rPr>
                <w:rFonts w:ascii="Times New Roman" w:eastAsia="Calibri" w:hAnsi="Times New Roman"/>
                <w:b/>
                <w:sz w:val="20"/>
                <w:szCs w:val="20"/>
                <w:lang w:val="en-US"/>
              </w:rPr>
            </w:pPr>
          </w:p>
        </w:tc>
        <w:tc>
          <w:tcPr>
            <w:tcW w:w="1134"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G</w:t>
            </w:r>
          </w:p>
        </w:tc>
        <w:tc>
          <w:tcPr>
            <w:tcW w:w="1842"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c>
          <w:tcPr>
            <w:tcW w:w="993"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C</w:t>
            </w:r>
          </w:p>
        </w:tc>
        <w:tc>
          <w:tcPr>
            <w:tcW w:w="1559"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c>
          <w:tcPr>
            <w:tcW w:w="850" w:type="dxa"/>
          </w:tcPr>
          <w:p w:rsidR="00235C8E" w:rsidRPr="00235C8E" w:rsidRDefault="00235C8E" w:rsidP="00235C8E">
            <w:pPr>
              <w:rPr>
                <w:rFonts w:ascii="Times New Roman" w:eastAsia="Calibri" w:hAnsi="Times New Roman"/>
                <w:b/>
                <w:color w:val="FF0000"/>
                <w:sz w:val="20"/>
                <w:szCs w:val="20"/>
                <w:lang w:val="en-US"/>
              </w:rPr>
            </w:pPr>
            <w:r w:rsidRPr="00235C8E">
              <w:rPr>
                <w:rFonts w:ascii="Times New Roman" w:eastAsia="Calibri" w:hAnsi="Times New Roman"/>
                <w:b/>
                <w:color w:val="FF0000"/>
                <w:sz w:val="20"/>
                <w:szCs w:val="20"/>
                <w:lang w:val="en-US"/>
              </w:rPr>
              <w:t>B</w:t>
            </w:r>
          </w:p>
        </w:tc>
      </w:tr>
    </w:tbl>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sz w:val="24"/>
          <w:szCs w:val="24"/>
        </w:rPr>
        <w:t>Забележка: промените са отбелязани в червено.</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8. Цитирана литература</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235C8E">
        <w:rPr>
          <w:rFonts w:ascii="Times New Roman" w:eastAsia="Calibri" w:hAnsi="Times New Roman"/>
          <w:i/>
          <w:sz w:val="24"/>
          <w:szCs w:val="24"/>
        </w:rPr>
        <w:t>Littorelletea uniflorae</w:t>
      </w:r>
      <w:r w:rsidRPr="00235C8E">
        <w:rPr>
          <w:rFonts w:ascii="Times New Roman" w:eastAsia="Calibri" w:hAnsi="Times New Roman"/>
          <w:sz w:val="24"/>
          <w:szCs w:val="24"/>
        </w:rPr>
        <w:t xml:space="preserve"> и/или </w:t>
      </w:r>
      <w:r w:rsidRPr="00235C8E">
        <w:rPr>
          <w:rFonts w:ascii="Times New Roman" w:eastAsia="Calibri" w:hAnsi="Times New Roman"/>
          <w:i/>
          <w:sz w:val="24"/>
          <w:szCs w:val="24"/>
        </w:rPr>
        <w:t>Isoeto-Nanojuncetea</w:t>
      </w:r>
      <w:r w:rsidRPr="00235C8E">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235C8E">
        <w:rPr>
          <w:rFonts w:ascii="Times New Roman" w:eastAsia="Calibri" w:hAnsi="Times New Roman"/>
          <w:sz w:val="24"/>
          <w:szCs w:val="24"/>
          <w:lang w:val="en-US"/>
        </w:rPr>
        <w:t>.</w:t>
      </w:r>
    </w:p>
    <w:p w:rsidR="00235C8E" w:rsidRPr="00235C8E" w:rsidRDefault="00235C8E" w:rsidP="00235C8E">
      <w:pPr>
        <w:spacing w:after="0" w:line="240" w:lineRule="auto"/>
        <w:jc w:val="both"/>
        <w:rPr>
          <w:rFonts w:ascii="Times New Roman" w:eastAsia="Calibri" w:hAnsi="Times New Roman"/>
          <w:noProof/>
          <w:sz w:val="24"/>
          <w:szCs w:val="24"/>
          <w:lang w:val="en-US"/>
        </w:rPr>
      </w:pPr>
    </w:p>
    <w:p w:rsidR="00235C8E" w:rsidRPr="00235C8E" w:rsidRDefault="00235C8E" w:rsidP="00235C8E">
      <w:pPr>
        <w:spacing w:after="0" w:line="240" w:lineRule="auto"/>
        <w:jc w:val="both"/>
        <w:rPr>
          <w:rFonts w:ascii="Times New Roman" w:eastAsia="Calibri" w:hAnsi="Times New Roman"/>
          <w:noProof/>
          <w:sz w:val="24"/>
          <w:szCs w:val="24"/>
          <w:lang w:val="en-US"/>
        </w:rPr>
      </w:pPr>
      <w:r w:rsidRPr="00235C8E">
        <w:rPr>
          <w:rFonts w:ascii="Times New Roman" w:eastAsia="Calibri" w:hAnsi="Times New Roman"/>
          <w:i/>
          <w:noProof/>
          <w:sz w:val="24"/>
          <w:szCs w:val="24"/>
          <w:lang w:val="en-US"/>
        </w:rPr>
        <w:t>Автори на текста</w:t>
      </w:r>
      <w:r w:rsidRPr="00235C8E">
        <w:rPr>
          <w:rFonts w:ascii="Times New Roman" w:eastAsia="Calibri" w:hAnsi="Times New Roman"/>
          <w:noProof/>
          <w:sz w:val="24"/>
          <w:szCs w:val="24"/>
          <w:lang w:val="en-US"/>
        </w:rPr>
        <w:t>: Росен Цонев, Чавдар Гусев, Валери Георгиев, Соня Цонева</w:t>
      </w: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pStyle w:val="Heading2"/>
        <w:rPr>
          <w:rFonts w:ascii="Times New Roman" w:eastAsia="Calibri" w:hAnsi="Times New Roman"/>
          <w:b w:val="0"/>
          <w:noProof/>
          <w:color w:val="1F497D"/>
          <w:sz w:val="28"/>
          <w:szCs w:val="28"/>
        </w:rPr>
      </w:pPr>
      <w:bookmarkStart w:id="3" w:name="_Toc88907887"/>
      <w:r w:rsidRPr="00235C8E">
        <w:rPr>
          <w:rFonts w:ascii="Times New Roman" w:eastAsia="Calibri" w:hAnsi="Times New Roman"/>
          <w:b w:val="0"/>
          <w:noProof/>
          <w:color w:val="1F497D"/>
          <w:sz w:val="28"/>
          <w:szCs w:val="28"/>
        </w:rPr>
        <w:t xml:space="preserve">Природно местообитание 3270 Реки с кални брегове с </w:t>
      </w:r>
      <w:r w:rsidRPr="00235C8E">
        <w:rPr>
          <w:rFonts w:ascii="Times New Roman" w:eastAsia="Calibri" w:hAnsi="Times New Roman"/>
          <w:b w:val="0"/>
          <w:i/>
          <w:noProof/>
          <w:color w:val="1F497D"/>
          <w:sz w:val="28"/>
          <w:szCs w:val="28"/>
        </w:rPr>
        <w:t>Chenopodion rubri</w:t>
      </w:r>
      <w:r w:rsidRPr="00235C8E">
        <w:rPr>
          <w:rFonts w:ascii="Times New Roman" w:eastAsia="Calibri" w:hAnsi="Times New Roman"/>
          <w:b w:val="0"/>
          <w:noProof/>
          <w:color w:val="1F497D"/>
          <w:sz w:val="28"/>
          <w:szCs w:val="28"/>
        </w:rPr>
        <w:t xml:space="preserve"> и </w:t>
      </w:r>
      <w:r w:rsidRPr="00235C8E">
        <w:rPr>
          <w:rFonts w:ascii="Times New Roman" w:eastAsia="Calibri" w:hAnsi="Times New Roman"/>
          <w:b w:val="0"/>
          <w:i/>
          <w:noProof/>
          <w:color w:val="1F497D"/>
          <w:sz w:val="28"/>
          <w:szCs w:val="28"/>
        </w:rPr>
        <w:t>Bidention</w:t>
      </w:r>
      <w:r w:rsidRPr="00235C8E">
        <w:rPr>
          <w:rFonts w:ascii="Times New Roman" w:eastAsia="Calibri" w:hAnsi="Times New Roman"/>
          <w:b w:val="0"/>
          <w:noProof/>
          <w:color w:val="1F497D"/>
          <w:sz w:val="28"/>
          <w:szCs w:val="28"/>
        </w:rPr>
        <w:t xml:space="preserve"> p.p.</w:t>
      </w:r>
      <w:bookmarkEnd w:id="3"/>
    </w:p>
    <w:p w:rsidR="00235C8E" w:rsidRPr="00235C8E" w:rsidRDefault="00235C8E" w:rsidP="00235C8E">
      <w:pPr>
        <w:spacing w:after="0" w:line="240" w:lineRule="auto"/>
        <w:ind w:left="720" w:hanging="720"/>
        <w:jc w:val="both"/>
        <w:rPr>
          <w:rFonts w:ascii="Times New Roman" w:eastAsia="Calibri" w:hAnsi="Times New Roman"/>
          <w:noProof/>
          <w:sz w:val="24"/>
          <w:szCs w:val="24"/>
        </w:rPr>
      </w:pP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b/>
          <w:sz w:val="24"/>
          <w:szCs w:val="24"/>
        </w:rPr>
        <w:t xml:space="preserve">1. Код и наименование на типа местообитание: </w:t>
      </w:r>
      <w:r w:rsidRPr="00235C8E">
        <w:rPr>
          <w:rFonts w:ascii="Times New Roman" w:eastAsia="Calibri" w:hAnsi="Times New Roman"/>
          <w:bCs/>
          <w:sz w:val="24"/>
          <w:szCs w:val="24"/>
        </w:rPr>
        <w:t xml:space="preserve">3270 Реки с кални брегове с </w:t>
      </w:r>
      <w:r w:rsidRPr="00235C8E">
        <w:rPr>
          <w:rFonts w:ascii="Times New Roman" w:eastAsia="Calibri" w:hAnsi="Times New Roman"/>
          <w:bCs/>
          <w:i/>
          <w:sz w:val="24"/>
          <w:szCs w:val="24"/>
        </w:rPr>
        <w:t>Chenopodion rubri</w:t>
      </w:r>
      <w:r w:rsidRPr="00235C8E">
        <w:rPr>
          <w:rFonts w:ascii="Times New Roman" w:eastAsia="Calibri" w:hAnsi="Times New Roman"/>
          <w:bCs/>
          <w:sz w:val="24"/>
          <w:szCs w:val="24"/>
        </w:rPr>
        <w:t xml:space="preserve"> и </w:t>
      </w:r>
      <w:r w:rsidRPr="00235C8E">
        <w:rPr>
          <w:rFonts w:ascii="Times New Roman" w:eastAsia="Calibri" w:hAnsi="Times New Roman"/>
          <w:bCs/>
          <w:i/>
          <w:sz w:val="24"/>
          <w:szCs w:val="24"/>
        </w:rPr>
        <w:t>Bidention</w:t>
      </w:r>
      <w:r w:rsidRPr="00235C8E">
        <w:rPr>
          <w:rFonts w:ascii="Times New Roman" w:eastAsia="Calibri" w:hAnsi="Times New Roman"/>
          <w:bCs/>
          <w:sz w:val="24"/>
          <w:szCs w:val="24"/>
        </w:rPr>
        <w:t xml:space="preserve"> p.p.</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rPr>
          <w:rFonts w:ascii="Times New Roman" w:eastAsia="Calibri" w:hAnsi="Times New Roman"/>
          <w:b/>
          <w:sz w:val="24"/>
          <w:szCs w:val="24"/>
        </w:rPr>
      </w:pPr>
      <w:r w:rsidRPr="00235C8E">
        <w:rPr>
          <w:rFonts w:ascii="Times New Roman" w:eastAsia="Calibri" w:hAnsi="Times New Roman"/>
          <w:b/>
          <w:sz w:val="24"/>
          <w:szCs w:val="24"/>
        </w:rPr>
        <w:t>2. Кратка характеристика на целевия обект</w:t>
      </w:r>
    </w:p>
    <w:p w:rsidR="00235C8E" w:rsidRPr="00235C8E" w:rsidRDefault="00235C8E" w:rsidP="00235C8E">
      <w:pPr>
        <w:spacing w:after="0" w:line="240" w:lineRule="auto"/>
        <w:ind w:firstLine="720"/>
        <w:jc w:val="both"/>
        <w:rPr>
          <w:rFonts w:ascii="Times New Roman" w:eastAsia="Calibri" w:hAnsi="Times New Roman"/>
          <w:sz w:val="24"/>
          <w:szCs w:val="24"/>
        </w:rPr>
      </w:pPr>
      <w:proofErr w:type="gramStart"/>
      <w:r w:rsidRPr="00235C8E">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едногодишни, в</w:t>
      </w:r>
      <w:r w:rsidRPr="00235C8E">
        <w:rPr>
          <w:rFonts w:ascii="Times New Roman" w:eastAsia="Calibri" w:hAnsi="Times New Roman"/>
          <w:noProof/>
          <w:sz w:val="24"/>
          <w:szCs w:val="24"/>
        </w:rPr>
        <w:t>исоки (0,50–0,70 m) пи</w:t>
      </w:r>
      <w:r w:rsidRPr="00235C8E">
        <w:rPr>
          <w:rFonts w:ascii="Times New Roman" w:eastAsia="Calibri" w:hAnsi="Times New Roman"/>
          <w:sz w:val="24"/>
          <w:szCs w:val="24"/>
          <w:lang w:val="en-US"/>
        </w:rPr>
        <w:t>онерни нитрофилни (рудерални) растителни съобщества.</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Съобществата са свързани</w:t>
      </w:r>
      <w:r w:rsidRPr="00235C8E">
        <w:rPr>
          <w:rFonts w:ascii="Times New Roman" w:eastAsia="Calibri" w:hAnsi="Times New Roman"/>
          <w:sz w:val="24"/>
          <w:szCs w:val="24"/>
        </w:rPr>
        <w:t xml:space="preserve"> сукцесионно с тези на ниските хигрофити</w:t>
      </w:r>
      <w:r w:rsidRPr="00235C8E">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Във видовия състав на ценозите преобладават нитрофилни и рудерални видове.</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 xml:space="preserve">Доминанти са </w:t>
      </w:r>
      <w:r w:rsidRPr="00235C8E">
        <w:rPr>
          <w:rFonts w:ascii="Times New Roman" w:eastAsia="Calibri" w:hAnsi="Times New Roman"/>
          <w:i/>
          <w:sz w:val="24"/>
          <w:szCs w:val="24"/>
          <w:lang w:val="en-US"/>
        </w:rPr>
        <w:t>Bidens frondosa, B. tripartita, Persicaria hydropiper, P. lapathifolia, Rumex conglomeratus, R. maritimus, Xanthium italicum</w:t>
      </w:r>
      <w:r w:rsidRPr="00235C8E">
        <w:rPr>
          <w:rFonts w:ascii="Times New Roman" w:eastAsia="Calibri" w:hAnsi="Times New Roman"/>
          <w:i/>
          <w:sz w:val="24"/>
          <w:szCs w:val="24"/>
        </w:rPr>
        <w:t xml:space="preserve"> </w:t>
      </w:r>
      <w:r w:rsidRPr="00235C8E">
        <w:rPr>
          <w:rFonts w:ascii="Times New Roman" w:eastAsia="Calibri" w:hAnsi="Times New Roman"/>
          <w:sz w:val="24"/>
          <w:szCs w:val="24"/>
        </w:rPr>
        <w:t>и др</w:t>
      </w:r>
      <w:r w:rsidRPr="00235C8E">
        <w:rPr>
          <w:rFonts w:ascii="Times New Roman" w:eastAsia="Calibri" w:hAnsi="Times New Roman"/>
          <w:sz w:val="24"/>
          <w:szCs w:val="24"/>
          <w:lang w:val="en-US"/>
        </w:rPr>
        <w:t>.</w:t>
      </w:r>
      <w:proofErr w:type="gramEnd"/>
      <w:r w:rsidRPr="00235C8E">
        <w:rPr>
          <w:rFonts w:ascii="Times New Roman" w:eastAsia="Calibri" w:hAnsi="Times New Roman"/>
          <w:sz w:val="24"/>
          <w:szCs w:val="24"/>
        </w:rPr>
        <w:t xml:space="preserve"> </w:t>
      </w:r>
      <w:proofErr w:type="gramStart"/>
      <w:r w:rsidRPr="00235C8E">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235C8E">
        <w:rPr>
          <w:rFonts w:ascii="Times New Roman" w:eastAsia="Calibri" w:hAnsi="Times New Roman"/>
          <w:sz w:val="24"/>
          <w:szCs w:val="24"/>
        </w:rPr>
        <w:t xml:space="preserve"> (3130).</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 xml:space="preserve">Те се появяват обикновено в края на лятото, като първоначално </w:t>
      </w:r>
      <w:r w:rsidRPr="00235C8E">
        <w:rPr>
          <w:rFonts w:ascii="Times New Roman" w:eastAsia="Calibri" w:hAnsi="Times New Roman"/>
          <w:sz w:val="24"/>
          <w:szCs w:val="24"/>
          <w:lang w:val="en-US"/>
        </w:rPr>
        <w:lastRenderedPageBreak/>
        <w:t>брегът изглежда кален и лишен от растителност, тъй като тя се развива по-късно.</w:t>
      </w:r>
      <w:proofErr w:type="gramEnd"/>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235C8E" w:rsidRPr="00235C8E" w:rsidRDefault="00235C8E" w:rsidP="00235C8E">
      <w:pPr>
        <w:spacing w:after="0" w:line="240" w:lineRule="auto"/>
        <w:ind w:firstLine="720"/>
        <w:jc w:val="both"/>
        <w:rPr>
          <w:rFonts w:ascii="Times New Roman" w:hAnsi="Times New Roman"/>
          <w:bCs/>
          <w:sz w:val="24"/>
          <w:szCs w:val="24"/>
          <w:lang w:val="en-US" w:eastAsia="bg-BG"/>
        </w:rPr>
      </w:pPr>
      <w:proofErr w:type="gramStart"/>
      <w:r w:rsidRPr="00235C8E">
        <w:rPr>
          <w:rFonts w:ascii="Times New Roman" w:hAnsi="Times New Roman"/>
          <w:bCs/>
          <w:sz w:val="24"/>
          <w:szCs w:val="24"/>
          <w:lang w:val="en-US" w:eastAsia="bg-BG"/>
        </w:rPr>
        <w:t>Съобщества от този тип са широко разпространени по брега на река Дунав, както и по бреговете на островите в защитената зона</w:t>
      </w:r>
      <w:r w:rsidRPr="00235C8E">
        <w:rPr>
          <w:rFonts w:ascii="Times New Roman" w:hAnsi="Times New Roman"/>
          <w:bCs/>
          <w:sz w:val="24"/>
          <w:szCs w:val="24"/>
          <w:lang w:eastAsia="bg-BG"/>
        </w:rPr>
        <w:t>, вкл.</w:t>
      </w:r>
      <w:proofErr w:type="gramEnd"/>
      <w:r w:rsidRPr="00235C8E">
        <w:rPr>
          <w:rFonts w:ascii="Times New Roman" w:hAnsi="Times New Roman"/>
          <w:bCs/>
          <w:sz w:val="24"/>
          <w:szCs w:val="24"/>
          <w:lang w:eastAsia="bg-BG"/>
        </w:rPr>
        <w:t xml:space="preserve"> и на остров Кутово (Голя)</w:t>
      </w:r>
      <w:r w:rsidRPr="00235C8E">
        <w:rPr>
          <w:rFonts w:ascii="Times New Roman" w:hAnsi="Times New Roman"/>
          <w:bCs/>
          <w:sz w:val="24"/>
          <w:szCs w:val="24"/>
          <w:lang w:val="en-US" w:eastAsia="bg-BG"/>
        </w:rPr>
        <w:t xml:space="preserve">. </w:t>
      </w:r>
      <w:proofErr w:type="gramStart"/>
      <w:r w:rsidRPr="00235C8E">
        <w:rPr>
          <w:rFonts w:ascii="Times New Roman" w:hAnsi="Times New Roman"/>
          <w:bCs/>
          <w:sz w:val="24"/>
          <w:szCs w:val="24"/>
          <w:lang w:val="en-US" w:eastAsia="bg-BG"/>
        </w:rPr>
        <w:t>Ценозите са много представителни и включват почти всички типични видове за местообитанието, които се развиват след засъхване на бреговете, заети от съобществата на клас Isoeto-Nanojuncetea (3130)</w:t>
      </w:r>
      <w:r w:rsidRPr="00235C8E">
        <w:rPr>
          <w:rFonts w:ascii="Times New Roman" w:hAnsi="Times New Roman"/>
          <w:bCs/>
          <w:sz w:val="24"/>
          <w:szCs w:val="24"/>
          <w:lang w:eastAsia="bg-BG"/>
        </w:rPr>
        <w:t xml:space="preserve">, а след тях – тези на клас </w:t>
      </w:r>
      <w:r w:rsidRPr="00235C8E">
        <w:rPr>
          <w:rFonts w:ascii="Times New Roman" w:hAnsi="Times New Roman"/>
          <w:bCs/>
          <w:i/>
          <w:sz w:val="24"/>
          <w:szCs w:val="24"/>
          <w:lang w:val="en-US" w:eastAsia="bg-BG"/>
        </w:rPr>
        <w:t>Bidentetea</w:t>
      </w:r>
      <w:r w:rsidRPr="00235C8E">
        <w:rPr>
          <w:rFonts w:ascii="Times New Roman" w:hAnsi="Times New Roman"/>
          <w:bCs/>
          <w:sz w:val="24"/>
          <w:szCs w:val="24"/>
          <w:lang w:val="en-US" w:eastAsia="bg-BG"/>
        </w:rPr>
        <w:t>.</w:t>
      </w:r>
      <w:proofErr w:type="gramEnd"/>
    </w:p>
    <w:p w:rsidR="00235C8E" w:rsidRPr="00235C8E" w:rsidRDefault="00235C8E" w:rsidP="00235C8E">
      <w:pPr>
        <w:spacing w:after="0" w:line="240" w:lineRule="auto"/>
        <w:ind w:firstLine="709"/>
        <w:jc w:val="both"/>
        <w:rPr>
          <w:rFonts w:ascii="Times New Roman" w:hAnsi="Times New Roman"/>
          <w:bCs/>
          <w:sz w:val="24"/>
          <w:szCs w:val="24"/>
          <w:lang w:val="en-US" w:eastAsia="bg-BG"/>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3. Състояние на биогеографско ниво и разпространение в мрежата</w:t>
      </w:r>
    </w:p>
    <w:p w:rsidR="00235C8E" w:rsidRPr="00235C8E" w:rsidRDefault="00235C8E" w:rsidP="00235C8E">
      <w:pPr>
        <w:shd w:val="clear" w:color="auto" w:fill="FFFFFF"/>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235C8E">
        <w:rPr>
          <w:rFonts w:ascii="Times New Roman" w:hAnsi="Times New Roman"/>
          <w:noProof/>
          <w:position w:val="-1"/>
          <w:sz w:val="24"/>
          <w:szCs w:val="24"/>
        </w:rPr>
        <w:t xml:space="preserve">Natura 2000 update April 2019: </w:t>
      </w:r>
      <w:hyperlink r:id="rId10">
        <w:r w:rsidRPr="00235C8E">
          <w:rPr>
            <w:rFonts w:ascii="Times New Roman" w:hAnsi="Times New Roman"/>
            <w:noProof/>
            <w:color w:val="0563C1"/>
            <w:position w:val="-1"/>
            <w:sz w:val="24"/>
            <w:szCs w:val="24"/>
            <w:u w:val="single"/>
          </w:rPr>
          <w:t>https://cdr.eionet.europa.eu/bg/eu/n2000</w:t>
        </w:r>
      </w:hyperlink>
      <w:r w:rsidRPr="00235C8E">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35C8E">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235C8E">
        <w:rPr>
          <w:rFonts w:ascii="Times New Roman" w:eastAsia="Calibri" w:hAnsi="Times New Roman"/>
          <w:sz w:val="24"/>
          <w:szCs w:val="24"/>
        </w:rPr>
        <w:t>.</w:t>
      </w:r>
    </w:p>
    <w:p w:rsidR="00235C8E" w:rsidRPr="00235C8E" w:rsidRDefault="00235C8E" w:rsidP="00235C8E">
      <w:pPr>
        <w:spacing w:after="0" w:line="240" w:lineRule="auto"/>
        <w:jc w:val="both"/>
        <w:rPr>
          <w:rFonts w:ascii="Times New Roman" w:eastAsia="Calibri" w:hAnsi="Times New Roman"/>
          <w:sz w:val="24"/>
          <w:szCs w:val="24"/>
        </w:rPr>
      </w:pPr>
      <w:r w:rsidRPr="00235C8E">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района (благоприятно разпространение, неблагоприятно-лошо по структура и функции, и бъдещи перспективи). </w:t>
      </w:r>
      <w:r w:rsidRPr="00235C8E">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235C8E">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35C8E">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rPr>
          <w:rFonts w:ascii="Times New Roman" w:eastAsia="Calibri" w:hAnsi="Times New Roman"/>
          <w:i/>
          <w:sz w:val="24"/>
          <w:szCs w:val="24"/>
        </w:rPr>
      </w:pPr>
      <w:r w:rsidRPr="00235C8E">
        <w:rPr>
          <w:rFonts w:ascii="Times New Roman" w:eastAsia="Calibri" w:hAnsi="Times New Roman"/>
          <w:b/>
          <w:sz w:val="24"/>
          <w:szCs w:val="24"/>
        </w:rPr>
        <w:t>4. Състояние на ниво защитена зона</w:t>
      </w:r>
    </w:p>
    <w:p w:rsidR="00235C8E" w:rsidRPr="00235C8E" w:rsidRDefault="00235C8E" w:rsidP="00235C8E">
      <w:pPr>
        <w:spacing w:after="0" w:line="240" w:lineRule="auto"/>
        <w:ind w:firstLine="720"/>
        <w:jc w:val="both"/>
        <w:rPr>
          <w:rFonts w:ascii="Times New Roman" w:eastAsia="Calibri" w:hAnsi="Times New Roman"/>
          <w:sz w:val="24"/>
          <w:szCs w:val="24"/>
        </w:rPr>
      </w:pPr>
      <w:r w:rsidRPr="00235C8E">
        <w:rPr>
          <w:rFonts w:ascii="Times New Roman" w:eastAsia="Calibri" w:hAnsi="Times New Roman"/>
          <w:sz w:val="24"/>
          <w:szCs w:val="24"/>
        </w:rPr>
        <w:t>Местообитанието е новоустановено в защитената зона.</w:t>
      </w:r>
    </w:p>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5. Анализ на наличната информация</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35C8E" w:rsidRPr="00235C8E" w:rsidRDefault="00235C8E" w:rsidP="00235C8E">
      <w:pPr>
        <w:spacing w:after="0" w:line="240" w:lineRule="auto"/>
        <w:ind w:firstLine="720"/>
        <w:contextualSpacing/>
        <w:jc w:val="both"/>
        <w:rPr>
          <w:rFonts w:ascii="Times New Roman" w:hAnsi="Times New Roman"/>
          <w:bCs/>
          <w:sz w:val="24"/>
          <w:szCs w:val="24"/>
          <w:lang w:eastAsia="bg-BG"/>
        </w:rPr>
      </w:pPr>
      <w:r w:rsidRPr="00235C8E">
        <w:rPr>
          <w:rFonts w:ascii="Times New Roman" w:eastAsia="Calibri" w:hAnsi="Times New Roman"/>
          <w:sz w:val="24"/>
          <w:szCs w:val="24"/>
        </w:rPr>
        <w:t xml:space="preserve">През 2021 г. местообитанието е новоустановено в зоната. </w:t>
      </w:r>
      <w:proofErr w:type="gramStart"/>
      <w:r w:rsidRPr="00235C8E">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235C8E">
        <w:rPr>
          <w:rFonts w:ascii="Times New Roman" w:eastAsia="Calibri" w:hAnsi="Times New Roman"/>
          <w:sz w:val="24"/>
          <w:szCs w:val="24"/>
        </w:rPr>
        <w:t>реките</w:t>
      </w:r>
      <w:r w:rsidRPr="00235C8E">
        <w:rPr>
          <w:rFonts w:ascii="Times New Roman" w:eastAsia="Calibri" w:hAnsi="Times New Roman"/>
          <w:sz w:val="24"/>
          <w:szCs w:val="24"/>
          <w:lang w:val="en-US"/>
        </w:rPr>
        <w:t xml:space="preserve"> и зависи от динамиката на речните наноси.</w:t>
      </w:r>
      <w:proofErr w:type="gramEnd"/>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По</w:t>
      </w:r>
      <w:r w:rsidRPr="00235C8E">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235C8E">
        <w:rPr>
          <w:rFonts w:ascii="Times New Roman" w:eastAsia="Calibri" w:hAnsi="Times New Roman"/>
          <w:sz w:val="24"/>
          <w:szCs w:val="24"/>
        </w:rPr>
        <w:t>Допълнително, в сравнение с 3130, това местообитание се нуждае от по-дълъг период на осушаване на наносите, за да се развие върху тях</w:t>
      </w:r>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w:t>
      </w:r>
      <w:proofErr w:type="gramEnd"/>
      <w:r w:rsidRPr="00235C8E">
        <w:rPr>
          <w:rFonts w:ascii="Times New Roman" w:eastAsia="Calibri" w:hAnsi="Times New Roman"/>
          <w:sz w:val="24"/>
          <w:szCs w:val="24"/>
          <w:lang w:val="en-US"/>
        </w:rPr>
        <w:t xml:space="preserve"> </w:t>
      </w:r>
      <w:proofErr w:type="gramStart"/>
      <w:r w:rsidRPr="00235C8E">
        <w:rPr>
          <w:rFonts w:ascii="Times New Roman" w:eastAsia="Calibri" w:hAnsi="Times New Roman"/>
          <w:sz w:val="24"/>
          <w:szCs w:val="24"/>
          <w:lang w:val="en-US"/>
        </w:rPr>
        <w:t xml:space="preserve">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235C8E">
        <w:rPr>
          <w:rFonts w:ascii="Times New Roman" w:eastAsia="Calibri" w:hAnsi="Times New Roman"/>
          <w:sz w:val="24"/>
          <w:szCs w:val="24"/>
        </w:rPr>
        <w:t>е отдръпнала по-</w:t>
      </w:r>
      <w:r w:rsidRPr="00235C8E">
        <w:rPr>
          <w:rFonts w:ascii="Times New Roman" w:eastAsia="Calibri" w:hAnsi="Times New Roman"/>
          <w:sz w:val="24"/>
          <w:szCs w:val="24"/>
        </w:rPr>
        <w:lastRenderedPageBreak/>
        <w:t>отдавна</w:t>
      </w:r>
      <w:r w:rsidRPr="00235C8E">
        <w:rPr>
          <w:rFonts w:ascii="Times New Roman" w:eastAsia="Calibri" w:hAnsi="Times New Roman"/>
          <w:sz w:val="24"/>
          <w:szCs w:val="24"/>
          <w:lang w:val="en-US"/>
        </w:rPr>
        <w:t>.</w:t>
      </w:r>
      <w:proofErr w:type="gramEnd"/>
      <w:r w:rsidRPr="00235C8E">
        <w:rPr>
          <w:rFonts w:ascii="Times New Roman" w:eastAsia="Calibri" w:hAnsi="Times New Roman"/>
          <w:sz w:val="24"/>
          <w:szCs w:val="24"/>
          <w:lang w:val="en-US"/>
        </w:rPr>
        <w:t xml:space="preserve"> </w:t>
      </w:r>
      <w:r w:rsidRPr="00235C8E">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hAnsi="Times New Roman"/>
          <w:bCs/>
          <w:sz w:val="24"/>
          <w:szCs w:val="24"/>
          <w:lang w:eastAsia="bg-BG"/>
        </w:rPr>
        <w:t xml:space="preserve">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 </w:t>
      </w:r>
      <w:r w:rsidRPr="00235C8E">
        <w:rPr>
          <w:rFonts w:ascii="Times New Roman" w:eastAsia="Calibri" w:hAnsi="Times New Roman"/>
          <w:sz w:val="24"/>
          <w:szCs w:val="24"/>
        </w:rPr>
        <w:t>След оглед на наличната информация е направено моделиране и определената при него стойност</w:t>
      </w:r>
      <w:r w:rsidRPr="00235C8E">
        <w:rPr>
          <w:rFonts w:ascii="Times New Roman" w:eastAsia="Calibri" w:hAnsi="Times New Roman"/>
          <w:sz w:val="24"/>
          <w:szCs w:val="24"/>
          <w:lang w:val="en-US"/>
        </w:rPr>
        <w:t xml:space="preserve"> </w:t>
      </w:r>
      <w:r w:rsidRPr="00235C8E">
        <w:rPr>
          <w:rFonts w:ascii="Times New Roman" w:hAnsi="Times New Roman"/>
          <w:bCs/>
          <w:sz w:val="24"/>
          <w:szCs w:val="24"/>
          <w:lang w:eastAsia="bg-BG"/>
        </w:rPr>
        <w:t>(1 ha)</w:t>
      </w:r>
      <w:r w:rsidRPr="00235C8E">
        <w:rPr>
          <w:rFonts w:ascii="Times New Roman" w:eastAsia="Calibri" w:hAnsi="Times New Roman"/>
          <w:sz w:val="24"/>
          <w:szCs w:val="24"/>
        </w:rPr>
        <w:t xml:space="preserve"> е приета за минимална. Предлагаме тя да бъде включена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35C8E" w:rsidRPr="00235C8E" w:rsidRDefault="00235C8E" w:rsidP="00235C8E">
      <w:pPr>
        <w:spacing w:after="0" w:line="240" w:lineRule="auto"/>
        <w:ind w:firstLine="720"/>
        <w:contextualSpacing/>
        <w:jc w:val="both"/>
        <w:rPr>
          <w:rFonts w:ascii="Times New Roman" w:eastAsia="Calibri" w:hAnsi="Times New Roman"/>
          <w:sz w:val="24"/>
          <w:szCs w:val="24"/>
        </w:rPr>
      </w:pPr>
      <w:r w:rsidRPr="00235C8E">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jc w:val="both"/>
        <w:rPr>
          <w:rFonts w:ascii="Times New Roman" w:eastAsia="Calibri" w:hAnsi="Times New Roman"/>
          <w:b/>
          <w:i/>
          <w:sz w:val="24"/>
          <w:szCs w:val="24"/>
          <w:lang w:val="en-US"/>
        </w:rPr>
      </w:pPr>
      <w:r w:rsidRPr="00235C8E">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35C8E" w:rsidRPr="00235C8E" w:rsidRDefault="00235C8E" w:rsidP="00235C8E">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35C8E" w:rsidRPr="00235C8E" w:rsidTr="00895A9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235C8E" w:rsidRPr="00235C8E" w:rsidRDefault="00235C8E" w:rsidP="00235C8E">
            <w:pPr>
              <w:rPr>
                <w:rFonts w:ascii="Times New Roman" w:eastAsia="Calibri" w:hAnsi="Times New Roman"/>
                <w:b/>
                <w:bCs/>
                <w:sz w:val="20"/>
                <w:szCs w:val="20"/>
              </w:rPr>
            </w:pPr>
            <w:r w:rsidRPr="00235C8E">
              <w:rPr>
                <w:rFonts w:ascii="Times New Roman" w:eastAsia="Calibri" w:hAnsi="Times New Roman"/>
                <w:b/>
                <w:bCs/>
                <w:sz w:val="20"/>
                <w:szCs w:val="20"/>
              </w:rPr>
              <w:t xml:space="preserve">Специфични цели </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 xml:space="preserve">Най-малко </w:t>
            </w:r>
            <w:r w:rsidRPr="00235C8E">
              <w:rPr>
                <w:rFonts w:ascii="Times New Roman" w:eastAsia="Calibri" w:hAnsi="Times New Roman"/>
                <w:sz w:val="20"/>
                <w:szCs w:val="20"/>
              </w:rPr>
              <w:t>1</w:t>
            </w:r>
            <w:r w:rsidRPr="00235C8E">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spacing w:after="160" w:line="259" w:lineRule="auto"/>
              <w:rPr>
                <w:rFonts w:ascii="Times New Roman" w:eastAsia="Calibri" w:hAnsi="Times New Roman"/>
                <w:noProof/>
                <w:sz w:val="20"/>
                <w:szCs w:val="20"/>
              </w:rPr>
            </w:pPr>
            <w:r w:rsidRPr="00235C8E">
              <w:rPr>
                <w:rFonts w:ascii="Times New Roman" w:eastAsia="Calibri" w:hAnsi="Times New Roman"/>
                <w:noProof/>
                <w:sz w:val="20"/>
                <w:szCs w:val="20"/>
              </w:rPr>
              <w:t xml:space="preserve">Поддържане на площта – най-малко 1 </w:t>
            </w:r>
            <w:r w:rsidRPr="00235C8E">
              <w:rPr>
                <w:rFonts w:ascii="Times New Roman" w:eastAsia="Calibri" w:hAnsi="Times New Roman"/>
                <w:noProof/>
                <w:sz w:val="20"/>
                <w:szCs w:val="20"/>
                <w:lang w:val="en-US"/>
              </w:rPr>
              <w:t>ha</w:t>
            </w:r>
            <w:r w:rsidRPr="00235C8E">
              <w:rPr>
                <w:rFonts w:ascii="Times New Roman" w:eastAsia="Calibri" w:hAnsi="Times New Roman"/>
                <w:noProof/>
                <w:sz w:val="20"/>
                <w:szCs w:val="20"/>
              </w:rPr>
              <w:t>.</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b/>
                <w:sz w:val="20"/>
                <w:szCs w:val="20"/>
              </w:rPr>
            </w:pPr>
            <w:r w:rsidRPr="00235C8E">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sz w:val="20"/>
                <w:szCs w:val="20"/>
              </w:rPr>
            </w:pPr>
            <w:r w:rsidRPr="00235C8E">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rPr>
                <w:rFonts w:ascii="Times New Roman" w:eastAsia="Calibri" w:hAnsi="Times New Roman"/>
                <w:sz w:val="20"/>
                <w:szCs w:val="20"/>
              </w:rPr>
            </w:pPr>
            <w:r w:rsidRPr="00235C8E">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i/>
                <w:sz w:val="20"/>
                <w:szCs w:val="20"/>
              </w:rPr>
            </w:pPr>
            <w:r w:rsidRPr="00235C8E">
              <w:rPr>
                <w:rFonts w:ascii="Times New Roman" w:eastAsia="Calibri" w:hAnsi="Times New Roman"/>
                <w:sz w:val="20"/>
                <w:szCs w:val="20"/>
              </w:rPr>
              <w:t xml:space="preserve">Типични видове: </w:t>
            </w:r>
            <w:r w:rsidRPr="00235C8E">
              <w:rPr>
                <w:rFonts w:ascii="Times New Roman" w:eastAsia="Calibri" w:hAnsi="Times New Roman"/>
                <w:i/>
                <w:sz w:val="20"/>
                <w:szCs w:val="20"/>
              </w:rPr>
              <w:t xml:space="preserve">Xanthium italicum, Artemisia annua, Chenopodium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 xml:space="preserve">, Bidens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anaga</w:t>
            </w:r>
            <w:r w:rsidRPr="00235C8E">
              <w:rPr>
                <w:rFonts w:ascii="Times New Roman" w:eastAsia="Calibri" w:hAnsi="Times New Roman"/>
                <w:i/>
                <w:sz w:val="20"/>
                <w:szCs w:val="20"/>
                <w:lang w:val="en-US"/>
              </w:rPr>
              <w:t>l</w:t>
            </w:r>
            <w:r w:rsidRPr="00235C8E">
              <w:rPr>
                <w:rFonts w:ascii="Times New Roman" w:eastAsia="Calibri" w:hAnsi="Times New Roman"/>
                <w:i/>
                <w:sz w:val="20"/>
                <w:szCs w:val="20"/>
              </w:rPr>
              <w:t xml:space="preserve">lis-aquatica, Lythrum salicariа, Cyperus </w:t>
            </w:r>
            <w:r w:rsidRPr="00235C8E">
              <w:rPr>
                <w:rFonts w:ascii="Times New Roman" w:eastAsia="Calibri" w:hAnsi="Times New Roman"/>
                <w:i/>
                <w:sz w:val="20"/>
                <w:szCs w:val="20"/>
                <w:lang w:val="en-US"/>
              </w:rPr>
              <w:t>spp</w:t>
            </w:r>
            <w:r w:rsidRPr="00235C8E">
              <w:rPr>
                <w:rFonts w:ascii="Times New Roman" w:eastAsia="Calibri" w:hAnsi="Times New Roman"/>
                <w:i/>
                <w:sz w:val="20"/>
                <w:szCs w:val="20"/>
              </w:rPr>
              <w:t>.</w:t>
            </w:r>
          </w:p>
        </w:tc>
        <w:tc>
          <w:tcPr>
            <w:tcW w:w="2236" w:type="dxa"/>
            <w:tcBorders>
              <w:top w:val="single" w:sz="4" w:space="0" w:color="auto"/>
              <w:left w:val="single" w:sz="4" w:space="0" w:color="auto"/>
              <w:bottom w:val="single" w:sz="4" w:space="0" w:color="auto"/>
              <w:right w:val="single" w:sz="4" w:space="0" w:color="auto"/>
            </w:tcBorders>
            <w:hideMark/>
          </w:tcPr>
          <w:p w:rsidR="00235C8E" w:rsidRPr="00235C8E" w:rsidRDefault="00235C8E" w:rsidP="00235C8E">
            <w:pPr>
              <w:rPr>
                <w:rFonts w:ascii="Times New Roman" w:eastAsia="Calibri" w:hAnsi="Times New Roman"/>
                <w:b/>
                <w:sz w:val="20"/>
                <w:szCs w:val="20"/>
              </w:rPr>
            </w:pPr>
            <w:r w:rsidRPr="00235C8E">
              <w:rPr>
                <w:rFonts w:ascii="Times New Roman" w:eastAsia="Calibri" w:hAnsi="Times New Roman"/>
                <w:sz w:val="20"/>
                <w:szCs w:val="20"/>
              </w:rPr>
              <w:t>Поддържане на състоянието – присъстват поне 5 от типичните видове.</w:t>
            </w:r>
          </w:p>
        </w:tc>
      </w:tr>
      <w:tr w:rsidR="00235C8E" w:rsidRPr="00235C8E" w:rsidTr="00895A90">
        <w:trPr>
          <w:jc w:val="center"/>
        </w:trPr>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b/>
                <w:sz w:val="20"/>
                <w:szCs w:val="20"/>
                <w:lang w:val="en-US"/>
              </w:rPr>
            </w:pPr>
            <w:r w:rsidRPr="00235C8E">
              <w:rPr>
                <w:rFonts w:ascii="Times New Roman" w:eastAsia="Calibri" w:hAnsi="Times New Roman"/>
                <w:b/>
                <w:sz w:val="20"/>
                <w:szCs w:val="20"/>
                <w:lang w:val="en-US"/>
              </w:rPr>
              <w:t xml:space="preserve">Структура и функции: </w:t>
            </w:r>
            <w:r w:rsidRPr="00235C8E">
              <w:rPr>
                <w:rFonts w:ascii="Times New Roman" w:eastAsia="Calibri" w:hAnsi="Times New Roman"/>
                <w:b/>
                <w:sz w:val="20"/>
                <w:szCs w:val="20"/>
                <w:lang w:val="en-US"/>
              </w:rPr>
              <w:lastRenderedPageBreak/>
              <w:t>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lastRenderedPageBreak/>
              <w:t xml:space="preserve">Наличие/ липса на отводнителни </w:t>
            </w:r>
            <w:r w:rsidRPr="00235C8E">
              <w:rPr>
                <w:rFonts w:ascii="Times New Roman" w:eastAsia="Calibri" w:hAnsi="Times New Roman"/>
                <w:sz w:val="20"/>
                <w:szCs w:val="20"/>
                <w:lang w:val="en-US"/>
              </w:rPr>
              <w:lastRenderedPageBreak/>
              <w:t>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lastRenderedPageBreak/>
              <w:t xml:space="preserve">Няма нови отводнителни </w:t>
            </w:r>
            <w:r w:rsidRPr="00235C8E">
              <w:rPr>
                <w:rFonts w:ascii="Times New Roman" w:eastAsia="Calibri" w:hAnsi="Times New Roman"/>
                <w:sz w:val="20"/>
                <w:szCs w:val="20"/>
                <w:lang w:val="en-US"/>
              </w:rPr>
              <w:lastRenderedPageBreak/>
              <w:t>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35C8E" w:rsidRPr="00235C8E" w:rsidRDefault="00235C8E" w:rsidP="00235C8E">
            <w:pPr>
              <w:spacing w:after="160" w:line="259" w:lineRule="auto"/>
              <w:rPr>
                <w:rFonts w:ascii="Times New Roman" w:eastAsia="Calibri" w:hAnsi="Times New Roman"/>
                <w:sz w:val="20"/>
                <w:szCs w:val="20"/>
                <w:lang w:val="en-US"/>
              </w:rPr>
            </w:pPr>
            <w:r w:rsidRPr="00235C8E">
              <w:rPr>
                <w:rFonts w:ascii="Times New Roman" w:eastAsia="Calibri" w:hAnsi="Times New Roman"/>
                <w:sz w:val="20"/>
                <w:szCs w:val="20"/>
                <w:lang w:val="en-US"/>
              </w:rPr>
              <w:t xml:space="preserve">Поддържане на състоянието – липса на </w:t>
            </w:r>
            <w:r w:rsidRPr="00235C8E">
              <w:rPr>
                <w:rFonts w:ascii="Times New Roman" w:eastAsia="Calibri" w:hAnsi="Times New Roman"/>
                <w:sz w:val="20"/>
                <w:szCs w:val="20"/>
                <w:lang w:val="en-US"/>
              </w:rPr>
              <w:lastRenderedPageBreak/>
              <w:t>нови дейности, свързани с негативни промени на хидрологичния режим.</w:t>
            </w:r>
          </w:p>
        </w:tc>
      </w:tr>
    </w:tbl>
    <w:p w:rsidR="00235C8E" w:rsidRPr="00235C8E" w:rsidRDefault="00235C8E" w:rsidP="00235C8E">
      <w:pPr>
        <w:spacing w:after="0" w:line="240" w:lineRule="auto"/>
        <w:jc w:val="both"/>
        <w:rPr>
          <w:rFonts w:ascii="Times New Roman" w:eastAsia="Calibri" w:hAnsi="Times New Roman"/>
          <w:sz w:val="24"/>
          <w:szCs w:val="24"/>
          <w:highlight w:val="yellow"/>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7. Необходимост от актуализация на СФ на защитената зона</w:t>
      </w:r>
    </w:p>
    <w:p w:rsidR="00235C8E" w:rsidRPr="00235C8E" w:rsidRDefault="00235C8E" w:rsidP="00235C8E">
      <w:pPr>
        <w:spacing w:after="0" w:line="240" w:lineRule="auto"/>
        <w:ind w:firstLine="709"/>
        <w:jc w:val="both"/>
        <w:rPr>
          <w:rFonts w:ascii="Times New Roman" w:eastAsia="Calibri" w:hAnsi="Times New Roman"/>
          <w:sz w:val="24"/>
          <w:szCs w:val="24"/>
        </w:rPr>
      </w:pPr>
      <w:r w:rsidRPr="00235C8E">
        <w:rPr>
          <w:rFonts w:ascii="Times New Roman" w:eastAsia="Calibri" w:hAnsi="Times New Roman"/>
          <w:sz w:val="24"/>
          <w:szCs w:val="24"/>
        </w:rPr>
        <w:t>Предложено е допълване на стандартния формуляр на защитената зона</w:t>
      </w:r>
      <w:r w:rsidRPr="00235C8E">
        <w:rPr>
          <w:rFonts w:ascii="Times New Roman" w:eastAsia="Calibri" w:hAnsi="Times New Roman"/>
          <w:sz w:val="24"/>
          <w:szCs w:val="24"/>
          <w:lang w:val="en-US"/>
        </w:rPr>
        <w:t xml:space="preserve"> </w:t>
      </w:r>
      <w:r w:rsidRPr="00235C8E">
        <w:rPr>
          <w:rFonts w:ascii="Times New Roman" w:eastAsia="Calibri" w:hAnsi="Times New Roman"/>
          <w:sz w:val="24"/>
          <w:szCs w:val="24"/>
        </w:rPr>
        <w:t>с това местообитание.</w:t>
      </w:r>
    </w:p>
    <w:p w:rsidR="00235C8E" w:rsidRPr="00235C8E" w:rsidRDefault="00235C8E" w:rsidP="00235C8E">
      <w:pPr>
        <w:spacing w:after="0" w:line="240" w:lineRule="auto"/>
        <w:ind w:firstLine="709"/>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35C8E" w:rsidRPr="00235C8E" w:rsidTr="00895A90">
        <w:tc>
          <w:tcPr>
            <w:tcW w:w="4957" w:type="dxa"/>
            <w:gridSpan w:val="6"/>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Annex I Habitat types</w:t>
            </w:r>
          </w:p>
        </w:tc>
        <w:tc>
          <w:tcPr>
            <w:tcW w:w="5244" w:type="dxa"/>
            <w:gridSpan w:val="4"/>
            <w:shd w:val="clear" w:color="auto" w:fill="D9D9D9"/>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Site assessment</w:t>
            </w:r>
          </w:p>
        </w:tc>
      </w:tr>
      <w:tr w:rsidR="00235C8E" w:rsidRPr="00235C8E" w:rsidTr="00895A90">
        <w:tc>
          <w:tcPr>
            <w:tcW w:w="70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Code</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PF</w:t>
            </w:r>
          </w:p>
        </w:tc>
        <w:tc>
          <w:tcPr>
            <w:tcW w:w="567"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NP</w:t>
            </w:r>
          </w:p>
        </w:tc>
        <w:tc>
          <w:tcPr>
            <w:tcW w:w="851"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Cover (ha)</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Cave (number)</w:t>
            </w:r>
          </w:p>
        </w:tc>
        <w:tc>
          <w:tcPr>
            <w:tcW w:w="1134"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Data quality</w:t>
            </w:r>
          </w:p>
        </w:tc>
        <w:tc>
          <w:tcPr>
            <w:tcW w:w="1842" w:type="dxa"/>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A/B/C/D</w:t>
            </w:r>
          </w:p>
        </w:tc>
        <w:tc>
          <w:tcPr>
            <w:tcW w:w="3402" w:type="dxa"/>
            <w:gridSpan w:val="3"/>
            <w:shd w:val="clear" w:color="auto" w:fill="D9D9D9"/>
            <w:vAlign w:val="center"/>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A/B/C</w:t>
            </w:r>
          </w:p>
        </w:tc>
      </w:tr>
      <w:tr w:rsidR="00235C8E" w:rsidRPr="00235C8E" w:rsidTr="00895A90">
        <w:tc>
          <w:tcPr>
            <w:tcW w:w="704"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567" w:type="dxa"/>
          </w:tcPr>
          <w:p w:rsidR="00235C8E" w:rsidRPr="00235C8E" w:rsidRDefault="00235C8E" w:rsidP="00235C8E">
            <w:pPr>
              <w:rPr>
                <w:rFonts w:ascii="Times New Roman" w:hAnsi="Times New Roman"/>
                <w:noProof/>
                <w:color w:val="000000"/>
                <w:position w:val="-1"/>
                <w:sz w:val="20"/>
                <w:szCs w:val="20"/>
              </w:rPr>
            </w:pPr>
          </w:p>
        </w:tc>
        <w:tc>
          <w:tcPr>
            <w:tcW w:w="851"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134" w:type="dxa"/>
          </w:tcPr>
          <w:p w:rsidR="00235C8E" w:rsidRPr="00235C8E" w:rsidRDefault="00235C8E" w:rsidP="00235C8E">
            <w:pPr>
              <w:rPr>
                <w:rFonts w:ascii="Times New Roman" w:hAnsi="Times New Roman"/>
                <w:noProof/>
                <w:color w:val="000000"/>
                <w:position w:val="-1"/>
                <w:sz w:val="20"/>
                <w:szCs w:val="20"/>
              </w:rPr>
            </w:pPr>
          </w:p>
        </w:tc>
        <w:tc>
          <w:tcPr>
            <w:tcW w:w="1842"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Representativity</w:t>
            </w:r>
          </w:p>
        </w:tc>
        <w:tc>
          <w:tcPr>
            <w:tcW w:w="993"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Relative Surface</w:t>
            </w:r>
          </w:p>
        </w:tc>
        <w:tc>
          <w:tcPr>
            <w:tcW w:w="1559"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Conservation</w:t>
            </w:r>
          </w:p>
        </w:tc>
        <w:tc>
          <w:tcPr>
            <w:tcW w:w="850" w:type="dxa"/>
          </w:tcPr>
          <w:p w:rsidR="00235C8E" w:rsidRPr="00235C8E" w:rsidRDefault="00235C8E" w:rsidP="00235C8E">
            <w:pPr>
              <w:rPr>
                <w:rFonts w:ascii="Times New Roman" w:hAnsi="Times New Roman"/>
                <w:noProof/>
                <w:color w:val="000000"/>
                <w:position w:val="-1"/>
                <w:sz w:val="20"/>
                <w:szCs w:val="20"/>
              </w:rPr>
            </w:pPr>
            <w:r w:rsidRPr="00235C8E">
              <w:rPr>
                <w:rFonts w:ascii="Times New Roman" w:hAnsi="Times New Roman"/>
                <w:b/>
                <w:noProof/>
                <w:color w:val="000000"/>
                <w:position w:val="-1"/>
                <w:sz w:val="20"/>
                <w:szCs w:val="20"/>
              </w:rPr>
              <w:t>Global</w:t>
            </w:r>
          </w:p>
        </w:tc>
      </w:tr>
      <w:tr w:rsidR="00235C8E" w:rsidRPr="00235C8E" w:rsidTr="00895A90">
        <w:tc>
          <w:tcPr>
            <w:tcW w:w="704" w:type="dxa"/>
          </w:tcPr>
          <w:p w:rsidR="00235C8E" w:rsidRPr="00235C8E" w:rsidRDefault="00235C8E" w:rsidP="00235C8E">
            <w:pPr>
              <w:rPr>
                <w:rFonts w:ascii="Times New Roman" w:eastAsia="Calibri" w:hAnsi="Times New Roman"/>
                <w:b/>
                <w:lang w:val="en-US"/>
              </w:rPr>
            </w:pPr>
            <w:r w:rsidRPr="00235C8E">
              <w:rPr>
                <w:rFonts w:ascii="Times New Roman" w:eastAsia="Calibri" w:hAnsi="Times New Roman"/>
                <w:b/>
                <w:color w:val="FF0000"/>
                <w:lang w:val="en-US"/>
              </w:rPr>
              <w:t>3270</w:t>
            </w:r>
          </w:p>
        </w:tc>
        <w:tc>
          <w:tcPr>
            <w:tcW w:w="567" w:type="dxa"/>
          </w:tcPr>
          <w:p w:rsidR="00235C8E" w:rsidRPr="00235C8E" w:rsidRDefault="00235C8E" w:rsidP="00235C8E">
            <w:pPr>
              <w:rPr>
                <w:rFonts w:ascii="Times New Roman" w:eastAsia="Calibri" w:hAnsi="Times New Roman"/>
                <w:b/>
                <w:lang w:val="en-US"/>
              </w:rPr>
            </w:pPr>
          </w:p>
        </w:tc>
        <w:tc>
          <w:tcPr>
            <w:tcW w:w="567" w:type="dxa"/>
          </w:tcPr>
          <w:p w:rsidR="00235C8E" w:rsidRPr="00235C8E" w:rsidRDefault="00235C8E" w:rsidP="00235C8E">
            <w:pPr>
              <w:rPr>
                <w:rFonts w:ascii="Times New Roman" w:eastAsia="Calibri" w:hAnsi="Times New Roman"/>
                <w:b/>
                <w:lang w:val="en-US"/>
              </w:rPr>
            </w:pPr>
          </w:p>
        </w:tc>
        <w:tc>
          <w:tcPr>
            <w:tcW w:w="851" w:type="dxa"/>
          </w:tcPr>
          <w:p w:rsidR="00235C8E" w:rsidRPr="00235C8E" w:rsidRDefault="00235C8E" w:rsidP="00235C8E">
            <w:pPr>
              <w:rPr>
                <w:rFonts w:ascii="Times New Roman" w:eastAsia="Calibri" w:hAnsi="Times New Roman"/>
                <w:b/>
              </w:rPr>
            </w:pPr>
            <w:r w:rsidRPr="00235C8E">
              <w:rPr>
                <w:rFonts w:ascii="Times New Roman" w:eastAsia="Calibri" w:hAnsi="Times New Roman"/>
                <w:b/>
                <w:color w:val="FF0000"/>
              </w:rPr>
              <w:t>1</w:t>
            </w:r>
          </w:p>
        </w:tc>
        <w:tc>
          <w:tcPr>
            <w:tcW w:w="1134" w:type="dxa"/>
          </w:tcPr>
          <w:p w:rsidR="00235C8E" w:rsidRPr="00235C8E" w:rsidRDefault="00235C8E" w:rsidP="00235C8E">
            <w:pPr>
              <w:rPr>
                <w:rFonts w:ascii="Times New Roman" w:eastAsia="Calibri" w:hAnsi="Times New Roman"/>
                <w:b/>
                <w:lang w:val="en-US"/>
              </w:rPr>
            </w:pPr>
          </w:p>
        </w:tc>
        <w:tc>
          <w:tcPr>
            <w:tcW w:w="1134"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G</w:t>
            </w:r>
          </w:p>
        </w:tc>
        <w:tc>
          <w:tcPr>
            <w:tcW w:w="1842"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c>
          <w:tcPr>
            <w:tcW w:w="993"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C</w:t>
            </w:r>
          </w:p>
        </w:tc>
        <w:tc>
          <w:tcPr>
            <w:tcW w:w="1559"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c>
          <w:tcPr>
            <w:tcW w:w="850" w:type="dxa"/>
          </w:tcPr>
          <w:p w:rsidR="00235C8E" w:rsidRPr="00235C8E" w:rsidRDefault="00235C8E" w:rsidP="00235C8E">
            <w:pPr>
              <w:rPr>
                <w:rFonts w:ascii="Times New Roman" w:eastAsia="Calibri" w:hAnsi="Times New Roman"/>
                <w:b/>
                <w:color w:val="FF0000"/>
                <w:lang w:val="en-US"/>
              </w:rPr>
            </w:pPr>
            <w:r w:rsidRPr="00235C8E">
              <w:rPr>
                <w:rFonts w:ascii="Times New Roman" w:eastAsia="Calibri" w:hAnsi="Times New Roman"/>
                <w:b/>
                <w:color w:val="FF0000"/>
                <w:lang w:val="en-US"/>
              </w:rPr>
              <w:t>B</w:t>
            </w:r>
          </w:p>
        </w:tc>
      </w:tr>
    </w:tbl>
    <w:p w:rsidR="00235C8E" w:rsidRPr="00235C8E" w:rsidRDefault="00235C8E" w:rsidP="00235C8E">
      <w:pPr>
        <w:spacing w:after="0" w:line="240" w:lineRule="auto"/>
        <w:jc w:val="both"/>
        <w:rPr>
          <w:rFonts w:ascii="Times New Roman" w:eastAsia="Calibri" w:hAnsi="Times New Roman"/>
          <w:sz w:val="24"/>
          <w:szCs w:val="24"/>
        </w:rPr>
      </w:pPr>
    </w:p>
    <w:p w:rsidR="00235C8E" w:rsidRPr="00235C8E" w:rsidRDefault="00235C8E" w:rsidP="00235C8E">
      <w:pPr>
        <w:spacing w:after="0" w:line="240" w:lineRule="auto"/>
        <w:jc w:val="both"/>
        <w:rPr>
          <w:rFonts w:ascii="Times New Roman" w:eastAsia="Calibri" w:hAnsi="Times New Roman"/>
          <w:b/>
          <w:sz w:val="24"/>
          <w:szCs w:val="24"/>
        </w:rPr>
      </w:pPr>
      <w:r w:rsidRPr="00235C8E">
        <w:rPr>
          <w:rFonts w:ascii="Times New Roman" w:eastAsia="Calibri" w:hAnsi="Times New Roman"/>
          <w:b/>
          <w:sz w:val="24"/>
          <w:szCs w:val="24"/>
        </w:rPr>
        <w:t>8. Цитирана литература</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235C8E">
        <w:rPr>
          <w:rFonts w:ascii="Times New Roman" w:eastAsia="Calibri" w:hAnsi="Times New Roman"/>
          <w:sz w:val="24"/>
          <w:szCs w:val="24"/>
          <w:lang w:val="en-US"/>
        </w:rPr>
        <w:t>1</w:t>
      </w:r>
      <w:r w:rsidRPr="00235C8E">
        <w:rPr>
          <w:rFonts w:ascii="Times New Roman" w:eastAsia="Calibri" w:hAnsi="Times New Roman"/>
          <w:sz w:val="24"/>
          <w:szCs w:val="24"/>
        </w:rPr>
        <w:t>.2021.</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 xml:space="preserve">Цонев, Р. 2009. 3270 Реки с кални брегове с </w:t>
      </w:r>
      <w:r w:rsidRPr="00235C8E">
        <w:rPr>
          <w:rFonts w:ascii="Times New Roman" w:eastAsia="Calibri" w:hAnsi="Times New Roman"/>
          <w:i/>
          <w:sz w:val="24"/>
          <w:szCs w:val="24"/>
        </w:rPr>
        <w:t>Chenopodion rubri</w:t>
      </w:r>
      <w:r w:rsidRPr="00235C8E">
        <w:rPr>
          <w:rFonts w:ascii="Times New Roman" w:eastAsia="Calibri" w:hAnsi="Times New Roman"/>
          <w:sz w:val="24"/>
          <w:szCs w:val="24"/>
        </w:rPr>
        <w:t xml:space="preserve"> и </w:t>
      </w:r>
      <w:r w:rsidRPr="00235C8E">
        <w:rPr>
          <w:rFonts w:ascii="Times New Roman" w:eastAsia="Calibri" w:hAnsi="Times New Roman"/>
          <w:i/>
          <w:sz w:val="24"/>
          <w:szCs w:val="24"/>
        </w:rPr>
        <w:t xml:space="preserve">Bidention </w:t>
      </w:r>
      <w:r w:rsidRPr="00235C8E">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235C8E" w:rsidRPr="00235C8E" w:rsidRDefault="00235C8E" w:rsidP="00235C8E">
      <w:pPr>
        <w:spacing w:after="0" w:line="240" w:lineRule="auto"/>
        <w:ind w:left="720" w:hanging="720"/>
        <w:jc w:val="both"/>
        <w:rPr>
          <w:rFonts w:ascii="Times New Roman" w:eastAsia="Calibri" w:hAnsi="Times New Roman"/>
          <w:sz w:val="24"/>
          <w:szCs w:val="24"/>
        </w:rPr>
      </w:pPr>
      <w:r w:rsidRPr="00235C8E">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35C8E" w:rsidRPr="00235C8E" w:rsidRDefault="00235C8E" w:rsidP="00235C8E">
      <w:pPr>
        <w:spacing w:after="0" w:line="240" w:lineRule="auto"/>
        <w:ind w:left="720" w:hanging="720"/>
        <w:jc w:val="both"/>
        <w:rPr>
          <w:rFonts w:ascii="Times New Roman" w:eastAsia="Calibri" w:hAnsi="Times New Roman"/>
          <w:sz w:val="24"/>
          <w:szCs w:val="24"/>
          <w:lang w:val="en-US"/>
        </w:rPr>
      </w:pPr>
      <w:r w:rsidRPr="00235C8E">
        <w:rPr>
          <w:rFonts w:ascii="Times New Roman" w:eastAsia="Calibri" w:hAnsi="Times New Roman"/>
          <w:sz w:val="24"/>
          <w:szCs w:val="24"/>
        </w:rPr>
        <w:t xml:space="preserve">European commission. The State of Nature in the EU – Article 17 reporting. </w:t>
      </w:r>
      <w:hyperlink r:id="rId11" w:history="1">
        <w:r w:rsidRPr="00235C8E">
          <w:rPr>
            <w:rFonts w:ascii="Times New Roman" w:eastAsia="Calibri" w:hAnsi="Times New Roman"/>
            <w:color w:val="0563C1"/>
            <w:sz w:val="24"/>
            <w:szCs w:val="24"/>
            <w:u w:val="single"/>
          </w:rPr>
          <w:t>https://ec.europa.eu/environment/nature/knowledge/rep_habitats/index_en.htm. Last visited on 15.1</w:t>
        </w:r>
        <w:r w:rsidRPr="00235C8E">
          <w:rPr>
            <w:rFonts w:ascii="Times New Roman" w:eastAsia="Calibri" w:hAnsi="Times New Roman"/>
            <w:color w:val="0563C1"/>
            <w:sz w:val="24"/>
            <w:szCs w:val="24"/>
            <w:u w:val="single"/>
            <w:lang w:val="en-US"/>
          </w:rPr>
          <w:t>1</w:t>
        </w:r>
        <w:r w:rsidRPr="00235C8E">
          <w:rPr>
            <w:rFonts w:ascii="Times New Roman" w:eastAsia="Calibri" w:hAnsi="Times New Roman"/>
            <w:color w:val="0563C1"/>
            <w:sz w:val="24"/>
            <w:szCs w:val="24"/>
            <w:u w:val="single"/>
          </w:rPr>
          <w:t>.2021</w:t>
        </w:r>
      </w:hyperlink>
      <w:r w:rsidRPr="00235C8E">
        <w:rPr>
          <w:rFonts w:ascii="Times New Roman" w:eastAsia="Calibri" w:hAnsi="Times New Roman"/>
          <w:sz w:val="24"/>
          <w:szCs w:val="24"/>
          <w:lang w:val="en-US"/>
        </w:rPr>
        <w:t>.</w:t>
      </w:r>
    </w:p>
    <w:p w:rsidR="00235C8E" w:rsidRPr="00235C8E" w:rsidRDefault="00235C8E" w:rsidP="00235C8E">
      <w:pPr>
        <w:spacing w:after="0" w:line="240" w:lineRule="auto"/>
        <w:jc w:val="both"/>
        <w:rPr>
          <w:rFonts w:ascii="Times New Roman" w:eastAsia="Calibri" w:hAnsi="Times New Roman"/>
          <w:noProof/>
          <w:sz w:val="24"/>
          <w:szCs w:val="24"/>
          <w:lang w:val="en-US"/>
        </w:rPr>
      </w:pPr>
    </w:p>
    <w:p w:rsidR="00235C8E" w:rsidRPr="00235C8E" w:rsidRDefault="00235C8E" w:rsidP="00235C8E">
      <w:pPr>
        <w:spacing w:after="0" w:line="240" w:lineRule="auto"/>
        <w:jc w:val="both"/>
        <w:rPr>
          <w:rFonts w:ascii="Times New Roman" w:eastAsia="Calibri" w:hAnsi="Times New Roman"/>
          <w:noProof/>
          <w:sz w:val="24"/>
          <w:szCs w:val="24"/>
          <w:lang w:val="en-US"/>
        </w:rPr>
      </w:pPr>
      <w:r w:rsidRPr="00235C8E">
        <w:rPr>
          <w:rFonts w:ascii="Times New Roman" w:eastAsia="Calibri" w:hAnsi="Times New Roman"/>
          <w:i/>
          <w:noProof/>
          <w:sz w:val="24"/>
          <w:szCs w:val="24"/>
          <w:lang w:val="en-US"/>
        </w:rPr>
        <w:t>Автори на текста</w:t>
      </w:r>
      <w:r w:rsidRPr="00235C8E">
        <w:rPr>
          <w:rFonts w:ascii="Times New Roman" w:eastAsia="Calibri" w:hAnsi="Times New Roman"/>
          <w:noProof/>
          <w:sz w:val="24"/>
          <w:szCs w:val="24"/>
          <w:lang w:val="en-US"/>
        </w:rPr>
        <w:t>: Росен Цонев, Чавдар Гусев, Валери Георгиев, Соня Цонева</w:t>
      </w: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235C8E" w:rsidRPr="00235C8E" w:rsidRDefault="00235C8E" w:rsidP="00235C8E">
      <w:pPr>
        <w:spacing w:after="0" w:line="240" w:lineRule="auto"/>
        <w:ind w:left="720" w:hanging="720"/>
        <w:jc w:val="both"/>
        <w:rPr>
          <w:rFonts w:ascii="Times New Roman" w:eastAsia="Calibri" w:hAnsi="Times New Roman"/>
          <w:noProof/>
          <w:sz w:val="24"/>
          <w:szCs w:val="24"/>
          <w:lang w:val="en-US"/>
        </w:rPr>
      </w:pPr>
    </w:p>
    <w:p w:rsidR="005E7363" w:rsidRPr="00235C8E" w:rsidRDefault="005E7363" w:rsidP="00235C8E">
      <w:pPr>
        <w:pStyle w:val="Heading2"/>
        <w:rPr>
          <w:rFonts w:ascii="Times New Roman" w:hAnsi="Times New Roman"/>
          <w:b w:val="0"/>
          <w:color w:val="1F497D" w:themeColor="text2"/>
          <w:sz w:val="28"/>
          <w:szCs w:val="28"/>
        </w:rPr>
      </w:pPr>
      <w:bookmarkStart w:id="4" w:name="_Toc88907888"/>
      <w:r w:rsidRPr="00235C8E">
        <w:rPr>
          <w:rFonts w:ascii="Times New Roman" w:hAnsi="Times New Roman"/>
          <w:b w:val="0"/>
          <w:color w:val="1F497D" w:themeColor="text2"/>
          <w:sz w:val="28"/>
          <w:szCs w:val="28"/>
        </w:rPr>
        <w:lastRenderedPageBreak/>
        <w:t>Природ</w:t>
      </w:r>
      <w:r w:rsidR="00B15299" w:rsidRPr="00235C8E">
        <w:rPr>
          <w:rFonts w:ascii="Times New Roman" w:hAnsi="Times New Roman"/>
          <w:b w:val="0"/>
          <w:color w:val="1F497D" w:themeColor="text2"/>
          <w:sz w:val="28"/>
          <w:szCs w:val="28"/>
        </w:rPr>
        <w:t xml:space="preserve">но местообитание </w:t>
      </w:r>
      <w:r w:rsidRPr="00235C8E">
        <w:rPr>
          <w:rFonts w:ascii="Times New Roman" w:hAnsi="Times New Roman"/>
          <w:b w:val="0"/>
          <w:color w:val="1F497D" w:themeColor="text2"/>
          <w:sz w:val="28"/>
          <w:szCs w:val="28"/>
        </w:rPr>
        <w:t>91Е0</w:t>
      </w:r>
      <w:r w:rsidR="00B15299" w:rsidRPr="00235C8E">
        <w:rPr>
          <w:rFonts w:ascii="Times New Roman" w:hAnsi="Times New Roman"/>
          <w:b w:val="0"/>
          <w:color w:val="1F497D" w:themeColor="text2"/>
          <w:sz w:val="28"/>
          <w:szCs w:val="28"/>
        </w:rPr>
        <w:t xml:space="preserve"> *Алувиални гори с </w:t>
      </w:r>
      <w:r w:rsidR="00B15299" w:rsidRPr="00235C8E">
        <w:rPr>
          <w:rFonts w:ascii="Times New Roman" w:hAnsi="Times New Roman"/>
          <w:b w:val="0"/>
          <w:i/>
          <w:color w:val="1F497D" w:themeColor="text2"/>
          <w:sz w:val="28"/>
          <w:szCs w:val="28"/>
        </w:rPr>
        <w:t>Alnus glutinosa</w:t>
      </w:r>
      <w:r w:rsidR="00B15299" w:rsidRPr="00235C8E">
        <w:rPr>
          <w:rFonts w:ascii="Times New Roman" w:hAnsi="Times New Roman"/>
          <w:b w:val="0"/>
          <w:color w:val="1F497D" w:themeColor="text2"/>
          <w:sz w:val="28"/>
          <w:szCs w:val="28"/>
        </w:rPr>
        <w:t xml:space="preserve"> и </w:t>
      </w:r>
      <w:r w:rsidR="00B15299" w:rsidRPr="00235C8E">
        <w:rPr>
          <w:rFonts w:ascii="Times New Roman" w:hAnsi="Times New Roman"/>
          <w:b w:val="0"/>
          <w:i/>
          <w:color w:val="1F497D" w:themeColor="text2"/>
          <w:sz w:val="28"/>
          <w:szCs w:val="28"/>
        </w:rPr>
        <w:t>Fraxinus excelsior</w:t>
      </w:r>
      <w:r w:rsidR="00B15299" w:rsidRPr="00235C8E">
        <w:rPr>
          <w:rFonts w:ascii="Times New Roman" w:hAnsi="Times New Roman"/>
          <w:b w:val="0"/>
          <w:color w:val="1F497D" w:themeColor="text2"/>
          <w:sz w:val="28"/>
          <w:szCs w:val="28"/>
        </w:rPr>
        <w:t xml:space="preserve"> (Alno-Padion, Alnion incanae, Salicion albae)</w:t>
      </w:r>
      <w:bookmarkEnd w:id="4"/>
    </w:p>
    <w:p w:rsidR="00B15299" w:rsidRPr="00B15299" w:rsidRDefault="00B15299" w:rsidP="005C13D7">
      <w:pPr>
        <w:rPr>
          <w:rFonts w:ascii="Times New Roman" w:hAnsi="Times New Roman"/>
          <w:bCs/>
          <w:sz w:val="24"/>
          <w:szCs w:val="24"/>
          <w:lang w:eastAsia="bg-BG"/>
        </w:rPr>
      </w:pPr>
      <w:bookmarkStart w:id="5" w:name="_Toc49940627"/>
      <w:r w:rsidRPr="00B15299">
        <w:rPr>
          <w:rFonts w:ascii="Times New Roman" w:hAnsi="Times New Roman"/>
          <w:b/>
          <w:bCs/>
          <w:sz w:val="24"/>
          <w:szCs w:val="24"/>
          <w:lang w:eastAsia="bg-BG"/>
        </w:rPr>
        <w:t>1. Код и наименование на типа местообитание</w:t>
      </w:r>
      <w:bookmarkEnd w:id="5"/>
      <w:r w:rsidRPr="00B15299">
        <w:rPr>
          <w:rFonts w:ascii="Times New Roman" w:hAnsi="Times New Roman"/>
          <w:b/>
          <w:bCs/>
          <w:sz w:val="24"/>
          <w:szCs w:val="24"/>
          <w:lang w:eastAsia="bg-BG"/>
        </w:rPr>
        <w:t>:</w:t>
      </w:r>
      <w:r w:rsidRPr="00B15299">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B15299">
        <w:rPr>
          <w:rFonts w:ascii="Times New Roman" w:hAnsi="Times New Roman"/>
          <w:bCs/>
          <w:sz w:val="24"/>
          <w:szCs w:val="24"/>
          <w:lang w:eastAsia="bg-BG"/>
        </w:rPr>
        <w:t xml:space="preserve">*Алувиални гори с </w:t>
      </w:r>
      <w:r w:rsidRPr="00B15299">
        <w:rPr>
          <w:rFonts w:ascii="Times New Roman" w:hAnsi="Times New Roman"/>
          <w:bCs/>
          <w:i/>
          <w:sz w:val="24"/>
          <w:szCs w:val="24"/>
          <w:lang w:eastAsia="bg-BG"/>
        </w:rPr>
        <w:t>Alnus glutinosa и Fraxinus excelsior (Alno-Padion, Alnion incanae, Salicion albae)</w:t>
      </w:r>
    </w:p>
    <w:p w:rsidR="00B15299" w:rsidRPr="00B15299" w:rsidRDefault="00B15299" w:rsidP="005C13D7">
      <w:pPr>
        <w:spacing w:before="120" w:after="0" w:line="240" w:lineRule="auto"/>
        <w:rPr>
          <w:rFonts w:ascii="Times New Roman" w:hAnsi="Times New Roman"/>
          <w:bCs/>
          <w:sz w:val="24"/>
          <w:szCs w:val="24"/>
          <w:lang w:eastAsia="bg-BG"/>
        </w:rPr>
      </w:pPr>
      <w:r w:rsidRPr="00B15299">
        <w:rPr>
          <w:rFonts w:ascii="Times New Roman" w:hAnsi="Times New Roman"/>
          <w:b/>
          <w:bCs/>
          <w:sz w:val="24"/>
          <w:szCs w:val="24"/>
          <w:lang w:eastAsia="bg-BG"/>
        </w:rPr>
        <w:t>2. Кратка характеристика на целевия обект</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B15299">
        <w:rPr>
          <w:rFonts w:ascii="Times New Roman" w:hAnsi="Times New Roman"/>
          <w:bCs/>
          <w:i/>
          <w:sz w:val="24"/>
          <w:szCs w:val="24"/>
          <w:lang w:val="en-US" w:eastAsia="bg-BG"/>
        </w:rPr>
        <w:t>Alnus</w:t>
      </w:r>
      <w:r w:rsidRPr="00B15299">
        <w:rPr>
          <w:rFonts w:ascii="Times New Roman" w:hAnsi="Times New Roman"/>
          <w:bCs/>
          <w:sz w:val="24"/>
          <w:szCs w:val="24"/>
          <w:lang w:val="ru-RU" w:eastAsia="bg-BG"/>
        </w:rPr>
        <w:t>,</w:t>
      </w:r>
      <w:r w:rsidRPr="00B15299">
        <w:rPr>
          <w:rFonts w:ascii="Times New Roman" w:hAnsi="Times New Roman"/>
          <w:bCs/>
          <w:i/>
          <w:sz w:val="24"/>
          <w:szCs w:val="24"/>
          <w:lang w:val="ru-RU" w:eastAsia="bg-BG"/>
        </w:rPr>
        <w:t xml:space="preserve"> </w:t>
      </w:r>
      <w:r w:rsidRPr="00B15299">
        <w:rPr>
          <w:rFonts w:ascii="Times New Roman" w:hAnsi="Times New Roman"/>
          <w:bCs/>
          <w:i/>
          <w:sz w:val="24"/>
          <w:szCs w:val="24"/>
          <w:lang w:eastAsia="bg-BG"/>
        </w:rPr>
        <w:t>Populus</w:t>
      </w:r>
      <w:r w:rsidRPr="00B15299">
        <w:rPr>
          <w:rFonts w:ascii="Times New Roman" w:hAnsi="Times New Roman"/>
          <w:bCs/>
          <w:sz w:val="24"/>
          <w:szCs w:val="24"/>
          <w:lang w:eastAsia="bg-BG"/>
        </w:rPr>
        <w:t>,</w:t>
      </w:r>
      <w:r w:rsidRPr="00B15299">
        <w:rPr>
          <w:rFonts w:ascii="Times New Roman" w:hAnsi="Times New Roman"/>
          <w:bCs/>
          <w:i/>
          <w:sz w:val="24"/>
          <w:szCs w:val="24"/>
          <w:lang w:eastAsia="bg-BG"/>
        </w:rPr>
        <w:t xml:space="preserve"> Salix </w:t>
      </w:r>
      <w:r w:rsidRPr="00B15299">
        <w:rPr>
          <w:rFonts w:ascii="Times New Roman" w:hAnsi="Times New Roman"/>
          <w:bCs/>
          <w:iCs/>
          <w:sz w:val="24"/>
          <w:szCs w:val="24"/>
          <w:lang w:eastAsia="bg-BG"/>
        </w:rPr>
        <w:t>и</w:t>
      </w:r>
      <w:r w:rsidRPr="00B15299">
        <w:rPr>
          <w:rFonts w:ascii="Times New Roman" w:hAnsi="Times New Roman"/>
          <w:bCs/>
          <w:i/>
          <w:sz w:val="24"/>
          <w:szCs w:val="24"/>
          <w:lang w:eastAsia="bg-BG"/>
        </w:rPr>
        <w:t xml:space="preserve"> Fraxinus</w:t>
      </w:r>
      <w:r w:rsidRPr="00B15299">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B15299">
        <w:rPr>
          <w:rFonts w:ascii="Times New Roman" w:hAnsi="Times New Roman"/>
          <w:bCs/>
          <w:i/>
          <w:sz w:val="24"/>
          <w:szCs w:val="24"/>
          <w:lang w:eastAsia="bg-BG"/>
        </w:rPr>
        <w:t>Alnus glutinosa</w:t>
      </w:r>
      <w:r w:rsidRPr="00B15299">
        <w:rPr>
          <w:rFonts w:ascii="Times New Roman" w:hAnsi="Times New Roman"/>
          <w:bCs/>
          <w:sz w:val="24"/>
          <w:szCs w:val="24"/>
          <w:lang w:eastAsia="bg-BG"/>
        </w:rPr>
        <w:t xml:space="preserve"> с единично участие на </w:t>
      </w:r>
      <w:r w:rsidRPr="00B15299">
        <w:rPr>
          <w:rFonts w:ascii="Times New Roman" w:hAnsi="Times New Roman"/>
          <w:bCs/>
          <w:i/>
          <w:sz w:val="24"/>
          <w:szCs w:val="24"/>
          <w:lang w:eastAsia="bg-BG"/>
        </w:rPr>
        <w:t xml:space="preserve">Fraxinus </w:t>
      </w:r>
      <w:r w:rsidRPr="00B15299">
        <w:rPr>
          <w:rFonts w:ascii="Times New Roman" w:hAnsi="Times New Roman"/>
          <w:bCs/>
          <w:i/>
          <w:sz w:val="24"/>
          <w:szCs w:val="24"/>
          <w:lang w:val="en-US" w:eastAsia="bg-BG"/>
        </w:rPr>
        <w:t>excelsior</w:t>
      </w:r>
      <w:r w:rsidRPr="00B15299">
        <w:rPr>
          <w:rFonts w:ascii="Times New Roman" w:hAnsi="Times New Roman"/>
          <w:bCs/>
          <w:sz w:val="24"/>
          <w:szCs w:val="24"/>
          <w:lang w:eastAsia="bg-BG"/>
        </w:rPr>
        <w:t xml:space="preserve"> (съюз </w:t>
      </w:r>
      <w:r w:rsidRPr="00B15299">
        <w:rPr>
          <w:rFonts w:ascii="Times New Roman" w:hAnsi="Times New Roman"/>
          <w:bCs/>
          <w:i/>
          <w:sz w:val="24"/>
          <w:szCs w:val="24"/>
          <w:lang w:eastAsia="bg-BG"/>
        </w:rPr>
        <w:t>Alno-Padion</w:t>
      </w:r>
      <w:r w:rsidRPr="00B15299">
        <w:rPr>
          <w:rFonts w:ascii="Times New Roman" w:hAnsi="Times New Roman"/>
          <w:bCs/>
          <w:sz w:val="24"/>
          <w:szCs w:val="24"/>
          <w:lang w:eastAsia="bg-BG"/>
        </w:rPr>
        <w:t xml:space="preserve">) в долните течения на реките; Крайречни съобщества на </w:t>
      </w:r>
      <w:r w:rsidRPr="00B15299">
        <w:rPr>
          <w:rFonts w:ascii="Times New Roman" w:hAnsi="Times New Roman"/>
          <w:bCs/>
          <w:i/>
          <w:sz w:val="24"/>
          <w:szCs w:val="24"/>
          <w:lang w:eastAsia="bg-BG"/>
        </w:rPr>
        <w:t>Alnus glutinosa</w:t>
      </w:r>
      <w:r w:rsidRPr="00B15299">
        <w:rPr>
          <w:rFonts w:ascii="Times New Roman" w:hAnsi="Times New Roman"/>
          <w:bCs/>
          <w:sz w:val="24"/>
          <w:szCs w:val="24"/>
          <w:lang w:eastAsia="bg-BG"/>
        </w:rPr>
        <w:t xml:space="preserve"> и/или </w:t>
      </w:r>
      <w:r w:rsidRPr="00B15299">
        <w:rPr>
          <w:rFonts w:ascii="Times New Roman" w:hAnsi="Times New Roman"/>
          <w:bCs/>
          <w:i/>
          <w:sz w:val="24"/>
          <w:szCs w:val="24"/>
          <w:lang w:eastAsia="bg-BG"/>
        </w:rPr>
        <w:t>Alnus incana</w:t>
      </w:r>
      <w:r w:rsidRPr="00B15299">
        <w:rPr>
          <w:rFonts w:ascii="Times New Roman" w:hAnsi="Times New Roman"/>
          <w:bCs/>
          <w:sz w:val="24"/>
          <w:szCs w:val="24"/>
          <w:lang w:eastAsia="bg-BG"/>
        </w:rPr>
        <w:t xml:space="preserve"> в горните и средните течения на реките (</w:t>
      </w:r>
      <w:r w:rsidRPr="00B15299">
        <w:rPr>
          <w:rFonts w:ascii="Times New Roman" w:hAnsi="Times New Roman"/>
          <w:bCs/>
          <w:i/>
          <w:sz w:val="24"/>
          <w:szCs w:val="24"/>
          <w:lang w:eastAsia="bg-BG"/>
        </w:rPr>
        <w:t>Alnion incanae</w:t>
      </w:r>
      <w:r w:rsidRPr="00B15299">
        <w:rPr>
          <w:rFonts w:ascii="Times New Roman" w:hAnsi="Times New Roman"/>
          <w:bCs/>
          <w:sz w:val="24"/>
          <w:szCs w:val="24"/>
          <w:lang w:eastAsia="bg-BG"/>
        </w:rPr>
        <w:t xml:space="preserve">) и Крайречни, заливни гори или галерии, доминирани основно от </w:t>
      </w:r>
      <w:r w:rsidRPr="00B15299">
        <w:rPr>
          <w:rFonts w:ascii="Times New Roman" w:hAnsi="Times New Roman"/>
          <w:bCs/>
          <w:i/>
          <w:sz w:val="24"/>
          <w:szCs w:val="24"/>
          <w:lang w:eastAsia="bg-BG"/>
        </w:rPr>
        <w:t>Salix alba, Populus alba</w:t>
      </w:r>
      <w:r w:rsidRPr="00B15299">
        <w:rPr>
          <w:rFonts w:ascii="Times New Roman" w:hAnsi="Times New Roman"/>
          <w:bCs/>
          <w:sz w:val="24"/>
          <w:szCs w:val="24"/>
          <w:lang w:eastAsia="bg-BG"/>
        </w:rPr>
        <w:t xml:space="preserve"> и </w:t>
      </w:r>
      <w:r w:rsidRPr="00B15299">
        <w:rPr>
          <w:rFonts w:ascii="Times New Roman" w:hAnsi="Times New Roman"/>
          <w:bCs/>
          <w:i/>
          <w:sz w:val="24"/>
          <w:szCs w:val="24"/>
          <w:lang w:eastAsia="bg-BG"/>
        </w:rPr>
        <w:t>Populus nigra</w:t>
      </w:r>
      <w:r w:rsidRPr="00B15299">
        <w:rPr>
          <w:rFonts w:ascii="Times New Roman" w:hAnsi="Times New Roman"/>
          <w:bCs/>
          <w:sz w:val="24"/>
          <w:szCs w:val="24"/>
          <w:lang w:eastAsia="bg-BG"/>
        </w:rPr>
        <w:t xml:space="preserve"> (</w:t>
      </w:r>
      <w:r w:rsidRPr="00B15299">
        <w:rPr>
          <w:rFonts w:ascii="Times New Roman" w:hAnsi="Times New Roman"/>
          <w:bCs/>
          <w:i/>
          <w:sz w:val="24"/>
          <w:szCs w:val="24"/>
          <w:lang w:eastAsia="bg-BG"/>
        </w:rPr>
        <w:t>Salicion albae</w:t>
      </w:r>
      <w:r w:rsidRPr="00B15299">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B15299" w:rsidRPr="005C13D7" w:rsidRDefault="00B15299" w:rsidP="005C13D7">
      <w:pPr>
        <w:spacing w:before="120" w:after="0" w:line="240" w:lineRule="auto"/>
        <w:rPr>
          <w:rFonts w:ascii="Times New Roman" w:hAnsi="Times New Roman"/>
          <w:b/>
          <w:bCs/>
          <w:sz w:val="24"/>
          <w:szCs w:val="24"/>
          <w:lang w:eastAsia="bg-BG"/>
        </w:rPr>
      </w:pPr>
      <w:r w:rsidRPr="00B15299">
        <w:rPr>
          <w:rFonts w:ascii="Times New Roman" w:hAnsi="Times New Roman"/>
          <w:b/>
          <w:bCs/>
          <w:sz w:val="24"/>
          <w:szCs w:val="24"/>
          <w:lang w:eastAsia="bg-BG"/>
        </w:rPr>
        <w:t>3. Състояние на биогеографско ниво и разпространение в мрежата</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B15299">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w:t>
      </w:r>
      <w:r w:rsidRPr="00B15299">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B15299">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B15299">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B15299" w:rsidRPr="00B15299" w:rsidRDefault="00B15299" w:rsidP="005C13D7">
      <w:pPr>
        <w:spacing w:before="120" w:after="0" w:line="240" w:lineRule="auto"/>
        <w:rPr>
          <w:rFonts w:ascii="Times New Roman" w:hAnsi="Times New Roman"/>
          <w:b/>
          <w:bCs/>
          <w:sz w:val="24"/>
          <w:szCs w:val="24"/>
          <w:lang w:eastAsia="bg-BG"/>
        </w:rPr>
      </w:pPr>
      <w:r w:rsidRPr="00B15299">
        <w:rPr>
          <w:rFonts w:ascii="Times New Roman" w:hAnsi="Times New Roman"/>
          <w:b/>
          <w:bCs/>
          <w:sz w:val="24"/>
          <w:szCs w:val="24"/>
          <w:lang w:eastAsia="bg-BG"/>
        </w:rPr>
        <w:t xml:space="preserve">4. Състояние на ниво защитена зона </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B15299" w:rsidRPr="00B15299" w:rsidRDefault="00B15299" w:rsidP="005C13D7">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B15299" w:rsidRPr="00B15299" w:rsidTr="002B2D2E">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Площ</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eastAsia="bg-BG"/>
              </w:rPr>
              <w:t>Обща оценка</w:t>
            </w:r>
          </w:p>
        </w:tc>
      </w:tr>
      <w:tr w:rsidR="00B15299" w:rsidRPr="00B15299" w:rsidTr="002B2D2E">
        <w:trPr>
          <w:jc w:val="center"/>
        </w:trPr>
        <w:tc>
          <w:tcPr>
            <w:tcW w:w="1270"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Алувиални гори с </w:t>
            </w:r>
            <w:r w:rsidRPr="00B15299">
              <w:rPr>
                <w:rFonts w:ascii="Times New Roman" w:hAnsi="Times New Roman"/>
                <w:bCs/>
                <w:i/>
                <w:lang w:eastAsia="bg-BG"/>
              </w:rPr>
              <w:t>Alnus glutinosa</w:t>
            </w:r>
            <w:r w:rsidRPr="00B15299">
              <w:rPr>
                <w:rFonts w:ascii="Times New Roman" w:hAnsi="Times New Roman"/>
                <w:bCs/>
                <w:lang w:eastAsia="bg-BG"/>
              </w:rPr>
              <w:t xml:space="preserve"> </w:t>
            </w:r>
            <w:r w:rsidRPr="00B15299">
              <w:rPr>
                <w:rFonts w:ascii="Times New Roman" w:hAnsi="Times New Roman"/>
                <w:bCs/>
                <w:lang w:eastAsia="bg-BG"/>
              </w:rPr>
              <w:lastRenderedPageBreak/>
              <w:t xml:space="preserve">и </w:t>
            </w:r>
            <w:r w:rsidRPr="00B15299">
              <w:rPr>
                <w:rFonts w:ascii="Times New Roman" w:hAnsi="Times New Roman"/>
                <w:bCs/>
                <w:i/>
                <w:lang w:eastAsia="bg-BG"/>
              </w:rPr>
              <w:t>Fraxinus excelsior</w:t>
            </w:r>
            <w:r w:rsidRPr="00B15299">
              <w:rPr>
                <w:rFonts w:ascii="Times New Roman" w:hAnsi="Times New Roman"/>
                <w:bCs/>
                <w:lang w:eastAsia="bg-BG"/>
              </w:rPr>
              <w:t xml:space="preserve"> (</w:t>
            </w:r>
            <w:r w:rsidRPr="00B15299">
              <w:rPr>
                <w:rFonts w:ascii="Times New Roman" w:hAnsi="Times New Roman"/>
                <w:bCs/>
                <w:i/>
                <w:lang w:eastAsia="bg-BG"/>
              </w:rPr>
              <w:t>Alno-Padion</w:t>
            </w:r>
            <w:r w:rsidRPr="00B15299">
              <w:rPr>
                <w:rFonts w:ascii="Times New Roman" w:hAnsi="Times New Roman"/>
                <w:bCs/>
                <w:lang w:eastAsia="bg-BG"/>
              </w:rPr>
              <w:t xml:space="preserve">, </w:t>
            </w:r>
            <w:r w:rsidRPr="00B15299">
              <w:rPr>
                <w:rFonts w:ascii="Times New Roman" w:hAnsi="Times New Roman"/>
                <w:bCs/>
                <w:i/>
                <w:lang w:eastAsia="bg-BG"/>
              </w:rPr>
              <w:t>Alnion incanae</w:t>
            </w:r>
            <w:r w:rsidRPr="00B15299">
              <w:rPr>
                <w:rFonts w:ascii="Times New Roman" w:hAnsi="Times New Roman"/>
                <w:bCs/>
                <w:lang w:eastAsia="bg-BG"/>
              </w:rPr>
              <w:t xml:space="preserve">, </w:t>
            </w:r>
            <w:r w:rsidRPr="00B15299">
              <w:rPr>
                <w:rFonts w:ascii="Times New Roman" w:hAnsi="Times New Roman"/>
                <w:bCs/>
                <w:i/>
                <w:lang w:eastAsia="bg-BG"/>
              </w:rPr>
              <w:t>Salicion albae</w:t>
            </w:r>
            <w:r w:rsidRPr="00B15299">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81.67 </w:t>
            </w:r>
          </w:p>
        </w:tc>
        <w:tc>
          <w:tcPr>
            <w:tcW w:w="1454"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B15299" w:rsidRPr="00B15299" w:rsidRDefault="00B15299" w:rsidP="00235C8E">
            <w:pPr>
              <w:rPr>
                <w:rFonts w:ascii="Times New Roman" w:hAnsi="Times New Roman"/>
                <w:bCs/>
                <w:lang w:val="en-US" w:eastAsia="bg-BG"/>
              </w:rPr>
            </w:pPr>
            <w:r w:rsidRPr="00B15299">
              <w:rPr>
                <w:rFonts w:ascii="Times New Roman" w:hAnsi="Times New Roman"/>
                <w:bCs/>
                <w:lang w:val="en-US" w:eastAsia="bg-BG"/>
              </w:rPr>
              <w:t>C</w:t>
            </w:r>
          </w:p>
        </w:tc>
      </w:tr>
    </w:tbl>
    <w:p w:rsidR="00B15299" w:rsidRPr="00B15299" w:rsidRDefault="00B15299" w:rsidP="005C13D7">
      <w:pPr>
        <w:rPr>
          <w:rFonts w:ascii="Times New Roman" w:hAnsi="Times New Roman"/>
          <w:bCs/>
          <w:sz w:val="24"/>
          <w:szCs w:val="24"/>
          <w:lang w:eastAsia="bg-BG"/>
        </w:rPr>
      </w:pP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Качеството на данните е оценено като </w:t>
      </w:r>
      <w:r w:rsidRPr="00B15299">
        <w:rPr>
          <w:rFonts w:ascii="Times New Roman" w:hAnsi="Times New Roman"/>
          <w:bCs/>
          <w:sz w:val="24"/>
          <w:szCs w:val="24"/>
          <w:lang w:val="en-US" w:eastAsia="bg-BG"/>
        </w:rPr>
        <w:t>G</w:t>
      </w:r>
      <w:r w:rsidRPr="00B15299">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B15299">
        <w:rPr>
          <w:rFonts w:ascii="Times New Roman" w:hAnsi="Times New Roman"/>
          <w:bCs/>
          <w:sz w:val="24"/>
          <w:szCs w:val="24"/>
          <w:lang w:val="en-US" w:eastAsia="bg-BG"/>
        </w:rPr>
        <w:t>B</w:t>
      </w:r>
      <w:r w:rsidRPr="00B15299">
        <w:rPr>
          <w:rFonts w:ascii="Times New Roman" w:hAnsi="Times New Roman"/>
          <w:bCs/>
          <w:sz w:val="24"/>
          <w:szCs w:val="24"/>
          <w:lang w:eastAsia="bg-BG"/>
        </w:rPr>
        <w:t xml:space="preserve"> или добра, като местообитанието е типично за защитената зона и неговото опазване е важно при нейното управление. Оценката за площ е </w:t>
      </w:r>
      <w:r w:rsidRPr="00B15299">
        <w:rPr>
          <w:rFonts w:ascii="Times New Roman" w:hAnsi="Times New Roman"/>
          <w:bCs/>
          <w:sz w:val="24"/>
          <w:szCs w:val="24"/>
          <w:lang w:val="en-US" w:eastAsia="bg-BG"/>
        </w:rPr>
        <w:t>C</w:t>
      </w:r>
      <w:r w:rsidRPr="00B15299">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2% ≥ p &gt; 0%. Степента на съхранение е </w:t>
      </w:r>
      <w:r w:rsidRPr="00B15299">
        <w:rPr>
          <w:rFonts w:ascii="Times New Roman" w:hAnsi="Times New Roman"/>
          <w:bCs/>
          <w:sz w:val="24"/>
          <w:szCs w:val="24"/>
          <w:lang w:val="en-US" w:eastAsia="bg-BG"/>
        </w:rPr>
        <w:t>B</w:t>
      </w:r>
      <w:r w:rsidRPr="00B15299">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B15299">
        <w:rPr>
          <w:rFonts w:ascii="Times New Roman" w:hAnsi="Times New Roman"/>
          <w:bCs/>
          <w:sz w:val="24"/>
          <w:szCs w:val="24"/>
          <w:lang w:val="en-US" w:eastAsia="bg-BG"/>
        </w:rPr>
        <w:t>C</w:t>
      </w:r>
      <w:r w:rsidRPr="00B15299">
        <w:rPr>
          <w:rFonts w:ascii="Times New Roman" w:hAnsi="Times New Roman"/>
          <w:bCs/>
          <w:sz w:val="24"/>
          <w:szCs w:val="24"/>
          <w:lang w:eastAsia="bg-BG"/>
        </w:rPr>
        <w:t>.</w:t>
      </w:r>
    </w:p>
    <w:p w:rsidR="00B15299" w:rsidRPr="00B15299" w:rsidRDefault="00B15299" w:rsidP="005C13D7">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B15299">
        <w:rPr>
          <w:rFonts w:ascii="Times New Roman" w:hAnsi="Times New Roman"/>
          <w:b/>
          <w:bCs/>
          <w:sz w:val="24"/>
          <w:szCs w:val="24"/>
          <w:lang w:eastAsia="bg-BG"/>
        </w:rPr>
        <w:t xml:space="preserve">Анализ на наличната информация  </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B15299" w:rsidRPr="00B15299" w:rsidRDefault="00B15299" w:rsidP="005C13D7">
      <w:pPr>
        <w:spacing w:before="120" w:after="0" w:line="240" w:lineRule="auto"/>
        <w:rPr>
          <w:rFonts w:ascii="Times New Roman" w:hAnsi="Times New Roman"/>
          <w:bCs/>
          <w:sz w:val="24"/>
          <w:szCs w:val="24"/>
          <w:lang w:eastAsia="bg-BG"/>
        </w:rPr>
      </w:pPr>
      <w:r w:rsidRPr="00B15299">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B15299">
        <w:rPr>
          <w:rFonts w:ascii="Times New Roman" w:hAnsi="Times New Roman"/>
          <w:b/>
          <w:bCs/>
          <w:sz w:val="24"/>
          <w:szCs w:val="24"/>
          <w:lang w:eastAsia="bg-BG"/>
        </w:rPr>
        <w:t xml:space="preserve"> в зоната</w:t>
      </w:r>
    </w:p>
    <w:p w:rsidR="00B15299" w:rsidRPr="00B15299" w:rsidRDefault="00B15299" w:rsidP="005C13D7">
      <w:pPr>
        <w:spacing w:after="0" w:line="240" w:lineRule="auto"/>
        <w:ind w:firstLine="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B15299" w:rsidRPr="00B15299" w:rsidRDefault="00B15299" w:rsidP="005C13D7">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02"/>
        <w:gridCol w:w="1276"/>
        <w:gridCol w:w="3208"/>
        <w:gridCol w:w="1861"/>
      </w:tblGrid>
      <w:tr w:rsidR="00B15299" w:rsidRPr="00B15299" w:rsidTr="00B15299">
        <w:trPr>
          <w:tblHeader/>
          <w:jc w:val="center"/>
        </w:trPr>
        <w:tc>
          <w:tcPr>
            <w:tcW w:w="991" w:type="pct"/>
            <w:shd w:val="clear" w:color="auto" w:fill="DBE5F1" w:themeFill="accent1" w:themeFillTint="33"/>
            <w:vAlign w:val="center"/>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Показател</w:t>
            </w:r>
          </w:p>
        </w:tc>
        <w:tc>
          <w:tcPr>
            <w:tcW w:w="593"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Мерна единица</w:t>
            </w:r>
          </w:p>
        </w:tc>
        <w:tc>
          <w:tcPr>
            <w:tcW w:w="687"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Целева стойност</w:t>
            </w:r>
          </w:p>
        </w:tc>
        <w:tc>
          <w:tcPr>
            <w:tcW w:w="1727" w:type="pct"/>
            <w:shd w:val="clear" w:color="auto" w:fill="DBE5F1" w:themeFill="accent1" w:themeFillTint="33"/>
            <w:vAlign w:val="center"/>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Допълнителна информация</w:t>
            </w:r>
          </w:p>
        </w:tc>
        <w:tc>
          <w:tcPr>
            <w:tcW w:w="1002" w:type="pct"/>
            <w:shd w:val="clear" w:color="auto" w:fill="DBE5F1" w:themeFill="accent1" w:themeFillTint="33"/>
          </w:tcPr>
          <w:p w:rsidR="00B15299" w:rsidRPr="00B15299" w:rsidRDefault="00B15299" w:rsidP="00235C8E">
            <w:pPr>
              <w:rPr>
                <w:rFonts w:ascii="Times New Roman" w:hAnsi="Times New Roman"/>
                <w:b/>
                <w:bCs/>
                <w:lang w:eastAsia="bg-BG"/>
              </w:rPr>
            </w:pPr>
            <w:r w:rsidRPr="00B15299">
              <w:rPr>
                <w:rFonts w:ascii="Times New Roman" w:hAnsi="Times New Roman"/>
                <w:b/>
                <w:bCs/>
                <w:lang w:eastAsia="bg-BG"/>
              </w:rPr>
              <w:t>Специфични природозащитни цели за защитената зона</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 xml:space="preserve">Площ </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Поне </w:t>
            </w:r>
            <w:r w:rsidRPr="00B15299">
              <w:rPr>
                <w:rFonts w:ascii="Times New Roman" w:hAnsi="Times New Roman"/>
                <w:bCs/>
                <w:lang w:val="en-US" w:eastAsia="bg-BG"/>
              </w:rPr>
              <w:t>8</w:t>
            </w:r>
            <w:r w:rsidRPr="00B15299">
              <w:rPr>
                <w:rFonts w:ascii="Times New Roman" w:hAnsi="Times New Roman"/>
                <w:bCs/>
                <w:lang w:eastAsia="bg-BG"/>
              </w:rPr>
              <w:t>1.67 ха</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B15299">
              <w:rPr>
                <w:rFonts w:ascii="Times New Roman" w:hAnsi="Times New Roman"/>
                <w:bCs/>
                <w:lang w:val="ru-RU" w:eastAsia="bg-BG"/>
              </w:rPr>
              <w:t>81.67</w:t>
            </w:r>
            <w:r w:rsidRPr="00B15299">
              <w:rPr>
                <w:rFonts w:ascii="Times New Roman" w:hAnsi="Times New Roman"/>
                <w:bCs/>
                <w:lang w:eastAsia="bg-BG"/>
              </w:rPr>
              <w:t>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w:t>
            </w:r>
            <w:r w:rsidRPr="00B15299">
              <w:rPr>
                <w:rFonts w:ascii="Times New Roman" w:hAnsi="Times New Roman"/>
                <w:bCs/>
                <w:lang w:val="ru-RU" w:eastAsia="bg-BG"/>
              </w:rPr>
              <w:t xml:space="preserve"> </w:t>
            </w:r>
            <w:r w:rsidRPr="00B15299">
              <w:rPr>
                <w:rFonts w:ascii="Times New Roman" w:hAnsi="Times New Roman"/>
                <w:bCs/>
                <w:lang w:eastAsia="bg-BG"/>
              </w:rPr>
              <w:t xml:space="preserve">двата големи полигона, където то е посочено като налично, според картирането от 2013 г. При проверка на местообитанието са установени и 5 места, които са заети с издънкови хибридни тополи или от </w:t>
            </w:r>
            <w:r w:rsidRPr="00B15299">
              <w:rPr>
                <w:rFonts w:ascii="Times New Roman" w:hAnsi="Times New Roman"/>
                <w:bCs/>
                <w:i/>
                <w:iCs/>
                <w:lang w:val="en-US" w:eastAsia="bg-BG"/>
              </w:rPr>
              <w:t>Amorfa</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fruticos</w:t>
            </w:r>
            <w:r w:rsidRPr="00B15299">
              <w:rPr>
                <w:rFonts w:ascii="Times New Roman" w:hAnsi="Times New Roman"/>
                <w:bCs/>
                <w:i/>
                <w:iCs/>
                <w:lang w:eastAsia="bg-BG"/>
              </w:rPr>
              <w:t>а</w:t>
            </w:r>
            <w:r w:rsidRPr="00B15299">
              <w:rPr>
                <w:rFonts w:ascii="Times New Roman" w:hAnsi="Times New Roman"/>
                <w:bCs/>
                <w:lang w:eastAsia="bg-BG"/>
              </w:rPr>
              <w:t xml:space="preserve">, или от гори с голямо участие на </w:t>
            </w:r>
            <w:r w:rsidRPr="00B15299">
              <w:rPr>
                <w:rFonts w:ascii="Times New Roman" w:hAnsi="Times New Roman"/>
                <w:bCs/>
                <w:i/>
                <w:iCs/>
                <w:lang w:val="en-US" w:eastAsia="bg-BG"/>
              </w:rPr>
              <w:t>Acer</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negundo</w:t>
            </w:r>
            <w:r w:rsidRPr="00B15299">
              <w:rPr>
                <w:rFonts w:ascii="Times New Roman" w:hAnsi="Times New Roman"/>
                <w:bCs/>
                <w:lang w:val="ru-RU" w:eastAsia="bg-BG"/>
              </w:rPr>
              <w:t xml:space="preserve">. </w:t>
            </w:r>
            <w:r w:rsidRPr="00B15299">
              <w:rPr>
                <w:rFonts w:ascii="Times New Roman" w:hAnsi="Times New Roman"/>
                <w:bCs/>
                <w:lang w:eastAsia="bg-BG"/>
              </w:rPr>
              <w:t>От други проверени</w:t>
            </w:r>
            <w:r w:rsidRPr="00B15299">
              <w:rPr>
                <w:rFonts w:ascii="Times New Roman" w:hAnsi="Times New Roman"/>
                <w:bCs/>
                <w:lang w:val="ru-RU" w:eastAsia="bg-BG"/>
              </w:rPr>
              <w:t xml:space="preserve"> </w:t>
            </w:r>
            <w:r w:rsidRPr="00B15299">
              <w:rPr>
                <w:rFonts w:ascii="Times New Roman" w:hAnsi="Times New Roman"/>
                <w:bCs/>
                <w:lang w:eastAsia="bg-BG"/>
              </w:rPr>
              <w:t>места, четири с</w:t>
            </w:r>
            <w:r w:rsidRPr="00B15299">
              <w:rPr>
                <w:rFonts w:ascii="Times New Roman" w:hAnsi="Times New Roman"/>
                <w:bCs/>
                <w:lang w:val="en-US" w:eastAsia="bg-BG"/>
              </w:rPr>
              <w:t>a</w:t>
            </w:r>
            <w:r w:rsidRPr="00B15299">
              <w:rPr>
                <w:rFonts w:ascii="Times New Roman" w:hAnsi="Times New Roman"/>
                <w:bCs/>
                <w:lang w:eastAsia="bg-BG"/>
              </w:rPr>
              <w:t xml:space="preserve"> установени като местообитание 91</w:t>
            </w:r>
            <w:r w:rsidRPr="00B15299">
              <w:rPr>
                <w:rFonts w:ascii="Times New Roman" w:hAnsi="Times New Roman"/>
                <w:bCs/>
                <w:lang w:val="en-US" w:eastAsia="bg-BG"/>
              </w:rPr>
              <w:t>F</w:t>
            </w:r>
            <w:r w:rsidRPr="00B15299">
              <w:rPr>
                <w:rFonts w:ascii="Times New Roman" w:hAnsi="Times New Roman"/>
                <w:bCs/>
                <w:lang w:val="ru-RU" w:eastAsia="bg-BG"/>
              </w:rPr>
              <w:t xml:space="preserve">0 с доминиращ вид </w:t>
            </w:r>
            <w:r w:rsidRPr="00B15299">
              <w:rPr>
                <w:rFonts w:ascii="Times New Roman" w:hAnsi="Times New Roman"/>
                <w:bCs/>
                <w:i/>
                <w:iCs/>
                <w:lang w:val="en-US" w:eastAsia="bg-BG"/>
              </w:rPr>
              <w:t>Ulmus</w:t>
            </w:r>
            <w:r w:rsidRPr="00B15299">
              <w:rPr>
                <w:rFonts w:ascii="Times New Roman" w:hAnsi="Times New Roman"/>
                <w:bCs/>
                <w:i/>
                <w:iCs/>
                <w:lang w:val="ru-RU" w:eastAsia="bg-BG"/>
              </w:rPr>
              <w:t xml:space="preserve"> </w:t>
            </w:r>
            <w:r w:rsidRPr="00B15299">
              <w:rPr>
                <w:rFonts w:ascii="Times New Roman" w:hAnsi="Times New Roman"/>
                <w:bCs/>
                <w:i/>
                <w:iCs/>
                <w:lang w:val="en-US" w:eastAsia="bg-BG"/>
              </w:rPr>
              <w:t>laevis</w:t>
            </w:r>
            <w:r w:rsidRPr="00B15299">
              <w:rPr>
                <w:rFonts w:ascii="Times New Roman" w:hAnsi="Times New Roman"/>
                <w:bCs/>
                <w:lang w:eastAsia="bg-BG"/>
              </w:rPr>
              <w:t>.</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Поддържане на площ на местообитанието в защитената зона поне </w:t>
            </w:r>
            <w:r w:rsidRPr="00B15299">
              <w:rPr>
                <w:rFonts w:ascii="Times New Roman" w:hAnsi="Times New Roman"/>
                <w:bCs/>
                <w:lang w:val="ru-RU" w:eastAsia="bg-BG"/>
              </w:rPr>
              <w:t>81.67</w:t>
            </w:r>
            <w:r w:rsidRPr="00B15299">
              <w:rPr>
                <w:rFonts w:ascii="Times New Roman" w:hAnsi="Times New Roman"/>
                <w:bCs/>
                <w:lang w:eastAsia="bg-BG"/>
              </w:rPr>
              <w:t xml:space="preserve"> ха. Междинна цел е да се разработи и приложи единна бъдеща схема за мониторинг на параметъра до 2025 година.</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 </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Структура и функции. Пълнота на първия дървесен етаж (средно претеглена)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Части от единицата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От 0.6 до 1</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w:t>
            </w:r>
            <w:r w:rsidRPr="00B15299">
              <w:rPr>
                <w:rFonts w:ascii="Times New Roman" w:hAnsi="Times New Roman"/>
                <w:bCs/>
                <w:lang w:eastAsia="bg-BG"/>
              </w:rPr>
              <w:lastRenderedPageBreak/>
              <w:t>отделните полигони. Стойността на показателя е динамична и пряко зависи от естествените природни нарушения водещи до отпадане на дървета.</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0.8. </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Поддържане на пълнота на първия дървесен етаж (средно пр</w:t>
            </w:r>
            <w:r w:rsidRPr="00B15299">
              <w:rPr>
                <w:rFonts w:ascii="Times New Roman" w:hAnsi="Times New Roman"/>
                <w:bCs/>
                <w:lang w:val="en-US" w:eastAsia="bg-BG"/>
              </w:rPr>
              <w:t>e</w:t>
            </w:r>
            <w:r w:rsidRPr="00B15299">
              <w:rPr>
                <w:rFonts w:ascii="Times New Roman" w:hAnsi="Times New Roman"/>
                <w:bCs/>
                <w:lang w:eastAsia="bg-BG"/>
              </w:rPr>
              <w:t>теглена) от 0.6 до 1.</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Структура и функции. Състав на първия дървесен етаж (средно претеглен)</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Части от десетицата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От 6 до 10 за различните видовете от род </w:t>
            </w:r>
            <w:r w:rsidRPr="00B15299">
              <w:rPr>
                <w:rFonts w:ascii="Times New Roman" w:hAnsi="Times New Roman"/>
                <w:bCs/>
                <w:i/>
                <w:lang w:eastAsia="bg-BG"/>
              </w:rPr>
              <w:t>Salix</w:t>
            </w:r>
            <w:r w:rsidRPr="00B15299">
              <w:rPr>
                <w:rFonts w:ascii="Times New Roman" w:hAnsi="Times New Roman"/>
                <w:bCs/>
                <w:lang w:eastAsia="bg-BG"/>
              </w:rPr>
              <w:t xml:space="preserve"> и </w:t>
            </w:r>
            <w:r w:rsidRPr="00B15299">
              <w:rPr>
                <w:rFonts w:ascii="Times New Roman" w:hAnsi="Times New Roman"/>
                <w:bCs/>
                <w:i/>
                <w:lang w:eastAsia="bg-BG"/>
              </w:rPr>
              <w:t>Populus</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B15299">
              <w:rPr>
                <w:rFonts w:ascii="Times New Roman" w:hAnsi="Times New Roman"/>
                <w:bCs/>
                <w:i/>
                <w:lang w:eastAsia="bg-BG"/>
              </w:rPr>
              <w:t>Populus</w:t>
            </w:r>
            <w:r w:rsidRPr="00B15299">
              <w:rPr>
                <w:rFonts w:ascii="Times New Roman" w:hAnsi="Times New Roman"/>
                <w:bCs/>
                <w:lang w:eastAsia="bg-BG"/>
              </w:rPr>
              <w:t xml:space="preserve"> и </w:t>
            </w:r>
            <w:r w:rsidRPr="00B15299">
              <w:rPr>
                <w:rFonts w:ascii="Times New Roman" w:hAnsi="Times New Roman"/>
                <w:bCs/>
                <w:i/>
                <w:lang w:eastAsia="bg-BG"/>
              </w:rPr>
              <w:t>Salix</w:t>
            </w:r>
            <w:r w:rsidRPr="00B15299">
              <w:rPr>
                <w:rFonts w:ascii="Times New Roman" w:hAnsi="Times New Roman"/>
                <w:bCs/>
                <w:lang w:eastAsia="bg-BG"/>
              </w:rPr>
              <w:t xml:space="preserve"> в състава на първия дървесен етаж е около 6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към местообитание 91</w:t>
            </w:r>
            <w:r w:rsidRPr="00B15299">
              <w:rPr>
                <w:rFonts w:ascii="Times New Roman" w:hAnsi="Times New Roman"/>
                <w:bCs/>
                <w:lang w:val="en-US" w:eastAsia="bg-BG"/>
              </w:rPr>
              <w:t>F</w:t>
            </w:r>
            <w:r w:rsidRPr="00B15299">
              <w:rPr>
                <w:rFonts w:ascii="Times New Roman" w:hAnsi="Times New Roman"/>
                <w:bCs/>
                <w:lang w:val="ru-RU" w:eastAsia="bg-BG"/>
              </w:rPr>
              <w:t>0</w:t>
            </w:r>
            <w:r w:rsidRPr="00B15299">
              <w:rPr>
                <w:rFonts w:ascii="Times New Roman" w:hAnsi="Times New Roman"/>
                <w:bCs/>
                <w:lang w:eastAsia="bg-BG"/>
              </w:rPr>
              <w:t xml:space="preserve">, и на настаняването на инвазивни </w:t>
            </w:r>
            <w:r w:rsidRPr="00B15299">
              <w:rPr>
                <w:rFonts w:ascii="Times New Roman" w:hAnsi="Times New Roman"/>
                <w:bCs/>
                <w:lang w:eastAsia="bg-BG"/>
              </w:rPr>
              <w:lastRenderedPageBreak/>
              <w:t xml:space="preserve">видове, като </w:t>
            </w:r>
            <w:r w:rsidRPr="00B15299">
              <w:rPr>
                <w:rFonts w:ascii="Times New Roman" w:hAnsi="Times New Roman"/>
                <w:bCs/>
                <w:i/>
                <w:lang w:val="en-US" w:eastAsia="bg-BG"/>
              </w:rPr>
              <w:t>Acer</w:t>
            </w:r>
            <w:r w:rsidRPr="00B15299">
              <w:rPr>
                <w:rFonts w:ascii="Times New Roman" w:hAnsi="Times New Roman"/>
                <w:bCs/>
                <w:i/>
                <w:lang w:val="ru-RU" w:eastAsia="bg-BG"/>
              </w:rPr>
              <w:t xml:space="preserve"> </w:t>
            </w:r>
            <w:r w:rsidRPr="00B15299">
              <w:rPr>
                <w:rFonts w:ascii="Times New Roman" w:hAnsi="Times New Roman"/>
                <w:bCs/>
                <w:i/>
                <w:lang w:val="en-US" w:eastAsia="bg-BG"/>
              </w:rPr>
              <w:t>negundo</w:t>
            </w:r>
            <w:r w:rsidRPr="00B15299">
              <w:rPr>
                <w:rFonts w:ascii="Times New Roman" w:hAnsi="Times New Roman"/>
                <w:bCs/>
                <w:i/>
                <w:lang w:val="ru-RU" w:eastAsia="bg-BG"/>
              </w:rPr>
              <w:t xml:space="preserve"> </w:t>
            </w:r>
            <w:r w:rsidRPr="00B15299">
              <w:rPr>
                <w:rFonts w:ascii="Times New Roman" w:hAnsi="Times New Roman"/>
                <w:bCs/>
                <w:iCs/>
                <w:lang w:eastAsia="bg-BG"/>
              </w:rPr>
              <w:t>и в по-малка степен на</w:t>
            </w:r>
            <w:r w:rsidRPr="00B15299">
              <w:rPr>
                <w:rFonts w:ascii="Times New Roman" w:hAnsi="Times New Roman"/>
                <w:bCs/>
                <w:i/>
                <w:lang w:eastAsia="bg-BG"/>
              </w:rPr>
              <w:t xml:space="preserve"> </w:t>
            </w:r>
            <w:r w:rsidRPr="00B15299">
              <w:rPr>
                <w:rFonts w:ascii="Times New Roman" w:hAnsi="Times New Roman"/>
                <w:bCs/>
                <w:i/>
                <w:lang w:val="en-US" w:eastAsia="bg-BG"/>
              </w:rPr>
              <w:t>Fraxinus</w:t>
            </w:r>
            <w:r w:rsidRPr="00B15299">
              <w:rPr>
                <w:rFonts w:ascii="Times New Roman" w:hAnsi="Times New Roman"/>
                <w:bCs/>
                <w:i/>
                <w:lang w:val="ru-RU" w:eastAsia="bg-BG"/>
              </w:rPr>
              <w:t xml:space="preserve"> а</w:t>
            </w:r>
            <w:r w:rsidRPr="00B15299">
              <w:rPr>
                <w:rFonts w:ascii="Times New Roman" w:hAnsi="Times New Roman"/>
                <w:bCs/>
                <w:i/>
                <w:lang w:val="en-US" w:eastAsia="bg-BG"/>
              </w:rPr>
              <w:t>mericana</w:t>
            </w:r>
            <w:r w:rsidRPr="00B15299">
              <w:rPr>
                <w:rFonts w:ascii="Times New Roman" w:hAnsi="Times New Roman"/>
                <w:bCs/>
                <w:i/>
                <w:lang w:eastAsia="bg-BG"/>
              </w:rPr>
              <w:t>.</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Поддържане на състав на първия дървесен етаж (средно претеглен)</w:t>
            </w:r>
            <w:r w:rsidRPr="00B15299">
              <w:rPr>
                <w:rFonts w:ascii="Times New Roman" w:hAnsi="Times New Roman"/>
              </w:rPr>
              <w:t xml:space="preserve"> </w:t>
            </w:r>
            <w:r w:rsidRPr="00B15299">
              <w:rPr>
                <w:rFonts w:ascii="Times New Roman" w:hAnsi="Times New Roman"/>
                <w:bCs/>
                <w:lang w:eastAsia="bg-BG"/>
              </w:rPr>
              <w:t xml:space="preserve">от 6 до 10 за различните видовете от род </w:t>
            </w:r>
            <w:r w:rsidRPr="00B15299">
              <w:rPr>
                <w:rFonts w:ascii="Times New Roman" w:hAnsi="Times New Roman"/>
                <w:bCs/>
                <w:i/>
                <w:lang w:eastAsia="bg-BG"/>
              </w:rPr>
              <w:t>Salix</w:t>
            </w:r>
            <w:r w:rsidRPr="00B15299">
              <w:rPr>
                <w:rFonts w:ascii="Times New Roman" w:hAnsi="Times New Roman"/>
                <w:bCs/>
                <w:lang w:eastAsia="bg-BG"/>
              </w:rPr>
              <w:t xml:space="preserve"> и </w:t>
            </w:r>
            <w:r w:rsidRPr="00B15299">
              <w:rPr>
                <w:rFonts w:ascii="Times New Roman" w:hAnsi="Times New Roman"/>
                <w:bCs/>
                <w:i/>
                <w:lang w:eastAsia="bg-BG"/>
              </w:rPr>
              <w:t>Populus</w:t>
            </w:r>
            <w:r w:rsidRPr="00B15299">
              <w:rPr>
                <w:rFonts w:ascii="Times New Roman" w:hAnsi="Times New Roman"/>
                <w:bCs/>
                <w:lang w:eastAsia="bg-BG"/>
              </w:rPr>
              <w:t>.</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Години</w:t>
            </w:r>
          </w:p>
          <w:p w:rsidR="00B15299" w:rsidRPr="00B15299" w:rsidRDefault="00B15299" w:rsidP="00235C8E">
            <w:pPr>
              <w:rPr>
                <w:rFonts w:ascii="Times New Roman" w:hAnsi="Times New Roman"/>
                <w:bCs/>
                <w:lang w:eastAsia="bg-BG"/>
              </w:rPr>
            </w:pP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Над </w:t>
            </w:r>
            <w:r w:rsidRPr="00B15299">
              <w:rPr>
                <w:rFonts w:ascii="Times New Roman" w:hAnsi="Times New Roman"/>
                <w:bCs/>
                <w:lang w:val="ru-RU" w:eastAsia="bg-BG"/>
              </w:rPr>
              <w:t>6</w:t>
            </w:r>
            <w:r w:rsidRPr="00B15299">
              <w:rPr>
                <w:rFonts w:ascii="Times New Roman" w:hAnsi="Times New Roman"/>
                <w:bCs/>
                <w:lang w:eastAsia="bg-BG"/>
              </w:rPr>
              <w:t>0, не намалява, а се</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увеличава</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25 години. </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Целта е подобряване на състоянието по този показател, така че да се достигне средна възраст (средно притеглена) на първия дървесен етаж над </w:t>
            </w:r>
            <w:r w:rsidRPr="00B15299">
              <w:rPr>
                <w:rFonts w:ascii="Times New Roman" w:hAnsi="Times New Roman"/>
                <w:bCs/>
                <w:lang w:val="ru-RU" w:eastAsia="bg-BG"/>
              </w:rPr>
              <w:t>6</w:t>
            </w:r>
            <w:r w:rsidRPr="00B15299">
              <w:rPr>
                <w:rFonts w:ascii="Times New Roman" w:hAnsi="Times New Roman"/>
                <w:bCs/>
                <w:lang w:eastAsia="bg-BG"/>
              </w:rPr>
              <w:t>0 години до 20</w:t>
            </w:r>
            <w:r w:rsidRPr="00B15299">
              <w:rPr>
                <w:rFonts w:ascii="Times New Roman" w:hAnsi="Times New Roman"/>
                <w:bCs/>
                <w:lang w:val="ru-RU" w:eastAsia="bg-BG"/>
              </w:rPr>
              <w:t>55</w:t>
            </w:r>
            <w:r w:rsidRPr="00B15299">
              <w:rPr>
                <w:rFonts w:ascii="Times New Roman" w:hAnsi="Times New Roman"/>
                <w:bCs/>
                <w:lang w:eastAsia="bg-BG"/>
              </w:rPr>
              <w:t xml:space="preserve"> година.</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Структура и функции. Площ на горите във фаза на старост</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Поне 10% от общата площ на местообитанието</w:t>
            </w:r>
          </w:p>
        </w:tc>
        <w:tc>
          <w:tcPr>
            <w:tcW w:w="1727"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Няма обявени Гори във фаза на старост.</w:t>
            </w:r>
          </w:p>
        </w:tc>
        <w:tc>
          <w:tcPr>
            <w:tcW w:w="1002" w:type="pct"/>
            <w:tcBorders>
              <w:top w:val="single" w:sz="4" w:space="0" w:color="auto"/>
              <w:left w:val="single" w:sz="4" w:space="0" w:color="auto"/>
              <w:bottom w:val="single" w:sz="4" w:space="0" w:color="auto"/>
              <w:right w:val="single" w:sz="4" w:space="0" w:color="auto"/>
            </w:tcBorders>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Целта е подобряване на състоянието по този показател, като поне 10% от общата площ на местообитанието бъдат обявени като Гори във фаза на старост.</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t xml:space="preserve">Структура и функции. Количество мъртва дървесина   </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или м</w:t>
            </w:r>
            <w:r w:rsidRPr="00B15299">
              <w:rPr>
                <w:rFonts w:ascii="Times New Roman" w:hAnsi="Times New Roman"/>
                <w:bCs/>
                <w:vertAlign w:val="superscript"/>
                <w:lang w:eastAsia="bg-BG"/>
              </w:rPr>
              <w:t>3</w:t>
            </w:r>
            <w:r w:rsidRPr="00B15299">
              <w:rPr>
                <w:rFonts w:ascii="Times New Roman" w:hAnsi="Times New Roman"/>
                <w:bCs/>
                <w:lang w:eastAsia="bg-BG"/>
              </w:rPr>
              <w:t>/хa</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Поне 60% от площта на местообитанието се характеризира с общо количеств</w:t>
            </w:r>
            <w:r w:rsidRPr="00B15299">
              <w:rPr>
                <w:rFonts w:ascii="Times New Roman" w:hAnsi="Times New Roman"/>
                <w:bCs/>
                <w:lang w:eastAsia="bg-BG"/>
              </w:rPr>
              <w:lastRenderedPageBreak/>
              <w:t>о мъртва дървесина от поне 10% от запаса, но не по-малко от 20 м</w:t>
            </w:r>
            <w:r w:rsidRPr="00B15299">
              <w:rPr>
                <w:rFonts w:ascii="Times New Roman" w:hAnsi="Times New Roman"/>
                <w:bCs/>
                <w:vertAlign w:val="superscript"/>
                <w:lang w:eastAsia="bg-BG"/>
              </w:rPr>
              <w:t>3</w:t>
            </w:r>
            <w:r w:rsidRPr="00B15299">
              <w:rPr>
                <w:rFonts w:ascii="Times New Roman" w:hAnsi="Times New Roman"/>
                <w:bCs/>
                <w:lang w:eastAsia="bg-BG"/>
              </w:rPr>
              <w:t xml:space="preserve">/хa, също така и с не по-малко от 10 стоящи мъртви дървета </w:t>
            </w:r>
          </w:p>
        </w:tc>
        <w:tc>
          <w:tcPr>
            <w:tcW w:w="172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Според анализа на наличната информация, съобразно </w:t>
            </w:r>
            <w:r w:rsidRPr="00B15299">
              <w:rPr>
                <w:rFonts w:ascii="Times New Roman" w:hAnsi="Times New Roman"/>
                <w:bCs/>
                <w:lang w:eastAsia="bg-BG"/>
              </w:rPr>
              <w:lastRenderedPageBreak/>
              <w:t xml:space="preserve">подхода, описан в т. 5 на настоящия документ, количеството мъртва дървесина отговаря на целевата стойност. </w:t>
            </w:r>
          </w:p>
        </w:tc>
        <w:tc>
          <w:tcPr>
            <w:tcW w:w="1002" w:type="pct"/>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lastRenderedPageBreak/>
              <w:t>Целта е поддържане на състоянието по този показател.</w:t>
            </w:r>
          </w:p>
        </w:tc>
      </w:tr>
      <w:tr w:rsidR="00B15299" w:rsidRPr="00B15299" w:rsidTr="002B2D2E">
        <w:trPr>
          <w:jc w:val="center"/>
        </w:trPr>
        <w:tc>
          <w:tcPr>
            <w:tcW w:w="991" w:type="pct"/>
            <w:shd w:val="clear" w:color="auto" w:fill="auto"/>
          </w:tcPr>
          <w:p w:rsidR="00B15299" w:rsidRPr="00235C8E" w:rsidRDefault="00B15299" w:rsidP="00235C8E">
            <w:pPr>
              <w:rPr>
                <w:rFonts w:ascii="Times New Roman" w:hAnsi="Times New Roman"/>
                <w:b/>
                <w:bCs/>
                <w:lang w:eastAsia="bg-BG"/>
              </w:rPr>
            </w:pPr>
            <w:r w:rsidRPr="00235C8E">
              <w:rPr>
                <w:rFonts w:ascii="Times New Roman" w:hAnsi="Times New Roman"/>
                <w:b/>
                <w:bCs/>
                <w:lang w:eastAsia="bg-BG"/>
              </w:rPr>
              <w:lastRenderedPageBreak/>
              <w:t>Структура и функции. Наличие на големи/биотопни дървета</w:t>
            </w:r>
          </w:p>
        </w:tc>
        <w:tc>
          <w:tcPr>
            <w:tcW w:w="593"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Брой на ха</w:t>
            </w:r>
          </w:p>
        </w:tc>
        <w:tc>
          <w:tcPr>
            <w:tcW w:w="68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727" w:type="pct"/>
            <w:shd w:val="clear" w:color="auto" w:fill="auto"/>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1002" w:type="pct"/>
          </w:tcPr>
          <w:p w:rsidR="00B15299" w:rsidRPr="00B15299" w:rsidRDefault="00B15299" w:rsidP="00235C8E">
            <w:pPr>
              <w:rPr>
                <w:rFonts w:ascii="Times New Roman" w:hAnsi="Times New Roman"/>
                <w:bCs/>
                <w:lang w:eastAsia="bg-BG"/>
              </w:rPr>
            </w:pPr>
            <w:r w:rsidRPr="00B15299">
              <w:rPr>
                <w:rFonts w:ascii="Times New Roman" w:hAnsi="Times New Roman"/>
                <w:bCs/>
                <w:lang w:eastAsia="bg-BG"/>
              </w:rPr>
              <w:t>Целта е поддържане на състоянието по този показател.</w:t>
            </w:r>
          </w:p>
        </w:tc>
      </w:tr>
    </w:tbl>
    <w:p w:rsidR="00B15299" w:rsidRPr="00B15299" w:rsidRDefault="00B15299" w:rsidP="005C13D7">
      <w:pPr>
        <w:rPr>
          <w:rFonts w:ascii="Times New Roman" w:hAnsi="Times New Roman"/>
          <w:bCs/>
          <w:sz w:val="24"/>
          <w:szCs w:val="24"/>
          <w:lang w:eastAsia="bg-BG"/>
        </w:rPr>
      </w:pPr>
    </w:p>
    <w:p w:rsidR="00B15299" w:rsidRPr="00B15299" w:rsidRDefault="00B15299" w:rsidP="005C13D7">
      <w:pPr>
        <w:rPr>
          <w:rFonts w:ascii="Times New Roman" w:hAnsi="Times New Roman"/>
          <w:b/>
          <w:bCs/>
          <w:sz w:val="24"/>
          <w:szCs w:val="24"/>
          <w:lang w:eastAsia="bg-BG"/>
        </w:rPr>
      </w:pPr>
      <w:r w:rsidRPr="00B15299">
        <w:rPr>
          <w:rFonts w:ascii="Times New Roman" w:hAnsi="Times New Roman"/>
          <w:b/>
          <w:bCs/>
          <w:sz w:val="24"/>
          <w:szCs w:val="24"/>
          <w:lang w:val="ru-RU" w:eastAsia="bg-BG"/>
        </w:rPr>
        <w:t xml:space="preserve">7. </w:t>
      </w:r>
      <w:r w:rsidRPr="00B15299">
        <w:rPr>
          <w:rFonts w:ascii="Times New Roman" w:hAnsi="Times New Roman"/>
          <w:b/>
          <w:bCs/>
          <w:sz w:val="24"/>
          <w:szCs w:val="24"/>
          <w:lang w:eastAsia="bg-BG"/>
        </w:rPr>
        <w:t>Необходимост от актуализация на СФ на защитената зона</w:t>
      </w:r>
    </w:p>
    <w:p w:rsidR="00B15299" w:rsidRPr="00B15299" w:rsidRDefault="00B15299" w:rsidP="005C13D7">
      <w:pPr>
        <w:rPr>
          <w:rFonts w:ascii="Times New Roman" w:hAnsi="Times New Roman"/>
          <w:bCs/>
          <w:sz w:val="24"/>
          <w:szCs w:val="24"/>
          <w:highlight w:val="yellow"/>
          <w:lang w:eastAsia="bg-BG"/>
        </w:rPr>
      </w:pPr>
      <w:r w:rsidRPr="00B15299">
        <w:rPr>
          <w:rFonts w:ascii="Times New Roman" w:hAnsi="Times New Roman"/>
          <w:sz w:val="24"/>
          <w:szCs w:val="24"/>
          <w:lang w:eastAsia="bg-BG"/>
        </w:rPr>
        <w:t>Не е необходима</w:t>
      </w:r>
      <w:r w:rsidRPr="00B15299">
        <w:rPr>
          <w:rFonts w:ascii="Times New Roman" w:hAnsi="Times New Roman"/>
          <w:bCs/>
          <w:sz w:val="24"/>
          <w:szCs w:val="24"/>
          <w:lang w:eastAsia="bg-BG"/>
        </w:rPr>
        <w:t xml:space="preserve"> промяна на Стандартния формуляр за данни.</w:t>
      </w:r>
    </w:p>
    <w:p w:rsidR="00B15299" w:rsidRPr="00B15299" w:rsidRDefault="00B15299" w:rsidP="00235C8E">
      <w:pPr>
        <w:spacing w:after="0" w:line="240" w:lineRule="auto"/>
        <w:rPr>
          <w:rFonts w:ascii="Times New Roman" w:hAnsi="Times New Roman"/>
          <w:b/>
          <w:bCs/>
          <w:sz w:val="24"/>
          <w:szCs w:val="24"/>
          <w:lang w:eastAsia="bg-BG"/>
        </w:rPr>
      </w:pPr>
      <w:r w:rsidRPr="00B15299">
        <w:rPr>
          <w:rFonts w:ascii="Times New Roman" w:hAnsi="Times New Roman"/>
          <w:b/>
          <w:bCs/>
          <w:sz w:val="24"/>
          <w:szCs w:val="24"/>
          <w:lang w:val="ru-RU" w:eastAsia="bg-BG"/>
        </w:rPr>
        <w:t>8</w:t>
      </w:r>
      <w:r w:rsidRPr="00B15299">
        <w:rPr>
          <w:rFonts w:ascii="Times New Roman" w:hAnsi="Times New Roman"/>
          <w:b/>
          <w:bCs/>
          <w:sz w:val="24"/>
          <w:szCs w:val="24"/>
          <w:lang w:eastAsia="bg-BG"/>
        </w:rPr>
        <w:t>. Използвана литература</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Бисерков</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В</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(гл ред). Червена книга на Република България, Том III - Природни местообитания. </w:t>
      </w:r>
      <w:hyperlink r:id="rId12" w:history="1">
        <w:r w:rsidRPr="00B15299">
          <w:rPr>
            <w:rFonts w:ascii="Times New Roman" w:hAnsi="Times New Roman"/>
            <w:bCs/>
            <w:sz w:val="24"/>
            <w:szCs w:val="24"/>
            <w:u w:val="single"/>
            <w:lang w:eastAsia="bg-BG"/>
          </w:rPr>
          <w:t>http://e-ecodb.bas.bg/rdb/bg/vol3/</w:t>
        </w:r>
      </w:hyperlink>
      <w:r w:rsidRPr="00B15299">
        <w:rPr>
          <w:rFonts w:ascii="Times New Roman" w:hAnsi="Times New Roman"/>
          <w:bCs/>
          <w:sz w:val="24"/>
          <w:szCs w:val="24"/>
          <w:lang w:eastAsia="bg-BG"/>
        </w:rPr>
        <w:t>. Последно посетен на 02.11.2021 г</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B15299">
          <w:rPr>
            <w:rFonts w:ascii="Times New Roman" w:hAnsi="Times New Roman"/>
            <w:bCs/>
            <w:color w:val="0000FF"/>
            <w:sz w:val="24"/>
            <w:szCs w:val="24"/>
            <w:u w:val="single"/>
            <w:lang w:eastAsia="bg-BG"/>
          </w:rPr>
          <w:t>http://natura2000.moew.government.bg/Home/Natura2000ProtectedSites</w:t>
        </w:r>
      </w:hyperlink>
      <w:r w:rsidRPr="00B15299">
        <w:rPr>
          <w:rFonts w:ascii="Times New Roman" w:hAnsi="Times New Roman"/>
          <w:bCs/>
          <w:sz w:val="24"/>
          <w:szCs w:val="24"/>
          <w:lang w:eastAsia="bg-BG"/>
        </w:rPr>
        <w:t xml:space="preserve">. Последно посетен на 02.11.2021 г. </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lastRenderedPageBreak/>
        <w:t xml:space="preserve">Изпълнителна агенция по горите (ИАГ). Лесоустройствени проекти.  </w:t>
      </w:r>
      <w:hyperlink r:id="rId14" w:history="1">
        <w:r w:rsidRPr="00B15299">
          <w:rPr>
            <w:rFonts w:ascii="Times New Roman" w:hAnsi="Times New Roman"/>
            <w:bCs/>
            <w:color w:val="0000FF"/>
            <w:sz w:val="24"/>
            <w:szCs w:val="24"/>
            <w:u w:val="single"/>
            <w:lang w:eastAsia="bg-BG"/>
          </w:rPr>
          <w:t>http://www.procurement.iag.bg:8080/cgi-bin/lup.cgi</w:t>
        </w:r>
      </w:hyperlink>
      <w:r w:rsidRPr="00B15299">
        <w:rPr>
          <w:rFonts w:ascii="Times New Roman" w:hAnsi="Times New Roman"/>
          <w:bCs/>
          <w:sz w:val="24"/>
          <w:szCs w:val="24"/>
          <w:lang w:eastAsia="bg-BG"/>
        </w:rPr>
        <w:t>. Последно посетен на 02.11.2021 г.</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Зингстра</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Х</w:t>
      </w:r>
      <w:r>
        <w:rPr>
          <w:rFonts w:ascii="Times New Roman" w:hAnsi="Times New Roman"/>
          <w:bCs/>
          <w:sz w:val="24"/>
          <w:szCs w:val="24"/>
          <w:lang w:eastAsia="bg-BG"/>
        </w:rPr>
        <w:t>.</w:t>
      </w:r>
      <w:r w:rsidRPr="00B15299">
        <w:rPr>
          <w:rFonts w:ascii="Times New Roman" w:hAnsi="Times New Roman"/>
          <w:bCs/>
          <w:sz w:val="24"/>
          <w:szCs w:val="24"/>
          <w:lang w:eastAsia="bg-BG"/>
        </w:rPr>
        <w:t>, А Ковачев, К</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B15299">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B15299">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B15299" w:rsidRPr="00B15299" w:rsidRDefault="00B15299" w:rsidP="005C13D7">
      <w:pPr>
        <w:spacing w:after="0" w:line="240" w:lineRule="auto"/>
        <w:ind w:left="709" w:hanging="709"/>
        <w:jc w:val="both"/>
        <w:rPr>
          <w:rFonts w:ascii="Times New Roman" w:hAnsi="Times New Roman"/>
          <w:bCs/>
          <w:sz w:val="24"/>
          <w:szCs w:val="24"/>
          <w:lang w:eastAsia="bg-BG"/>
        </w:rPr>
      </w:pPr>
      <w:r w:rsidRPr="00B15299">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5" w:history="1">
        <w:r w:rsidRPr="00B15299">
          <w:rPr>
            <w:rFonts w:ascii="Times New Roman" w:hAnsi="Times New Roman"/>
            <w:bCs/>
            <w:color w:val="0000FF"/>
            <w:sz w:val="24"/>
            <w:szCs w:val="24"/>
            <w:u w:val="single"/>
            <w:lang w:eastAsia="bg-BG"/>
          </w:rPr>
          <w:t>https://eur-lex.europa.eu/legal-content/BG/TXT/?uri=CELEX:32011D0484</w:t>
        </w:r>
      </w:hyperlink>
      <w:r w:rsidRPr="00B15299">
        <w:rPr>
          <w:rFonts w:ascii="Times New Roman" w:hAnsi="Times New Roman"/>
          <w:bCs/>
          <w:sz w:val="24"/>
          <w:szCs w:val="24"/>
          <w:lang w:eastAsia="bg-BG"/>
        </w:rPr>
        <w:t>. Последно посетен на 30.09.2021 г.</w:t>
      </w:r>
    </w:p>
    <w:p w:rsidR="00B15299" w:rsidRPr="00B15299" w:rsidRDefault="00B15299" w:rsidP="005C13D7">
      <w:pPr>
        <w:spacing w:after="0" w:line="240" w:lineRule="auto"/>
        <w:ind w:left="709" w:hanging="709"/>
        <w:jc w:val="both"/>
        <w:rPr>
          <w:rFonts w:ascii="Times New Roman" w:hAnsi="Times New Roman"/>
          <w:bCs/>
          <w:sz w:val="24"/>
          <w:szCs w:val="24"/>
          <w:lang w:val="en-GB" w:eastAsia="bg-BG"/>
        </w:rPr>
      </w:pPr>
      <w:proofErr w:type="gramStart"/>
      <w:r w:rsidRPr="00B15299">
        <w:rPr>
          <w:rFonts w:ascii="Times New Roman" w:hAnsi="Times New Roman"/>
          <w:bCs/>
          <w:sz w:val="24"/>
          <w:szCs w:val="24"/>
          <w:lang w:val="en-GB" w:eastAsia="bg-BG"/>
        </w:rPr>
        <w:t>European commission.</w:t>
      </w:r>
      <w:proofErr w:type="gramEnd"/>
      <w:r w:rsidRPr="00B15299">
        <w:rPr>
          <w:rFonts w:ascii="Times New Roman" w:hAnsi="Times New Roman"/>
          <w:bCs/>
          <w:sz w:val="24"/>
          <w:szCs w:val="24"/>
          <w:lang w:val="en-GB" w:eastAsia="bg-BG"/>
        </w:rPr>
        <w:t xml:space="preserve"> The State of Nature in the EU – Article 17 reporting. </w:t>
      </w:r>
      <w:hyperlink r:id="rId16" w:history="1">
        <w:r w:rsidRPr="00B15299">
          <w:rPr>
            <w:rFonts w:ascii="Times New Roman" w:hAnsi="Times New Roman"/>
            <w:bCs/>
            <w:color w:val="0000FF"/>
            <w:sz w:val="24"/>
            <w:szCs w:val="24"/>
            <w:u w:val="single"/>
            <w:lang w:val="en-GB" w:eastAsia="bg-BG"/>
          </w:rPr>
          <w:t>https://ec.europa.eu/environment/nature/knowledge/rep_habitats/index_en.htm</w:t>
        </w:r>
      </w:hyperlink>
      <w:r w:rsidRPr="00B15299">
        <w:rPr>
          <w:rFonts w:ascii="Times New Roman" w:hAnsi="Times New Roman"/>
          <w:bCs/>
          <w:sz w:val="24"/>
          <w:szCs w:val="24"/>
          <w:lang w:val="en-GB" w:eastAsia="bg-BG"/>
        </w:rPr>
        <w:t xml:space="preserve">. </w:t>
      </w:r>
      <w:proofErr w:type="gramStart"/>
      <w:r w:rsidRPr="00B15299">
        <w:rPr>
          <w:rFonts w:ascii="Times New Roman" w:hAnsi="Times New Roman"/>
          <w:bCs/>
          <w:sz w:val="24"/>
          <w:szCs w:val="24"/>
          <w:lang w:val="en-GB" w:eastAsia="bg-BG"/>
        </w:rPr>
        <w:t xml:space="preserve">Last visited on </w:t>
      </w:r>
      <w:r w:rsidRPr="00B15299">
        <w:rPr>
          <w:rFonts w:ascii="Times New Roman" w:hAnsi="Times New Roman"/>
          <w:bCs/>
          <w:sz w:val="24"/>
          <w:szCs w:val="24"/>
          <w:lang w:eastAsia="bg-BG"/>
        </w:rPr>
        <w:t>07.10.2021.</w:t>
      </w:r>
      <w:proofErr w:type="gramEnd"/>
      <w:r w:rsidRPr="00B15299">
        <w:rPr>
          <w:rFonts w:ascii="Times New Roman" w:hAnsi="Times New Roman"/>
          <w:bCs/>
          <w:sz w:val="24"/>
          <w:szCs w:val="24"/>
          <w:lang w:eastAsia="bg-BG"/>
        </w:rPr>
        <w:t xml:space="preserve"> </w:t>
      </w:r>
    </w:p>
    <w:p w:rsidR="005E7363" w:rsidRPr="00235C8E" w:rsidRDefault="00235C8E" w:rsidP="00235C8E">
      <w:pPr>
        <w:spacing w:before="120"/>
        <w:rPr>
          <w:rFonts w:ascii="Times New Roman" w:hAnsi="Times New Roman"/>
          <w:sz w:val="24"/>
          <w:szCs w:val="24"/>
        </w:rPr>
      </w:pPr>
      <w:r w:rsidRPr="00235C8E">
        <w:rPr>
          <w:rFonts w:ascii="Times New Roman" w:hAnsi="Times New Roman"/>
          <w:i/>
          <w:sz w:val="24"/>
          <w:szCs w:val="24"/>
        </w:rPr>
        <w:t>Автори</w:t>
      </w:r>
      <w:r w:rsidRPr="00235C8E">
        <w:rPr>
          <w:rFonts w:ascii="Times New Roman" w:hAnsi="Times New Roman"/>
          <w:sz w:val="24"/>
          <w:szCs w:val="24"/>
        </w:rPr>
        <w:t>: Цветан Златанов, Георги Хинков, Георги Гогу</w:t>
      </w:r>
      <w:r>
        <w:rPr>
          <w:rFonts w:ascii="Times New Roman" w:hAnsi="Times New Roman"/>
          <w:sz w:val="24"/>
          <w:szCs w:val="24"/>
        </w:rPr>
        <w:t>ш</w:t>
      </w:r>
      <w:r w:rsidRPr="00235C8E">
        <w:rPr>
          <w:rFonts w:ascii="Times New Roman" w:hAnsi="Times New Roman"/>
          <w:sz w:val="24"/>
          <w:szCs w:val="24"/>
        </w:rPr>
        <w:t>ев, Магдалена Златанова</w:t>
      </w:r>
    </w:p>
    <w:p w:rsidR="005E7363" w:rsidRDefault="005E7363">
      <w:pPr>
        <w:rPr>
          <w:rFonts w:ascii="Times New Roman" w:hAnsi="Times New Roman"/>
          <w:color w:val="1F497D" w:themeColor="text2"/>
          <w:sz w:val="28"/>
          <w:szCs w:val="28"/>
        </w:rPr>
      </w:pPr>
    </w:p>
    <w:p w:rsidR="005E7363" w:rsidRPr="005E7363" w:rsidRDefault="005E7363" w:rsidP="00235C8E">
      <w:pPr>
        <w:pStyle w:val="Heading1"/>
        <w:rPr>
          <w:rFonts w:ascii="Times New Roman" w:hAnsi="Times New Roman"/>
          <w:b w:val="0"/>
          <w:color w:val="1F497D" w:themeColor="text2"/>
          <w:u w:val="single"/>
        </w:rPr>
      </w:pPr>
      <w:bookmarkStart w:id="6" w:name="_Toc88907889"/>
      <w:r w:rsidRPr="005E7363">
        <w:rPr>
          <w:rFonts w:ascii="Times New Roman" w:hAnsi="Times New Roman"/>
          <w:color w:val="1F497D" w:themeColor="text2"/>
          <w:u w:val="single"/>
        </w:rPr>
        <w:t>Земноводни и влечуги</w:t>
      </w:r>
      <w:bookmarkEnd w:id="6"/>
    </w:p>
    <w:p w:rsidR="005E7363" w:rsidRPr="00235C8E" w:rsidRDefault="005E7363" w:rsidP="00235C8E">
      <w:pPr>
        <w:pStyle w:val="Heading2"/>
        <w:rPr>
          <w:rFonts w:ascii="Times New Roman" w:hAnsi="Times New Roman"/>
          <w:b w:val="0"/>
          <w:i/>
          <w:color w:val="1F497D" w:themeColor="text2"/>
          <w:sz w:val="28"/>
          <w:szCs w:val="28"/>
        </w:rPr>
      </w:pPr>
      <w:bookmarkStart w:id="7" w:name="_Toc88907890"/>
      <w:r w:rsidRPr="00235C8E">
        <w:rPr>
          <w:rFonts w:ascii="Times New Roman" w:hAnsi="Times New Roman"/>
          <w:b w:val="0"/>
          <w:color w:val="1F497D" w:themeColor="text2"/>
          <w:sz w:val="28"/>
          <w:szCs w:val="28"/>
        </w:rPr>
        <w:t xml:space="preserve">Природозащитни цели за 1188 </w:t>
      </w:r>
      <w:r w:rsidRPr="00235C8E">
        <w:rPr>
          <w:rFonts w:ascii="Times New Roman" w:hAnsi="Times New Roman"/>
          <w:b w:val="0"/>
          <w:i/>
          <w:color w:val="1F497D" w:themeColor="text2"/>
          <w:sz w:val="28"/>
          <w:szCs w:val="28"/>
        </w:rPr>
        <w:t>Bombina bombina</w:t>
      </w:r>
      <w:bookmarkEnd w:id="7"/>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1188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 червенокоремна бумка</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E060D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060D1">
        <w:rPr>
          <w:rFonts w:ascii="Times New Roman" w:eastAsiaTheme="minorHAnsi" w:hAnsi="Times New Roman"/>
          <w:sz w:val="24"/>
          <w:szCs w:val="24"/>
        </w:rPr>
        <w:t>онтиненталния биогеографски регион е благоприятно (FV) по всички показатели за оценка, а</w:t>
      </w:r>
      <w:r>
        <w:rPr>
          <w:rFonts w:ascii="Times New Roman" w:eastAsiaTheme="minorHAnsi" w:hAnsi="Times New Roman"/>
          <w:sz w:val="24"/>
          <w:szCs w:val="24"/>
        </w:rPr>
        <w:t xml:space="preserve"> в Ч</w:t>
      </w:r>
      <w:r w:rsidRPr="00E060D1">
        <w:rPr>
          <w:rFonts w:ascii="Times New Roman" w:eastAsiaTheme="minorHAnsi" w:hAnsi="Times New Roman"/>
          <w:sz w:val="24"/>
          <w:szCs w:val="24"/>
        </w:rPr>
        <w:t xml:space="preserve">ерноморския – </w:t>
      </w:r>
      <w:r w:rsidRPr="00E060D1">
        <w:rPr>
          <w:rFonts w:ascii="Times New Roman" w:eastAsiaTheme="minorHAnsi" w:hAnsi="Times New Roman"/>
          <w:sz w:val="24"/>
          <w:szCs w:val="24"/>
        </w:rPr>
        <w:lastRenderedPageBreak/>
        <w:t>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235C8E" w:rsidTr="00FF71D9">
        <w:trPr>
          <w:trHeight w:val="255"/>
          <w:jc w:val="center"/>
        </w:trPr>
        <w:tc>
          <w:tcPr>
            <w:tcW w:w="4142" w:type="dxa"/>
            <w:gridSpan w:val="5"/>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Site assessment</w:t>
            </w:r>
          </w:p>
        </w:tc>
      </w:tr>
      <w:tr w:rsidR="00E060D1" w:rsidRPr="00235C8E" w:rsidTr="00FF71D9">
        <w:trPr>
          <w:trHeight w:val="255"/>
          <w:jc w:val="center"/>
        </w:trPr>
        <w:tc>
          <w:tcPr>
            <w:tcW w:w="1326" w:type="dxa"/>
            <w:gridSpan w:val="2"/>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w:t>
            </w:r>
          </w:p>
        </w:tc>
      </w:tr>
      <w:tr w:rsidR="00E060D1" w:rsidRPr="00235C8E" w:rsidTr="00FF71D9">
        <w:trPr>
          <w:trHeight w:val="255"/>
          <w:jc w:val="center"/>
        </w:trPr>
        <w:tc>
          <w:tcPr>
            <w:tcW w:w="64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Glo.</w:t>
            </w:r>
          </w:p>
        </w:tc>
      </w:tr>
      <w:tr w:rsidR="00E060D1" w:rsidRPr="00235C8E" w:rsidTr="00FF71D9">
        <w:trPr>
          <w:trHeight w:val="255"/>
          <w:jc w:val="center"/>
        </w:trPr>
        <w:tc>
          <w:tcPr>
            <w:tcW w:w="643" w:type="dxa"/>
            <w:noWrap/>
          </w:tcPr>
          <w:p w:rsidR="00E060D1" w:rsidRPr="00235C8E" w:rsidRDefault="00E060D1" w:rsidP="00E060D1">
            <w:pPr>
              <w:rPr>
                <w:rFonts w:ascii="Times New Roman" w:eastAsiaTheme="minorHAnsi" w:hAnsi="Times New Roman"/>
                <w:sz w:val="22"/>
                <w:szCs w:val="22"/>
                <w:lang w:val="bg-BG"/>
              </w:rPr>
            </w:pPr>
          </w:p>
        </w:tc>
        <w:tc>
          <w:tcPr>
            <w:tcW w:w="683" w:type="dxa"/>
            <w:noWrap/>
          </w:tcPr>
          <w:p w:rsidR="00E060D1" w:rsidRPr="00235C8E" w:rsidRDefault="00E060D1" w:rsidP="00E060D1">
            <w:pPr>
              <w:rPr>
                <w:rFonts w:ascii="Times New Roman" w:eastAsiaTheme="minorHAnsi" w:hAnsi="Times New Roman"/>
                <w:sz w:val="22"/>
                <w:szCs w:val="22"/>
                <w:lang w:val="bg-BG"/>
              </w:rPr>
            </w:pPr>
          </w:p>
        </w:tc>
        <w:tc>
          <w:tcPr>
            <w:tcW w:w="12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localities</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P</w:t>
            </w:r>
          </w:p>
        </w:tc>
        <w:tc>
          <w:tcPr>
            <w:tcW w:w="96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DD</w:t>
            </w:r>
          </w:p>
        </w:tc>
        <w:tc>
          <w:tcPr>
            <w:tcW w:w="1097"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7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58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„Остров Кутово“, които обхващат крайдунавските влажни зони са от съществено зн</w:t>
      </w:r>
      <w:r>
        <w:rPr>
          <w:rFonts w:ascii="Times New Roman" w:eastAsiaTheme="minorHAnsi" w:hAnsi="Times New Roman"/>
          <w:sz w:val="24"/>
          <w:szCs w:val="24"/>
        </w:rPr>
        <w:t>ачение за опазването на вида в К</w:t>
      </w:r>
      <w:r w:rsidRPr="00E060D1">
        <w:rPr>
          <w:rFonts w:ascii="Times New Roman" w:eastAsiaTheme="minorHAnsi" w:hAnsi="Times New Roman"/>
          <w:sz w:val="24"/>
          <w:szCs w:val="24"/>
        </w:rPr>
        <w:t>онтиненталния биогеографски регион.</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119,32 ha, от които 20,37 ha (17,07% от територията на зоната) са категоризирани като слабо пригодни,  78,57 ha (65,85%) – като пригодни и 20,38 ha (17,08%)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E060D1" w:rsidRPr="00B15299" w:rsidTr="00235C8E">
        <w:trPr>
          <w:tblHeader/>
        </w:trPr>
        <w:tc>
          <w:tcPr>
            <w:tcW w:w="1813"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Параметър</w:t>
            </w:r>
          </w:p>
        </w:tc>
        <w:tc>
          <w:tcPr>
            <w:tcW w:w="183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Мерна единица</w:t>
            </w:r>
          </w:p>
        </w:tc>
        <w:tc>
          <w:tcPr>
            <w:tcW w:w="155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Целева стойност</w:t>
            </w:r>
          </w:p>
        </w:tc>
        <w:tc>
          <w:tcPr>
            <w:tcW w:w="2796"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Допълнителна информация</w:t>
            </w:r>
          </w:p>
        </w:tc>
        <w:tc>
          <w:tcPr>
            <w:tcW w:w="1990"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Специфична цел</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пространствен обхват</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квадрати 1х1 km с доказано присъствие на вида</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Популация: относителна численост</w:t>
            </w:r>
          </w:p>
        </w:tc>
        <w:tc>
          <w:tcPr>
            <w:tcW w:w="1839" w:type="dxa"/>
          </w:tcPr>
          <w:p w:rsidR="00E060D1" w:rsidRDefault="00E060D1" w:rsidP="00E060D1">
            <w:pPr>
              <w:spacing w:after="160"/>
              <w:rPr>
                <w:rFonts w:ascii="Times New Roman" w:eastAsiaTheme="minorHAnsi" w:hAnsi="Times New Roman"/>
                <w:lang w:val="bg-BG"/>
              </w:rPr>
            </w:pPr>
            <w:r w:rsidRPr="00B1529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2F29AF" w:rsidRPr="002F29AF" w:rsidRDefault="002F29AF" w:rsidP="00E060D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Местообитание (площ): обща площ на потенциалните местообитания</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Хектар (ha)</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Най-малко 119 ha</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(119 ha) може да се приеме като минимална референтна стойност за благоприятно състояние на вида по този параметър.</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площта на потенциалните местообитания</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Местообитание (структура и функции): свързаност на потенциалните местообитания</w:t>
            </w:r>
          </w:p>
        </w:tc>
        <w:tc>
          <w:tcPr>
            <w:tcW w:w="183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w:t>
            </w:r>
            <w:r w:rsidRPr="00B15299">
              <w:rPr>
                <w:rFonts w:ascii="Times New Roman" w:eastAsiaTheme="minorHAnsi" w:hAnsi="Times New Roman"/>
              </w:rPr>
              <w:lastRenderedPageBreak/>
              <w:t>труднопреодолима преграда за същия</w:t>
            </w:r>
          </w:p>
        </w:tc>
        <w:tc>
          <w:tcPr>
            <w:tcW w:w="155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0 m</w:t>
            </w:r>
          </w:p>
        </w:tc>
        <w:tc>
          <w:tcPr>
            <w:tcW w:w="2796"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свързаността на 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Bombina bombina</w:t>
      </w:r>
      <w:r w:rsidRPr="00E060D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localities</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Актуализация</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grids1x1</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Бешков, В., К. Нанев. 2002. Земноводни и влечуги в България. Pensoft, София-Москва, 120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r w:rsidRPr="00E060D1">
        <w:rPr>
          <w:rFonts w:ascii="Times New Roman" w:eastAsiaTheme="minorHAnsi" w:hAnsi="Times New Roman"/>
          <w:i/>
          <w:sz w:val="24"/>
          <w:szCs w:val="24"/>
          <w:lang w:eastAsia="bg-BG"/>
        </w:rPr>
        <w:lastRenderedPageBreak/>
        <w:t>Автори</w:t>
      </w:r>
      <w:r w:rsidRPr="00E060D1">
        <w:rPr>
          <w:rFonts w:ascii="Times New Roman" w:eastAsiaTheme="minorHAnsi" w:hAnsi="Times New Roman"/>
          <w:sz w:val="24"/>
          <w:szCs w:val="24"/>
          <w:lang w:eastAsia="bg-BG"/>
        </w:rPr>
        <w:t>: Борислав Наумов, Ангел Дюгмеджиев, Георги Кръстев, Мирослав Славчев</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Default="00E060D1" w:rsidP="005E7363">
      <w:pPr>
        <w:rPr>
          <w:rFonts w:ascii="Times New Roman" w:hAnsi="Times New Roman"/>
          <w:color w:val="1F497D" w:themeColor="text2"/>
          <w:sz w:val="28"/>
          <w:szCs w:val="28"/>
        </w:rPr>
      </w:pPr>
    </w:p>
    <w:p w:rsidR="005E7363" w:rsidRPr="00235C8E" w:rsidRDefault="005E7363" w:rsidP="00235C8E">
      <w:pPr>
        <w:pStyle w:val="Heading2"/>
        <w:rPr>
          <w:rFonts w:ascii="Times New Roman" w:hAnsi="Times New Roman"/>
          <w:b w:val="0"/>
          <w:i/>
          <w:color w:val="1F497D" w:themeColor="text2"/>
          <w:sz w:val="28"/>
          <w:szCs w:val="28"/>
        </w:rPr>
      </w:pPr>
      <w:bookmarkStart w:id="8" w:name="_Toc88907891"/>
      <w:r w:rsidRPr="00235C8E">
        <w:rPr>
          <w:rFonts w:ascii="Times New Roman" w:hAnsi="Times New Roman"/>
          <w:b w:val="0"/>
          <w:color w:val="1F497D" w:themeColor="text2"/>
          <w:sz w:val="28"/>
          <w:szCs w:val="28"/>
        </w:rPr>
        <w:t xml:space="preserve">Природозащитни цели за 1220 </w:t>
      </w:r>
      <w:r w:rsidRPr="00235C8E">
        <w:rPr>
          <w:rFonts w:ascii="Times New Roman" w:hAnsi="Times New Roman"/>
          <w:b w:val="0"/>
          <w:i/>
          <w:color w:val="1F497D" w:themeColor="text2"/>
          <w:sz w:val="28"/>
          <w:szCs w:val="28"/>
        </w:rPr>
        <w:t>Emys orbicularis</w:t>
      </w:r>
      <w:bookmarkEnd w:id="8"/>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1220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 обикновена блатна костенурка</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E060D1">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sidR="005E5F88">
        <w:rPr>
          <w:rFonts w:ascii="Times New Roman" w:eastAsiaTheme="minorHAnsi" w:hAnsi="Times New Roman"/>
          <w:sz w:val="24"/>
          <w:szCs w:val="24"/>
        </w:rPr>
        <w:t>о</w:t>
      </w:r>
      <w:r w:rsidRPr="00E060D1">
        <w:rPr>
          <w:rFonts w:ascii="Times New Roman" w:eastAsiaTheme="minorHAnsi" w:hAnsi="Times New Roman"/>
          <w:sz w:val="24"/>
          <w:szCs w:val="24"/>
        </w:rPr>
        <w:t>ем (Бешков и Нанев 2002; Jablonski &amp; Jablonska 1998).</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w:t>
      </w:r>
      <w:r w:rsidRPr="00E060D1">
        <w:rPr>
          <w:rFonts w:ascii="Times New Roman" w:eastAsiaTheme="minorHAnsi" w:hAnsi="Times New Roman"/>
          <w:sz w:val="24"/>
          <w:szCs w:val="24"/>
        </w:rPr>
        <w:lastRenderedPageBreak/>
        <w:t>негативните оценки на бъдещите перспективи. Според докладването през 2019 г. ПС на вида е благоприятно (FV) и в трите биогеографски региона.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 xml:space="preserve">Emys orbicularis </w:t>
      </w:r>
      <w:r w:rsidRPr="00E060D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235C8E" w:rsidTr="00FF71D9">
        <w:trPr>
          <w:trHeight w:val="255"/>
          <w:jc w:val="center"/>
        </w:trPr>
        <w:tc>
          <w:tcPr>
            <w:tcW w:w="4142" w:type="dxa"/>
            <w:gridSpan w:val="5"/>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Site assessment</w:t>
            </w:r>
          </w:p>
        </w:tc>
      </w:tr>
      <w:tr w:rsidR="00E060D1" w:rsidRPr="00235C8E" w:rsidTr="00FF71D9">
        <w:trPr>
          <w:trHeight w:val="255"/>
          <w:jc w:val="center"/>
        </w:trPr>
        <w:tc>
          <w:tcPr>
            <w:tcW w:w="1326" w:type="dxa"/>
            <w:gridSpan w:val="2"/>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A/B/C</w:t>
            </w:r>
          </w:p>
        </w:tc>
      </w:tr>
      <w:tr w:rsidR="00E060D1" w:rsidRPr="00235C8E" w:rsidTr="00FF71D9">
        <w:trPr>
          <w:trHeight w:val="255"/>
          <w:jc w:val="center"/>
        </w:trPr>
        <w:tc>
          <w:tcPr>
            <w:tcW w:w="64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235C8E"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235C8E" w:rsidRDefault="00E060D1" w:rsidP="00E060D1">
            <w:pPr>
              <w:rPr>
                <w:rFonts w:ascii="Times New Roman" w:eastAsiaTheme="minorHAnsi" w:hAnsi="Times New Roman"/>
                <w:b/>
                <w:sz w:val="22"/>
                <w:szCs w:val="22"/>
                <w:lang w:val="bg-BG"/>
              </w:rPr>
            </w:pPr>
            <w:r w:rsidRPr="00235C8E">
              <w:rPr>
                <w:rFonts w:ascii="Times New Roman" w:eastAsiaTheme="minorHAnsi" w:hAnsi="Times New Roman"/>
                <w:b/>
                <w:sz w:val="22"/>
                <w:szCs w:val="22"/>
                <w:lang w:val="bg-BG"/>
              </w:rPr>
              <w:t>Glo.</w:t>
            </w:r>
          </w:p>
        </w:tc>
      </w:tr>
      <w:tr w:rsidR="00E060D1" w:rsidRPr="00235C8E" w:rsidTr="00FF71D9">
        <w:trPr>
          <w:trHeight w:val="255"/>
          <w:jc w:val="center"/>
        </w:trPr>
        <w:tc>
          <w:tcPr>
            <w:tcW w:w="643" w:type="dxa"/>
            <w:noWrap/>
          </w:tcPr>
          <w:p w:rsidR="00E060D1" w:rsidRPr="00235C8E" w:rsidRDefault="00E060D1" w:rsidP="00E060D1">
            <w:pPr>
              <w:rPr>
                <w:rFonts w:ascii="Times New Roman" w:eastAsiaTheme="minorHAnsi" w:hAnsi="Times New Roman"/>
                <w:sz w:val="22"/>
                <w:szCs w:val="22"/>
                <w:lang w:val="bg-BG"/>
              </w:rPr>
            </w:pPr>
          </w:p>
        </w:tc>
        <w:tc>
          <w:tcPr>
            <w:tcW w:w="683" w:type="dxa"/>
            <w:noWrap/>
          </w:tcPr>
          <w:p w:rsidR="00E060D1" w:rsidRPr="00235C8E" w:rsidRDefault="00E060D1" w:rsidP="00E060D1">
            <w:pPr>
              <w:rPr>
                <w:rFonts w:ascii="Times New Roman" w:eastAsiaTheme="minorHAnsi" w:hAnsi="Times New Roman"/>
                <w:sz w:val="22"/>
                <w:szCs w:val="22"/>
                <w:lang w:val="bg-BG"/>
              </w:rPr>
            </w:pPr>
          </w:p>
        </w:tc>
        <w:tc>
          <w:tcPr>
            <w:tcW w:w="12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localities</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P</w:t>
            </w:r>
          </w:p>
        </w:tc>
        <w:tc>
          <w:tcPr>
            <w:tcW w:w="96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DD</w:t>
            </w:r>
          </w:p>
        </w:tc>
        <w:tc>
          <w:tcPr>
            <w:tcW w:w="1097"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70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A</w:t>
            </w:r>
          </w:p>
        </w:tc>
        <w:tc>
          <w:tcPr>
            <w:tcW w:w="583"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C</w:t>
            </w:r>
          </w:p>
        </w:tc>
        <w:tc>
          <w:tcPr>
            <w:tcW w:w="650" w:type="dxa"/>
            <w:noWrap/>
          </w:tcPr>
          <w:p w:rsidR="00E060D1" w:rsidRPr="00235C8E" w:rsidRDefault="00E060D1" w:rsidP="00E060D1">
            <w:pPr>
              <w:rPr>
                <w:rFonts w:ascii="Times New Roman" w:eastAsiaTheme="minorHAnsi" w:hAnsi="Times New Roman"/>
                <w:sz w:val="22"/>
                <w:szCs w:val="22"/>
                <w:lang w:val="bg-BG"/>
              </w:rPr>
            </w:pPr>
            <w:r w:rsidRPr="00235C8E">
              <w:rPr>
                <w:rFonts w:ascii="Times New Roman" w:eastAsiaTheme="minorHAnsi" w:hAnsi="Times New Roman"/>
                <w:sz w:val="22"/>
                <w:szCs w:val="22"/>
                <w:lang w:val="bg-BG"/>
              </w:rPr>
              <w:t>B</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 Кутово“ не е от първостепенна важност за опазването му, но зоната е от значение за осигуря</w:t>
      </w:r>
      <w:r w:rsidR="00B15299">
        <w:rPr>
          <w:rFonts w:ascii="Times New Roman" w:eastAsiaTheme="minorHAnsi" w:hAnsi="Times New Roman"/>
          <w:sz w:val="24"/>
          <w:szCs w:val="24"/>
        </w:rPr>
        <w:t>ване свързаността на мрежата в К</w:t>
      </w:r>
      <w:r w:rsidRPr="00E060D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Emys orbicularis</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117,81 ha, от които 44,95 ha (37,67% от територията на зоната) са категоризирани като слабо пригодни,  52,47 ha (43,97%) – като пригодни и 20,40 ha (17,10%)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0D1" w:rsidRPr="00B15299" w:rsidTr="00235C8E">
        <w:trPr>
          <w:tblHeader/>
        </w:trPr>
        <w:tc>
          <w:tcPr>
            <w:tcW w:w="1813"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Параметър</w:t>
            </w:r>
          </w:p>
        </w:tc>
        <w:tc>
          <w:tcPr>
            <w:tcW w:w="1697"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Мерна единица</w:t>
            </w:r>
          </w:p>
        </w:tc>
        <w:tc>
          <w:tcPr>
            <w:tcW w:w="1560"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Целева стойност</w:t>
            </w:r>
          </w:p>
        </w:tc>
        <w:tc>
          <w:tcPr>
            <w:tcW w:w="2938"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Допълнителна информация</w:t>
            </w:r>
          </w:p>
        </w:tc>
        <w:tc>
          <w:tcPr>
            <w:tcW w:w="1989" w:type="dxa"/>
            <w:shd w:val="clear" w:color="auto" w:fill="DBE5F1" w:themeFill="accent1" w:themeFillTint="33"/>
          </w:tcPr>
          <w:p w:rsidR="00E060D1" w:rsidRPr="00B15299" w:rsidRDefault="00E060D1" w:rsidP="00E060D1">
            <w:pPr>
              <w:spacing w:after="160"/>
              <w:jc w:val="both"/>
              <w:rPr>
                <w:rFonts w:ascii="Times New Roman" w:eastAsiaTheme="minorHAnsi" w:hAnsi="Times New Roman"/>
                <w:b/>
              </w:rPr>
            </w:pPr>
            <w:r w:rsidRPr="00B15299">
              <w:rPr>
                <w:rFonts w:ascii="Times New Roman" w:eastAsiaTheme="minorHAnsi" w:hAnsi="Times New Roman"/>
                <w:b/>
              </w:rPr>
              <w:t>Специфична цел</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пространствен обхват</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Брой квадрати 1х1 km с доказано присъствие на вида</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Неизвестна</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Популация: относителна численост</w:t>
            </w:r>
          </w:p>
        </w:tc>
        <w:tc>
          <w:tcPr>
            <w:tcW w:w="1697" w:type="dxa"/>
          </w:tcPr>
          <w:p w:rsidR="00E060D1" w:rsidRDefault="00E060D1" w:rsidP="00E060D1">
            <w:pPr>
              <w:spacing w:after="160"/>
              <w:rPr>
                <w:rFonts w:ascii="Times New Roman" w:eastAsiaTheme="minorHAnsi" w:hAnsi="Times New Roman"/>
                <w:lang w:val="bg-BG"/>
              </w:rPr>
            </w:pPr>
            <w:r w:rsidRPr="00B15299">
              <w:rPr>
                <w:rFonts w:ascii="Times New Roman" w:eastAsiaTheme="minorHAnsi" w:hAnsi="Times New Roman"/>
              </w:rPr>
              <w:t xml:space="preserve">Брой индивиди на 1000 метра (Ab), изчислен </w:t>
            </w:r>
            <w:r w:rsidRPr="00B15299">
              <w:rPr>
                <w:rFonts w:ascii="Times New Roman" w:eastAsiaTheme="minorHAnsi" w:hAnsi="Times New Roman"/>
              </w:rPr>
              <w:lastRenderedPageBreak/>
              <w:t>по формулата: Ab = (N/L)*1000, където N е броят на наблюдаваните индивиди, а L е дължината на трансекта в метри</w:t>
            </w:r>
          </w:p>
          <w:p w:rsidR="002F29AF" w:rsidRPr="002F29AF" w:rsidRDefault="002F29AF" w:rsidP="00E060D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Неизвестна</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Няма налични данни за относителната численост на популацията, поради което е </w:t>
            </w:r>
            <w:r w:rsidRPr="00B15299">
              <w:rPr>
                <w:rFonts w:ascii="Times New Roman" w:eastAsiaTheme="minorHAnsi" w:hAnsi="Times New Roman"/>
              </w:rPr>
              <w:lastRenderedPageBreak/>
              <w:t>определена междинна цел.</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 xml:space="preserve">Междинна цел: да се определи относителната </w:t>
            </w:r>
            <w:r w:rsidRPr="00B15299">
              <w:rPr>
                <w:rFonts w:ascii="Times New Roman" w:eastAsiaTheme="minorHAnsi" w:hAnsi="Times New Roman"/>
              </w:rPr>
              <w:lastRenderedPageBreak/>
              <w:t>численост на популацията чрез провеждане на целенасочени теренни изследвания до 2025 г.</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Местообитание (площ): обща площ на потенциалните местообитания</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Хектар (ha)</w:t>
            </w:r>
          </w:p>
        </w:tc>
        <w:tc>
          <w:tcPr>
            <w:tcW w:w="1560" w:type="dxa"/>
          </w:tcPr>
          <w:p w:rsidR="00E060D1" w:rsidRPr="00B15299" w:rsidRDefault="00E060D1" w:rsidP="00E060D1">
            <w:pPr>
              <w:spacing w:after="160"/>
              <w:rPr>
                <w:rFonts w:ascii="Times New Roman" w:eastAsiaTheme="minorHAnsi" w:hAnsi="Times New Roman" w:cstheme="minorBidi"/>
              </w:rPr>
            </w:pPr>
            <w:r w:rsidRPr="00B15299">
              <w:rPr>
                <w:rFonts w:ascii="Times New Roman" w:eastAsiaTheme="minorHAnsi" w:hAnsi="Times New Roman"/>
              </w:rPr>
              <w:t>Най-малко 118 ha</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(118 ha) може да се приеме като минимална референтна стойност за благоприятно състояние на вида по този параметър.</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площта на потенциалните местообитания</w:t>
            </w:r>
          </w:p>
        </w:tc>
      </w:tr>
      <w:tr w:rsidR="00E060D1" w:rsidRPr="00B15299" w:rsidTr="00FF71D9">
        <w:tc>
          <w:tcPr>
            <w:tcW w:w="1813"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Местообитание (структура и функции): свързаност на потенциалните местообитания</w:t>
            </w:r>
          </w:p>
        </w:tc>
        <w:tc>
          <w:tcPr>
            <w:tcW w:w="1697"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w:t>
            </w:r>
            <w:r w:rsidRPr="00B15299">
              <w:rPr>
                <w:rFonts w:ascii="Times New Roman" w:eastAsiaTheme="minorHAnsi" w:hAnsi="Times New Roman"/>
              </w:rPr>
              <w:lastRenderedPageBreak/>
              <w:t>за същия</w:t>
            </w:r>
          </w:p>
        </w:tc>
        <w:tc>
          <w:tcPr>
            <w:tcW w:w="1560"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lastRenderedPageBreak/>
              <w:t>0 m</w:t>
            </w:r>
          </w:p>
        </w:tc>
        <w:tc>
          <w:tcPr>
            <w:tcW w:w="2938"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E060D1" w:rsidRPr="00B15299" w:rsidRDefault="00E060D1" w:rsidP="00E060D1">
            <w:pPr>
              <w:spacing w:after="160"/>
              <w:rPr>
                <w:rFonts w:ascii="Times New Roman" w:eastAsiaTheme="minorHAnsi" w:hAnsi="Times New Roman"/>
              </w:rPr>
            </w:pPr>
            <w:r w:rsidRPr="00B15299">
              <w:rPr>
                <w:rFonts w:ascii="Times New Roman" w:eastAsiaTheme="minorHAnsi" w:hAnsi="Times New Roman"/>
              </w:rPr>
              <w:t>Поддържане свързаността на 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 xml:space="preserve">Emys orbicularis </w:t>
      </w:r>
      <w:r w:rsidRPr="00E060D1">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Pr>
          <w:rFonts w:ascii="Times New Roman" w:eastAsiaTheme="minorHAnsi" w:hAnsi="Times New Roman"/>
          <w:sz w:val="24"/>
          <w:szCs w:val="24"/>
        </w:rPr>
        <w:t xml:space="preserve">др. (вкл. самата р. Дунав), а </w:t>
      </w:r>
      <w:r w:rsidRPr="00E060D1">
        <w:rPr>
          <w:rFonts w:ascii="Times New Roman" w:eastAsiaTheme="minorHAnsi" w:hAnsi="Times New Roman"/>
          <w:sz w:val="24"/>
          <w:szCs w:val="24"/>
        </w:rPr>
        <w:t>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lang w:val="bg-BG"/>
              </w:rPr>
            </w:pPr>
            <w:r w:rsidRPr="00B15299">
              <w:rPr>
                <w:rFonts w:ascii="Times New Roman" w:eastAsiaTheme="minorHAnsi" w:hAnsi="Times New Roman"/>
                <w:b/>
                <w:sz w:val="22"/>
                <w:szCs w:val="22"/>
                <w:lang w:val="bg-BG"/>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localities</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A</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Актуализация</w:t>
            </w:r>
          </w:p>
        </w:tc>
        <w:tc>
          <w:tcPr>
            <w:tcW w:w="643" w:type="dxa"/>
            <w:noWrap/>
          </w:tcPr>
          <w:p w:rsidR="00E060D1" w:rsidRPr="00B15299" w:rsidRDefault="00E060D1" w:rsidP="00E060D1">
            <w:pPr>
              <w:rPr>
                <w:rFonts w:ascii="Times New Roman" w:eastAsiaTheme="minorHAnsi" w:hAnsi="Times New Roman"/>
                <w:sz w:val="22"/>
                <w:szCs w:val="22"/>
                <w:lang w:val="bg-BG"/>
              </w:rPr>
            </w:pPr>
          </w:p>
        </w:tc>
        <w:tc>
          <w:tcPr>
            <w:tcW w:w="683" w:type="dxa"/>
            <w:noWrap/>
          </w:tcPr>
          <w:p w:rsidR="00E060D1" w:rsidRPr="00B15299" w:rsidRDefault="00E060D1" w:rsidP="00E060D1">
            <w:pPr>
              <w:rPr>
                <w:rFonts w:ascii="Times New Roman" w:eastAsiaTheme="minorHAnsi" w:hAnsi="Times New Roman"/>
                <w:sz w:val="22"/>
                <w:szCs w:val="22"/>
                <w:lang w:val="bg-BG"/>
              </w:rPr>
            </w:pPr>
          </w:p>
        </w:tc>
        <w:tc>
          <w:tcPr>
            <w:tcW w:w="12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grids1x1</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P</w:t>
            </w:r>
          </w:p>
        </w:tc>
        <w:tc>
          <w:tcPr>
            <w:tcW w:w="96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DD</w:t>
            </w:r>
          </w:p>
        </w:tc>
        <w:tc>
          <w:tcPr>
            <w:tcW w:w="1097"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70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A</w:t>
            </w:r>
          </w:p>
        </w:tc>
        <w:tc>
          <w:tcPr>
            <w:tcW w:w="583"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C</w:t>
            </w:r>
          </w:p>
        </w:tc>
        <w:tc>
          <w:tcPr>
            <w:tcW w:w="650" w:type="dxa"/>
            <w:noWrap/>
          </w:tcPr>
          <w:p w:rsidR="00E060D1" w:rsidRPr="00B15299" w:rsidRDefault="00E060D1" w:rsidP="00E060D1">
            <w:pPr>
              <w:rPr>
                <w:rFonts w:ascii="Times New Roman" w:eastAsiaTheme="minorHAnsi" w:hAnsi="Times New Roman"/>
                <w:sz w:val="22"/>
                <w:szCs w:val="22"/>
                <w:lang w:val="bg-BG"/>
              </w:rPr>
            </w:pPr>
            <w:r w:rsidRPr="00B15299">
              <w:rPr>
                <w:rFonts w:ascii="Times New Roman" w:eastAsiaTheme="minorHAnsi" w:hAnsi="Times New Roman"/>
                <w:sz w:val="22"/>
                <w:szCs w:val="22"/>
                <w:lang w:val="bg-BG"/>
              </w:rPr>
              <w:t>B</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Бешков, В., К. Нанев. 2002. Земноводни и влечуги в България. Pensoft, София-Москва, 120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lastRenderedPageBreak/>
        <w:t>Kornilev, Y., G. Popgeorgiev, B. Naumov, A. Stoyanov, N. Tzankov. 2017. Updated Distribution and Ecological Requirements of the Native Freshwater Turtles in Bulgaria. – Acta zoologica bulgarica, Suppl. 10: 65-76.</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r w:rsidRPr="00E060D1">
        <w:rPr>
          <w:rFonts w:ascii="Times New Roman" w:eastAsiaTheme="minorHAnsi" w:hAnsi="Times New Roman"/>
          <w:i/>
          <w:sz w:val="24"/>
          <w:szCs w:val="24"/>
          <w:lang w:eastAsia="bg-BG"/>
        </w:rPr>
        <w:t>Автори</w:t>
      </w:r>
      <w:r w:rsidRPr="00E060D1">
        <w:rPr>
          <w:rFonts w:ascii="Times New Roman" w:eastAsiaTheme="minorHAnsi" w:hAnsi="Times New Roman"/>
          <w:sz w:val="24"/>
          <w:szCs w:val="24"/>
          <w:lang w:eastAsia="bg-BG"/>
        </w:rPr>
        <w:t>: Борислав Наумов, Ангел Дюгмеджиев, Георги Кръстев, Мирослав Славчев</w:t>
      </w:r>
    </w:p>
    <w:p w:rsidR="00E060D1" w:rsidRDefault="00E060D1" w:rsidP="005E7363">
      <w:pPr>
        <w:rPr>
          <w:rFonts w:ascii="Times New Roman" w:hAnsi="Times New Roman"/>
          <w:color w:val="1F497D" w:themeColor="text2"/>
          <w:sz w:val="28"/>
          <w:szCs w:val="28"/>
        </w:rPr>
      </w:pPr>
    </w:p>
    <w:p w:rsidR="005E7363" w:rsidRPr="00235C8E" w:rsidRDefault="005E7363" w:rsidP="00235C8E">
      <w:pPr>
        <w:pStyle w:val="Heading2"/>
        <w:rPr>
          <w:rFonts w:ascii="Times New Roman" w:hAnsi="Times New Roman"/>
          <w:b w:val="0"/>
          <w:i/>
          <w:color w:val="1F497D" w:themeColor="text2"/>
          <w:sz w:val="28"/>
          <w:szCs w:val="28"/>
        </w:rPr>
      </w:pPr>
      <w:bookmarkStart w:id="9" w:name="_Toc88907892"/>
      <w:r w:rsidRPr="00235C8E">
        <w:rPr>
          <w:rFonts w:ascii="Times New Roman" w:hAnsi="Times New Roman"/>
          <w:b w:val="0"/>
          <w:color w:val="1F497D" w:themeColor="text2"/>
          <w:sz w:val="28"/>
          <w:szCs w:val="28"/>
        </w:rPr>
        <w:t xml:space="preserve">Природозащитни цели за 1993 </w:t>
      </w:r>
      <w:r w:rsidRPr="00235C8E">
        <w:rPr>
          <w:rFonts w:ascii="Times New Roman" w:hAnsi="Times New Roman"/>
          <w:b w:val="0"/>
          <w:i/>
          <w:color w:val="1F497D" w:themeColor="text2"/>
          <w:sz w:val="28"/>
          <w:szCs w:val="28"/>
        </w:rPr>
        <w:t>Triturus dobrogicus</w:t>
      </w:r>
      <w:bookmarkEnd w:id="9"/>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b/>
          <w:sz w:val="24"/>
          <w:szCs w:val="24"/>
        </w:rPr>
        <w:t xml:space="preserve">1. Код и наименование на вида: </w:t>
      </w:r>
      <w:r w:rsidRPr="00E060D1">
        <w:rPr>
          <w:rFonts w:ascii="Times New Roman" w:eastAsiaTheme="minorHAnsi" w:hAnsi="Times New Roman"/>
          <w:sz w:val="24"/>
          <w:szCs w:val="24"/>
        </w:rPr>
        <w:t xml:space="preserve">1993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 дунавски гребенест тритон</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2. Кратка характеристика на целевия обект</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E060D1" w:rsidRPr="00E060D1" w:rsidRDefault="00E060D1" w:rsidP="00E060D1">
      <w:pPr>
        <w:spacing w:after="0" w:line="240" w:lineRule="auto"/>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Начинът на живот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3. Състояние на биогеографско ниво и разпространение в мрежата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060D1">
        <w:rPr>
          <w:rFonts w:ascii="Times New Roman" w:eastAsiaTheme="minorHAnsi" w:hAnsi="Times New Roman"/>
          <w:sz w:val="24"/>
          <w:szCs w:val="24"/>
        </w:rPr>
        <w:t>онтиненталния биогеографски регион е благоприятно (FV) по всички показа</w:t>
      </w:r>
      <w:r>
        <w:rPr>
          <w:rFonts w:ascii="Times New Roman" w:eastAsiaTheme="minorHAnsi" w:hAnsi="Times New Roman"/>
          <w:sz w:val="24"/>
          <w:szCs w:val="24"/>
        </w:rPr>
        <w:t>тели за оценка, а в Ч</w:t>
      </w:r>
      <w:r w:rsidRPr="00E060D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4. Състояние на ниво защитена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Стандартния формуляр на зоната са дадени следните оценки за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w:t>
      </w:r>
    </w:p>
    <w:p w:rsidR="00E060D1" w:rsidRPr="00E060D1" w:rsidRDefault="00E060D1" w:rsidP="00E060D1">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060D1" w:rsidRPr="00B15299" w:rsidTr="00FF71D9">
        <w:trPr>
          <w:trHeight w:val="255"/>
          <w:jc w:val="center"/>
        </w:trPr>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Site assessment</w:t>
            </w:r>
          </w:p>
        </w:tc>
      </w:tr>
      <w:tr w:rsidR="00E060D1" w:rsidRPr="00B15299" w:rsidTr="00FF71D9">
        <w:trPr>
          <w:trHeight w:val="255"/>
          <w:jc w:val="center"/>
        </w:trPr>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w:t>
            </w:r>
          </w:p>
        </w:tc>
      </w:tr>
      <w:tr w:rsidR="00E060D1" w:rsidRPr="00B15299" w:rsidTr="00FF71D9">
        <w:trPr>
          <w:trHeight w:val="255"/>
          <w:jc w:val="center"/>
        </w:trPr>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Glo.</w:t>
            </w:r>
          </w:p>
        </w:tc>
      </w:tr>
      <w:tr w:rsidR="00E060D1" w:rsidRPr="00B15299" w:rsidTr="00FF71D9">
        <w:trPr>
          <w:trHeight w:val="255"/>
          <w:jc w:val="center"/>
        </w:trPr>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localities</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не е доказано за никой от другите български острови).</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5. Анализ на наличната информация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 xml:space="preserve">В научната литература няма данни за находища на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119,10 ha, от които 57,76 ha (48,41% от територията на зоната) са категоризирани като слабо пригодни,  47,31 ha (39,65%) – като пригодни и 14,03 ha (11,76%)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060D1" w:rsidRPr="00E060D1" w:rsidRDefault="00E060D1" w:rsidP="00E060D1">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060D1" w:rsidRPr="002F29AF" w:rsidTr="00235C8E">
        <w:trPr>
          <w:tblHeader/>
        </w:trPr>
        <w:tc>
          <w:tcPr>
            <w:tcW w:w="1854" w:type="dxa"/>
            <w:shd w:val="clear" w:color="auto" w:fill="DBE5F1" w:themeFill="accent1" w:themeFillTint="33"/>
          </w:tcPr>
          <w:p w:rsidR="00E060D1" w:rsidRPr="002F29AF" w:rsidRDefault="00E060D1" w:rsidP="00E060D1">
            <w:pPr>
              <w:spacing w:after="160"/>
              <w:jc w:val="both"/>
              <w:rPr>
                <w:rFonts w:ascii="Times New Roman" w:eastAsiaTheme="minorHAnsi" w:hAnsi="Times New Roman"/>
                <w:b/>
              </w:rPr>
            </w:pPr>
            <w:r w:rsidRPr="002F29AF">
              <w:rPr>
                <w:rFonts w:ascii="Times New Roman" w:eastAsiaTheme="minorHAnsi" w:hAnsi="Times New Roman"/>
                <w:b/>
              </w:rPr>
              <w:t>Параметър</w:t>
            </w:r>
          </w:p>
        </w:tc>
        <w:tc>
          <w:tcPr>
            <w:tcW w:w="1798" w:type="dxa"/>
            <w:shd w:val="clear" w:color="auto" w:fill="DBE5F1" w:themeFill="accent1" w:themeFillTint="33"/>
          </w:tcPr>
          <w:p w:rsidR="00E060D1" w:rsidRPr="002F29AF" w:rsidRDefault="00E060D1" w:rsidP="00E060D1">
            <w:pPr>
              <w:spacing w:after="160"/>
              <w:jc w:val="both"/>
              <w:rPr>
                <w:rFonts w:ascii="Times New Roman" w:eastAsiaTheme="minorHAnsi" w:hAnsi="Times New Roman"/>
                <w:b/>
              </w:rPr>
            </w:pPr>
            <w:r w:rsidRPr="002F29AF">
              <w:rPr>
                <w:rFonts w:ascii="Times New Roman" w:eastAsiaTheme="minorHAnsi" w:hAnsi="Times New Roman"/>
                <w:b/>
              </w:rPr>
              <w:t>Мерна единица</w:t>
            </w:r>
          </w:p>
        </w:tc>
        <w:tc>
          <w:tcPr>
            <w:tcW w:w="1559" w:type="dxa"/>
            <w:shd w:val="clear" w:color="auto" w:fill="DBE5F1" w:themeFill="accent1" w:themeFillTint="33"/>
          </w:tcPr>
          <w:p w:rsidR="00E060D1" w:rsidRPr="002F29AF" w:rsidRDefault="00E060D1" w:rsidP="00E060D1">
            <w:pPr>
              <w:spacing w:after="160"/>
              <w:jc w:val="both"/>
              <w:rPr>
                <w:rFonts w:ascii="Times New Roman" w:eastAsiaTheme="minorHAnsi" w:hAnsi="Times New Roman"/>
                <w:b/>
              </w:rPr>
            </w:pPr>
            <w:r w:rsidRPr="002F29AF">
              <w:rPr>
                <w:rFonts w:ascii="Times New Roman" w:eastAsiaTheme="minorHAnsi" w:hAnsi="Times New Roman"/>
                <w:b/>
              </w:rPr>
              <w:t>Целева стойност</w:t>
            </w:r>
          </w:p>
        </w:tc>
        <w:tc>
          <w:tcPr>
            <w:tcW w:w="2801" w:type="dxa"/>
            <w:shd w:val="clear" w:color="auto" w:fill="DBE5F1" w:themeFill="accent1" w:themeFillTint="33"/>
          </w:tcPr>
          <w:p w:rsidR="00E060D1" w:rsidRPr="002F29AF" w:rsidRDefault="00E060D1" w:rsidP="00E060D1">
            <w:pPr>
              <w:spacing w:after="160"/>
              <w:jc w:val="both"/>
              <w:rPr>
                <w:rFonts w:ascii="Times New Roman" w:eastAsiaTheme="minorHAnsi" w:hAnsi="Times New Roman"/>
                <w:b/>
              </w:rPr>
            </w:pPr>
            <w:r w:rsidRPr="002F29AF">
              <w:rPr>
                <w:rFonts w:ascii="Times New Roman" w:eastAsiaTheme="minorHAnsi" w:hAnsi="Times New Roman"/>
                <w:b/>
              </w:rPr>
              <w:t>Допълнителна информация</w:t>
            </w:r>
          </w:p>
        </w:tc>
        <w:tc>
          <w:tcPr>
            <w:tcW w:w="1985" w:type="dxa"/>
            <w:shd w:val="clear" w:color="auto" w:fill="DBE5F1" w:themeFill="accent1" w:themeFillTint="33"/>
          </w:tcPr>
          <w:p w:rsidR="00E060D1" w:rsidRPr="002F29AF" w:rsidRDefault="00E060D1" w:rsidP="00E060D1">
            <w:pPr>
              <w:spacing w:after="160"/>
              <w:jc w:val="both"/>
              <w:rPr>
                <w:rFonts w:ascii="Times New Roman" w:eastAsiaTheme="minorHAnsi" w:hAnsi="Times New Roman"/>
                <w:b/>
              </w:rPr>
            </w:pPr>
            <w:r w:rsidRPr="002F29AF">
              <w:rPr>
                <w:rFonts w:ascii="Times New Roman" w:eastAsiaTheme="minorHAnsi" w:hAnsi="Times New Roman"/>
                <w:b/>
              </w:rPr>
              <w:t>Специфична цел</w:t>
            </w:r>
          </w:p>
        </w:tc>
      </w:tr>
      <w:tr w:rsidR="00E060D1" w:rsidRPr="002F29AF" w:rsidTr="00FF71D9">
        <w:tc>
          <w:tcPr>
            <w:tcW w:w="1854"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Популация: пространствен обхват</w:t>
            </w:r>
          </w:p>
        </w:tc>
        <w:tc>
          <w:tcPr>
            <w:tcW w:w="1798"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Брой квадрати 1х1 km с доказано присъствие на вида</w:t>
            </w:r>
          </w:p>
        </w:tc>
        <w:tc>
          <w:tcPr>
            <w:tcW w:w="1559"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Неизвестна</w:t>
            </w:r>
          </w:p>
        </w:tc>
        <w:tc>
          <w:tcPr>
            <w:tcW w:w="2801"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E060D1" w:rsidRPr="002F29AF" w:rsidTr="00FF71D9">
        <w:tc>
          <w:tcPr>
            <w:tcW w:w="1854"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Популация: относителна численост</w:t>
            </w:r>
          </w:p>
        </w:tc>
        <w:tc>
          <w:tcPr>
            <w:tcW w:w="1798" w:type="dxa"/>
          </w:tcPr>
          <w:p w:rsidR="00E060D1" w:rsidRPr="002F29AF" w:rsidRDefault="00E060D1" w:rsidP="00E060D1">
            <w:pPr>
              <w:spacing w:after="160"/>
              <w:rPr>
                <w:rFonts w:ascii="Times New Roman" w:eastAsiaTheme="minorHAnsi" w:hAnsi="Times New Roman"/>
                <w:lang w:val="bg-BG"/>
              </w:rPr>
            </w:pPr>
            <w:r w:rsidRPr="002F29AF">
              <w:rPr>
                <w:rFonts w:ascii="Times New Roman" w:eastAsiaTheme="minorHAnsi" w:hAnsi="Times New Roman"/>
              </w:rPr>
              <w:t xml:space="preserve">Брой индивиди на капаночас (Ab), изчислен по формулата: Ab = N/(T*H), където N е брой </w:t>
            </w:r>
            <w:r w:rsidRPr="002F29AF">
              <w:rPr>
                <w:rFonts w:ascii="Times New Roman" w:eastAsiaTheme="minorHAnsi" w:hAnsi="Times New Roman"/>
              </w:rPr>
              <w:lastRenderedPageBreak/>
              <w:t>уловени индивиди, Т – брой поставени капани и Н – брой часове на експониране</w:t>
            </w:r>
          </w:p>
          <w:p w:rsidR="002F29AF" w:rsidRPr="002F29AF" w:rsidRDefault="002F29AF" w:rsidP="00E060D1">
            <w:pPr>
              <w:spacing w:after="160"/>
              <w:rPr>
                <w:rFonts w:ascii="Times New Roman" w:eastAsiaTheme="minorHAnsi" w:hAnsi="Times New Roman"/>
                <w:lang w:val="bg-BG"/>
              </w:rPr>
            </w:pPr>
            <w:r w:rsidRPr="002F29AF">
              <w:rPr>
                <w:rFonts w:ascii="Times New Roman" w:eastAsiaTheme="minorHAnsi" w:hAnsi="Times New Roman"/>
                <w:lang w:val="bg-BG"/>
              </w:rPr>
              <w:t>(виж методиката за мониторинг към НСМСБР)</w:t>
            </w:r>
          </w:p>
        </w:tc>
        <w:tc>
          <w:tcPr>
            <w:tcW w:w="1559"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lastRenderedPageBreak/>
              <w:t>Неизвестна</w:t>
            </w:r>
          </w:p>
        </w:tc>
        <w:tc>
          <w:tcPr>
            <w:tcW w:w="2801"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 xml:space="preserve">Междинна цел: да се определи относителната численост на популацията чрез провеждане на </w:t>
            </w:r>
            <w:r w:rsidRPr="002F29AF">
              <w:rPr>
                <w:rFonts w:ascii="Times New Roman" w:eastAsiaTheme="minorHAnsi" w:hAnsi="Times New Roman"/>
              </w:rPr>
              <w:lastRenderedPageBreak/>
              <w:t>целенасочени теренни изследвания до 2025 г.</w:t>
            </w:r>
          </w:p>
        </w:tc>
      </w:tr>
      <w:tr w:rsidR="00E060D1" w:rsidRPr="002F29AF" w:rsidTr="00FF71D9">
        <w:tc>
          <w:tcPr>
            <w:tcW w:w="1854"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lastRenderedPageBreak/>
              <w:t>Местообитание (площ): обща площ на потенциалните местообитания</w:t>
            </w:r>
          </w:p>
        </w:tc>
        <w:tc>
          <w:tcPr>
            <w:tcW w:w="1798"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Хектар (ha)</w:t>
            </w:r>
          </w:p>
        </w:tc>
        <w:tc>
          <w:tcPr>
            <w:tcW w:w="1559"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Най-малко 119 ha</w:t>
            </w:r>
          </w:p>
        </w:tc>
        <w:tc>
          <w:tcPr>
            <w:tcW w:w="2801"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(119 ha) може да се приеме като минимална референтна стойност за благоприятно състояние на вида по този параметър.</w:t>
            </w:r>
          </w:p>
        </w:tc>
        <w:tc>
          <w:tcPr>
            <w:tcW w:w="1985"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Поддържане площта на потенциалните местообитания</w:t>
            </w:r>
          </w:p>
        </w:tc>
      </w:tr>
      <w:tr w:rsidR="00E060D1" w:rsidRPr="002F29AF" w:rsidTr="00FF71D9">
        <w:tc>
          <w:tcPr>
            <w:tcW w:w="1854"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Местообитание (структура и функции): свързаност на потенциалните местообитания</w:t>
            </w:r>
          </w:p>
        </w:tc>
        <w:tc>
          <w:tcPr>
            <w:tcW w:w="1798"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0 m</w:t>
            </w:r>
          </w:p>
        </w:tc>
        <w:tc>
          <w:tcPr>
            <w:tcW w:w="2801"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E060D1" w:rsidRPr="002F29AF" w:rsidRDefault="00E060D1" w:rsidP="00E060D1">
            <w:pPr>
              <w:spacing w:after="160"/>
              <w:rPr>
                <w:rFonts w:ascii="Times New Roman" w:eastAsiaTheme="minorHAnsi" w:hAnsi="Times New Roman"/>
              </w:rPr>
            </w:pPr>
            <w:r w:rsidRPr="002F29AF">
              <w:rPr>
                <w:rFonts w:ascii="Times New Roman" w:eastAsiaTheme="minorHAnsi" w:hAnsi="Times New Roman"/>
              </w:rPr>
              <w:t>Поддържане свързаността на потенциалните местообитания</w:t>
            </w:r>
          </w:p>
        </w:tc>
      </w:tr>
    </w:tbl>
    <w:p w:rsidR="00E060D1" w:rsidRPr="00E060D1" w:rsidRDefault="00E060D1" w:rsidP="00E060D1">
      <w:pPr>
        <w:spacing w:after="0" w:line="240" w:lineRule="auto"/>
        <w:jc w:val="both"/>
        <w:rPr>
          <w:rFonts w:ascii="Times New Roman" w:eastAsiaTheme="minorHAnsi" w:hAnsi="Times New Roman"/>
          <w:b/>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7. Необходимост от актуализация на СФ на защитената зона</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0D1">
        <w:rPr>
          <w:rFonts w:ascii="Times New Roman" w:eastAsiaTheme="minorHAnsi" w:hAnsi="Times New Roman"/>
          <w:i/>
          <w:sz w:val="24"/>
          <w:szCs w:val="24"/>
        </w:rPr>
        <w:t>Triturus dobrogicus</w:t>
      </w:r>
      <w:r w:rsidRPr="00E060D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Pr>
          <w:rFonts w:ascii="Times New Roman" w:eastAsiaTheme="minorHAnsi" w:hAnsi="Times New Roman"/>
          <w:sz w:val="24"/>
          <w:szCs w:val="24"/>
        </w:rPr>
        <w:t>ал</w:t>
      </w:r>
      <w:r w:rsidRPr="00E060D1">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E060D1" w:rsidRPr="00E060D1" w:rsidRDefault="00E060D1" w:rsidP="00E060D1">
      <w:pPr>
        <w:spacing w:after="0" w:line="240" w:lineRule="auto"/>
        <w:ind w:firstLine="567"/>
        <w:jc w:val="both"/>
        <w:rPr>
          <w:rFonts w:ascii="Times New Roman" w:eastAsiaTheme="minorHAnsi" w:hAnsi="Times New Roman"/>
          <w:sz w:val="24"/>
          <w:szCs w:val="24"/>
        </w:rPr>
      </w:pPr>
      <w:r w:rsidRPr="00E060D1">
        <w:rPr>
          <w:rFonts w:ascii="Times New Roman" w:eastAsiaTheme="minorHAnsi" w:hAnsi="Times New Roman"/>
          <w:sz w:val="24"/>
          <w:szCs w:val="24"/>
        </w:rPr>
        <w:t>Предложените актуализации на СФ са както следва:</w:t>
      </w:r>
    </w:p>
    <w:p w:rsidR="00E060D1" w:rsidRPr="00E060D1" w:rsidRDefault="00E060D1" w:rsidP="00E060D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060D1" w:rsidRPr="00B15299" w:rsidTr="00FF71D9">
        <w:trPr>
          <w:trHeight w:val="255"/>
          <w:tblHeader/>
        </w:trPr>
        <w:tc>
          <w:tcPr>
            <w:tcW w:w="2434" w:type="dxa"/>
          </w:tcPr>
          <w:p w:rsidR="00E060D1" w:rsidRPr="00B15299" w:rsidRDefault="00E060D1" w:rsidP="00E060D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Site assessment</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Size</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Unit</w:t>
            </w: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Cat.</w:t>
            </w: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D.qual.</w:t>
            </w:r>
          </w:p>
        </w:tc>
        <w:tc>
          <w:tcPr>
            <w:tcW w:w="1097"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A/B/C</w:t>
            </w:r>
          </w:p>
        </w:tc>
      </w:tr>
      <w:tr w:rsidR="00E060D1" w:rsidRPr="00B15299" w:rsidTr="00FF71D9">
        <w:trPr>
          <w:trHeight w:val="255"/>
        </w:trPr>
        <w:tc>
          <w:tcPr>
            <w:tcW w:w="2434" w:type="dxa"/>
          </w:tcPr>
          <w:p w:rsidR="00E060D1" w:rsidRPr="00B15299" w:rsidRDefault="00E060D1" w:rsidP="00E060D1">
            <w:pPr>
              <w:jc w:val="both"/>
              <w:rPr>
                <w:rFonts w:ascii="Times New Roman" w:eastAsiaTheme="minorHAnsi" w:hAnsi="Times New Roman"/>
                <w:sz w:val="22"/>
                <w:szCs w:val="22"/>
              </w:rPr>
            </w:pPr>
          </w:p>
        </w:tc>
        <w:tc>
          <w:tcPr>
            <w:tcW w:w="64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Min</w:t>
            </w:r>
          </w:p>
        </w:tc>
        <w:tc>
          <w:tcPr>
            <w:tcW w:w="68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r w:rsidRPr="00B15299">
              <w:rPr>
                <w:rFonts w:ascii="Times New Roman" w:eastAsiaTheme="minorHAnsi" w:hAnsi="Times New Roman"/>
                <w:b/>
                <w:sz w:val="22"/>
                <w:szCs w:val="22"/>
              </w:rPr>
              <w:t>Max</w:t>
            </w:r>
          </w:p>
        </w:tc>
        <w:tc>
          <w:tcPr>
            <w:tcW w:w="120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060D1" w:rsidRPr="00B15299" w:rsidRDefault="00E060D1" w:rsidP="00E060D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Pop.</w:t>
            </w:r>
          </w:p>
        </w:tc>
        <w:tc>
          <w:tcPr>
            <w:tcW w:w="70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Con.</w:t>
            </w:r>
          </w:p>
        </w:tc>
        <w:tc>
          <w:tcPr>
            <w:tcW w:w="583"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Iso.</w:t>
            </w:r>
          </w:p>
        </w:tc>
        <w:tc>
          <w:tcPr>
            <w:tcW w:w="650" w:type="dxa"/>
            <w:shd w:val="clear" w:color="auto" w:fill="D9D9D9" w:themeFill="background1" w:themeFillShade="D9"/>
            <w:noWrap/>
          </w:tcPr>
          <w:p w:rsidR="00E060D1" w:rsidRPr="00B15299" w:rsidRDefault="00E060D1" w:rsidP="00E060D1">
            <w:pPr>
              <w:rPr>
                <w:rFonts w:ascii="Times New Roman" w:eastAsiaTheme="minorHAnsi" w:hAnsi="Times New Roman"/>
                <w:b/>
                <w:sz w:val="22"/>
                <w:szCs w:val="22"/>
              </w:rPr>
            </w:pPr>
            <w:r w:rsidRPr="00B15299">
              <w:rPr>
                <w:rFonts w:ascii="Times New Roman" w:eastAsiaTheme="minorHAnsi" w:hAnsi="Times New Roman"/>
                <w:b/>
                <w:sz w:val="22"/>
                <w:szCs w:val="22"/>
              </w:rPr>
              <w:t>Glo.</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Съществуваща оценка</w:t>
            </w:r>
          </w:p>
        </w:tc>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localities</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r w:rsidR="00E060D1" w:rsidRPr="00B15299" w:rsidTr="00FF71D9">
        <w:trPr>
          <w:trHeight w:val="255"/>
        </w:trPr>
        <w:tc>
          <w:tcPr>
            <w:tcW w:w="2434" w:type="dxa"/>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Актуализация</w:t>
            </w:r>
          </w:p>
        </w:tc>
        <w:tc>
          <w:tcPr>
            <w:tcW w:w="643" w:type="dxa"/>
            <w:noWrap/>
          </w:tcPr>
          <w:p w:rsidR="00E060D1" w:rsidRPr="00B15299" w:rsidRDefault="00E060D1" w:rsidP="00E060D1">
            <w:pPr>
              <w:rPr>
                <w:rFonts w:ascii="Times New Roman" w:eastAsiaTheme="minorHAnsi" w:hAnsi="Times New Roman"/>
                <w:sz w:val="22"/>
                <w:szCs w:val="22"/>
              </w:rPr>
            </w:pPr>
          </w:p>
        </w:tc>
        <w:tc>
          <w:tcPr>
            <w:tcW w:w="683" w:type="dxa"/>
            <w:noWrap/>
          </w:tcPr>
          <w:p w:rsidR="00E060D1" w:rsidRPr="00B15299" w:rsidRDefault="00E060D1" w:rsidP="00E060D1">
            <w:pPr>
              <w:rPr>
                <w:rFonts w:ascii="Times New Roman" w:eastAsiaTheme="minorHAnsi" w:hAnsi="Times New Roman"/>
                <w:sz w:val="22"/>
                <w:szCs w:val="22"/>
              </w:rPr>
            </w:pPr>
          </w:p>
        </w:tc>
        <w:tc>
          <w:tcPr>
            <w:tcW w:w="12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grids1x1</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P</w:t>
            </w:r>
          </w:p>
        </w:tc>
        <w:tc>
          <w:tcPr>
            <w:tcW w:w="96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DD</w:t>
            </w:r>
          </w:p>
        </w:tc>
        <w:tc>
          <w:tcPr>
            <w:tcW w:w="1097"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c>
          <w:tcPr>
            <w:tcW w:w="70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B</w:t>
            </w:r>
          </w:p>
        </w:tc>
        <w:tc>
          <w:tcPr>
            <w:tcW w:w="583"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B</w:t>
            </w:r>
          </w:p>
        </w:tc>
        <w:tc>
          <w:tcPr>
            <w:tcW w:w="650" w:type="dxa"/>
            <w:noWrap/>
          </w:tcPr>
          <w:p w:rsidR="00E060D1" w:rsidRPr="00B15299" w:rsidRDefault="00E060D1" w:rsidP="00E060D1">
            <w:pPr>
              <w:rPr>
                <w:rFonts w:ascii="Times New Roman" w:eastAsiaTheme="minorHAnsi" w:hAnsi="Times New Roman"/>
                <w:sz w:val="22"/>
                <w:szCs w:val="22"/>
              </w:rPr>
            </w:pPr>
            <w:r w:rsidRPr="00B15299">
              <w:rPr>
                <w:rFonts w:ascii="Times New Roman" w:eastAsiaTheme="minorHAnsi" w:hAnsi="Times New Roman"/>
                <w:sz w:val="22"/>
                <w:szCs w:val="22"/>
              </w:rPr>
              <w:t>C</w:t>
            </w:r>
          </w:p>
        </w:tc>
      </w:tr>
    </w:tbl>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jc w:val="both"/>
        <w:rPr>
          <w:rFonts w:ascii="Times New Roman" w:eastAsiaTheme="minorHAnsi" w:hAnsi="Times New Roman"/>
          <w:b/>
          <w:sz w:val="24"/>
          <w:szCs w:val="24"/>
        </w:rPr>
      </w:pPr>
      <w:r w:rsidRPr="00E060D1">
        <w:rPr>
          <w:rFonts w:ascii="Times New Roman" w:eastAsiaTheme="minorHAnsi" w:hAnsi="Times New Roman"/>
          <w:b/>
          <w:sz w:val="24"/>
          <w:szCs w:val="24"/>
        </w:rPr>
        <w:t>8. Цитирана литература</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lastRenderedPageBreak/>
        <w:t>Naumov, B., V. Biserkov. 2013. On the Distribution and Subspecies Affiliation of Triturus dobrogicus (Amphibia: Salamandridae) in Bulgaria. – Acta zoologica bulgarica, 65(3): 307-313.</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E060D1" w:rsidRPr="00E060D1" w:rsidRDefault="00E060D1" w:rsidP="00E060D1">
      <w:pPr>
        <w:spacing w:after="0" w:line="240" w:lineRule="auto"/>
        <w:ind w:left="567" w:hanging="567"/>
        <w:jc w:val="both"/>
        <w:rPr>
          <w:rFonts w:ascii="Times New Roman" w:eastAsiaTheme="minorHAnsi" w:hAnsi="Times New Roman"/>
          <w:sz w:val="24"/>
          <w:szCs w:val="24"/>
        </w:rPr>
      </w:pPr>
      <w:r w:rsidRPr="00E060D1">
        <w:rPr>
          <w:rFonts w:ascii="Times New Roman" w:eastAsiaTheme="minorHAnsi" w:hAnsi="Times New Roman"/>
          <w:sz w:val="24"/>
          <w:szCs w:val="24"/>
        </w:rPr>
        <w:t>Stojanov, A., N. Tzankov, B. Naumov. 2011. Die Amphibien und Reptilien Bulgariens. Frankfurt am Main, Chimaira, 588 pp.</w:t>
      </w:r>
    </w:p>
    <w:p w:rsidR="00E060D1" w:rsidRPr="00E060D1" w:rsidRDefault="00E060D1" w:rsidP="00E060D1">
      <w:pPr>
        <w:spacing w:after="0" w:line="240" w:lineRule="auto"/>
        <w:jc w:val="both"/>
        <w:rPr>
          <w:rFonts w:ascii="Times New Roman" w:eastAsiaTheme="minorHAnsi" w:hAnsi="Times New Roman"/>
          <w:sz w:val="24"/>
          <w:szCs w:val="24"/>
        </w:rPr>
      </w:pPr>
    </w:p>
    <w:p w:rsidR="00E060D1" w:rsidRPr="00E060D1" w:rsidRDefault="00E060D1" w:rsidP="00E060D1">
      <w:pPr>
        <w:spacing w:after="0" w:line="240" w:lineRule="auto"/>
        <w:contextualSpacing/>
        <w:jc w:val="both"/>
        <w:rPr>
          <w:rFonts w:ascii="Times New Roman" w:eastAsiaTheme="minorHAnsi" w:hAnsi="Times New Roman"/>
          <w:sz w:val="24"/>
          <w:szCs w:val="24"/>
          <w:lang w:eastAsia="bg-BG"/>
        </w:rPr>
      </w:pPr>
      <w:bookmarkStart w:id="10" w:name="_Toc86569946"/>
      <w:r w:rsidRPr="00E060D1">
        <w:rPr>
          <w:rFonts w:ascii="Times New Roman" w:eastAsiaTheme="minorHAnsi" w:hAnsi="Times New Roman"/>
          <w:i/>
          <w:sz w:val="24"/>
          <w:szCs w:val="24"/>
          <w:lang w:eastAsia="bg-BG"/>
        </w:rPr>
        <w:t>Автори</w:t>
      </w:r>
      <w:r w:rsidRPr="00E060D1">
        <w:rPr>
          <w:rFonts w:ascii="Times New Roman" w:eastAsiaTheme="minorHAnsi" w:hAnsi="Times New Roman"/>
          <w:sz w:val="24"/>
          <w:szCs w:val="24"/>
          <w:lang w:eastAsia="bg-BG"/>
        </w:rPr>
        <w:t xml:space="preserve">: Борислав Наумов, </w:t>
      </w:r>
      <w:bookmarkEnd w:id="10"/>
      <w:r w:rsidRPr="00E060D1">
        <w:rPr>
          <w:rFonts w:ascii="Times New Roman" w:eastAsiaTheme="minorHAnsi" w:hAnsi="Times New Roman"/>
          <w:sz w:val="24"/>
          <w:szCs w:val="24"/>
          <w:lang w:eastAsia="bg-BG"/>
        </w:rPr>
        <w:t>Ангел Дюгмеджиев, Георги Кръстев, Мирослав Славчев</w:t>
      </w:r>
    </w:p>
    <w:p w:rsidR="00E060D1" w:rsidRDefault="00E060D1" w:rsidP="005E7363">
      <w:pPr>
        <w:rPr>
          <w:rFonts w:ascii="Times New Roman" w:hAnsi="Times New Roman"/>
          <w:color w:val="1F497D" w:themeColor="text2"/>
          <w:sz w:val="28"/>
          <w:szCs w:val="28"/>
        </w:rPr>
      </w:pPr>
    </w:p>
    <w:sectPr w:rsidR="00E060D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96" w:rsidRDefault="00192B96" w:rsidP="00B15299">
      <w:pPr>
        <w:spacing w:after="0" w:line="240" w:lineRule="auto"/>
      </w:pPr>
      <w:r>
        <w:separator/>
      </w:r>
    </w:p>
  </w:endnote>
  <w:endnote w:type="continuationSeparator" w:id="0">
    <w:p w:rsidR="00192B96" w:rsidRDefault="00192B96" w:rsidP="00B1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409200"/>
      <w:docPartObj>
        <w:docPartGallery w:val="Page Numbers (Bottom of Page)"/>
        <w:docPartUnique/>
      </w:docPartObj>
    </w:sdtPr>
    <w:sdtEndPr>
      <w:rPr>
        <w:noProof/>
      </w:rPr>
    </w:sdtEndPr>
    <w:sdtContent>
      <w:p w:rsidR="00B15299" w:rsidRDefault="00B15299">
        <w:pPr>
          <w:pStyle w:val="Footer"/>
          <w:jc w:val="right"/>
        </w:pPr>
        <w:r>
          <w:fldChar w:fldCharType="begin"/>
        </w:r>
        <w:r>
          <w:instrText xml:space="preserve"> PAGE   \* MERGEFORMAT </w:instrText>
        </w:r>
        <w:r>
          <w:fldChar w:fldCharType="separate"/>
        </w:r>
        <w:r w:rsidR="005C21BC">
          <w:rPr>
            <w:noProof/>
          </w:rPr>
          <w:t>2</w:t>
        </w:r>
        <w:r>
          <w:rPr>
            <w:noProof/>
          </w:rPr>
          <w:fldChar w:fldCharType="end"/>
        </w:r>
      </w:p>
    </w:sdtContent>
  </w:sdt>
  <w:p w:rsidR="00B15299" w:rsidRDefault="00B1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96" w:rsidRDefault="00192B96" w:rsidP="00B15299">
      <w:pPr>
        <w:spacing w:after="0" w:line="240" w:lineRule="auto"/>
      </w:pPr>
      <w:r>
        <w:separator/>
      </w:r>
    </w:p>
  </w:footnote>
  <w:footnote w:type="continuationSeparator" w:id="0">
    <w:p w:rsidR="00192B96" w:rsidRDefault="00192B96" w:rsidP="00B1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D570F"/>
    <w:rsid w:val="00192B96"/>
    <w:rsid w:val="00235C8E"/>
    <w:rsid w:val="002F29AF"/>
    <w:rsid w:val="0030175C"/>
    <w:rsid w:val="003B157A"/>
    <w:rsid w:val="00547CB8"/>
    <w:rsid w:val="00597681"/>
    <w:rsid w:val="005C13D7"/>
    <w:rsid w:val="005C21BC"/>
    <w:rsid w:val="005E5F88"/>
    <w:rsid w:val="005E7363"/>
    <w:rsid w:val="007F2635"/>
    <w:rsid w:val="00844A9D"/>
    <w:rsid w:val="008B6197"/>
    <w:rsid w:val="008E0C7E"/>
    <w:rsid w:val="00A107DB"/>
    <w:rsid w:val="00A76D60"/>
    <w:rsid w:val="00B000B9"/>
    <w:rsid w:val="00B15299"/>
    <w:rsid w:val="00B25125"/>
    <w:rsid w:val="00B607D3"/>
    <w:rsid w:val="00BD621B"/>
    <w:rsid w:val="00BF20A2"/>
    <w:rsid w:val="00CF6EB5"/>
    <w:rsid w:val="00D03875"/>
    <w:rsid w:val="00D664BB"/>
    <w:rsid w:val="00E060D1"/>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235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5"/>
    <w:pPr>
      <w:ind w:left="720"/>
      <w:contextualSpacing/>
    </w:pPr>
    <w:rPr>
      <w:rFonts w:asciiTheme="minorHAnsi" w:eastAsiaTheme="minorHAnsi" w:hAnsiTheme="minorHAnsi" w:cstheme="minorBidi"/>
    </w:rPr>
  </w:style>
  <w:style w:type="table" w:styleId="TableGrid">
    <w:name w:val="Table Grid"/>
    <w:basedOn w:val="TableNormal"/>
    <w:uiPriority w:val="39"/>
    <w:rsid w:val="00E060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0D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99"/>
    <w:rPr>
      <w:rFonts w:ascii="Calibri" w:eastAsia="Times New Roman" w:hAnsi="Calibri" w:cs="Times New Roman"/>
    </w:rPr>
  </w:style>
  <w:style w:type="paragraph" w:styleId="Footer">
    <w:name w:val="footer"/>
    <w:basedOn w:val="Normal"/>
    <w:link w:val="FooterChar"/>
    <w:uiPriority w:val="99"/>
    <w:unhideWhenUsed/>
    <w:rsid w:val="00B15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299"/>
    <w:rPr>
      <w:rFonts w:ascii="Calibri" w:eastAsia="Times New Roman" w:hAnsi="Calibri" w:cs="Times New Roman"/>
    </w:rPr>
  </w:style>
  <w:style w:type="character" w:customStyle="1" w:styleId="Heading1Char">
    <w:name w:val="Heading 1 Char"/>
    <w:basedOn w:val="DefaultParagraphFont"/>
    <w:link w:val="Heading1"/>
    <w:uiPriority w:val="9"/>
    <w:rsid w:val="00235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C8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5C8E"/>
    <w:pPr>
      <w:outlineLvl w:val="9"/>
    </w:pPr>
    <w:rPr>
      <w:lang w:val="en-US" w:eastAsia="ja-JP"/>
    </w:rPr>
  </w:style>
  <w:style w:type="paragraph" w:styleId="TOC1">
    <w:name w:val="toc 1"/>
    <w:basedOn w:val="Normal"/>
    <w:next w:val="Normal"/>
    <w:autoRedefine/>
    <w:uiPriority w:val="39"/>
    <w:unhideWhenUsed/>
    <w:rsid w:val="003B157A"/>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235C8E"/>
    <w:pPr>
      <w:spacing w:after="100"/>
      <w:ind w:left="220"/>
    </w:pPr>
  </w:style>
  <w:style w:type="character" w:styleId="Hyperlink">
    <w:name w:val="Hyperlink"/>
    <w:basedOn w:val="DefaultParagraphFont"/>
    <w:uiPriority w:val="99"/>
    <w:unhideWhenUsed/>
    <w:rsid w:val="00235C8E"/>
    <w:rPr>
      <w:color w:val="0000FF" w:themeColor="hyperlink"/>
      <w:u w:val="single"/>
    </w:rPr>
  </w:style>
  <w:style w:type="paragraph" w:styleId="BalloonText">
    <w:name w:val="Balloon Text"/>
    <w:basedOn w:val="Normal"/>
    <w:link w:val="BalloonTextChar"/>
    <w:uiPriority w:val="99"/>
    <w:semiHidden/>
    <w:unhideWhenUsed/>
    <w:rsid w:val="0023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235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5"/>
    <w:pPr>
      <w:ind w:left="720"/>
      <w:contextualSpacing/>
    </w:pPr>
    <w:rPr>
      <w:rFonts w:asciiTheme="minorHAnsi" w:eastAsiaTheme="minorHAnsi" w:hAnsiTheme="minorHAnsi" w:cstheme="minorBidi"/>
    </w:rPr>
  </w:style>
  <w:style w:type="table" w:styleId="TableGrid">
    <w:name w:val="Table Grid"/>
    <w:basedOn w:val="TableNormal"/>
    <w:uiPriority w:val="39"/>
    <w:rsid w:val="00E060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0D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99"/>
    <w:rPr>
      <w:rFonts w:ascii="Calibri" w:eastAsia="Times New Roman" w:hAnsi="Calibri" w:cs="Times New Roman"/>
    </w:rPr>
  </w:style>
  <w:style w:type="paragraph" w:styleId="Footer">
    <w:name w:val="footer"/>
    <w:basedOn w:val="Normal"/>
    <w:link w:val="FooterChar"/>
    <w:uiPriority w:val="99"/>
    <w:unhideWhenUsed/>
    <w:rsid w:val="00B15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299"/>
    <w:rPr>
      <w:rFonts w:ascii="Calibri" w:eastAsia="Times New Roman" w:hAnsi="Calibri" w:cs="Times New Roman"/>
    </w:rPr>
  </w:style>
  <w:style w:type="character" w:customStyle="1" w:styleId="Heading1Char">
    <w:name w:val="Heading 1 Char"/>
    <w:basedOn w:val="DefaultParagraphFont"/>
    <w:link w:val="Heading1"/>
    <w:uiPriority w:val="9"/>
    <w:rsid w:val="00235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C8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5C8E"/>
    <w:pPr>
      <w:outlineLvl w:val="9"/>
    </w:pPr>
    <w:rPr>
      <w:lang w:val="en-US" w:eastAsia="ja-JP"/>
    </w:rPr>
  </w:style>
  <w:style w:type="paragraph" w:styleId="TOC1">
    <w:name w:val="toc 1"/>
    <w:basedOn w:val="Normal"/>
    <w:next w:val="Normal"/>
    <w:autoRedefine/>
    <w:uiPriority w:val="39"/>
    <w:unhideWhenUsed/>
    <w:rsid w:val="003B157A"/>
    <w:pPr>
      <w:tabs>
        <w:tab w:val="right" w:leader="dot" w:pos="9062"/>
      </w:tabs>
      <w:spacing w:after="100"/>
    </w:pPr>
    <w:rPr>
      <w:rFonts w:ascii="Times New Roman" w:hAnsi="Times New Roman"/>
      <w:noProof/>
      <w:color w:val="1F497D" w:themeColor="text2"/>
      <w:sz w:val="28"/>
      <w:szCs w:val="28"/>
    </w:rPr>
  </w:style>
  <w:style w:type="paragraph" w:styleId="TOC2">
    <w:name w:val="toc 2"/>
    <w:basedOn w:val="Normal"/>
    <w:next w:val="Normal"/>
    <w:autoRedefine/>
    <w:uiPriority w:val="39"/>
    <w:unhideWhenUsed/>
    <w:rsid w:val="00235C8E"/>
    <w:pPr>
      <w:spacing w:after="100"/>
      <w:ind w:left="220"/>
    </w:pPr>
  </w:style>
  <w:style w:type="character" w:styleId="Hyperlink">
    <w:name w:val="Hyperlink"/>
    <w:basedOn w:val="DefaultParagraphFont"/>
    <w:uiPriority w:val="99"/>
    <w:unhideWhenUsed/>
    <w:rsid w:val="00235C8E"/>
    <w:rPr>
      <w:color w:val="0000FF" w:themeColor="hyperlink"/>
      <w:u w:val="single"/>
    </w:rPr>
  </w:style>
  <w:style w:type="paragraph" w:styleId="BalloonText">
    <w:name w:val="Balloon Text"/>
    <w:basedOn w:val="Normal"/>
    <w:link w:val="BalloonTextChar"/>
    <w:uiPriority w:val="99"/>
    <w:semiHidden/>
    <w:unhideWhenUsed/>
    <w:rsid w:val="0023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ura2000.moew.government.bg/Home/Natura2000ProtectedSi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ecodb.bas.bg/rdb/bg/vol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environment/nature/knowledge/rep_habitats/index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nvironment/nature/knowledge/rep_habitats/index_en.htm.%20Last%20visited%20on%2015.11.2021" TargetMode="External"/><Relationship Id="rId5" Type="http://schemas.openxmlformats.org/officeDocument/2006/relationships/settings" Target="settings.xml"/><Relationship Id="rId15" Type="http://schemas.openxmlformats.org/officeDocument/2006/relationships/hyperlink" Target="https://eur-lex.europa.eu/legal-content/BG/TXT/?uri=CELEX:32011D0484" TargetMode="External"/><Relationship Id="rId10" Type="http://schemas.openxmlformats.org/officeDocument/2006/relationships/hyperlink" Target="https://cdr.eionet.europa.eu/bg/eu/n20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hyperlink" Target="http://www.procurement.iag.bg:8080/cgi-bin/lup.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C34B-DD19-447E-AE80-3C267D94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Pages>
  <Words>9545</Words>
  <Characters>54413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20</cp:revision>
  <dcterms:created xsi:type="dcterms:W3CDTF">2021-11-06T15:30:00Z</dcterms:created>
  <dcterms:modified xsi:type="dcterms:W3CDTF">2022-04-01T10:07:00Z</dcterms:modified>
</cp:coreProperties>
</file>