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EEB" w:rsidRPr="00334147" w:rsidRDefault="00D53EEB" w:rsidP="00D53EEB">
      <w:pPr>
        <w:overflowPunct/>
        <w:autoSpaceDE/>
        <w:autoSpaceDN/>
        <w:adjustRightInd/>
        <w:jc w:val="right"/>
        <w:textAlignment w:val="auto"/>
        <w:outlineLvl w:val="0"/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  <w:bookmarkEnd w:id="0"/>
    </w:p>
    <w:p w:rsidR="006F1B17" w:rsidRPr="00901825" w:rsidRDefault="006F1B17" w:rsidP="00901825">
      <w:pPr>
        <w:overflowPunct/>
        <w:autoSpaceDE/>
        <w:autoSpaceDN/>
        <w:adjustRightInd/>
        <w:jc w:val="center"/>
        <w:textAlignment w:val="auto"/>
        <w:outlineLvl w:val="0"/>
        <w:rPr>
          <w:rFonts w:ascii="Times New Roman" w:hAnsi="Times New Roman"/>
          <w:b/>
          <w:sz w:val="24"/>
          <w:szCs w:val="24"/>
          <w:lang w:val="bg-BG"/>
        </w:rPr>
      </w:pPr>
      <w:r w:rsidRPr="00901825">
        <w:rPr>
          <w:rFonts w:ascii="Times New Roman" w:hAnsi="Times New Roman"/>
          <w:b/>
          <w:sz w:val="24"/>
          <w:szCs w:val="24"/>
          <w:lang w:val="bg-BG"/>
        </w:rPr>
        <w:t>СТАНОВИЩЕ</w:t>
      </w:r>
    </w:p>
    <w:p w:rsidR="006F1B17" w:rsidRPr="00901825" w:rsidRDefault="006F1B17" w:rsidP="00901825">
      <w:pPr>
        <w:overflowPunct/>
        <w:autoSpaceDE/>
        <w:autoSpaceDN/>
        <w:adjustRightInd/>
        <w:ind w:firstLine="567"/>
        <w:jc w:val="center"/>
        <w:textAlignment w:val="auto"/>
        <w:outlineLvl w:val="0"/>
        <w:rPr>
          <w:rFonts w:ascii="Times New Roman" w:hAnsi="Times New Roman"/>
          <w:b/>
          <w:sz w:val="24"/>
          <w:szCs w:val="24"/>
          <w:lang w:val="bg-BG"/>
        </w:rPr>
      </w:pPr>
    </w:p>
    <w:p w:rsidR="003D68AD" w:rsidRPr="00901825" w:rsidRDefault="003D68AD" w:rsidP="00901825">
      <w:pPr>
        <w:overflowPunct/>
        <w:autoSpaceDE/>
        <w:autoSpaceDN/>
        <w:adjustRightInd/>
        <w:jc w:val="center"/>
        <w:textAlignment w:val="auto"/>
        <w:outlineLvl w:val="0"/>
        <w:rPr>
          <w:rFonts w:ascii="Times New Roman" w:hAnsi="Times New Roman"/>
          <w:b/>
          <w:sz w:val="24"/>
          <w:szCs w:val="24"/>
          <w:lang w:val="bg-BG"/>
        </w:rPr>
      </w:pPr>
      <w:r w:rsidRPr="00901825">
        <w:rPr>
          <w:rFonts w:ascii="Times New Roman" w:hAnsi="Times New Roman"/>
          <w:b/>
          <w:sz w:val="24"/>
          <w:szCs w:val="24"/>
          <w:lang w:val="bg-BG"/>
        </w:rPr>
        <w:t xml:space="preserve">за заседанието на Националния съвет по биологично разнообразие, </w:t>
      </w:r>
      <w:r w:rsidR="009758F3" w:rsidRPr="00901825">
        <w:rPr>
          <w:rFonts w:ascii="Times New Roman" w:hAnsi="Times New Roman"/>
          <w:b/>
          <w:sz w:val="24"/>
          <w:szCs w:val="24"/>
          <w:lang w:val="bg-BG"/>
        </w:rPr>
        <w:t>27-28.4.2022</w:t>
      </w:r>
      <w:r w:rsidRPr="00901825">
        <w:rPr>
          <w:rFonts w:ascii="Times New Roman" w:hAnsi="Times New Roman"/>
          <w:b/>
          <w:sz w:val="24"/>
          <w:szCs w:val="24"/>
          <w:lang w:val="bg-BG"/>
        </w:rPr>
        <w:t xml:space="preserve"> г.</w:t>
      </w:r>
    </w:p>
    <w:p w:rsidR="006F1B17" w:rsidRPr="00334147" w:rsidRDefault="003D68AD" w:rsidP="00901825">
      <w:pPr>
        <w:overflowPunct/>
        <w:autoSpaceDE/>
        <w:autoSpaceDN/>
        <w:adjustRightInd/>
        <w:jc w:val="center"/>
        <w:textAlignment w:val="auto"/>
        <w:outlineLvl w:val="0"/>
        <w:rPr>
          <w:rFonts w:ascii="Times New Roman" w:hAnsi="Times New Roman"/>
          <w:b/>
          <w:sz w:val="24"/>
          <w:szCs w:val="24"/>
          <w:lang w:val="bg-BG"/>
        </w:rPr>
      </w:pPr>
      <w:r w:rsidRPr="00901825">
        <w:rPr>
          <w:rFonts w:ascii="Times New Roman" w:hAnsi="Times New Roman"/>
          <w:b/>
          <w:sz w:val="24"/>
          <w:szCs w:val="24"/>
          <w:lang w:val="bg-BG"/>
        </w:rPr>
        <w:t xml:space="preserve">относно </w:t>
      </w:r>
      <w:r w:rsidR="006F1B17" w:rsidRPr="00901825">
        <w:rPr>
          <w:rFonts w:ascii="Times New Roman" w:hAnsi="Times New Roman"/>
          <w:b/>
          <w:sz w:val="24"/>
          <w:szCs w:val="24"/>
          <w:lang w:val="bg-BG"/>
        </w:rPr>
        <w:t xml:space="preserve">проект на „План за действие за опазване на </w:t>
      </w:r>
      <w:r w:rsidR="00C16CB6" w:rsidRPr="00901825">
        <w:rPr>
          <w:rFonts w:ascii="Times New Roman" w:hAnsi="Times New Roman"/>
          <w:b/>
          <w:sz w:val="24"/>
          <w:szCs w:val="24"/>
          <w:lang w:val="bg-BG"/>
        </w:rPr>
        <w:t>тигровата пеперуда</w:t>
      </w:r>
      <w:r w:rsidR="00016382" w:rsidRPr="00334147">
        <w:rPr>
          <w:rFonts w:ascii="Times New Roman" w:hAnsi="Times New Roman"/>
          <w:b/>
          <w:sz w:val="24"/>
          <w:szCs w:val="24"/>
          <w:lang w:val="bg-BG"/>
        </w:rPr>
        <w:t xml:space="preserve"> (</w:t>
      </w:r>
      <w:proofErr w:type="spellStart"/>
      <w:r w:rsidR="00C16CB6" w:rsidRPr="00901825">
        <w:rPr>
          <w:rFonts w:ascii="Times New Roman" w:eastAsiaTheme="minorEastAsia" w:hAnsi="Times New Roman"/>
          <w:b/>
          <w:i/>
          <w:sz w:val="24"/>
          <w:szCs w:val="24"/>
        </w:rPr>
        <w:t>Euplagia</w:t>
      </w:r>
      <w:proofErr w:type="spellEnd"/>
      <w:r w:rsidR="00C16CB6" w:rsidRPr="00334147">
        <w:rPr>
          <w:rFonts w:ascii="Times New Roman" w:eastAsiaTheme="minorEastAsia" w:hAnsi="Times New Roman"/>
          <w:b/>
          <w:i/>
          <w:sz w:val="24"/>
          <w:szCs w:val="24"/>
          <w:lang w:val="bg-BG"/>
        </w:rPr>
        <w:t xml:space="preserve"> </w:t>
      </w:r>
      <w:proofErr w:type="spellStart"/>
      <w:r w:rsidR="00C16CB6" w:rsidRPr="00901825">
        <w:rPr>
          <w:rFonts w:ascii="Times New Roman" w:eastAsiaTheme="minorEastAsia" w:hAnsi="Times New Roman"/>
          <w:b/>
          <w:i/>
          <w:sz w:val="24"/>
          <w:szCs w:val="24"/>
        </w:rPr>
        <w:t>quadripunctaria</w:t>
      </w:r>
      <w:proofErr w:type="spellEnd"/>
      <w:r w:rsidR="00016382" w:rsidRPr="00334147">
        <w:rPr>
          <w:rFonts w:ascii="Times New Roman" w:hAnsi="Times New Roman"/>
          <w:b/>
          <w:sz w:val="24"/>
          <w:szCs w:val="24"/>
          <w:lang w:val="bg-BG"/>
        </w:rPr>
        <w:t xml:space="preserve">) </w:t>
      </w:r>
      <w:r w:rsidR="00C16CB6" w:rsidRPr="00901825">
        <w:rPr>
          <w:rFonts w:ascii="Times New Roman" w:hAnsi="Times New Roman"/>
          <w:b/>
          <w:sz w:val="24"/>
          <w:szCs w:val="24"/>
          <w:lang w:val="bg-BG"/>
        </w:rPr>
        <w:t xml:space="preserve">в България за периода </w:t>
      </w:r>
      <w:r w:rsidR="006F1B17" w:rsidRPr="00901825">
        <w:rPr>
          <w:rFonts w:ascii="Times New Roman" w:hAnsi="Times New Roman"/>
          <w:b/>
          <w:sz w:val="24"/>
          <w:szCs w:val="24"/>
          <w:lang w:val="bg-BG"/>
        </w:rPr>
        <w:t>20</w:t>
      </w:r>
      <w:r w:rsidR="00016382" w:rsidRPr="00901825">
        <w:rPr>
          <w:rFonts w:ascii="Times New Roman" w:hAnsi="Times New Roman"/>
          <w:b/>
          <w:sz w:val="24"/>
          <w:szCs w:val="24"/>
          <w:lang w:val="bg-BG"/>
        </w:rPr>
        <w:t>22</w:t>
      </w:r>
      <w:r w:rsidR="006F1B17" w:rsidRPr="00901825">
        <w:rPr>
          <w:rFonts w:ascii="Times New Roman" w:hAnsi="Times New Roman"/>
          <w:b/>
          <w:sz w:val="24"/>
          <w:szCs w:val="24"/>
          <w:lang w:val="bg-BG"/>
        </w:rPr>
        <w:t>-20</w:t>
      </w:r>
      <w:r w:rsidR="00016382" w:rsidRPr="00901825">
        <w:rPr>
          <w:rFonts w:ascii="Times New Roman" w:hAnsi="Times New Roman"/>
          <w:b/>
          <w:sz w:val="24"/>
          <w:szCs w:val="24"/>
          <w:lang w:val="bg-BG"/>
        </w:rPr>
        <w:t>31</w:t>
      </w:r>
      <w:r w:rsidR="006F1B17" w:rsidRPr="00901825">
        <w:rPr>
          <w:rFonts w:ascii="Times New Roman" w:hAnsi="Times New Roman"/>
          <w:b/>
          <w:sz w:val="24"/>
          <w:szCs w:val="24"/>
          <w:lang w:val="bg-BG"/>
        </w:rPr>
        <w:t xml:space="preserve"> г.“</w:t>
      </w:r>
      <w:r w:rsidR="00267070" w:rsidRPr="00901825">
        <w:rPr>
          <w:rFonts w:ascii="Times New Roman" w:hAnsi="Times New Roman"/>
          <w:b/>
          <w:sz w:val="24"/>
          <w:szCs w:val="24"/>
          <w:lang w:val="bg-BG"/>
        </w:rPr>
        <w:t>, изготвено от дирекция НСЗП</w:t>
      </w:r>
    </w:p>
    <w:p w:rsidR="006F1B17" w:rsidRPr="00901825" w:rsidRDefault="006F1B17" w:rsidP="00901825">
      <w:pPr>
        <w:overflowPunct/>
        <w:autoSpaceDE/>
        <w:autoSpaceDN/>
        <w:adjustRightInd/>
        <w:ind w:firstLine="567"/>
        <w:jc w:val="both"/>
        <w:textAlignment w:val="auto"/>
        <w:outlineLvl w:val="0"/>
        <w:rPr>
          <w:rFonts w:ascii="Times New Roman" w:hAnsi="Times New Roman"/>
          <w:sz w:val="24"/>
          <w:szCs w:val="24"/>
          <w:lang w:val="bg-BG"/>
        </w:rPr>
      </w:pPr>
    </w:p>
    <w:p w:rsidR="009758F3" w:rsidRPr="00901825" w:rsidRDefault="00016382" w:rsidP="00901825">
      <w:pPr>
        <w:ind w:firstLine="567"/>
        <w:jc w:val="both"/>
        <w:rPr>
          <w:rFonts w:ascii="Times New Roman" w:eastAsiaTheme="minorEastAsia" w:hAnsi="Times New Roman"/>
          <w:sz w:val="24"/>
          <w:szCs w:val="24"/>
          <w:lang w:val="bg-BG"/>
        </w:rPr>
      </w:pPr>
      <w:r w:rsidRPr="00334147">
        <w:rPr>
          <w:rFonts w:ascii="Times New Roman" w:hAnsi="Times New Roman"/>
          <w:sz w:val="24"/>
          <w:szCs w:val="24"/>
          <w:lang w:val="bg-BG"/>
        </w:rPr>
        <w:t xml:space="preserve">Планът за действие за опазване </w:t>
      </w:r>
      <w:r w:rsidRPr="00901825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AB0B48" w:rsidRPr="00334147">
        <w:rPr>
          <w:rFonts w:ascii="Times New Roman" w:hAnsi="Times New Roman"/>
          <w:sz w:val="24"/>
          <w:szCs w:val="24"/>
          <w:lang w:val="bg-BG"/>
        </w:rPr>
        <w:t>тигровата пеперуда (</w:t>
      </w:r>
      <w:proofErr w:type="spellStart"/>
      <w:r w:rsidR="00AB0B48" w:rsidRPr="00901825">
        <w:rPr>
          <w:rFonts w:ascii="Times New Roman" w:hAnsi="Times New Roman"/>
          <w:i/>
          <w:sz w:val="24"/>
          <w:szCs w:val="24"/>
        </w:rPr>
        <w:t>Euplagia</w:t>
      </w:r>
      <w:proofErr w:type="spellEnd"/>
      <w:r w:rsidR="00AB0B48" w:rsidRPr="00334147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proofErr w:type="spellStart"/>
      <w:r w:rsidR="00AB0B48" w:rsidRPr="00901825">
        <w:rPr>
          <w:rFonts w:ascii="Times New Roman" w:hAnsi="Times New Roman"/>
          <w:i/>
          <w:sz w:val="24"/>
          <w:szCs w:val="24"/>
        </w:rPr>
        <w:t>quadripunctaria</w:t>
      </w:r>
      <w:proofErr w:type="spellEnd"/>
      <w:r w:rsidR="00AB0B48" w:rsidRPr="00334147">
        <w:rPr>
          <w:rFonts w:ascii="Times New Roman" w:hAnsi="Times New Roman"/>
          <w:sz w:val="24"/>
          <w:szCs w:val="24"/>
          <w:lang w:val="bg-BG"/>
        </w:rPr>
        <w:t>) в България за периода 2022-2031 г</w:t>
      </w:r>
      <w:r w:rsidRPr="0090182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01825">
        <w:rPr>
          <w:rFonts w:ascii="Times New Roman" w:hAnsi="Times New Roman"/>
          <w:sz w:val="24"/>
          <w:szCs w:val="24"/>
        </w:rPr>
        <w:t>e</w:t>
      </w:r>
      <w:r w:rsidRPr="00334147">
        <w:rPr>
          <w:rFonts w:ascii="Times New Roman" w:hAnsi="Times New Roman"/>
          <w:sz w:val="24"/>
          <w:szCs w:val="24"/>
          <w:lang w:val="bg-BG"/>
        </w:rPr>
        <w:t xml:space="preserve"> разработен по проект </w:t>
      </w:r>
      <w:r w:rsidRPr="00901825">
        <w:rPr>
          <w:rFonts w:ascii="Times New Roman" w:hAnsi="Times New Roman"/>
          <w:sz w:val="24"/>
          <w:szCs w:val="24"/>
        </w:rPr>
        <w:t>BG</w:t>
      </w:r>
      <w:r w:rsidRPr="00334147">
        <w:rPr>
          <w:rFonts w:ascii="Times New Roman" w:hAnsi="Times New Roman"/>
          <w:sz w:val="24"/>
          <w:szCs w:val="24"/>
          <w:lang w:val="bg-BG"/>
        </w:rPr>
        <w:t>16</w:t>
      </w:r>
      <w:r w:rsidRPr="00901825">
        <w:rPr>
          <w:rFonts w:ascii="Times New Roman" w:hAnsi="Times New Roman"/>
          <w:sz w:val="24"/>
          <w:szCs w:val="24"/>
        </w:rPr>
        <w:t>M</w:t>
      </w:r>
      <w:r w:rsidRPr="00334147">
        <w:rPr>
          <w:rFonts w:ascii="Times New Roman" w:hAnsi="Times New Roman"/>
          <w:sz w:val="24"/>
          <w:szCs w:val="24"/>
          <w:lang w:val="bg-BG"/>
        </w:rPr>
        <w:t>1</w:t>
      </w:r>
      <w:r w:rsidRPr="00901825">
        <w:rPr>
          <w:rFonts w:ascii="Times New Roman" w:hAnsi="Times New Roman"/>
          <w:sz w:val="24"/>
          <w:szCs w:val="24"/>
        </w:rPr>
        <w:t>OP</w:t>
      </w:r>
      <w:r w:rsidRPr="00334147">
        <w:rPr>
          <w:rFonts w:ascii="Times New Roman" w:hAnsi="Times New Roman"/>
          <w:sz w:val="24"/>
          <w:szCs w:val="24"/>
          <w:lang w:val="bg-BG"/>
        </w:rPr>
        <w:t>002-3.020-00</w:t>
      </w:r>
      <w:r w:rsidR="00AB0B48" w:rsidRPr="00901825">
        <w:rPr>
          <w:rFonts w:ascii="Times New Roman" w:hAnsi="Times New Roman"/>
          <w:sz w:val="24"/>
          <w:szCs w:val="24"/>
          <w:lang w:val="bg-BG"/>
        </w:rPr>
        <w:t>54</w:t>
      </w:r>
      <w:r w:rsidRPr="00334147">
        <w:rPr>
          <w:rFonts w:ascii="Times New Roman" w:hAnsi="Times New Roman"/>
          <w:sz w:val="24"/>
          <w:szCs w:val="24"/>
          <w:lang w:val="bg-BG"/>
        </w:rPr>
        <w:t>-</w:t>
      </w:r>
      <w:r w:rsidRPr="00901825">
        <w:rPr>
          <w:rFonts w:ascii="Times New Roman" w:hAnsi="Times New Roman"/>
          <w:sz w:val="24"/>
          <w:szCs w:val="24"/>
        </w:rPr>
        <w:t>C</w:t>
      </w:r>
      <w:r w:rsidRPr="00334147">
        <w:rPr>
          <w:rFonts w:ascii="Times New Roman" w:hAnsi="Times New Roman"/>
          <w:sz w:val="24"/>
          <w:szCs w:val="24"/>
          <w:lang w:val="bg-BG"/>
        </w:rPr>
        <w:t>01, финансиран от Оперативна програма „Околна среда 2014 – 2020 г.“, съфинансиран от Европейския съюз чрез ЕФРР</w:t>
      </w:r>
      <w:r w:rsidRPr="00334147">
        <w:rPr>
          <w:rFonts w:ascii="Times New Roman" w:eastAsiaTheme="minorEastAsia" w:hAnsi="Times New Roman"/>
          <w:sz w:val="24"/>
          <w:szCs w:val="24"/>
          <w:lang w:val="bg-BG"/>
        </w:rPr>
        <w:t xml:space="preserve"> и Кохезионен фонд 06: Съхраняване и опазване на околната среда и насърч</w:t>
      </w:r>
      <w:r w:rsidR="00CF113D" w:rsidRPr="00334147">
        <w:rPr>
          <w:rFonts w:ascii="Times New Roman" w:eastAsiaTheme="minorEastAsia" w:hAnsi="Times New Roman"/>
          <w:sz w:val="24"/>
          <w:szCs w:val="24"/>
          <w:lang w:val="bg-BG"/>
        </w:rPr>
        <w:t>аване на ресурсната ефективност</w:t>
      </w:r>
      <w:r w:rsidR="00CF113D">
        <w:rPr>
          <w:rFonts w:ascii="Times New Roman" w:eastAsiaTheme="minorEastAsia" w:hAnsi="Times New Roman"/>
          <w:sz w:val="24"/>
          <w:szCs w:val="24"/>
          <w:lang w:val="bg-BG"/>
        </w:rPr>
        <w:t xml:space="preserve"> по</w:t>
      </w:r>
      <w:r w:rsidRPr="00334147">
        <w:rPr>
          <w:rFonts w:ascii="Times New Roman" w:eastAsiaTheme="minorEastAsia" w:hAnsi="Times New Roman"/>
          <w:sz w:val="24"/>
          <w:szCs w:val="24"/>
          <w:lang w:val="bg-BG"/>
        </w:rPr>
        <w:t xml:space="preserve"> процедура Изготвяне/актуализиране на планове за действие за видове. </w:t>
      </w:r>
    </w:p>
    <w:p w:rsidR="009758F3" w:rsidRPr="00334147" w:rsidRDefault="00016382" w:rsidP="00901825">
      <w:pPr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334147">
        <w:rPr>
          <w:rFonts w:ascii="Times New Roman" w:hAnsi="Times New Roman"/>
          <w:sz w:val="24"/>
          <w:szCs w:val="24"/>
          <w:lang w:val="bg-BG"/>
        </w:rPr>
        <w:t xml:space="preserve">Планът е за период от 10 години и е </w:t>
      </w:r>
      <w:r w:rsidR="002B53A2" w:rsidRPr="00901825">
        <w:rPr>
          <w:rFonts w:ascii="Times New Roman" w:hAnsi="Times New Roman"/>
          <w:sz w:val="24"/>
          <w:szCs w:val="24"/>
          <w:lang w:val="bg-BG"/>
        </w:rPr>
        <w:t xml:space="preserve">разработен </w:t>
      </w:r>
      <w:r w:rsidRPr="00334147">
        <w:rPr>
          <w:rFonts w:ascii="Times New Roman" w:hAnsi="Times New Roman"/>
          <w:sz w:val="24"/>
          <w:szCs w:val="24"/>
          <w:lang w:val="bg-BG"/>
        </w:rPr>
        <w:t xml:space="preserve">в съответствие с изискванията на Наредба № 5 от 01.08.2003 г. на МОСВ. </w:t>
      </w:r>
    </w:p>
    <w:p w:rsidR="009758F3" w:rsidRDefault="009758F3" w:rsidP="00901825">
      <w:pPr>
        <w:ind w:firstLine="567"/>
        <w:jc w:val="both"/>
        <w:rPr>
          <w:rFonts w:ascii="Times New Roman" w:eastAsiaTheme="minorEastAsia" w:hAnsi="Times New Roman"/>
          <w:sz w:val="24"/>
          <w:szCs w:val="24"/>
          <w:lang w:val="bg-BG"/>
        </w:rPr>
      </w:pPr>
      <w:r w:rsidRPr="00901825">
        <w:rPr>
          <w:rFonts w:ascii="Times New Roman" w:hAnsi="Times New Roman"/>
          <w:sz w:val="24"/>
          <w:szCs w:val="24"/>
          <w:lang w:val="bg-BG"/>
        </w:rPr>
        <w:t>П</w:t>
      </w:r>
      <w:r w:rsidR="00016382" w:rsidRPr="00334147">
        <w:rPr>
          <w:rFonts w:ascii="Times New Roman" w:eastAsiaTheme="minorEastAsia" w:hAnsi="Times New Roman"/>
          <w:sz w:val="24"/>
          <w:szCs w:val="24"/>
          <w:lang w:val="bg-BG"/>
        </w:rPr>
        <w:t xml:space="preserve">ланът е възложен за изготвяне от Министерство на околната среда и водите </w:t>
      </w:r>
      <w:r w:rsidRPr="00334147">
        <w:rPr>
          <w:rFonts w:ascii="Times New Roman" w:eastAsiaTheme="minorEastAsia" w:hAnsi="Times New Roman"/>
          <w:sz w:val="24"/>
          <w:szCs w:val="24"/>
          <w:lang w:val="bg-BG"/>
        </w:rPr>
        <w:t xml:space="preserve">чрез </w:t>
      </w:r>
      <w:r w:rsidR="00016382" w:rsidRPr="00334147">
        <w:rPr>
          <w:rFonts w:ascii="Times New Roman" w:eastAsiaTheme="minorEastAsia" w:hAnsi="Times New Roman"/>
          <w:sz w:val="24"/>
          <w:szCs w:val="24"/>
          <w:lang w:val="bg-BG"/>
        </w:rPr>
        <w:t>Задание</w:t>
      </w:r>
      <w:r w:rsidRPr="00901825">
        <w:rPr>
          <w:rFonts w:ascii="Times New Roman" w:eastAsiaTheme="minorEastAsia" w:hAnsi="Times New Roman"/>
          <w:sz w:val="24"/>
          <w:szCs w:val="24"/>
          <w:lang w:val="bg-BG"/>
        </w:rPr>
        <w:t>,</w:t>
      </w:r>
      <w:r w:rsidR="00016382" w:rsidRPr="00334147">
        <w:rPr>
          <w:rFonts w:ascii="Times New Roman" w:eastAsiaTheme="minorEastAsia" w:hAnsi="Times New Roman"/>
          <w:sz w:val="24"/>
          <w:szCs w:val="24"/>
          <w:lang w:val="bg-BG"/>
        </w:rPr>
        <w:t xml:space="preserve"> </w:t>
      </w:r>
      <w:r w:rsidRPr="00334147">
        <w:rPr>
          <w:rFonts w:ascii="Times New Roman" w:eastAsiaTheme="minorEastAsia" w:hAnsi="Times New Roman"/>
          <w:sz w:val="24"/>
          <w:szCs w:val="24"/>
          <w:lang w:val="bg-BG"/>
        </w:rPr>
        <w:t>съгласувано през 20</w:t>
      </w:r>
      <w:r w:rsidR="00234591" w:rsidRPr="00901825">
        <w:rPr>
          <w:rFonts w:ascii="Times New Roman" w:eastAsiaTheme="minorEastAsia" w:hAnsi="Times New Roman"/>
          <w:sz w:val="24"/>
          <w:szCs w:val="24"/>
          <w:lang w:val="bg-BG"/>
        </w:rPr>
        <w:t>21</w:t>
      </w:r>
      <w:r w:rsidRPr="00334147">
        <w:rPr>
          <w:rFonts w:ascii="Times New Roman" w:eastAsiaTheme="minorEastAsia" w:hAnsi="Times New Roman"/>
          <w:sz w:val="24"/>
          <w:szCs w:val="24"/>
          <w:lang w:val="bg-BG"/>
        </w:rPr>
        <w:t xml:space="preserve"> г. от м</w:t>
      </w:r>
      <w:r w:rsidR="00016382" w:rsidRPr="00334147">
        <w:rPr>
          <w:rFonts w:ascii="Times New Roman" w:eastAsiaTheme="minorEastAsia" w:hAnsi="Times New Roman"/>
          <w:sz w:val="24"/>
          <w:szCs w:val="24"/>
          <w:lang w:val="bg-BG"/>
        </w:rPr>
        <w:t xml:space="preserve">инистъра на околната среда и водите. </w:t>
      </w:r>
    </w:p>
    <w:p w:rsidR="00CF113D" w:rsidRPr="00CF113D" w:rsidRDefault="00CF113D" w:rsidP="00901825">
      <w:pPr>
        <w:ind w:firstLine="567"/>
        <w:jc w:val="both"/>
        <w:rPr>
          <w:rFonts w:ascii="Times New Roman" w:eastAsiaTheme="minorEastAsia" w:hAnsi="Times New Roman"/>
          <w:sz w:val="24"/>
          <w:szCs w:val="24"/>
          <w:lang w:val="bg-BG"/>
        </w:rPr>
      </w:pPr>
    </w:p>
    <w:p w:rsidR="00016382" w:rsidRPr="00901825" w:rsidRDefault="00016382" w:rsidP="00901825">
      <w:pPr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334147">
        <w:rPr>
          <w:rFonts w:ascii="Times New Roman" w:eastAsiaTheme="minorEastAsia" w:hAnsi="Times New Roman"/>
          <w:sz w:val="24"/>
          <w:szCs w:val="24"/>
          <w:lang w:val="bg-BG"/>
        </w:rPr>
        <w:t xml:space="preserve">Изпълнител на плана е Сдружение „Асоциация Наука за природата“, автори на плана са доц. д-р </w:t>
      </w:r>
      <w:r w:rsidR="00234591" w:rsidRPr="00901825">
        <w:rPr>
          <w:rFonts w:ascii="Times New Roman" w:eastAsiaTheme="minorEastAsia" w:hAnsi="Times New Roman"/>
          <w:sz w:val="24"/>
          <w:szCs w:val="24"/>
          <w:lang w:val="bg-BG"/>
        </w:rPr>
        <w:t xml:space="preserve">Стоян Бешков и Ана Нахирнич Бешкова, автор на картния материал е доц. д-р Георги Попгеоргиев. </w:t>
      </w:r>
    </w:p>
    <w:p w:rsidR="00234591" w:rsidRPr="00901825" w:rsidRDefault="00234591" w:rsidP="00901825">
      <w:pPr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</w:pPr>
    </w:p>
    <w:p w:rsidR="00750C5A" w:rsidRDefault="006F1B17" w:rsidP="00901825">
      <w:pPr>
        <w:ind w:firstLine="360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901825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Планът </w:t>
      </w:r>
      <w:r w:rsidR="009758F3" w:rsidRPr="00901825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е изготвен в съответствие с техническото задание, като следва неговата структура.</w:t>
      </w:r>
      <w:r w:rsidR="002B53A2" w:rsidRPr="00901825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Отделните части на плана са качествено разработени</w:t>
      </w:r>
      <w:r w:rsidR="00C72F01" w:rsidRPr="00901825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, детайлни и съответстващи на техническото задание.</w:t>
      </w:r>
      <w:r w:rsidR="009B04D0" w:rsidRPr="00901825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За разработването на плана за действие не е предвидена теренна работа, като е използвана наличната информация (публикувани и непубликувани данни) и е извършен анализ на същата.</w:t>
      </w:r>
      <w:r w:rsidR="002B53A2" w:rsidRPr="00901825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="00C72F01" w:rsidRPr="0090182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Дирекция НСЗП изразява конкретни бележки</w:t>
      </w:r>
      <w:r w:rsidR="00B47EF8" w:rsidRPr="0090182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 за целите на подоб</w:t>
      </w:r>
      <w:r w:rsidR="00695681" w:rsidRPr="0090182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ряване на съдържанието на плана</w:t>
      </w:r>
      <w:r w:rsidR="00334147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:</w:t>
      </w:r>
      <w:r w:rsidR="00750C5A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</w:p>
    <w:p w:rsidR="006330F5" w:rsidRPr="00901825" w:rsidRDefault="006330F5" w:rsidP="00885DD1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695681" w:rsidRPr="00901825" w:rsidRDefault="00695681" w:rsidP="00901825">
      <w:pPr>
        <w:ind w:firstLine="360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3B1097" w:rsidRPr="00901825" w:rsidRDefault="003B1097" w:rsidP="00901825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  <w:r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Не е спазена номер</w:t>
      </w:r>
      <w:r w:rsidR="007C24FB"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ацията на техническото задание – съгласно заданието е </w:t>
      </w:r>
      <w:r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единствено арабска номерация, като </w:t>
      </w:r>
      <w:r w:rsidR="007C24FB"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присъства </w:t>
      </w:r>
      <w:r w:rsidR="00750C5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значително</w:t>
      </w:r>
      <w:r w:rsidR="007C24FB"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разместване в същата. </w:t>
      </w:r>
    </w:p>
    <w:p w:rsidR="00A7691C" w:rsidRPr="00901825" w:rsidRDefault="00A7691C" w:rsidP="00901825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  <w:r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Точка </w:t>
      </w:r>
      <w:r w:rsidRPr="00750C5A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3.3 Мерки</w:t>
      </w:r>
      <w:r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е неправилно разписана на стр. 6, защото се очаква да се формулират единствено второстепенните цели. </w:t>
      </w:r>
    </w:p>
    <w:p w:rsidR="004E725B" w:rsidRPr="00901825" w:rsidRDefault="00A7691C" w:rsidP="00901825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  <w:r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По отношение на </w:t>
      </w:r>
      <w:r w:rsidRPr="001F35C1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 xml:space="preserve">т. </w:t>
      </w:r>
      <w:r w:rsidRPr="001F35C1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val="en-US" w:eastAsia="bg-BG"/>
        </w:rPr>
        <w:t>II</w:t>
      </w:r>
      <w:r w:rsidRPr="00334147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 xml:space="preserve"> </w:t>
      </w:r>
      <w:r w:rsidRPr="001F35C1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Природо</w:t>
      </w:r>
      <w:r w:rsidR="00070BDD" w:rsidRPr="001F35C1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защитен и консервационен статус</w:t>
      </w:r>
      <w:r w:rsidR="004E725B"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:</w:t>
      </w:r>
    </w:p>
    <w:p w:rsidR="004E725B" w:rsidRPr="00901825" w:rsidRDefault="004E725B" w:rsidP="00901825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  <w:r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Да се посочи глобалният природозащитен статус съгласно </w:t>
      </w:r>
      <w:r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en-US" w:eastAsia="bg-BG"/>
        </w:rPr>
        <w:t>IUCN</w:t>
      </w:r>
      <w:r w:rsidRPr="0033414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, </w:t>
      </w:r>
      <w:r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както и съгласно Европейският Червен</w:t>
      </w:r>
      <w:r w:rsidR="005A7C83"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списък (2010 г.). Видът не е включен и в двата, като същото е нужно да се </w:t>
      </w:r>
      <w:r w:rsidR="0072410E"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разпише</w:t>
      </w:r>
      <w:r w:rsidR="005A7C83"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в съответствие със заданието. </w:t>
      </w:r>
    </w:p>
    <w:p w:rsidR="00207DFD" w:rsidRPr="00885DD1" w:rsidRDefault="00C71CC5" w:rsidP="00901825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  <w:r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Неправилно е посочено, че видът</w:t>
      </w:r>
      <w:r w:rsidR="00070BDD"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не попада в обхвата на Бернската конвенция. </w:t>
      </w:r>
      <w:r w:rsidR="00DE306D"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Видът попада в Приложение </w:t>
      </w:r>
      <w:r w:rsidR="00DE306D"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en-US" w:eastAsia="bg-BG"/>
        </w:rPr>
        <w:t>I</w:t>
      </w:r>
      <w:r w:rsidR="00DE306D" w:rsidRPr="0033414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r w:rsidR="00DE306D"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към</w:t>
      </w:r>
      <w:r w:rsidR="007453FC"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ревизираната</w:t>
      </w:r>
      <w:r w:rsidR="00DE306D"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Резолюция № 6 (1998) списъци с видове, които изискват специфични мерки з</w:t>
      </w:r>
      <w:r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а опазване на хабитатите, п</w:t>
      </w:r>
      <w:r w:rsidR="00816013"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риета </w:t>
      </w:r>
      <w:r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от </w:t>
      </w:r>
      <w:r w:rsidR="00816013"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Постоянния Комитет </w:t>
      </w:r>
      <w:r w:rsidR="00816013"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lastRenderedPageBreak/>
        <w:t>на 4 декември 1998 г.</w:t>
      </w:r>
      <w:r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(</w:t>
      </w:r>
      <w:r w:rsidR="00DE306D" w:rsidRPr="00885DD1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Resolution No. 6 (1998) listing the species requiring specific habitat conservation measures (Adopted by the Standing Committee on 4 December 1998)</w:t>
      </w:r>
      <w:r w:rsidR="00852406" w:rsidRPr="00885DD1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 xml:space="preserve">, </w:t>
      </w:r>
      <w:r w:rsidR="00852406"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като с</w:t>
      </w:r>
      <w:r w:rsidR="00213643"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ъответстваща</w:t>
      </w:r>
      <w:r w:rsidR="00852406"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информация се допълни и в т. 6.1</w:t>
      </w:r>
      <w:r w:rsidR="00213643"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.</w:t>
      </w:r>
      <w:r w:rsidR="00852406"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</w:t>
      </w:r>
    </w:p>
    <w:p w:rsidR="00207DFD" w:rsidRPr="00901825" w:rsidRDefault="00207DFD" w:rsidP="00901825">
      <w:pPr>
        <w:pStyle w:val="ListParagraph"/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</w:pPr>
    </w:p>
    <w:p w:rsidR="00A7691C" w:rsidRPr="00901825" w:rsidRDefault="00207DFD" w:rsidP="00901825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  <w:r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Неправилно е изписано името „Директива за дивите местообитания 92/43 на Европейския съюз“</w:t>
      </w:r>
      <w:r w:rsidR="00226A7E"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, която в действителност се нарича</w:t>
      </w:r>
      <w:r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ДИРЕКТИВА 92/43/ЕИО НА СЪВЕТА</w:t>
      </w:r>
      <w:r w:rsidR="00226A7E"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r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от 21 май 1992 година за опазване на естествените местообитания и на дивата флора и фауна. </w:t>
      </w:r>
      <w:r w:rsidR="00BA057B"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Всички конвенции да се изпишат с пълните им имена. </w:t>
      </w:r>
    </w:p>
    <w:p w:rsidR="00D70AA0" w:rsidRPr="00901825" w:rsidRDefault="00D70AA0" w:rsidP="00901825">
      <w:pPr>
        <w:pStyle w:val="ListParagraph"/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</w:p>
    <w:p w:rsidR="00BE5564" w:rsidRPr="00901825" w:rsidRDefault="00D70AA0" w:rsidP="00901825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  <w:r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По отношение на включването в националното законодателство, трябва да се посочи какво е значението на включване в </w:t>
      </w:r>
      <w:r w:rsidR="004D401B"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Приложение № 2 към чл. 6, ал. 1, т. 2 и 3 </w:t>
      </w:r>
      <w:r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Закона за биологично разнообразие, както и да се посочи, че е включено със синонимно име към същия, а именно </w:t>
      </w:r>
      <w:r w:rsidR="00050242" w:rsidRPr="00901825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Callimorpha quadripunctaria</w:t>
      </w:r>
      <w:r w:rsidR="00050242"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. </w:t>
      </w:r>
      <w:r w:rsidR="004D401B"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Видът е обозначен със знак "*", което означава, че същият изисква приоритетно съхранение на неговото местообитание. </w:t>
      </w:r>
    </w:p>
    <w:p w:rsidR="00BE5564" w:rsidRPr="00901825" w:rsidRDefault="00BE5564" w:rsidP="00901825">
      <w:pPr>
        <w:pStyle w:val="ListParagraph"/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</w:p>
    <w:p w:rsidR="006330F5" w:rsidRDefault="00BE5564" w:rsidP="00901825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  <w:r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По отношение на </w:t>
      </w:r>
      <w:r w:rsidRPr="001F35C1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т. 1.2 Морфологично описание на вида</w:t>
      </w:r>
      <w:r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, </w:t>
      </w:r>
      <w:r w:rsidR="00CF5D1C"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описани са структурни разлики, но не и дали е наличен друг полов диморфизъм (напр. размер, окраска), като е нужно да се допълни. </w:t>
      </w:r>
    </w:p>
    <w:p w:rsidR="00C37860" w:rsidRPr="00901825" w:rsidRDefault="00C37860" w:rsidP="00C37860">
      <w:pPr>
        <w:pStyle w:val="ListParagraph"/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</w:p>
    <w:p w:rsidR="00BE5564" w:rsidRDefault="00933B3B" w:rsidP="00901825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  <w:r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В </w:t>
      </w:r>
      <w:r w:rsidRPr="001F35C1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т. 4 Състояние на популацията</w:t>
      </w:r>
      <w:r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, е необходимо да се представи </w:t>
      </w:r>
      <w:r w:rsidR="0033414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приблизителна (ориентировъчна) </w:t>
      </w:r>
      <w:r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числеността на вида съгласно извършените проучвания и анализи до момента, като разбира се може да се аргументира несъвършената методика</w:t>
      </w:r>
      <w:r w:rsidR="00483210"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(Ковачев, А. и др., 2008)</w:t>
      </w:r>
      <w:r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, недостатъчния човешки ресурс, които водят до некачествени данни, но наличните числови данни е необходимо да се цитират. </w:t>
      </w:r>
    </w:p>
    <w:p w:rsidR="00C37860" w:rsidRPr="00C37860" w:rsidRDefault="00C37860" w:rsidP="00C37860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267070" w:rsidRDefault="003A03D6" w:rsidP="00901825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  <w:r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Точка </w:t>
      </w:r>
      <w:r w:rsidRPr="001F35C1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5.1. Неподлежащи на управление фактори</w:t>
      </w:r>
      <w:r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се състои от четири подточки, а именно Популационно-биологични фактори, Конкуренция от страна на други видове, Климатични промени-уязвимост на </w:t>
      </w:r>
      <w:r w:rsidR="00330C1D"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вида, Съществени социално икономически промени. Необходимо е да разработят и анализират и четирите точки съгласно техническото задание (към момента са написани четири реда). Дори да не са налични изследвания в България до момента, може да се извърши </w:t>
      </w:r>
      <w:r w:rsidR="008C3019"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преглед </w:t>
      </w:r>
      <w:r w:rsidR="00330C1D"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на международната литера</w:t>
      </w:r>
      <w:r w:rsidR="00B64FA0"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тура, на базата на които да се разпише експертен анализ по т. 5.1. за страната. </w:t>
      </w:r>
    </w:p>
    <w:p w:rsidR="00C37860" w:rsidRPr="00C37860" w:rsidRDefault="00C37860" w:rsidP="00C37860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D5572B" w:rsidRDefault="00D5572B" w:rsidP="00901825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  <w:r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Точка </w:t>
      </w:r>
      <w:r w:rsidRPr="00A66C35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5.2.8. Фрагментация на местообитанията</w:t>
      </w:r>
      <w:r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и т. </w:t>
      </w:r>
      <w:r w:rsidRPr="00A66C35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5.2.9 Случайни фактори</w:t>
      </w:r>
      <w:r w:rsidRPr="0090182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не са разписани изобщо. </w:t>
      </w:r>
    </w:p>
    <w:p w:rsidR="00C37860" w:rsidRPr="00C37860" w:rsidRDefault="00C37860" w:rsidP="00C37860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A178AB" w:rsidRPr="00885DD1" w:rsidRDefault="00A178AB" w:rsidP="00901825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  <w:r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В т. </w:t>
      </w:r>
      <w:r w:rsidR="00523C47"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7 Необходими природозащитни действия</w:t>
      </w:r>
      <w:r w:rsidR="00533B39"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, за отделните дейности е необходимо да се идентифицира „Изпълнител/Отговорен за реализацията“, в т.ч. държавни институции, научни органи</w:t>
      </w:r>
      <w:r w:rsidR="004E6C06"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зации и неправителствен сектор, като същите се прехвърлят и в т. 8 (табл.) Мониторинг и оценка на плана (</w:t>
      </w:r>
      <w:r w:rsidR="00BE181F"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в момента е разписано „Отговорност за провеждане-МОСВ“ </w:t>
      </w:r>
      <w:r w:rsidR="00BE181F" w:rsidRPr="00885DD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навсякъде</w:t>
      </w:r>
      <w:r w:rsidR="00BE181F"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). </w:t>
      </w:r>
    </w:p>
    <w:p w:rsidR="00BE181F" w:rsidRPr="00885DD1" w:rsidRDefault="00BE181F" w:rsidP="00901825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  <w:r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По отношение на т. 9 Времева рамка и бюджет за природозащитните дейности, е необходимо бюджета да се разпредели количествено по години, за тези от годините, за които съгласно ПД се предвижда извършване на дейността</w:t>
      </w:r>
      <w:r w:rsidR="00901825"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, общата сума да бъде само една колона „Обща сума, лв. </w:t>
      </w:r>
      <w:r w:rsidR="00901825" w:rsidRPr="00A66C3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с ДДС</w:t>
      </w:r>
      <w:r w:rsidR="00901825"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“. </w:t>
      </w:r>
      <w:r w:rsidR="00A66C35"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Да се идентифицират потенциални източници на финансиране (напр. ПОС, ПРСР, ОПРР, </w:t>
      </w:r>
      <w:r w:rsidR="00A66C35"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en-US" w:eastAsia="bg-BG"/>
        </w:rPr>
        <w:t>LIFE</w:t>
      </w:r>
      <w:r w:rsidR="00A66C35" w:rsidRPr="0033414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, </w:t>
      </w:r>
      <w:r w:rsidR="00A66C35" w:rsidRPr="00885DD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ПУДООС, НПРД за НАТУРА 2000, държавния и общински бюджет, различни програми за сътрудничество).</w:t>
      </w:r>
    </w:p>
    <w:p w:rsidR="00CF113D" w:rsidRDefault="00CF113D" w:rsidP="00CF113D">
      <w:pPr>
        <w:pStyle w:val="ListParagraph"/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</w:p>
    <w:p w:rsidR="00CF113D" w:rsidRDefault="00CF113D" w:rsidP="00CF113D">
      <w:pPr>
        <w:pStyle w:val="ListParagraph"/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</w:p>
    <w:p w:rsidR="00F2712E" w:rsidRPr="00334147" w:rsidRDefault="00F2712E" w:rsidP="00F2712E">
      <w:pPr>
        <w:numPr>
          <w:ilvl w:val="0"/>
          <w:numId w:val="14"/>
        </w:numPr>
        <w:overflowPunct/>
        <w:autoSpaceDE/>
        <w:autoSpaceDN/>
        <w:adjustRightInd/>
        <w:spacing w:line="259" w:lineRule="auto"/>
        <w:contextualSpacing/>
        <w:jc w:val="both"/>
        <w:textAlignment w:val="auto"/>
        <w:rPr>
          <w:rFonts w:ascii="Times New Roman" w:eastAsia="Calibri" w:hAnsi="Times New Roman"/>
          <w:b/>
          <w:sz w:val="24"/>
          <w:szCs w:val="24"/>
          <w:lang w:val="bg-BG" w:eastAsia="bg-BG" w:bidi="bg-BG"/>
        </w:rPr>
      </w:pPr>
      <w:r w:rsidRPr="00885DD1">
        <w:rPr>
          <w:rFonts w:ascii="Times New Roman" w:eastAsia="Calibri" w:hAnsi="Times New Roman"/>
          <w:b/>
          <w:sz w:val="24"/>
          <w:szCs w:val="24"/>
          <w:lang w:val="bg-BG" w:eastAsia="bg-BG" w:bidi="bg-BG"/>
        </w:rPr>
        <w:t>Бележки относно ангажиментите, касаещи управлението и мониторинга на ЗЗ в националната екологична мрежа Натура 2000.</w:t>
      </w:r>
    </w:p>
    <w:p w:rsidR="00F2712E" w:rsidRPr="00885DD1" w:rsidRDefault="00F2712E" w:rsidP="00F2712E">
      <w:pPr>
        <w:overflowPunct/>
        <w:autoSpaceDE/>
        <w:autoSpaceDN/>
        <w:adjustRightInd/>
        <w:ind w:left="1080"/>
        <w:contextualSpacing/>
        <w:jc w:val="both"/>
        <w:textAlignment w:val="auto"/>
        <w:rPr>
          <w:rFonts w:ascii="Times New Roman" w:eastAsia="Calibri" w:hAnsi="Times New Roman"/>
          <w:b/>
          <w:sz w:val="24"/>
          <w:szCs w:val="24"/>
          <w:lang w:val="bg-BG" w:eastAsia="bg-BG" w:bidi="bg-BG"/>
        </w:rPr>
      </w:pPr>
    </w:p>
    <w:p w:rsidR="00F2712E" w:rsidRPr="00885DD1" w:rsidRDefault="00F2712E" w:rsidP="00F2712E">
      <w:pPr>
        <w:overflowPunct/>
        <w:autoSpaceDE/>
        <w:autoSpaceDN/>
        <w:adjustRightInd/>
        <w:spacing w:line="259" w:lineRule="auto"/>
        <w:ind w:firstLine="357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 w:bidi="bg-BG"/>
        </w:rPr>
      </w:pPr>
      <w:r w:rsidRPr="00885DD1">
        <w:rPr>
          <w:rFonts w:ascii="Times New Roman" w:eastAsia="Calibri" w:hAnsi="Times New Roman"/>
          <w:sz w:val="24"/>
          <w:szCs w:val="24"/>
          <w:lang w:val="bg-BG" w:eastAsia="bg-BG" w:bidi="bg-BG"/>
        </w:rPr>
        <w:t>По отношение на посоченото в „VIII. Мониторинг и оценка на плана“ следва да се поясни таблица следва да се уточни естеството на ангажиментите, отговорностите и етапа на извършване на тези дейности от оправомощените за това държавни структури. В допълнение Министерство на околната среда и водите е водеща структура за създаване на законова рамка и правоприлагането й по отношение на политики, обвързани с опазване на околна среда, но не е упълномощена да упражнява контролна дейност над други по ранг държавни институции. Министерство на околната среда, чрез Оперативна програма „Околна среда 2014 – 2020“, е страна по договора за одобрение и управление на настоящия план за действие.</w:t>
      </w:r>
    </w:p>
    <w:p w:rsidR="00F2712E" w:rsidRPr="00885DD1" w:rsidRDefault="00F2712E" w:rsidP="00F2712E">
      <w:pPr>
        <w:overflowPunct/>
        <w:autoSpaceDE/>
        <w:autoSpaceDN/>
        <w:adjustRightInd/>
        <w:ind w:firstLine="357"/>
        <w:jc w:val="both"/>
        <w:textAlignment w:val="auto"/>
        <w:rPr>
          <w:rFonts w:ascii="Times New Roman" w:eastAsia="Calibri" w:hAnsi="Times New Roman"/>
          <w:i/>
          <w:sz w:val="24"/>
          <w:szCs w:val="24"/>
          <w:lang w:val="bg-BG" w:eastAsia="bg-BG" w:bidi="bg-BG"/>
        </w:rPr>
      </w:pPr>
      <w:r w:rsidRPr="00885DD1">
        <w:rPr>
          <w:rFonts w:ascii="Times New Roman" w:hAnsi="Times New Roman"/>
          <w:sz w:val="24"/>
          <w:szCs w:val="24"/>
          <w:lang w:val="bg-BG"/>
        </w:rPr>
        <w:t xml:space="preserve">По „Дейност 1.1 Обявяване на ЗЗ Люлин“, част от табл. „Бюджет – отговорник на реализация и финансиращ инструмент“ </w:t>
      </w:r>
      <w:r w:rsidRPr="00885DD1">
        <w:rPr>
          <w:rFonts w:ascii="Times New Roman" w:eastAsia="Calibri" w:hAnsi="Times New Roman"/>
          <w:sz w:val="24"/>
          <w:szCs w:val="24"/>
          <w:lang w:val="bg-BG" w:eastAsia="bg-BG" w:bidi="bg-BG"/>
        </w:rPr>
        <w:t>следва да се поясни, че за допускане до процедура по обявяване на защитена зона по чл. 6, ал. 1 от ЗБР, е необходимо наличието на обстоятелство, в изпълнение на чл. 6, ал. 5 от ЗБР</w:t>
      </w:r>
      <w:r w:rsidRPr="00885DD1">
        <w:rPr>
          <w:rFonts w:ascii="Times New Roman" w:eastAsia="Calibri" w:hAnsi="Times New Roman"/>
          <w:i/>
          <w:sz w:val="24"/>
          <w:szCs w:val="24"/>
          <w:lang w:val="bg-BG" w:eastAsia="bg-BG" w:bidi="bg-BG"/>
        </w:rPr>
        <w:t>:</w:t>
      </w:r>
    </w:p>
    <w:p w:rsidR="00F2712E" w:rsidRDefault="00F2712E" w:rsidP="00F2712E">
      <w:pPr>
        <w:overflowPunct/>
        <w:autoSpaceDE/>
        <w:autoSpaceDN/>
        <w:adjustRightInd/>
        <w:ind w:firstLine="357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 w:bidi="bg-BG"/>
        </w:rPr>
      </w:pPr>
      <w:r w:rsidRPr="00885DD1">
        <w:rPr>
          <w:rFonts w:ascii="Times New Roman" w:eastAsia="Calibri" w:hAnsi="Times New Roman"/>
          <w:i/>
          <w:sz w:val="24"/>
          <w:szCs w:val="24"/>
          <w:lang w:val="bg-BG" w:eastAsia="bg-BG" w:bidi="bg-BG"/>
        </w:rPr>
        <w:t xml:space="preserve"> „Промяна по ал. 1, т. 5 е допустима при възникване на нови данни, установени след обявяване на защитена зона по реда на чл. 12, ал. 6, и се извършва само след отразяването им в стандартния формуляр на зоната по чл. 8, ал. 1, т. 4. Министърът на околната среда и водите издава инструкция за реда и начина на отразяване на нови данни в стандартните формуляри по чл. 8, ал. 1, т. 4.“</w:t>
      </w:r>
      <w:r w:rsidRPr="00885DD1">
        <w:rPr>
          <w:rFonts w:ascii="Times New Roman" w:eastAsia="Calibri" w:hAnsi="Times New Roman"/>
          <w:sz w:val="24"/>
          <w:szCs w:val="24"/>
          <w:lang w:val="bg-BG" w:eastAsia="bg-BG" w:bidi="bg-BG"/>
        </w:rPr>
        <w:t xml:space="preserve">, да са налични неоспорими доказателства и факти за настоящото състояние с висока степен на значимост и застрашеност на местообитание и/или видове и необходимостта от увеличаване на съществуващата или обявяване на нова защитена зона. </w:t>
      </w:r>
    </w:p>
    <w:p w:rsidR="00334147" w:rsidRPr="00885DD1" w:rsidRDefault="00334147" w:rsidP="00F2712E">
      <w:pPr>
        <w:overflowPunct/>
        <w:autoSpaceDE/>
        <w:autoSpaceDN/>
        <w:adjustRightInd/>
        <w:ind w:firstLine="357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 w:bidi="bg-BG"/>
        </w:rPr>
      </w:pPr>
      <w:r>
        <w:rPr>
          <w:rFonts w:ascii="Times New Roman" w:eastAsia="Calibri" w:hAnsi="Times New Roman"/>
          <w:sz w:val="24"/>
          <w:szCs w:val="24"/>
          <w:lang w:val="bg-BG" w:eastAsia="bg-BG" w:bidi="bg-BG"/>
        </w:rPr>
        <w:t xml:space="preserve">Следва да се разгледа и възможността да бъде обявена защитена територия, а не защитен зона, която би изпълнявала същите функции. </w:t>
      </w:r>
    </w:p>
    <w:p w:rsidR="00F2712E" w:rsidRPr="00885DD1" w:rsidRDefault="00F2712E" w:rsidP="00F2712E">
      <w:pPr>
        <w:overflowPunct/>
        <w:autoSpaceDE/>
        <w:autoSpaceDN/>
        <w:adjustRightInd/>
        <w:ind w:firstLine="357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 w:bidi="bg-BG"/>
        </w:rPr>
      </w:pPr>
      <w:r w:rsidRPr="00885DD1">
        <w:rPr>
          <w:rFonts w:ascii="Times New Roman" w:eastAsia="Calibri" w:hAnsi="Times New Roman"/>
          <w:sz w:val="24"/>
          <w:szCs w:val="24"/>
          <w:lang w:val="bg-BG" w:eastAsia="bg-BG" w:bidi="bg-BG"/>
        </w:rPr>
        <w:t xml:space="preserve">За целите на прилагане на качествено управление и едновременно с това подобряване на природозащитния статус следва да се изготвят специфични цели на съществуващи защитени зони. Към юли 2021 г. е разработена и одобрена „Концепцията на специфични и подробни природозащитни цели на ниво защитена зона за зони от екологичната мрежа Натура 2000“. Тя кореспондира тясно с необходимостта от конкретни действия за опазване спрямо териториалните и видови характеристики за всяка ЗЗ. </w:t>
      </w:r>
    </w:p>
    <w:p w:rsidR="00F2712E" w:rsidRPr="00885DD1" w:rsidRDefault="00F2712E" w:rsidP="00F2712E">
      <w:pPr>
        <w:overflowPunct/>
        <w:autoSpaceDE/>
        <w:autoSpaceDN/>
        <w:adjustRightInd/>
        <w:ind w:firstLine="357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 w:bidi="bg-BG"/>
        </w:rPr>
      </w:pPr>
      <w:r w:rsidRPr="00885DD1">
        <w:rPr>
          <w:rFonts w:ascii="Times New Roman" w:eastAsia="Calibri" w:hAnsi="Times New Roman"/>
          <w:sz w:val="24"/>
          <w:szCs w:val="24"/>
          <w:lang w:val="bg-BG" w:eastAsia="bg-BG" w:bidi="bg-BG"/>
        </w:rPr>
        <w:t xml:space="preserve">По отношение на горепосоченото в Националния план за възстановяване и устойчивост е залегнало изпълнението на </w:t>
      </w:r>
      <w:r w:rsidRPr="00885DD1">
        <w:rPr>
          <w:rFonts w:ascii="Times New Roman" w:eastAsia="Calibri" w:hAnsi="Times New Roman"/>
          <w:sz w:val="24"/>
          <w:szCs w:val="24"/>
          <w:lang w:val="bg-BG"/>
        </w:rPr>
        <w:t>Проект „Интегриране на екосистемния подход и прилагане на решения базирани на природата в опазването на защитените зони от мрежата Натура 2000“. Основната цел в проекта е свързана с осигуряване на качествено и модерно управление на биоразнообразието и Натура 2000 в България</w:t>
      </w:r>
      <w:r w:rsidRPr="00885DD1">
        <w:rPr>
          <w:rFonts w:ascii="Times New Roman" w:eastAsia="Calibri" w:hAnsi="Times New Roman"/>
          <w:sz w:val="24"/>
          <w:szCs w:val="24"/>
          <w:lang w:val="bg-BG" w:eastAsia="bg-BG" w:bidi="bg-BG"/>
        </w:rPr>
        <w:t>.</w:t>
      </w:r>
    </w:p>
    <w:p w:rsidR="00F2712E" w:rsidRPr="00885DD1" w:rsidRDefault="00F2712E" w:rsidP="00F2712E">
      <w:pPr>
        <w:overflowPunct/>
        <w:autoSpaceDE/>
        <w:autoSpaceDN/>
        <w:adjustRightInd/>
        <w:ind w:firstLine="357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 w:bidi="bg-BG"/>
        </w:rPr>
      </w:pPr>
      <w:r w:rsidRPr="00885DD1">
        <w:rPr>
          <w:rFonts w:ascii="Times New Roman" w:eastAsia="Calibri" w:hAnsi="Times New Roman"/>
          <w:sz w:val="24"/>
          <w:szCs w:val="24"/>
          <w:lang w:val="bg-BG" w:eastAsia="bg-BG" w:bidi="bg-BG"/>
        </w:rPr>
        <w:t xml:space="preserve">В конкретика част от дейностите по проекта са насочени към </w:t>
      </w:r>
      <w:r w:rsidRPr="00885DD1">
        <w:rPr>
          <w:rFonts w:ascii="Times New Roman" w:eastAsia="Calibri" w:hAnsi="Times New Roman"/>
          <w:sz w:val="24"/>
          <w:szCs w:val="24"/>
          <w:lang w:val="bg-BG"/>
        </w:rPr>
        <w:t>разработване на специфични цели и мерки за 255 защитени зони, и мерки за опазване за 86 защитени зони</w:t>
      </w:r>
      <w:r w:rsidRPr="00885DD1">
        <w:rPr>
          <w:rFonts w:ascii="Times New Roman" w:eastAsia="Calibri" w:hAnsi="Times New Roman"/>
          <w:sz w:val="24"/>
          <w:szCs w:val="24"/>
          <w:lang w:val="bg-BG" w:eastAsia="bg-BG" w:bidi="bg-BG"/>
        </w:rPr>
        <w:t>. По отношение на осигуряването на финансови средства, проектът ще се осъществи с бюджетната подкрепа на Механизма за възстановяване и устойчивост, част Биоразнообразие.</w:t>
      </w:r>
    </w:p>
    <w:p w:rsidR="00F2712E" w:rsidRPr="00885DD1" w:rsidRDefault="00F2712E" w:rsidP="00F2712E">
      <w:pPr>
        <w:overflowPunct/>
        <w:autoSpaceDE/>
        <w:autoSpaceDN/>
        <w:adjustRightInd/>
        <w:spacing w:line="259" w:lineRule="auto"/>
        <w:ind w:firstLine="357"/>
        <w:jc w:val="both"/>
        <w:textAlignment w:val="auto"/>
        <w:rPr>
          <w:rFonts w:ascii="Times New Roman" w:hAnsi="Times New Roman"/>
          <w:bCs/>
          <w:sz w:val="24"/>
          <w:szCs w:val="24"/>
          <w:lang w:val="bg-BG" w:bidi="bg-BG"/>
        </w:rPr>
      </w:pPr>
      <w:r w:rsidRPr="00885DD1">
        <w:rPr>
          <w:rFonts w:ascii="Times New Roman" w:hAnsi="Times New Roman"/>
          <w:sz w:val="24"/>
          <w:szCs w:val="24"/>
          <w:lang w:val="bg-BG"/>
        </w:rPr>
        <w:t>По съвкупността от дейности, посочени в табл. „Бюджет – отговорник на реализация и финансиращ инструмент“ следва да се поясни, че съгласно НПРД 2021-2027 са о</w:t>
      </w:r>
      <w:bookmarkStart w:id="1" w:name="_Toc39473143"/>
      <w:bookmarkStart w:id="2" w:name="_Toc86598265"/>
      <w:r w:rsidRPr="00885DD1">
        <w:rPr>
          <w:rFonts w:ascii="Times New Roman" w:hAnsi="Times New Roman"/>
          <w:sz w:val="24"/>
          <w:szCs w:val="24"/>
          <w:lang w:val="bg-BG"/>
        </w:rPr>
        <w:t>пределени: „</w:t>
      </w:r>
      <w:r w:rsidRPr="00885DD1">
        <w:rPr>
          <w:rFonts w:ascii="Times New Roman" w:hAnsi="Times New Roman"/>
          <w:bCs/>
          <w:sz w:val="24"/>
          <w:szCs w:val="24"/>
          <w:lang w:val="bg-BG" w:bidi="bg-BG"/>
        </w:rPr>
        <w:t>Мярка 12: Обучение на органите на изпълнителната власт, доброволци, лица извършващи дейности в степни, пасищни и горски екосистеми, и населението за действия при пожари</w:t>
      </w:r>
      <w:bookmarkEnd w:id="1"/>
      <w:bookmarkEnd w:id="2"/>
      <w:r w:rsidRPr="00885DD1">
        <w:rPr>
          <w:rFonts w:ascii="Times New Roman" w:hAnsi="Times New Roman"/>
          <w:bCs/>
          <w:sz w:val="24"/>
          <w:szCs w:val="24"/>
          <w:lang w:val="bg-BG" w:bidi="bg-BG"/>
        </w:rPr>
        <w:t>“ и „Мярка 27: Подобряване на природозащитното състояние на типове природни местообитания чрез повишаване на ефективността при борба с пожарите в степни, пасищни и горски екосистеми“, посочена по-горе, обуславящи противопожарни дейности.</w:t>
      </w:r>
    </w:p>
    <w:p w:rsidR="00F2712E" w:rsidRPr="00885DD1" w:rsidRDefault="00F2712E" w:rsidP="00F2712E">
      <w:pPr>
        <w:overflowPunct/>
        <w:autoSpaceDE/>
        <w:autoSpaceDN/>
        <w:adjustRightInd/>
        <w:spacing w:line="259" w:lineRule="auto"/>
        <w:ind w:firstLine="357"/>
        <w:jc w:val="both"/>
        <w:textAlignment w:val="auto"/>
        <w:rPr>
          <w:rFonts w:ascii="Times New Roman" w:hAnsi="Times New Roman"/>
          <w:bCs/>
          <w:sz w:val="24"/>
          <w:szCs w:val="24"/>
          <w:lang w:val="bg-BG" w:bidi="bg-BG"/>
        </w:rPr>
      </w:pPr>
      <w:r w:rsidRPr="00885DD1">
        <w:rPr>
          <w:rFonts w:ascii="Times New Roman" w:hAnsi="Times New Roman"/>
          <w:bCs/>
          <w:sz w:val="24"/>
          <w:szCs w:val="24"/>
          <w:lang w:val="bg-BG" w:bidi="bg-BG"/>
        </w:rPr>
        <w:t xml:space="preserve">По „Дейност 3.6 Закупуване или преобразуване на НТП на държавна и/или общинска земя за създаване на сервитутни ивици в моноблоковете земеделски земи“ следва да се поясни, че съгласно НПРД 2021 – 2027 подобни действия са допустими единствено в изпълнение на Мярка 36: Подобряване на природозащитното състояние на тревни типове природни местообитания чрез закупуване/отчуждаване на земи, включително компенсация за правото на строеж  за 62C0 Понто-Сарматски степи с финансовата подкрепа на Европейския фонд за регионално развитие чрез Програма „Околна среда 2021 – 2027“ за защитени зони със съответните кодове, касаещи природните местообитания на </w:t>
      </w:r>
      <w:r w:rsidRPr="00885DD1">
        <w:rPr>
          <w:rFonts w:ascii="Times New Roman" w:eastAsia="Calibri" w:hAnsi="Times New Roman"/>
          <w:i/>
          <w:sz w:val="24"/>
          <w:szCs w:val="24"/>
          <w:lang w:val="bg-BG"/>
        </w:rPr>
        <w:t>Euplagia quadripunctaria</w:t>
      </w:r>
      <w:r w:rsidRPr="00885DD1">
        <w:rPr>
          <w:rFonts w:ascii="Times New Roman" w:eastAsia="Calibri" w:hAnsi="Times New Roman"/>
          <w:sz w:val="24"/>
          <w:szCs w:val="24"/>
          <w:lang w:val="bg-BG"/>
        </w:rPr>
        <w:t xml:space="preserve">, както следва: </w:t>
      </w:r>
      <w:r w:rsidRPr="00885DD1">
        <w:rPr>
          <w:rFonts w:ascii="Times New Roman" w:eastAsia="Calibri" w:hAnsi="Times New Roman"/>
          <w:sz w:val="24"/>
          <w:szCs w:val="24"/>
          <w:lang w:val="bg-BG" w:eastAsia="bg-BG" w:bidi="bg-BG"/>
        </w:rPr>
        <w:t>BG0000573; BG0000107.</w:t>
      </w:r>
    </w:p>
    <w:p w:rsidR="00F2712E" w:rsidRPr="00885DD1" w:rsidRDefault="00F2712E" w:rsidP="00F2712E">
      <w:pPr>
        <w:jc w:val="both"/>
        <w:rPr>
          <w:rFonts w:ascii="Times New Roman" w:eastAsia="Calibri" w:hAnsi="Times New Roman"/>
          <w:b/>
          <w:sz w:val="24"/>
          <w:szCs w:val="24"/>
          <w:lang w:val="bg-BG" w:eastAsia="bg-BG" w:bidi="bg-BG"/>
        </w:rPr>
      </w:pPr>
    </w:p>
    <w:p w:rsidR="00AC77ED" w:rsidRPr="003C205D" w:rsidRDefault="00AC77ED" w:rsidP="00AC77ED">
      <w:pPr>
        <w:ind w:firstLine="709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При изпълнението на мерките от плана за </w:t>
      </w:r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всяка мярка изпълнителите на проектите следва да докладват в МОСВ „Площ на природни местообитанията и местообитания на видове, върху които са приложени мерки за подобряване на състоянието им (в хектари).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</w:p>
    <w:p w:rsidR="00AC77ED" w:rsidRPr="003C205D" w:rsidRDefault="00AC77ED" w:rsidP="00AC77ED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Индикаторът се докладва в хектари и геореферирана база с данни, вкл. първични бази с данни от проектите. За реализираните проекти следва да се включат 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следните</w:t>
      </w:r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задължителни пространствени компоненти, картен материал в цифров вид, както и пространствени данни в цифров вид (ГИС). Изискванията към картния материал и пространствените данни са: картният материал да бъде в мащаб, позволяващ разчитане на детайлите, представени в съответната карта; Пространствени данни, които се представят в цифров вид - геобаза данни с метаданни или ЕSRI *shp (ESRI shape file), в проекционна координатна система WGS84/UTM зона 35N и/или в официалната за страната система, при спазване на следната структура:</w:t>
      </w:r>
    </w:p>
    <w:p w:rsidR="00AC77ED" w:rsidRPr="003C205D" w:rsidRDefault="00AC77ED" w:rsidP="00AC77ED">
      <w:pPr>
        <w:pStyle w:val="ListParagraph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bg-BG"/>
        </w:rPr>
      </w:pPr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bg-BG"/>
        </w:rPr>
        <w:t>геобаза/пакет от използваните изходни данни, които не са публично достъпни и/или не са в информационната система на НАТУРА 2000;</w:t>
      </w:r>
    </w:p>
    <w:p w:rsidR="00AC77ED" w:rsidRPr="003C205D" w:rsidRDefault="00AC77ED" w:rsidP="00AC77ED">
      <w:pPr>
        <w:pStyle w:val="ListParagraph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bg-BG"/>
        </w:rPr>
      </w:pPr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bg-BG"/>
        </w:rPr>
        <w:t>геобаза/пакет от данни от проведените дейности на терен - GPS трак и точки с регистрации; полеви формуляри; снимков материал;</w:t>
      </w:r>
    </w:p>
    <w:p w:rsidR="00AC77ED" w:rsidRDefault="00AC77ED" w:rsidP="00AC77ED">
      <w:pPr>
        <w:pStyle w:val="ListParagraph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bg-BG"/>
        </w:rPr>
      </w:pPr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bg-BG"/>
        </w:rPr>
        <w:t>геобаза/пакет от данни от крайни продукти, получени от извършените анализи и обобщения.</w:t>
      </w:r>
    </w:p>
    <w:p w:rsidR="00AC77ED" w:rsidRPr="003C205D" w:rsidRDefault="00AC77ED" w:rsidP="00AC77ED">
      <w:pPr>
        <w:pStyle w:val="ListParagraph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bg-BG"/>
        </w:rPr>
      </w:pPr>
    </w:p>
    <w:p w:rsidR="00F2712E" w:rsidRPr="00334147" w:rsidRDefault="00F2712E" w:rsidP="00F2712E">
      <w:pPr>
        <w:overflowPunct/>
        <w:autoSpaceDE/>
        <w:autoSpaceDN/>
        <w:adjustRightInd/>
        <w:spacing w:line="270" w:lineRule="atLeast"/>
        <w:ind w:firstLine="709"/>
        <w:jc w:val="both"/>
        <w:textAlignment w:val="auto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885DD1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Обръщаме внимание, че преди разглеждане на плана за действие от НСБР е необходимо да бъде проведена съгласувателна процедура по реда на екологичното законодателство. В тази връзка, предвид входираното от вносителите на плана уведомление по чл.10, ал.1 от </w:t>
      </w:r>
      <w:r w:rsidRPr="00885DD1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Наредба за условията и реда за извършване на оценка за съвместимостта на планове, програми, проекти и инвестиционни предложения с предмета и целите на опазване на защитените зони (Наредбата за ОС, обн., ДВ бр. 73/2007 г., изм. и доп.), </w:t>
      </w:r>
      <w:r w:rsidRPr="00885DD1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следва да ги уведомите, че отдел „Натура 2000 и ЗТ“ ще се произнесе след отстраняване на цитираните по горе бележки.</w:t>
      </w:r>
    </w:p>
    <w:p w:rsidR="00334147" w:rsidRDefault="00334147" w:rsidP="00334147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334147" w:rsidRDefault="00334147" w:rsidP="00334147">
      <w:pPr>
        <w:ind w:firstLine="720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В заключение дирекция НСЗП изразява </w:t>
      </w:r>
      <w:r w:rsidRPr="008F0A2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положително становище </w:t>
      </w:r>
      <w:r w:rsidRPr="008F0A25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с висока оценка за предоставените данни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и предлага на съвета 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следното решение: </w:t>
      </w:r>
      <w:r w:rsidRPr="00702E6A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М</w:t>
      </w:r>
      <w:r w:rsidRPr="00702E6A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инистъра на околната среда и водите да утвърди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Pr="00901825">
        <w:rPr>
          <w:rFonts w:ascii="Times New Roman" w:hAnsi="Times New Roman"/>
          <w:b/>
          <w:sz w:val="24"/>
          <w:szCs w:val="24"/>
          <w:lang w:val="bg-BG"/>
        </w:rPr>
        <w:t>„План за действие за опазване на тигровата пеперуда</w:t>
      </w:r>
      <w:r w:rsidRPr="00334147">
        <w:rPr>
          <w:rFonts w:ascii="Times New Roman" w:hAnsi="Times New Roman"/>
          <w:b/>
          <w:sz w:val="24"/>
          <w:szCs w:val="24"/>
          <w:lang w:val="bg-BG"/>
        </w:rPr>
        <w:t xml:space="preserve"> (</w:t>
      </w:r>
      <w:proofErr w:type="spellStart"/>
      <w:r w:rsidRPr="00901825">
        <w:rPr>
          <w:rFonts w:ascii="Times New Roman" w:eastAsiaTheme="minorEastAsia" w:hAnsi="Times New Roman"/>
          <w:b/>
          <w:i/>
          <w:sz w:val="24"/>
          <w:szCs w:val="24"/>
        </w:rPr>
        <w:t>Euplagia</w:t>
      </w:r>
      <w:proofErr w:type="spellEnd"/>
      <w:r w:rsidRPr="00334147">
        <w:rPr>
          <w:rFonts w:ascii="Times New Roman" w:eastAsiaTheme="minorEastAsia" w:hAnsi="Times New Roman"/>
          <w:b/>
          <w:i/>
          <w:sz w:val="24"/>
          <w:szCs w:val="24"/>
          <w:lang w:val="bg-BG"/>
        </w:rPr>
        <w:t xml:space="preserve"> </w:t>
      </w:r>
      <w:proofErr w:type="spellStart"/>
      <w:r w:rsidRPr="00901825">
        <w:rPr>
          <w:rFonts w:ascii="Times New Roman" w:eastAsiaTheme="minorEastAsia" w:hAnsi="Times New Roman"/>
          <w:b/>
          <w:i/>
          <w:sz w:val="24"/>
          <w:szCs w:val="24"/>
        </w:rPr>
        <w:t>quadripunctaria</w:t>
      </w:r>
      <w:proofErr w:type="spellEnd"/>
      <w:r w:rsidRPr="00334147">
        <w:rPr>
          <w:rFonts w:ascii="Times New Roman" w:hAnsi="Times New Roman"/>
          <w:b/>
          <w:sz w:val="24"/>
          <w:szCs w:val="24"/>
          <w:lang w:val="bg-BG"/>
        </w:rPr>
        <w:t xml:space="preserve">) </w:t>
      </w:r>
      <w:r w:rsidRPr="00901825">
        <w:rPr>
          <w:rFonts w:ascii="Times New Roman" w:hAnsi="Times New Roman"/>
          <w:b/>
          <w:sz w:val="24"/>
          <w:szCs w:val="24"/>
          <w:lang w:val="bg-BG"/>
        </w:rPr>
        <w:t>в България за периода 2022-2031 г.“</w:t>
      </w:r>
      <w:r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val="bg-BG" w:eastAsia="bg-BG"/>
        </w:rPr>
        <w:t>,</w:t>
      </w:r>
      <w:r w:rsidRPr="006F1B17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Pr="0091292A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след съобразяване с направените бележки и решения от Съвета.</w:t>
      </w:r>
    </w:p>
    <w:p w:rsidR="003476F0" w:rsidRPr="009758F3" w:rsidRDefault="003476F0" w:rsidP="00334147">
      <w:pPr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bg-BG" w:eastAsia="bg-BG"/>
        </w:rPr>
      </w:pPr>
    </w:p>
    <w:sectPr w:rsidR="003476F0" w:rsidRPr="009758F3" w:rsidSect="00F1223C">
      <w:headerReference w:type="first" r:id="rId7"/>
      <w:footerReference w:type="first" r:id="rId8"/>
      <w:pgSz w:w="11907" w:h="16840" w:code="9"/>
      <w:pgMar w:top="1134" w:right="837" w:bottom="567" w:left="1349" w:header="568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550" w:rsidRDefault="00C24550">
      <w:r>
        <w:separator/>
      </w:r>
    </w:p>
  </w:endnote>
  <w:endnote w:type="continuationSeparator" w:id="0">
    <w:p w:rsidR="00C24550" w:rsidRDefault="00C24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ok">
    <w:charset w:val="02"/>
    <w:family w:val="auto"/>
    <w:pitch w:val="variable"/>
    <w:sig w:usb0="00000000" w:usb1="10000000" w:usb2="00000000" w:usb3="00000000" w:csb0="80000000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6A4" w:rsidRPr="006826A4" w:rsidRDefault="00C7759E" w:rsidP="006826A4">
    <w:pPr>
      <w:pStyle w:val="Footer"/>
      <w:rPr>
        <w:rFonts w:ascii="Calibri" w:eastAsia="Calibri" w:hAnsi="Calibri"/>
        <w:sz w:val="22"/>
        <w:szCs w:val="22"/>
        <w:lang w:val="bg-BG"/>
      </w:rPr>
    </w:pPr>
    <w:r>
      <w:rPr>
        <w:rFonts w:ascii="Times New Roman" w:hAnsi="Times New Roman"/>
        <w:noProof/>
        <w:lang w:val="bg-BG"/>
      </w:rPr>
      <w:tab/>
    </w:r>
    <w:r w:rsidR="008055A5"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53220D" wp14:editId="4C4E34B9">
              <wp:simplePos x="0" y="0"/>
              <wp:positionH relativeFrom="column">
                <wp:posOffset>62865</wp:posOffset>
              </wp:positionH>
              <wp:positionV relativeFrom="paragraph">
                <wp:posOffset>80645</wp:posOffset>
              </wp:positionV>
              <wp:extent cx="5864860" cy="20955"/>
              <wp:effectExtent l="0" t="0" r="21590" b="36195"/>
              <wp:wrapNone/>
              <wp:docPr id="5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1E1C2660" id="Straight Connector 10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95pt,6.35pt" to="466.7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">
              <o:lock v:ext="edit" shapetype="f"/>
            </v:line>
          </w:pict>
        </mc:Fallback>
      </mc:AlternateContent>
    </w:r>
  </w:p>
  <w:tbl>
    <w:tblPr>
      <w:tblW w:w="9647" w:type="dxa"/>
      <w:tblLook w:val="04A0" w:firstRow="1" w:lastRow="0" w:firstColumn="1" w:lastColumn="0" w:noHBand="0" w:noVBand="1"/>
    </w:tblPr>
    <w:tblGrid>
      <w:gridCol w:w="3096"/>
      <w:gridCol w:w="4710"/>
      <w:gridCol w:w="1841"/>
    </w:tblGrid>
    <w:tr w:rsidR="006826A4" w:rsidRPr="006826A4" w:rsidTr="006826A4">
      <w:trPr>
        <w:trHeight w:val="1013"/>
      </w:trPr>
      <w:tc>
        <w:tcPr>
          <w:tcW w:w="2356" w:type="dxa"/>
          <w:hideMark/>
        </w:tcPr>
        <w:p w:rsidR="006826A4" w:rsidRPr="006826A4" w:rsidRDefault="008055A5" w:rsidP="006826A4">
          <w:pPr>
            <w:tabs>
              <w:tab w:val="center" w:pos="4703"/>
              <w:tab w:val="right" w:pos="9406"/>
            </w:tabs>
            <w:overflowPunct/>
            <w:autoSpaceDE/>
            <w:autoSpaceDN/>
            <w:adjustRightInd/>
            <w:spacing w:line="276" w:lineRule="auto"/>
            <w:jc w:val="center"/>
            <w:textAlignment w:val="auto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lang w:val="bg-BG" w:eastAsia="bg-BG"/>
            </w:rPr>
            <w:drawing>
              <wp:inline distT="0" distB="0" distL="0" distR="0" wp14:anchorId="6F497B8A" wp14:editId="71155145">
                <wp:extent cx="1828800" cy="72390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:rsidR="006826A4" w:rsidRPr="00D27EF7" w:rsidRDefault="006826A4" w:rsidP="006826A4">
          <w:pPr>
            <w:tabs>
              <w:tab w:val="center" w:pos="4703"/>
              <w:tab w:val="right" w:pos="9406"/>
            </w:tabs>
            <w:overflowPunct/>
            <w:autoSpaceDE/>
            <w:autoSpaceDN/>
            <w:adjustRightInd/>
            <w:spacing w:line="276" w:lineRule="auto"/>
            <w:jc w:val="center"/>
            <w:textAlignment w:val="auto"/>
            <w:rPr>
              <w:rFonts w:ascii="Times New Roman" w:eastAsia="Calibri" w:hAnsi="Times New Roman"/>
              <w:sz w:val="22"/>
              <w:szCs w:val="22"/>
            </w:rPr>
          </w:pPr>
          <w:proofErr w:type="spellStart"/>
          <w:r w:rsidRPr="00D27EF7">
            <w:rPr>
              <w:rFonts w:ascii="Times New Roman" w:eastAsia="Calibri" w:hAnsi="Times New Roman"/>
              <w:sz w:val="22"/>
              <w:szCs w:val="22"/>
            </w:rPr>
            <w:t>София</w:t>
          </w:r>
          <w:proofErr w:type="spellEnd"/>
          <w:r w:rsidRPr="00D27EF7">
            <w:rPr>
              <w:rFonts w:ascii="Times New Roman" w:eastAsia="Calibri" w:hAnsi="Times New Roman"/>
              <w:sz w:val="22"/>
              <w:szCs w:val="22"/>
            </w:rPr>
            <w:t xml:space="preserve">, 1000, </w:t>
          </w:r>
          <w:proofErr w:type="spellStart"/>
          <w:r w:rsidRPr="00D27EF7">
            <w:rPr>
              <w:rFonts w:ascii="Times New Roman" w:eastAsia="Calibri" w:hAnsi="Times New Roman"/>
              <w:sz w:val="22"/>
              <w:szCs w:val="22"/>
            </w:rPr>
            <w:t>бул</w:t>
          </w:r>
          <w:proofErr w:type="spellEnd"/>
          <w:r w:rsidRPr="00D27EF7">
            <w:rPr>
              <w:rFonts w:ascii="Times New Roman" w:eastAsia="Calibri" w:hAnsi="Times New Roman"/>
              <w:sz w:val="22"/>
              <w:szCs w:val="22"/>
            </w:rPr>
            <w:t>. „</w:t>
          </w:r>
          <w:proofErr w:type="spellStart"/>
          <w:r w:rsidRPr="00D27EF7">
            <w:rPr>
              <w:rFonts w:ascii="Times New Roman" w:eastAsia="Calibri" w:hAnsi="Times New Roman"/>
              <w:sz w:val="22"/>
              <w:szCs w:val="22"/>
            </w:rPr>
            <w:t>Кн</w:t>
          </w:r>
          <w:proofErr w:type="spellEnd"/>
          <w:r w:rsidRPr="00D27EF7">
            <w:rPr>
              <w:rFonts w:ascii="Times New Roman" w:eastAsia="Calibri" w:hAnsi="Times New Roman"/>
              <w:sz w:val="22"/>
              <w:szCs w:val="22"/>
            </w:rPr>
            <w:t xml:space="preserve">. </w:t>
          </w:r>
          <w:proofErr w:type="spellStart"/>
          <w:r w:rsidRPr="00D27EF7">
            <w:rPr>
              <w:rFonts w:ascii="Times New Roman" w:eastAsia="Calibri" w:hAnsi="Times New Roman"/>
              <w:sz w:val="22"/>
              <w:szCs w:val="22"/>
            </w:rPr>
            <w:t>Мария</w:t>
          </w:r>
          <w:proofErr w:type="spellEnd"/>
          <w:r w:rsidRPr="00D27EF7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proofErr w:type="spellStart"/>
          <w:r w:rsidRPr="00D27EF7">
            <w:rPr>
              <w:rFonts w:ascii="Times New Roman" w:eastAsia="Calibri" w:hAnsi="Times New Roman"/>
              <w:sz w:val="22"/>
              <w:szCs w:val="22"/>
            </w:rPr>
            <w:t>Луиза</w:t>
          </w:r>
          <w:proofErr w:type="spellEnd"/>
          <w:r w:rsidRPr="00D27EF7">
            <w:rPr>
              <w:rFonts w:ascii="Times New Roman" w:eastAsia="Calibri" w:hAnsi="Times New Roman"/>
              <w:sz w:val="22"/>
              <w:szCs w:val="22"/>
            </w:rPr>
            <w:t>” 22</w:t>
          </w:r>
        </w:p>
        <w:p w:rsidR="006826A4" w:rsidRPr="00D27EF7" w:rsidRDefault="006826A4" w:rsidP="006826A4">
          <w:pPr>
            <w:tabs>
              <w:tab w:val="center" w:pos="4703"/>
              <w:tab w:val="right" w:pos="9406"/>
            </w:tabs>
            <w:overflowPunct/>
            <w:autoSpaceDE/>
            <w:autoSpaceDN/>
            <w:adjustRightInd/>
            <w:spacing w:line="276" w:lineRule="auto"/>
            <w:jc w:val="center"/>
            <w:textAlignment w:val="auto"/>
            <w:rPr>
              <w:rFonts w:ascii="Times New Roman" w:eastAsia="Calibri" w:hAnsi="Times New Roman"/>
              <w:sz w:val="22"/>
              <w:szCs w:val="22"/>
            </w:rPr>
          </w:pPr>
        </w:p>
        <w:p w:rsidR="00D17C38" w:rsidRPr="00D17C38" w:rsidRDefault="006826A4" w:rsidP="00D17C38">
          <w:pPr>
            <w:rPr>
              <w:rFonts w:ascii="Times New Roman" w:hAnsi="Times New Roman"/>
              <w:b/>
              <w:lang w:val="bg-BG"/>
            </w:rPr>
          </w:pPr>
          <w:proofErr w:type="spellStart"/>
          <w:r w:rsidRPr="00D27EF7">
            <w:rPr>
              <w:rFonts w:ascii="Times New Roman" w:eastAsia="Calibri" w:hAnsi="Times New Roman"/>
              <w:sz w:val="22"/>
              <w:szCs w:val="22"/>
            </w:rPr>
            <w:t>Тел</w:t>
          </w:r>
          <w:proofErr w:type="spellEnd"/>
          <w:r w:rsidRPr="00D27EF7">
            <w:rPr>
              <w:rFonts w:ascii="Times New Roman" w:eastAsia="Calibri" w:hAnsi="Times New Roman"/>
              <w:sz w:val="22"/>
              <w:szCs w:val="22"/>
            </w:rPr>
            <w:t xml:space="preserve">: +359(2) 940 </w:t>
          </w:r>
          <w:r w:rsidR="00085DCC">
            <w:rPr>
              <w:rFonts w:ascii="Times New Roman" w:eastAsia="Calibri" w:hAnsi="Times New Roman"/>
              <w:sz w:val="22"/>
              <w:szCs w:val="22"/>
              <w:lang w:val="bg-BG"/>
            </w:rPr>
            <w:t>6</w:t>
          </w:r>
          <w:r w:rsidR="00E77122">
            <w:rPr>
              <w:rFonts w:ascii="Times New Roman" w:eastAsia="Calibri" w:hAnsi="Times New Roman"/>
              <w:sz w:val="22"/>
              <w:szCs w:val="22"/>
              <w:lang w:val="bg-BG"/>
            </w:rPr>
            <w:t>158</w:t>
          </w:r>
          <w:r w:rsidR="00A40E40" w:rsidRPr="00D27EF7">
            <w:rPr>
              <w:rFonts w:ascii="Times New Roman" w:eastAsia="Calibri" w:hAnsi="Times New Roman"/>
              <w:sz w:val="22"/>
              <w:szCs w:val="22"/>
              <w:lang w:val="bg-BG"/>
            </w:rPr>
            <w:t xml:space="preserve">; </w:t>
          </w:r>
          <w:r w:rsidR="00A37869" w:rsidRPr="00D27EF7">
            <w:rPr>
              <w:rFonts w:ascii="Times New Roman" w:eastAsia="Calibri" w:hAnsi="Times New Roman"/>
              <w:sz w:val="22"/>
              <w:szCs w:val="22"/>
              <w:lang w:val="bg-BG"/>
            </w:rPr>
            <w:t>факс</w:t>
          </w:r>
          <w:r w:rsidR="00A40E40" w:rsidRPr="00D27EF7">
            <w:rPr>
              <w:rFonts w:ascii="Times New Roman" w:eastAsia="Calibri" w:hAnsi="Times New Roman"/>
              <w:sz w:val="22"/>
              <w:szCs w:val="22"/>
              <w:lang w:val="bg-BG"/>
            </w:rPr>
            <w:t>: +359(2</w:t>
          </w:r>
          <w:r w:rsidR="00A40E40" w:rsidRPr="00786CAA">
            <w:rPr>
              <w:rFonts w:ascii="Times New Roman" w:eastAsia="Calibri" w:hAnsi="Times New Roman"/>
              <w:sz w:val="22"/>
              <w:szCs w:val="22"/>
              <w:lang w:val="bg-BG"/>
            </w:rPr>
            <w:t>)</w:t>
          </w:r>
          <w:r w:rsidR="00085DCC">
            <w:t xml:space="preserve"> </w:t>
          </w:r>
          <w:r w:rsidR="00E77122" w:rsidRPr="00E77122">
            <w:rPr>
              <w:rFonts w:ascii="Times New Roman" w:eastAsia="Calibri" w:hAnsi="Times New Roman"/>
              <w:sz w:val="22"/>
              <w:szCs w:val="22"/>
              <w:lang w:val="bg-BG"/>
            </w:rPr>
            <w:t>9406127</w:t>
          </w:r>
        </w:p>
        <w:p w:rsidR="006826A4" w:rsidRPr="00A40E40" w:rsidRDefault="006826A4" w:rsidP="00D27EF7">
          <w:pPr>
            <w:tabs>
              <w:tab w:val="center" w:pos="4703"/>
              <w:tab w:val="right" w:pos="9406"/>
            </w:tabs>
            <w:overflowPunct/>
            <w:autoSpaceDE/>
            <w:autoSpaceDN/>
            <w:adjustRightInd/>
            <w:spacing w:line="276" w:lineRule="auto"/>
            <w:jc w:val="center"/>
            <w:textAlignment w:val="auto"/>
            <w:rPr>
              <w:rFonts w:ascii="Times" w:eastAsia="Calibri" w:hAnsi="Times"/>
              <w:sz w:val="22"/>
              <w:szCs w:val="22"/>
              <w:lang w:val="bg-BG"/>
            </w:rPr>
          </w:pPr>
        </w:p>
      </w:tc>
      <w:tc>
        <w:tcPr>
          <w:tcW w:w="2001" w:type="dxa"/>
          <w:hideMark/>
        </w:tcPr>
        <w:p w:rsidR="006826A4" w:rsidRPr="006826A4" w:rsidRDefault="008055A5" w:rsidP="006826A4">
          <w:pPr>
            <w:tabs>
              <w:tab w:val="center" w:pos="4703"/>
              <w:tab w:val="right" w:pos="9406"/>
            </w:tabs>
            <w:overflowPunct/>
            <w:autoSpaceDE/>
            <w:autoSpaceDN/>
            <w:adjustRightInd/>
            <w:spacing w:line="276" w:lineRule="auto"/>
            <w:jc w:val="center"/>
            <w:textAlignment w:val="auto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Times New Roman" w:eastAsia="Calibri" w:hAnsi="Times New Roman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59DBB2E2" wp14:editId="5C6A7AD1">
                <wp:extent cx="371475" cy="371475"/>
                <wp:effectExtent l="0" t="0" r="9525" b="952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B0B9A" w:rsidRPr="00842F0C" w:rsidRDefault="006B0B9A" w:rsidP="006826A4">
    <w:pPr>
      <w:tabs>
        <w:tab w:val="center" w:pos="4703"/>
        <w:tab w:val="right" w:pos="9406"/>
      </w:tabs>
      <w:overflowPunct/>
      <w:autoSpaceDE/>
      <w:autoSpaceDN/>
      <w:adjustRightInd/>
      <w:textAlignment w:val="auto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550" w:rsidRDefault="00C24550">
      <w:r>
        <w:separator/>
      </w:r>
    </w:p>
  </w:footnote>
  <w:footnote w:type="continuationSeparator" w:id="0">
    <w:p w:rsidR="00C24550" w:rsidRDefault="00C24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694" w:rsidRDefault="00EA7694" w:rsidP="00EA7694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val="bg-BG" w:eastAsia="bg-BG"/>
      </w:rPr>
      <w:drawing>
        <wp:inline distT="0" distB="0" distL="0" distR="0" wp14:anchorId="3AB21526" wp14:editId="5CE22FDD">
          <wp:extent cx="895350" cy="781050"/>
          <wp:effectExtent l="0" t="0" r="0" b="0"/>
          <wp:docPr id="4" name="Picture 4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7694" w:rsidRPr="005D6F42" w:rsidRDefault="00EA7694" w:rsidP="00EA7694">
    <w:pPr>
      <w:spacing w:before="20"/>
      <w:jc w:val="center"/>
      <w:rPr>
        <w:rFonts w:ascii="Times New Roman" w:hAnsi="Times New Roman"/>
        <w:b/>
        <w:caps/>
        <w:spacing w:val="20"/>
        <w:sz w:val="24"/>
        <w:szCs w:val="24"/>
        <w:lang w:val="bg-BG"/>
      </w:rPr>
    </w:pPr>
    <w:r w:rsidRPr="005D6F42">
      <w:rPr>
        <w:rFonts w:ascii="Times New Roman" w:hAnsi="Times New Roman"/>
        <w:b/>
        <w:caps/>
        <w:spacing w:val="20"/>
        <w:sz w:val="24"/>
        <w:szCs w:val="24"/>
        <w:lang w:val="bg-BG"/>
      </w:rPr>
      <w:t>Р е п у б л и к а   б ъ л г а р и я</w:t>
    </w:r>
  </w:p>
  <w:p w:rsidR="00EA7694" w:rsidRPr="005D6F42" w:rsidRDefault="00EA7694" w:rsidP="00EA7694">
    <w:pPr>
      <w:spacing w:line="270" w:lineRule="atLeast"/>
      <w:rPr>
        <w:rFonts w:cs="Arial"/>
        <w:b/>
        <w:bCs/>
        <w:color w:val="333333"/>
        <w:sz w:val="24"/>
        <w:szCs w:val="24"/>
        <w:bdr w:val="none" w:sz="0" w:space="0" w:color="auto" w:frame="1"/>
        <w:lang w:val="bg-BG" w:eastAsia="bg-BG"/>
      </w:rPr>
    </w:pPr>
  </w:p>
  <w:p w:rsidR="00EA7694" w:rsidRPr="005D6F42" w:rsidRDefault="00EA7694" w:rsidP="00EA7694">
    <w:pPr>
      <w:pBdr>
        <w:bottom w:val="single" w:sz="4" w:space="0" w:color="auto"/>
      </w:pBdr>
      <w:spacing w:line="270" w:lineRule="atLeast"/>
      <w:jc w:val="center"/>
      <w:rPr>
        <w:rFonts w:cs="Arial"/>
        <w:b/>
        <w:bCs/>
        <w:color w:val="333333"/>
        <w:sz w:val="18"/>
        <w:szCs w:val="18"/>
        <w:bdr w:val="none" w:sz="0" w:space="0" w:color="auto" w:frame="1"/>
        <w:lang w:val="bg-BG" w:eastAsia="bg-BG"/>
      </w:rPr>
    </w:pPr>
    <w:r w:rsidRPr="005D6F42">
      <w:rPr>
        <w:rFonts w:ascii="Times New Roman" w:hAnsi="Times New Roman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>МИНИСТЕРСТВО</w:t>
    </w:r>
    <w:r w:rsidRPr="005D6F42">
      <w:rPr>
        <w:rFonts w:ascii="Times Roman" w:hAnsi="Times Roman" w:cs="Arial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 xml:space="preserve"> </w:t>
    </w:r>
    <w:r w:rsidRPr="005D6F42">
      <w:rPr>
        <w:rFonts w:ascii="Times New Roman" w:hAnsi="Times New Roman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>НА</w:t>
    </w:r>
    <w:r w:rsidRPr="005D6F42">
      <w:rPr>
        <w:rFonts w:ascii="Times Roman" w:hAnsi="Times Roman" w:cs="Arial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 xml:space="preserve"> </w:t>
    </w:r>
    <w:r w:rsidRPr="005D6F42">
      <w:rPr>
        <w:rFonts w:ascii="Times New Roman" w:hAnsi="Times New Roman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>ОКОЛНАТА</w:t>
    </w:r>
    <w:r w:rsidRPr="005D6F42">
      <w:rPr>
        <w:rFonts w:ascii="Times Roman" w:hAnsi="Times Roman" w:cs="Arial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 xml:space="preserve"> </w:t>
    </w:r>
    <w:r w:rsidRPr="005D6F42">
      <w:rPr>
        <w:rFonts w:ascii="Times New Roman" w:hAnsi="Times New Roman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>СРЕДА</w:t>
    </w:r>
    <w:r w:rsidRPr="005D6F42">
      <w:rPr>
        <w:rFonts w:ascii="Times Roman" w:hAnsi="Times Roman" w:cs="Arial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 xml:space="preserve"> </w:t>
    </w:r>
    <w:r w:rsidRPr="005D6F42">
      <w:rPr>
        <w:rFonts w:ascii="Times New Roman" w:hAnsi="Times New Roman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>И</w:t>
    </w:r>
    <w:r w:rsidRPr="005D6F42">
      <w:rPr>
        <w:rFonts w:ascii="Times Roman" w:hAnsi="Times Roman" w:cs="Arial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 xml:space="preserve"> </w:t>
    </w:r>
    <w:r w:rsidRPr="005D6F42">
      <w:rPr>
        <w:rFonts w:ascii="Times New Roman" w:hAnsi="Times New Roman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>ВОДИТЕ</w:t>
    </w:r>
    <w:r w:rsidRPr="005D6F42">
      <w:rPr>
        <w:rFonts w:cs="Arial"/>
        <w:b/>
        <w:bCs/>
        <w:color w:val="333333"/>
        <w:sz w:val="18"/>
        <w:szCs w:val="18"/>
        <w:bdr w:val="none" w:sz="0" w:space="0" w:color="auto" w:frame="1"/>
        <w:lang w:val="bg-BG" w:eastAsia="bg-BG"/>
      </w:rPr>
      <w:t xml:space="preserve"> </w:t>
    </w:r>
  </w:p>
  <w:p w:rsidR="00ED1377" w:rsidRPr="00334147" w:rsidRDefault="00ED1377" w:rsidP="00EA7694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2278"/>
    <w:multiLevelType w:val="hybridMultilevel"/>
    <w:tmpl w:val="1DA0D8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F63E9"/>
    <w:multiLevelType w:val="hybridMultilevel"/>
    <w:tmpl w:val="6810909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F40AD"/>
    <w:multiLevelType w:val="hybridMultilevel"/>
    <w:tmpl w:val="737CFF4E"/>
    <w:lvl w:ilvl="0" w:tplc="F24ABEF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60D7D"/>
    <w:multiLevelType w:val="hybridMultilevel"/>
    <w:tmpl w:val="C988E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63186"/>
    <w:multiLevelType w:val="hybridMultilevel"/>
    <w:tmpl w:val="ADD41D9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5758E"/>
    <w:multiLevelType w:val="hybridMultilevel"/>
    <w:tmpl w:val="D9B20B6C"/>
    <w:lvl w:ilvl="0" w:tplc="9B64C36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2A55A93"/>
    <w:multiLevelType w:val="hybridMultilevel"/>
    <w:tmpl w:val="1D78D2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76B14"/>
    <w:multiLevelType w:val="hybridMultilevel"/>
    <w:tmpl w:val="77322128"/>
    <w:lvl w:ilvl="0" w:tplc="E43E9CE4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D514477"/>
    <w:multiLevelType w:val="multilevel"/>
    <w:tmpl w:val="340C2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F231B22"/>
    <w:multiLevelType w:val="multilevel"/>
    <w:tmpl w:val="C4EC4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BB1E31"/>
    <w:multiLevelType w:val="multilevel"/>
    <w:tmpl w:val="1082C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bullet"/>
      <w:lvlText w:val=""/>
      <w:lvlJc w:val="left"/>
      <w:pPr>
        <w:ind w:left="900" w:hanging="54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  <w:b/>
      </w:rPr>
    </w:lvl>
  </w:abstractNum>
  <w:abstractNum w:abstractNumId="11" w15:restartNumberingAfterBreak="0">
    <w:nsid w:val="433F0057"/>
    <w:multiLevelType w:val="multilevel"/>
    <w:tmpl w:val="F94A2AC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08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2" w15:restartNumberingAfterBreak="0">
    <w:nsid w:val="551969EA"/>
    <w:multiLevelType w:val="multilevel"/>
    <w:tmpl w:val="90CC5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>
      <w:start w:val="13"/>
      <w:numFmt w:val="decimal"/>
      <w:isLgl/>
      <w:lvlText w:val="%1.%2.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9A976B6"/>
    <w:multiLevelType w:val="hybridMultilevel"/>
    <w:tmpl w:val="D34C9FC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581E74"/>
    <w:multiLevelType w:val="hybridMultilevel"/>
    <w:tmpl w:val="0BA4030E"/>
    <w:lvl w:ilvl="0" w:tplc="F79E1A4A">
      <w:start w:val="1"/>
      <w:numFmt w:val="bullet"/>
      <w:lvlText w:val=""/>
      <w:lvlJc w:val="left"/>
      <w:pPr>
        <w:tabs>
          <w:tab w:val="num" w:pos="2120"/>
        </w:tabs>
        <w:ind w:left="2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7F6B71"/>
    <w:multiLevelType w:val="multilevel"/>
    <w:tmpl w:val="F8903B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  <w:b/>
      </w:rPr>
    </w:lvl>
  </w:abstractNum>
  <w:abstractNum w:abstractNumId="16" w15:restartNumberingAfterBreak="0">
    <w:nsid w:val="6D941F55"/>
    <w:multiLevelType w:val="hybridMultilevel"/>
    <w:tmpl w:val="B8BC983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BF77D0"/>
    <w:multiLevelType w:val="hybridMultilevel"/>
    <w:tmpl w:val="E5DA7C0C"/>
    <w:lvl w:ilvl="0" w:tplc="D964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073951"/>
    <w:multiLevelType w:val="hybridMultilevel"/>
    <w:tmpl w:val="46AEE964"/>
    <w:lvl w:ilvl="0" w:tplc="E43E9CE4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  <w:color w:val="auto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733F7BAD"/>
    <w:multiLevelType w:val="hybridMultilevel"/>
    <w:tmpl w:val="E85CC1B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75331A"/>
    <w:multiLevelType w:val="hybridMultilevel"/>
    <w:tmpl w:val="DC820FD0"/>
    <w:lvl w:ilvl="0" w:tplc="9F38A5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281BE8"/>
    <w:multiLevelType w:val="hybridMultilevel"/>
    <w:tmpl w:val="AAC6EF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15"/>
  </w:num>
  <w:num w:numId="5">
    <w:abstractNumId w:val="19"/>
  </w:num>
  <w:num w:numId="6">
    <w:abstractNumId w:val="10"/>
  </w:num>
  <w:num w:numId="7">
    <w:abstractNumId w:val="17"/>
  </w:num>
  <w:num w:numId="8">
    <w:abstractNumId w:val="8"/>
  </w:num>
  <w:num w:numId="9">
    <w:abstractNumId w:val="2"/>
  </w:num>
  <w:num w:numId="10">
    <w:abstractNumId w:val="3"/>
  </w:num>
  <w:num w:numId="11">
    <w:abstractNumId w:val="4"/>
  </w:num>
  <w:num w:numId="12">
    <w:abstractNumId w:val="18"/>
  </w:num>
  <w:num w:numId="13">
    <w:abstractNumId w:val="13"/>
  </w:num>
  <w:num w:numId="14">
    <w:abstractNumId w:val="20"/>
  </w:num>
  <w:num w:numId="15">
    <w:abstractNumId w:val="21"/>
  </w:num>
  <w:num w:numId="16">
    <w:abstractNumId w:val="6"/>
  </w:num>
  <w:num w:numId="17">
    <w:abstractNumId w:val="1"/>
  </w:num>
  <w:num w:numId="18">
    <w:abstractNumId w:val="7"/>
  </w:num>
  <w:num w:numId="19">
    <w:abstractNumId w:val="11"/>
  </w:num>
  <w:num w:numId="20">
    <w:abstractNumId w:val="12"/>
  </w:num>
  <w:num w:numId="21">
    <w:abstractNumId w:val="1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306F"/>
    <w:rsid w:val="00016382"/>
    <w:rsid w:val="00026295"/>
    <w:rsid w:val="000334DC"/>
    <w:rsid w:val="000343AB"/>
    <w:rsid w:val="00034716"/>
    <w:rsid w:val="00042511"/>
    <w:rsid w:val="00050242"/>
    <w:rsid w:val="00057E0A"/>
    <w:rsid w:val="00066AA2"/>
    <w:rsid w:val="00070BDD"/>
    <w:rsid w:val="00073B22"/>
    <w:rsid w:val="00075C87"/>
    <w:rsid w:val="00085DCC"/>
    <w:rsid w:val="000977DF"/>
    <w:rsid w:val="000B2DDE"/>
    <w:rsid w:val="000B3E2D"/>
    <w:rsid w:val="000B6381"/>
    <w:rsid w:val="000C008A"/>
    <w:rsid w:val="000C3BCA"/>
    <w:rsid w:val="000F054D"/>
    <w:rsid w:val="001073F0"/>
    <w:rsid w:val="00112CA6"/>
    <w:rsid w:val="00115566"/>
    <w:rsid w:val="00122B91"/>
    <w:rsid w:val="00136D7F"/>
    <w:rsid w:val="00145AD0"/>
    <w:rsid w:val="0014698C"/>
    <w:rsid w:val="00157D1E"/>
    <w:rsid w:val="00166B7D"/>
    <w:rsid w:val="00171E8F"/>
    <w:rsid w:val="00184922"/>
    <w:rsid w:val="001A26DA"/>
    <w:rsid w:val="001B170D"/>
    <w:rsid w:val="001B4BA4"/>
    <w:rsid w:val="001B4BA5"/>
    <w:rsid w:val="001C5702"/>
    <w:rsid w:val="001C6903"/>
    <w:rsid w:val="001D0EE8"/>
    <w:rsid w:val="001E10FE"/>
    <w:rsid w:val="001F35C1"/>
    <w:rsid w:val="0020512A"/>
    <w:rsid w:val="0020653E"/>
    <w:rsid w:val="00207DFD"/>
    <w:rsid w:val="00212CD7"/>
    <w:rsid w:val="00213643"/>
    <w:rsid w:val="00226A7E"/>
    <w:rsid w:val="00227908"/>
    <w:rsid w:val="00233451"/>
    <w:rsid w:val="00234591"/>
    <w:rsid w:val="0023796F"/>
    <w:rsid w:val="0024120B"/>
    <w:rsid w:val="00250977"/>
    <w:rsid w:val="00256349"/>
    <w:rsid w:val="002646CA"/>
    <w:rsid w:val="00266D04"/>
    <w:rsid w:val="00267070"/>
    <w:rsid w:val="002A709F"/>
    <w:rsid w:val="002B53A2"/>
    <w:rsid w:val="002B7809"/>
    <w:rsid w:val="002C0370"/>
    <w:rsid w:val="002C20D1"/>
    <w:rsid w:val="002C707C"/>
    <w:rsid w:val="002D1E07"/>
    <w:rsid w:val="002D2C41"/>
    <w:rsid w:val="002E09F6"/>
    <w:rsid w:val="002E25EF"/>
    <w:rsid w:val="002F163D"/>
    <w:rsid w:val="002F6D60"/>
    <w:rsid w:val="002F7889"/>
    <w:rsid w:val="003020EE"/>
    <w:rsid w:val="00311ADA"/>
    <w:rsid w:val="003240BE"/>
    <w:rsid w:val="00324274"/>
    <w:rsid w:val="00330C1D"/>
    <w:rsid w:val="00334147"/>
    <w:rsid w:val="003476F0"/>
    <w:rsid w:val="00352F4E"/>
    <w:rsid w:val="00392732"/>
    <w:rsid w:val="00395CE7"/>
    <w:rsid w:val="003A03D6"/>
    <w:rsid w:val="003A2715"/>
    <w:rsid w:val="003A28D4"/>
    <w:rsid w:val="003A2A77"/>
    <w:rsid w:val="003B1097"/>
    <w:rsid w:val="003B27D1"/>
    <w:rsid w:val="003B30BB"/>
    <w:rsid w:val="003B5690"/>
    <w:rsid w:val="003D4054"/>
    <w:rsid w:val="003D4A6B"/>
    <w:rsid w:val="003D68AD"/>
    <w:rsid w:val="003E157B"/>
    <w:rsid w:val="003E6C25"/>
    <w:rsid w:val="003F379E"/>
    <w:rsid w:val="0040730B"/>
    <w:rsid w:val="00411608"/>
    <w:rsid w:val="00416D0F"/>
    <w:rsid w:val="004450E0"/>
    <w:rsid w:val="00446795"/>
    <w:rsid w:val="00465BC4"/>
    <w:rsid w:val="00483210"/>
    <w:rsid w:val="00491867"/>
    <w:rsid w:val="004925BF"/>
    <w:rsid w:val="00494FE3"/>
    <w:rsid w:val="004C3144"/>
    <w:rsid w:val="004D401B"/>
    <w:rsid w:val="004E6C06"/>
    <w:rsid w:val="004E725B"/>
    <w:rsid w:val="004F04D9"/>
    <w:rsid w:val="004F0D5A"/>
    <w:rsid w:val="004F4A8F"/>
    <w:rsid w:val="004F67C4"/>
    <w:rsid w:val="004F765C"/>
    <w:rsid w:val="00512816"/>
    <w:rsid w:val="0052043E"/>
    <w:rsid w:val="00523C47"/>
    <w:rsid w:val="00533B39"/>
    <w:rsid w:val="00536A75"/>
    <w:rsid w:val="0057056E"/>
    <w:rsid w:val="005A3B17"/>
    <w:rsid w:val="005A7C83"/>
    <w:rsid w:val="005B3CED"/>
    <w:rsid w:val="005B69F7"/>
    <w:rsid w:val="005C3D1F"/>
    <w:rsid w:val="005D04F8"/>
    <w:rsid w:val="005D4F7D"/>
    <w:rsid w:val="005D759C"/>
    <w:rsid w:val="005D7788"/>
    <w:rsid w:val="005E2EC1"/>
    <w:rsid w:val="005F2E04"/>
    <w:rsid w:val="00602A0B"/>
    <w:rsid w:val="00603C38"/>
    <w:rsid w:val="00613FCB"/>
    <w:rsid w:val="00615657"/>
    <w:rsid w:val="00616A0E"/>
    <w:rsid w:val="0062681E"/>
    <w:rsid w:val="006330F5"/>
    <w:rsid w:val="006338C0"/>
    <w:rsid w:val="006340C8"/>
    <w:rsid w:val="00643C98"/>
    <w:rsid w:val="00644375"/>
    <w:rsid w:val="00661C46"/>
    <w:rsid w:val="00662E0E"/>
    <w:rsid w:val="00667EF2"/>
    <w:rsid w:val="00670E9C"/>
    <w:rsid w:val="0067299B"/>
    <w:rsid w:val="00682143"/>
    <w:rsid w:val="006826A4"/>
    <w:rsid w:val="00686DB6"/>
    <w:rsid w:val="00690A70"/>
    <w:rsid w:val="00695681"/>
    <w:rsid w:val="006A5151"/>
    <w:rsid w:val="006B0B9A"/>
    <w:rsid w:val="006C63A2"/>
    <w:rsid w:val="006C7760"/>
    <w:rsid w:val="006D21A3"/>
    <w:rsid w:val="006E0C43"/>
    <w:rsid w:val="006E1608"/>
    <w:rsid w:val="006E7677"/>
    <w:rsid w:val="006F1B17"/>
    <w:rsid w:val="006F56D3"/>
    <w:rsid w:val="0072410E"/>
    <w:rsid w:val="00735898"/>
    <w:rsid w:val="007453FC"/>
    <w:rsid w:val="00750C5A"/>
    <w:rsid w:val="007550EB"/>
    <w:rsid w:val="0076286A"/>
    <w:rsid w:val="00764644"/>
    <w:rsid w:val="007719EF"/>
    <w:rsid w:val="00785EC5"/>
    <w:rsid w:val="00786CAA"/>
    <w:rsid w:val="00793AF1"/>
    <w:rsid w:val="0079486A"/>
    <w:rsid w:val="007949F2"/>
    <w:rsid w:val="00797B48"/>
    <w:rsid w:val="007A6290"/>
    <w:rsid w:val="007B5CDD"/>
    <w:rsid w:val="007C24FB"/>
    <w:rsid w:val="007C65D0"/>
    <w:rsid w:val="007D5877"/>
    <w:rsid w:val="007E4317"/>
    <w:rsid w:val="007E6B6D"/>
    <w:rsid w:val="008055A5"/>
    <w:rsid w:val="00812E99"/>
    <w:rsid w:val="00816013"/>
    <w:rsid w:val="00817210"/>
    <w:rsid w:val="008246B2"/>
    <w:rsid w:val="0083205D"/>
    <w:rsid w:val="00842F0C"/>
    <w:rsid w:val="00852406"/>
    <w:rsid w:val="0085348A"/>
    <w:rsid w:val="008719BB"/>
    <w:rsid w:val="00876767"/>
    <w:rsid w:val="0088363E"/>
    <w:rsid w:val="00885DD1"/>
    <w:rsid w:val="008B0206"/>
    <w:rsid w:val="008B1300"/>
    <w:rsid w:val="008C3019"/>
    <w:rsid w:val="008D25DD"/>
    <w:rsid w:val="008D74B9"/>
    <w:rsid w:val="008E7B08"/>
    <w:rsid w:val="008F0F99"/>
    <w:rsid w:val="0090039C"/>
    <w:rsid w:val="00901825"/>
    <w:rsid w:val="00901A7B"/>
    <w:rsid w:val="00916C4B"/>
    <w:rsid w:val="00933B3B"/>
    <w:rsid w:val="00936425"/>
    <w:rsid w:val="009378CF"/>
    <w:rsid w:val="00943658"/>
    <w:rsid w:val="0094591A"/>
    <w:rsid w:val="00946D85"/>
    <w:rsid w:val="0095068C"/>
    <w:rsid w:val="009571F2"/>
    <w:rsid w:val="00961612"/>
    <w:rsid w:val="00973C05"/>
    <w:rsid w:val="00974296"/>
    <w:rsid w:val="00974546"/>
    <w:rsid w:val="009758F3"/>
    <w:rsid w:val="00981A47"/>
    <w:rsid w:val="00994730"/>
    <w:rsid w:val="00994FD4"/>
    <w:rsid w:val="009958B3"/>
    <w:rsid w:val="009A49E5"/>
    <w:rsid w:val="009A4CC4"/>
    <w:rsid w:val="009B04D0"/>
    <w:rsid w:val="009B4C1C"/>
    <w:rsid w:val="009B5793"/>
    <w:rsid w:val="009C28A8"/>
    <w:rsid w:val="009C2DE3"/>
    <w:rsid w:val="009C37FE"/>
    <w:rsid w:val="009D4BD7"/>
    <w:rsid w:val="009E1D29"/>
    <w:rsid w:val="009E7D8E"/>
    <w:rsid w:val="009F0994"/>
    <w:rsid w:val="009F0EA9"/>
    <w:rsid w:val="009F4989"/>
    <w:rsid w:val="00A052F5"/>
    <w:rsid w:val="00A1736B"/>
    <w:rsid w:val="00A178AB"/>
    <w:rsid w:val="00A31D49"/>
    <w:rsid w:val="00A35B62"/>
    <w:rsid w:val="00A37869"/>
    <w:rsid w:val="00A40E40"/>
    <w:rsid w:val="00A45F0F"/>
    <w:rsid w:val="00A504C0"/>
    <w:rsid w:val="00A529D8"/>
    <w:rsid w:val="00A615C2"/>
    <w:rsid w:val="00A66C35"/>
    <w:rsid w:val="00A671F2"/>
    <w:rsid w:val="00A7691C"/>
    <w:rsid w:val="00A92A6F"/>
    <w:rsid w:val="00A94E16"/>
    <w:rsid w:val="00AB0B48"/>
    <w:rsid w:val="00AB5B7B"/>
    <w:rsid w:val="00AC7535"/>
    <w:rsid w:val="00AC77ED"/>
    <w:rsid w:val="00AC7B4E"/>
    <w:rsid w:val="00AD13E8"/>
    <w:rsid w:val="00AF309C"/>
    <w:rsid w:val="00AF4B08"/>
    <w:rsid w:val="00B02BDA"/>
    <w:rsid w:val="00B2037F"/>
    <w:rsid w:val="00B21A08"/>
    <w:rsid w:val="00B2632D"/>
    <w:rsid w:val="00B277E9"/>
    <w:rsid w:val="00B30FFB"/>
    <w:rsid w:val="00B33C7F"/>
    <w:rsid w:val="00B35BCE"/>
    <w:rsid w:val="00B444A3"/>
    <w:rsid w:val="00B4628B"/>
    <w:rsid w:val="00B47EF8"/>
    <w:rsid w:val="00B64FA0"/>
    <w:rsid w:val="00B71A19"/>
    <w:rsid w:val="00B76562"/>
    <w:rsid w:val="00B82F3C"/>
    <w:rsid w:val="00B91DB1"/>
    <w:rsid w:val="00B93380"/>
    <w:rsid w:val="00BA057B"/>
    <w:rsid w:val="00BA7B8F"/>
    <w:rsid w:val="00BB1E2A"/>
    <w:rsid w:val="00BD5B4B"/>
    <w:rsid w:val="00BE181F"/>
    <w:rsid w:val="00BE5564"/>
    <w:rsid w:val="00BF3345"/>
    <w:rsid w:val="00C00904"/>
    <w:rsid w:val="00C02136"/>
    <w:rsid w:val="00C07480"/>
    <w:rsid w:val="00C1246B"/>
    <w:rsid w:val="00C16CB6"/>
    <w:rsid w:val="00C1784B"/>
    <w:rsid w:val="00C17B63"/>
    <w:rsid w:val="00C17D7D"/>
    <w:rsid w:val="00C24550"/>
    <w:rsid w:val="00C34735"/>
    <w:rsid w:val="00C36910"/>
    <w:rsid w:val="00C37860"/>
    <w:rsid w:val="00C473A4"/>
    <w:rsid w:val="00C476C2"/>
    <w:rsid w:val="00C47BC8"/>
    <w:rsid w:val="00C65BE2"/>
    <w:rsid w:val="00C71CC5"/>
    <w:rsid w:val="00C72F01"/>
    <w:rsid w:val="00C76288"/>
    <w:rsid w:val="00C7759E"/>
    <w:rsid w:val="00C90A15"/>
    <w:rsid w:val="00C9282E"/>
    <w:rsid w:val="00C96C3B"/>
    <w:rsid w:val="00C97C88"/>
    <w:rsid w:val="00CA3258"/>
    <w:rsid w:val="00CA7A14"/>
    <w:rsid w:val="00CB4830"/>
    <w:rsid w:val="00CB655B"/>
    <w:rsid w:val="00CB7C84"/>
    <w:rsid w:val="00CC126A"/>
    <w:rsid w:val="00CC37CE"/>
    <w:rsid w:val="00CD05C6"/>
    <w:rsid w:val="00CD1F33"/>
    <w:rsid w:val="00CD6506"/>
    <w:rsid w:val="00CE06EE"/>
    <w:rsid w:val="00CE27C9"/>
    <w:rsid w:val="00CF0CB7"/>
    <w:rsid w:val="00CF113D"/>
    <w:rsid w:val="00CF4F20"/>
    <w:rsid w:val="00CF5D1C"/>
    <w:rsid w:val="00D0261E"/>
    <w:rsid w:val="00D03B87"/>
    <w:rsid w:val="00D0487B"/>
    <w:rsid w:val="00D16112"/>
    <w:rsid w:val="00D17C38"/>
    <w:rsid w:val="00D22D8F"/>
    <w:rsid w:val="00D259F5"/>
    <w:rsid w:val="00D27EF7"/>
    <w:rsid w:val="00D27F07"/>
    <w:rsid w:val="00D308BF"/>
    <w:rsid w:val="00D450FA"/>
    <w:rsid w:val="00D530CC"/>
    <w:rsid w:val="00D53EEB"/>
    <w:rsid w:val="00D53FAC"/>
    <w:rsid w:val="00D5572B"/>
    <w:rsid w:val="00D619F0"/>
    <w:rsid w:val="00D61AE4"/>
    <w:rsid w:val="00D64F25"/>
    <w:rsid w:val="00D70AA0"/>
    <w:rsid w:val="00D70BF9"/>
    <w:rsid w:val="00D71C83"/>
    <w:rsid w:val="00D72DCC"/>
    <w:rsid w:val="00D7472F"/>
    <w:rsid w:val="00D92444"/>
    <w:rsid w:val="00D931AB"/>
    <w:rsid w:val="00DA135A"/>
    <w:rsid w:val="00DC0E17"/>
    <w:rsid w:val="00DD301B"/>
    <w:rsid w:val="00DD55F9"/>
    <w:rsid w:val="00DE306D"/>
    <w:rsid w:val="00E15B5B"/>
    <w:rsid w:val="00E33C03"/>
    <w:rsid w:val="00E344E2"/>
    <w:rsid w:val="00E5274E"/>
    <w:rsid w:val="00E54079"/>
    <w:rsid w:val="00E5574B"/>
    <w:rsid w:val="00E5790D"/>
    <w:rsid w:val="00E61E1C"/>
    <w:rsid w:val="00E654A6"/>
    <w:rsid w:val="00E67EBC"/>
    <w:rsid w:val="00E706DE"/>
    <w:rsid w:val="00E77122"/>
    <w:rsid w:val="00E85447"/>
    <w:rsid w:val="00E91F4A"/>
    <w:rsid w:val="00EA1921"/>
    <w:rsid w:val="00EA21D2"/>
    <w:rsid w:val="00EA3B1F"/>
    <w:rsid w:val="00EA7694"/>
    <w:rsid w:val="00EB63EB"/>
    <w:rsid w:val="00EC0C45"/>
    <w:rsid w:val="00EC304D"/>
    <w:rsid w:val="00ED1377"/>
    <w:rsid w:val="00ED3B2B"/>
    <w:rsid w:val="00EF3CCE"/>
    <w:rsid w:val="00F00EC9"/>
    <w:rsid w:val="00F0307D"/>
    <w:rsid w:val="00F105E6"/>
    <w:rsid w:val="00F1223C"/>
    <w:rsid w:val="00F133D0"/>
    <w:rsid w:val="00F17F5D"/>
    <w:rsid w:val="00F20D99"/>
    <w:rsid w:val="00F2712E"/>
    <w:rsid w:val="00F31F73"/>
    <w:rsid w:val="00F363DC"/>
    <w:rsid w:val="00F53ACA"/>
    <w:rsid w:val="00F541D7"/>
    <w:rsid w:val="00F64BF9"/>
    <w:rsid w:val="00F71E35"/>
    <w:rsid w:val="00F72CF1"/>
    <w:rsid w:val="00F73990"/>
    <w:rsid w:val="00F77730"/>
    <w:rsid w:val="00F86871"/>
    <w:rsid w:val="00FC43AE"/>
    <w:rsid w:val="00FD600D"/>
    <w:rsid w:val="00FE22D9"/>
    <w:rsid w:val="00FF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8FAA28A-B14F-4E6D-836A-7F376C3B8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mainpageitemsjus">
    <w:name w:val="main_page_items_jus"/>
    <w:basedOn w:val="Normal"/>
    <w:rsid w:val="00842F0C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Verdana" w:hAnsi="Verdana"/>
      <w:b/>
      <w:bCs/>
      <w:color w:val="000000"/>
      <w:sz w:val="18"/>
      <w:szCs w:val="18"/>
      <w:lang w:val="bg-BG" w:eastAsia="bg-BG"/>
    </w:rPr>
  </w:style>
  <w:style w:type="paragraph" w:styleId="BalloonText">
    <w:name w:val="Balloon Text"/>
    <w:basedOn w:val="Normal"/>
    <w:semiHidden/>
    <w:rsid w:val="007719E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ED1377"/>
    <w:pPr>
      <w:tabs>
        <w:tab w:val="left" w:pos="709"/>
      </w:tabs>
      <w:overflowPunct/>
      <w:autoSpaceDE/>
      <w:autoSpaceDN/>
      <w:adjustRightInd/>
      <w:textAlignment w:val="auto"/>
    </w:pPr>
    <w:rPr>
      <w:rFonts w:ascii="Futura Bk" w:hAnsi="Futura Bk"/>
      <w:szCs w:val="24"/>
      <w:lang w:val="pl-PL" w:eastAsia="pl-PL"/>
    </w:rPr>
  </w:style>
  <w:style w:type="paragraph" w:styleId="NormalIndent">
    <w:name w:val="Normal Indent"/>
    <w:basedOn w:val="Normal"/>
    <w:rsid w:val="003D4054"/>
    <w:pPr>
      <w:overflowPunct/>
      <w:autoSpaceDE/>
      <w:autoSpaceDN/>
      <w:adjustRightInd/>
      <w:ind w:left="720"/>
      <w:textAlignment w:val="auto"/>
    </w:pPr>
    <w:rPr>
      <w:rFonts w:ascii="Timok" w:hAnsi="Timok"/>
      <w:sz w:val="28"/>
      <w:lang w:val="en-GB"/>
    </w:rPr>
  </w:style>
  <w:style w:type="character" w:styleId="CommentReference">
    <w:name w:val="annotation reference"/>
    <w:rsid w:val="00C65BE2"/>
    <w:rPr>
      <w:sz w:val="16"/>
      <w:szCs w:val="16"/>
    </w:rPr>
  </w:style>
  <w:style w:type="paragraph" w:styleId="CommentText">
    <w:name w:val="annotation text"/>
    <w:basedOn w:val="Normal"/>
    <w:link w:val="CommentTextChar"/>
    <w:rsid w:val="00C65BE2"/>
  </w:style>
  <w:style w:type="character" w:customStyle="1" w:styleId="CommentTextChar">
    <w:name w:val="Comment Text Char"/>
    <w:link w:val="CommentText"/>
    <w:rsid w:val="00C65BE2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65BE2"/>
    <w:rPr>
      <w:b/>
      <w:bCs/>
    </w:rPr>
  </w:style>
  <w:style w:type="character" w:customStyle="1" w:styleId="CommentSubjectChar">
    <w:name w:val="Comment Subject Char"/>
    <w:link w:val="CommentSubject"/>
    <w:rsid w:val="00C65BE2"/>
    <w:rPr>
      <w:rFonts w:ascii="Arial" w:hAnsi="Arial"/>
      <w:b/>
      <w:bCs/>
      <w:lang w:val="en-US" w:eastAsia="en-US"/>
    </w:rPr>
  </w:style>
  <w:style w:type="paragraph" w:customStyle="1" w:styleId="m">
    <w:name w:val="m"/>
    <w:basedOn w:val="Normal"/>
    <w:rsid w:val="00F739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A7694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AF4B08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2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1784</Words>
  <Characters>10172</Characters>
  <Application>Microsoft Office Word</Application>
  <DocSecurity>4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11933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Administrator</cp:lastModifiedBy>
  <cp:revision>2</cp:revision>
  <cp:lastPrinted>2022-04-26T09:54:00Z</cp:lastPrinted>
  <dcterms:created xsi:type="dcterms:W3CDTF">2022-04-26T13:38:00Z</dcterms:created>
  <dcterms:modified xsi:type="dcterms:W3CDTF">2022-04-26T13:38:00Z</dcterms:modified>
</cp:coreProperties>
</file>