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EB" w:rsidRDefault="00D53EEB" w:rsidP="00D53EEB">
      <w:pPr>
        <w:overflowPunct/>
        <w:autoSpaceDE/>
        <w:autoSpaceDN/>
        <w:adjustRightInd/>
        <w:jc w:val="right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6F1B17" w:rsidRPr="00901825" w:rsidRDefault="006F1B17" w:rsidP="00901825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>СТАНОВИЩЕ</w:t>
      </w:r>
    </w:p>
    <w:p w:rsidR="006F1B17" w:rsidRPr="00901825" w:rsidRDefault="006F1B17" w:rsidP="00901825">
      <w:pPr>
        <w:overflowPunct/>
        <w:autoSpaceDE/>
        <w:autoSpaceDN/>
        <w:adjustRightInd/>
        <w:ind w:firstLine="567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3D68AD" w:rsidRPr="00901825" w:rsidRDefault="003D68AD" w:rsidP="00C248D4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за заседанието на Националния съвет по биологично разнообразие, </w:t>
      </w:r>
      <w:r w:rsidR="009758F3" w:rsidRPr="00901825">
        <w:rPr>
          <w:rFonts w:ascii="Times New Roman" w:hAnsi="Times New Roman"/>
          <w:b/>
          <w:sz w:val="24"/>
          <w:szCs w:val="24"/>
          <w:lang w:val="bg-BG"/>
        </w:rPr>
        <w:t>27-28.4.2022</w:t>
      </w: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415811" w:rsidRPr="003C1714" w:rsidRDefault="003D68AD" w:rsidP="00C248D4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01825">
        <w:rPr>
          <w:rFonts w:ascii="Times New Roman" w:hAnsi="Times New Roman"/>
          <w:b/>
          <w:sz w:val="24"/>
          <w:szCs w:val="24"/>
          <w:lang w:val="bg-BG"/>
        </w:rPr>
        <w:t xml:space="preserve">относно 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 xml:space="preserve">проект на „План за действие за опазване на </w:t>
      </w:r>
      <w:r w:rsidR="00B63C3D">
        <w:rPr>
          <w:rFonts w:ascii="Times New Roman" w:hAnsi="Times New Roman"/>
          <w:b/>
          <w:sz w:val="24"/>
          <w:szCs w:val="24"/>
          <w:lang w:val="bg-BG"/>
        </w:rPr>
        <w:t>поточния рак</w:t>
      </w:r>
      <w:r w:rsidR="00016382" w:rsidRPr="003C17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proofErr w:type="spellStart"/>
      <w:r w:rsidR="00415811" w:rsidRPr="005F36EE">
        <w:rPr>
          <w:rFonts w:ascii="Times New Roman" w:hAnsi="Times New Roman"/>
          <w:b/>
          <w:i/>
          <w:sz w:val="24"/>
          <w:szCs w:val="24"/>
        </w:rPr>
        <w:t>Austropotamobius</w:t>
      </w:r>
      <w:proofErr w:type="spellEnd"/>
      <w:r w:rsidR="00415811" w:rsidRPr="003C1714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="00415811" w:rsidRPr="005F36EE">
        <w:rPr>
          <w:rFonts w:ascii="Times New Roman" w:hAnsi="Times New Roman"/>
          <w:b/>
          <w:i/>
          <w:sz w:val="24"/>
          <w:szCs w:val="24"/>
        </w:rPr>
        <w:t>torrentium</w:t>
      </w:r>
      <w:proofErr w:type="spellEnd"/>
      <w:r w:rsidR="00415811" w:rsidRPr="003C17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5F36EE" w:rsidRPr="003C1714">
        <w:rPr>
          <w:rFonts w:ascii="Times New Roman" w:hAnsi="Times New Roman"/>
          <w:b/>
          <w:sz w:val="24"/>
          <w:szCs w:val="24"/>
          <w:lang w:val="bg-BG"/>
        </w:rPr>
        <w:t>(</w:t>
      </w:r>
      <w:proofErr w:type="spellStart"/>
      <w:r w:rsidR="00415811" w:rsidRPr="00415811">
        <w:rPr>
          <w:rFonts w:ascii="Times New Roman" w:hAnsi="Times New Roman"/>
          <w:b/>
          <w:sz w:val="24"/>
          <w:szCs w:val="24"/>
        </w:rPr>
        <w:t>Schrank</w:t>
      </w:r>
      <w:proofErr w:type="spellEnd"/>
      <w:r w:rsidR="00415811" w:rsidRPr="003C1714">
        <w:rPr>
          <w:rFonts w:ascii="Times New Roman" w:hAnsi="Times New Roman"/>
          <w:b/>
          <w:sz w:val="24"/>
          <w:szCs w:val="24"/>
          <w:lang w:val="bg-BG"/>
        </w:rPr>
        <w:t>, 1803),</w:t>
      </w:r>
      <w:r w:rsidR="00016382" w:rsidRPr="003C171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C16CB6" w:rsidRPr="00901825">
        <w:rPr>
          <w:rFonts w:ascii="Times New Roman" w:hAnsi="Times New Roman"/>
          <w:b/>
          <w:sz w:val="24"/>
          <w:szCs w:val="24"/>
          <w:lang w:val="bg-BG"/>
        </w:rPr>
        <w:t xml:space="preserve">в България за периода 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>20</w:t>
      </w:r>
      <w:r w:rsidR="00016382" w:rsidRPr="00901825">
        <w:rPr>
          <w:rFonts w:ascii="Times New Roman" w:hAnsi="Times New Roman"/>
          <w:b/>
          <w:sz w:val="24"/>
          <w:szCs w:val="24"/>
          <w:lang w:val="bg-BG"/>
        </w:rPr>
        <w:t>22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>-20</w:t>
      </w:r>
      <w:r w:rsidR="00016382" w:rsidRPr="00901825">
        <w:rPr>
          <w:rFonts w:ascii="Times New Roman" w:hAnsi="Times New Roman"/>
          <w:b/>
          <w:sz w:val="24"/>
          <w:szCs w:val="24"/>
          <w:lang w:val="bg-BG"/>
        </w:rPr>
        <w:t>31</w:t>
      </w:r>
      <w:r w:rsidR="006F1B17" w:rsidRPr="00901825">
        <w:rPr>
          <w:rFonts w:ascii="Times New Roman" w:hAnsi="Times New Roman"/>
          <w:b/>
          <w:sz w:val="24"/>
          <w:szCs w:val="24"/>
          <w:lang w:val="bg-BG"/>
        </w:rPr>
        <w:t xml:space="preserve"> г.“</w:t>
      </w:r>
      <w:r w:rsidR="00267070" w:rsidRPr="00901825">
        <w:rPr>
          <w:rFonts w:ascii="Times New Roman" w:hAnsi="Times New Roman"/>
          <w:b/>
          <w:sz w:val="24"/>
          <w:szCs w:val="24"/>
          <w:lang w:val="bg-BG"/>
        </w:rPr>
        <w:t>, изготвено от дирекция НСЗП</w:t>
      </w:r>
    </w:p>
    <w:p w:rsidR="006F1B17" w:rsidRPr="00901825" w:rsidRDefault="006F1B17" w:rsidP="00901825">
      <w:pPr>
        <w:overflowPunct/>
        <w:autoSpaceDE/>
        <w:autoSpaceDN/>
        <w:adjustRightInd/>
        <w:ind w:firstLine="567"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9758F3" w:rsidRPr="00C248D4" w:rsidRDefault="00016382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 w:rsidRPr="003C1714">
        <w:rPr>
          <w:rFonts w:ascii="Times New Roman" w:hAnsi="Times New Roman"/>
          <w:sz w:val="24"/>
          <w:szCs w:val="24"/>
          <w:lang w:val="bg-BG"/>
        </w:rPr>
        <w:t xml:space="preserve">Планът за действие за опазване </w:t>
      </w:r>
      <w:r w:rsidRPr="00C248D4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5F36EE" w:rsidRPr="00C248D4">
        <w:rPr>
          <w:rFonts w:ascii="Times New Roman" w:hAnsi="Times New Roman"/>
          <w:sz w:val="24"/>
          <w:szCs w:val="24"/>
          <w:lang w:val="bg-BG"/>
        </w:rPr>
        <w:t>поточния рак</w:t>
      </w:r>
      <w:r w:rsidR="00AB0B48" w:rsidRPr="003C1714">
        <w:rPr>
          <w:rFonts w:ascii="Times New Roman" w:hAnsi="Times New Roman"/>
          <w:sz w:val="24"/>
          <w:szCs w:val="24"/>
          <w:lang w:val="bg-BG"/>
        </w:rPr>
        <w:t xml:space="preserve"> (</w:t>
      </w:r>
      <w:proofErr w:type="spellStart"/>
      <w:r w:rsidR="005F36EE" w:rsidRPr="00C248D4">
        <w:rPr>
          <w:rFonts w:ascii="Times New Roman" w:hAnsi="Times New Roman"/>
          <w:i/>
          <w:sz w:val="24"/>
          <w:szCs w:val="24"/>
        </w:rPr>
        <w:t>Austropotamobius</w:t>
      </w:r>
      <w:proofErr w:type="spellEnd"/>
      <w:r w:rsidR="005F36EE" w:rsidRPr="003C1714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proofErr w:type="spellStart"/>
      <w:r w:rsidR="005F36EE" w:rsidRPr="00C248D4">
        <w:rPr>
          <w:rFonts w:ascii="Times New Roman" w:hAnsi="Times New Roman"/>
          <w:i/>
          <w:sz w:val="24"/>
          <w:szCs w:val="24"/>
        </w:rPr>
        <w:t>torrentium</w:t>
      </w:r>
      <w:proofErr w:type="spellEnd"/>
      <w:r w:rsidR="00AB0B48" w:rsidRPr="003C1714">
        <w:rPr>
          <w:rFonts w:ascii="Times New Roman" w:hAnsi="Times New Roman"/>
          <w:sz w:val="24"/>
          <w:szCs w:val="24"/>
          <w:lang w:val="bg-BG"/>
        </w:rPr>
        <w:t>) в България за периода 2022-2031 г</w:t>
      </w:r>
      <w:r w:rsidR="005F36EE" w:rsidRPr="00C248D4">
        <w:rPr>
          <w:rFonts w:ascii="Times New Roman" w:hAnsi="Times New Roman"/>
          <w:sz w:val="24"/>
          <w:szCs w:val="24"/>
          <w:lang w:val="bg-BG"/>
        </w:rPr>
        <w:t>.</w:t>
      </w:r>
      <w:r w:rsidRPr="00C248D4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gramStart"/>
      <w:r w:rsidRPr="00C248D4">
        <w:rPr>
          <w:rFonts w:ascii="Times New Roman" w:hAnsi="Times New Roman"/>
          <w:sz w:val="24"/>
          <w:szCs w:val="24"/>
        </w:rPr>
        <w:t>e</w:t>
      </w:r>
      <w:proofErr w:type="gramEnd"/>
      <w:r w:rsidRPr="003C1714">
        <w:rPr>
          <w:rFonts w:ascii="Times New Roman" w:hAnsi="Times New Roman"/>
          <w:sz w:val="24"/>
          <w:szCs w:val="24"/>
          <w:lang w:val="bg-BG"/>
        </w:rPr>
        <w:t xml:space="preserve"> разработен по проект </w:t>
      </w:r>
      <w:r w:rsidRPr="00C248D4">
        <w:rPr>
          <w:rFonts w:ascii="Times New Roman" w:hAnsi="Times New Roman"/>
          <w:sz w:val="24"/>
          <w:szCs w:val="24"/>
        </w:rPr>
        <w:t>BG</w:t>
      </w:r>
      <w:r w:rsidRPr="003C1714">
        <w:rPr>
          <w:rFonts w:ascii="Times New Roman" w:hAnsi="Times New Roman"/>
          <w:sz w:val="24"/>
          <w:szCs w:val="24"/>
          <w:lang w:val="bg-BG"/>
        </w:rPr>
        <w:t>16</w:t>
      </w:r>
      <w:r w:rsidRPr="00C248D4">
        <w:rPr>
          <w:rFonts w:ascii="Times New Roman" w:hAnsi="Times New Roman"/>
          <w:sz w:val="24"/>
          <w:szCs w:val="24"/>
        </w:rPr>
        <w:t>M</w:t>
      </w:r>
      <w:r w:rsidRPr="003C1714">
        <w:rPr>
          <w:rFonts w:ascii="Times New Roman" w:hAnsi="Times New Roman"/>
          <w:sz w:val="24"/>
          <w:szCs w:val="24"/>
          <w:lang w:val="bg-BG"/>
        </w:rPr>
        <w:t>1</w:t>
      </w:r>
      <w:r w:rsidRPr="00C248D4">
        <w:rPr>
          <w:rFonts w:ascii="Times New Roman" w:hAnsi="Times New Roman"/>
          <w:sz w:val="24"/>
          <w:szCs w:val="24"/>
        </w:rPr>
        <w:t>OP</w:t>
      </w:r>
      <w:r w:rsidRPr="003C1714">
        <w:rPr>
          <w:rFonts w:ascii="Times New Roman" w:hAnsi="Times New Roman"/>
          <w:sz w:val="24"/>
          <w:szCs w:val="24"/>
          <w:lang w:val="bg-BG"/>
        </w:rPr>
        <w:t>002-3.020-00</w:t>
      </w:r>
      <w:r w:rsidR="00AB0B48" w:rsidRPr="00C248D4">
        <w:rPr>
          <w:rFonts w:ascii="Times New Roman" w:hAnsi="Times New Roman"/>
          <w:sz w:val="24"/>
          <w:szCs w:val="24"/>
          <w:lang w:val="bg-BG"/>
        </w:rPr>
        <w:t>54</w:t>
      </w:r>
      <w:r w:rsidRPr="003C1714">
        <w:rPr>
          <w:rFonts w:ascii="Times New Roman" w:hAnsi="Times New Roman"/>
          <w:sz w:val="24"/>
          <w:szCs w:val="24"/>
          <w:lang w:val="bg-BG"/>
        </w:rPr>
        <w:t>-</w:t>
      </w:r>
      <w:r w:rsidRPr="00C248D4">
        <w:rPr>
          <w:rFonts w:ascii="Times New Roman" w:hAnsi="Times New Roman"/>
          <w:sz w:val="24"/>
          <w:szCs w:val="24"/>
        </w:rPr>
        <w:t>C</w:t>
      </w:r>
      <w:r w:rsidRPr="003C1714">
        <w:rPr>
          <w:rFonts w:ascii="Times New Roman" w:hAnsi="Times New Roman"/>
          <w:sz w:val="24"/>
          <w:szCs w:val="24"/>
          <w:lang w:val="bg-BG"/>
        </w:rPr>
        <w:t>01, финансиран от Оперативна програма „Околна среда 2014 – 2020 г.“, съфинансиран от Европейския съюз чрез ЕФРР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 и Кохезионен фонд 06: Съхраняване и опазване на околната среда и насърч</w:t>
      </w:r>
      <w:r w:rsidR="00CF113D" w:rsidRPr="003C1714">
        <w:rPr>
          <w:rFonts w:ascii="Times New Roman" w:eastAsiaTheme="minorEastAsia" w:hAnsi="Times New Roman"/>
          <w:sz w:val="24"/>
          <w:szCs w:val="24"/>
          <w:lang w:val="bg-BG"/>
        </w:rPr>
        <w:t>аване на ресурсната ефективност</w:t>
      </w:r>
      <w:r w:rsidR="00CF113D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 по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 процедура Изготвяне/актуализиране на планове за действие за видове. </w:t>
      </w:r>
      <w:r w:rsidR="005F36EE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</w:p>
    <w:p w:rsidR="009758F3" w:rsidRPr="003C1714" w:rsidRDefault="00016382" w:rsidP="00901825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C1714">
        <w:rPr>
          <w:rFonts w:ascii="Times New Roman" w:hAnsi="Times New Roman"/>
          <w:sz w:val="24"/>
          <w:szCs w:val="24"/>
          <w:lang w:val="bg-BG"/>
        </w:rPr>
        <w:t xml:space="preserve">Планът е за период от 10 години и е </w:t>
      </w:r>
      <w:r w:rsidR="002B53A2" w:rsidRPr="00C248D4">
        <w:rPr>
          <w:rFonts w:ascii="Times New Roman" w:hAnsi="Times New Roman"/>
          <w:sz w:val="24"/>
          <w:szCs w:val="24"/>
          <w:lang w:val="bg-BG"/>
        </w:rPr>
        <w:t xml:space="preserve">разработен </w:t>
      </w:r>
      <w:r w:rsidRPr="003C1714">
        <w:rPr>
          <w:rFonts w:ascii="Times New Roman" w:hAnsi="Times New Roman"/>
          <w:sz w:val="24"/>
          <w:szCs w:val="24"/>
          <w:lang w:val="bg-BG"/>
        </w:rPr>
        <w:t xml:space="preserve">в съответствие с изискванията на Наредба № 5 от 01.08.2003 г. на МОСВ. </w:t>
      </w:r>
    </w:p>
    <w:p w:rsidR="009758F3" w:rsidRPr="00C248D4" w:rsidRDefault="009758F3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 w:rsidRPr="00C248D4">
        <w:rPr>
          <w:rFonts w:ascii="Times New Roman" w:hAnsi="Times New Roman"/>
          <w:sz w:val="24"/>
          <w:szCs w:val="24"/>
          <w:lang w:val="bg-BG"/>
        </w:rPr>
        <w:t>П</w:t>
      </w:r>
      <w:r w:rsidR="00016382"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ланът е възложен за изготвяне от Министерство на околната среда и водите 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чрез </w:t>
      </w:r>
      <w:r w:rsidR="00016382" w:rsidRPr="003C1714">
        <w:rPr>
          <w:rFonts w:ascii="Times New Roman" w:eastAsiaTheme="minorEastAsia" w:hAnsi="Times New Roman"/>
          <w:sz w:val="24"/>
          <w:szCs w:val="24"/>
          <w:lang w:val="bg-BG"/>
        </w:rPr>
        <w:t>Задание</w:t>
      </w:r>
      <w:r w:rsidRPr="00C248D4">
        <w:rPr>
          <w:rFonts w:ascii="Times New Roman" w:eastAsiaTheme="minorEastAsia" w:hAnsi="Times New Roman"/>
          <w:sz w:val="24"/>
          <w:szCs w:val="24"/>
          <w:lang w:val="bg-BG"/>
        </w:rPr>
        <w:t>,</w:t>
      </w:r>
      <w:r w:rsidR="00016382"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>съгласувано през 20</w:t>
      </w:r>
      <w:r w:rsidR="00234591" w:rsidRPr="00C248D4">
        <w:rPr>
          <w:rFonts w:ascii="Times New Roman" w:eastAsiaTheme="minorEastAsia" w:hAnsi="Times New Roman"/>
          <w:sz w:val="24"/>
          <w:szCs w:val="24"/>
          <w:lang w:val="bg-BG"/>
        </w:rPr>
        <w:t>21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 г. от м</w:t>
      </w:r>
      <w:r w:rsidR="00016382"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инистъра на околната среда и водите. </w:t>
      </w:r>
    </w:p>
    <w:p w:rsidR="00CF113D" w:rsidRPr="00C248D4" w:rsidRDefault="00CF113D" w:rsidP="00901825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</w:p>
    <w:p w:rsidR="00016382" w:rsidRPr="00C248D4" w:rsidRDefault="00016382" w:rsidP="00901825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>Изпълнител на плана е Сдружение „Асоциация Наука за природата“</w:t>
      </w:r>
      <w:r w:rsidR="005D45B2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 и ДЗЗД „Модерни решения за опазване на околната среда“</w:t>
      </w:r>
      <w:r w:rsidRPr="003C1714">
        <w:rPr>
          <w:rFonts w:ascii="Times New Roman" w:eastAsiaTheme="minorEastAsia" w:hAnsi="Times New Roman"/>
          <w:sz w:val="24"/>
          <w:szCs w:val="24"/>
          <w:lang w:val="bg-BG"/>
        </w:rPr>
        <w:t xml:space="preserve">, автори на плана са доц. д-р </w:t>
      </w:r>
      <w:r w:rsidR="00C34C29" w:rsidRPr="00C248D4">
        <w:rPr>
          <w:rFonts w:ascii="Times New Roman" w:eastAsiaTheme="minorEastAsia" w:hAnsi="Times New Roman"/>
          <w:sz w:val="24"/>
          <w:szCs w:val="24"/>
          <w:lang w:val="bg-BG"/>
        </w:rPr>
        <w:t>Милчо Тодоров, доц. д-р Теодора Тричко</w:t>
      </w:r>
      <w:r w:rsidR="00880F45" w:rsidRPr="00C248D4">
        <w:rPr>
          <w:rFonts w:ascii="Times New Roman" w:eastAsiaTheme="minorEastAsia" w:hAnsi="Times New Roman"/>
          <w:sz w:val="24"/>
          <w:szCs w:val="24"/>
          <w:lang w:val="bg-BG"/>
        </w:rPr>
        <w:t>ва, доц. д-р Лъчезар Пехливанов и</w:t>
      </w:r>
      <w:r w:rsidR="00C34C29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 д-р Милена Павлова</w:t>
      </w:r>
      <w:r w:rsidR="00234591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, автор на картния материал е доц. д-р Георги </w:t>
      </w:r>
      <w:proofErr w:type="spellStart"/>
      <w:r w:rsidR="00234591" w:rsidRPr="00C248D4">
        <w:rPr>
          <w:rFonts w:ascii="Times New Roman" w:eastAsiaTheme="minorEastAsia" w:hAnsi="Times New Roman"/>
          <w:sz w:val="24"/>
          <w:szCs w:val="24"/>
          <w:lang w:val="bg-BG"/>
        </w:rPr>
        <w:t>Попгеоргиев</w:t>
      </w:r>
      <w:proofErr w:type="spellEnd"/>
      <w:r w:rsidR="00234591" w:rsidRPr="00C248D4">
        <w:rPr>
          <w:rFonts w:ascii="Times New Roman" w:eastAsiaTheme="minorEastAsia" w:hAnsi="Times New Roman"/>
          <w:sz w:val="24"/>
          <w:szCs w:val="24"/>
          <w:lang w:val="bg-BG"/>
        </w:rPr>
        <w:t xml:space="preserve">. </w:t>
      </w:r>
    </w:p>
    <w:p w:rsidR="00234591" w:rsidRPr="00C248D4" w:rsidRDefault="00234591" w:rsidP="00901825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:rsidR="00750C5A" w:rsidRPr="00C248D4" w:rsidRDefault="006F1B17" w:rsidP="00901825">
      <w:pPr>
        <w:ind w:firstLine="36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Планът </w:t>
      </w:r>
      <w:r w:rsidR="009758F3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е изготвен в съответствие с техническото задание, като следва неговата структура.</w:t>
      </w:r>
      <w:r w:rsidR="002B53A2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Отделните части на плана са качествено разработени</w:t>
      </w:r>
      <w:r w:rsidR="00C72F01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 детайлни и съответстващи на техническото задание.</w:t>
      </w:r>
      <w:r w:rsidR="009B04D0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 разработването на плана за действие не е предвидена теренна работа, като е използвана наличната информация (публикувани и непубликувани данни) и е извършен анализ на същата.</w:t>
      </w:r>
      <w:r w:rsidR="002B53A2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C72F01" w:rsidRPr="00C248D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Дирекция НСЗП изразява конкретни бележки</w:t>
      </w:r>
      <w:r w:rsidR="00B47EF8" w:rsidRPr="00C248D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за целите на подоб</w:t>
      </w:r>
      <w:r w:rsidR="00695681" w:rsidRPr="00C248D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ряване на съдържанието на плана</w:t>
      </w:r>
      <w:r w:rsid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както следва:</w:t>
      </w:r>
      <w:r w:rsidR="00750C5A"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6330F5" w:rsidRPr="00C248D4" w:rsidRDefault="006330F5" w:rsidP="00885DD1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695681" w:rsidRPr="00C248D4" w:rsidRDefault="00695681" w:rsidP="00901825">
      <w:pPr>
        <w:ind w:firstLine="36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3B1097" w:rsidRDefault="003B1097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Не е спазена номер</w:t>
      </w:r>
      <w:r w:rsidR="007C24FB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ацията на техническото задание – съгласно заданието е 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единствено арабска номерация, като </w:t>
      </w:r>
      <w:r w:rsidR="007C24FB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присъства </w:t>
      </w:r>
      <w:r w:rsidR="00750C5A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значително</w:t>
      </w:r>
      <w:r w:rsidR="007C24FB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разместване в същата. </w:t>
      </w:r>
    </w:p>
    <w:p w:rsidR="00FB5222" w:rsidRPr="00C248D4" w:rsidRDefault="00FB5222" w:rsidP="00FB5222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7E7278" w:rsidRDefault="007E7278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т. Основна цел 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да се добави думата „природозащитно“ пред състояние с цел по-точна формулировка. </w:t>
      </w:r>
      <w:r w:rsidR="00135FFD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Индикаторът към основната цел да се п</w:t>
      </w:r>
      <w:r w:rsidR="00420DA9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ромени на „Увеличение с поне 70% на броя на защитените зони, в които видът е в благоприятно </w:t>
      </w:r>
      <w:r w:rsidR="00420DA9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lastRenderedPageBreak/>
        <w:t xml:space="preserve">природозащитно състояние“. Изпълнителят може да предложи и друг, алтернативен </w:t>
      </w:r>
      <w:r w:rsidR="00483841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индикатор, но същият трябва да е прецизен и измерим (в момента не е). </w:t>
      </w:r>
    </w:p>
    <w:p w:rsidR="00FB5222" w:rsidRPr="00FB5222" w:rsidRDefault="00FB5222" w:rsidP="00FB5222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7691C" w:rsidRDefault="00A7691C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Точка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3.3 Мерки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е неправилно разписана на стр. </w:t>
      </w:r>
      <w:r w:rsidR="000770E9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9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защото се очаква да се формулират единствено второстепенните цели. </w:t>
      </w:r>
    </w:p>
    <w:p w:rsidR="00FB5222" w:rsidRPr="00C248D4" w:rsidRDefault="00FB5222" w:rsidP="00FB5222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4E725B" w:rsidRPr="00B02035" w:rsidRDefault="00A7691C" w:rsidP="00B0203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т.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val="en-US" w:eastAsia="bg-BG"/>
        </w:rPr>
        <w:t>II</w:t>
      </w:r>
      <w:r w:rsidRPr="003C171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Природо</w:t>
      </w:r>
      <w:r w:rsidR="00070BDD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защитен и </w:t>
      </w:r>
      <w:proofErr w:type="spellStart"/>
      <w:r w:rsidR="00070BDD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консервационен</w:t>
      </w:r>
      <w:proofErr w:type="spellEnd"/>
      <w:r w:rsidR="00070BDD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 статус</w:t>
      </w:r>
      <w:r w:rsidR="004E725B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:</w:t>
      </w:r>
      <w:r w:rsidR="00B0203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д</w:t>
      </w:r>
      <w:r w:rsidR="004E725B" w:rsidRPr="00B0203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а се посочи глобалният природозащитен статус съгласно Европейският Червен</w:t>
      </w:r>
      <w:r w:rsidR="00EB3405" w:rsidRPr="00B0203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списък (2010 г.), както и за първото издание на Червената книга на България </w:t>
      </w:r>
      <w:r w:rsidR="00F71F3A" w:rsidRPr="00B02035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(1985). </w:t>
      </w:r>
    </w:p>
    <w:p w:rsidR="00BE5564" w:rsidRPr="00C248D4" w:rsidRDefault="00BE5564" w:rsidP="00901825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6330F5" w:rsidRDefault="00BE5564" w:rsidP="002B668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</w:t>
      </w:r>
      <w:r w:rsidR="00DD4693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т. 2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 xml:space="preserve">.2 </w:t>
      </w:r>
      <w:r w:rsidR="00DD4693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Законодателство на Европейския съюз и национално законодателство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r w:rsidR="00DD46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да се опише, че видът е вкл. в Приложение </w:t>
      </w:r>
      <w:r w:rsidR="00DD46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II</w:t>
      </w:r>
      <w:r w:rsidR="00DD4693" w:rsidRPr="003C171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DD46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на ЗБР и произтичащите от това ангажименти. </w:t>
      </w:r>
      <w:r w:rsidR="00F82D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Към същата точка да се добави </w:t>
      </w:r>
      <w:r w:rsidR="00F82D93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Европейски стратегии и планове за управление</w:t>
      </w:r>
      <w:r w:rsidR="00F82D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както и </w:t>
      </w:r>
      <w:r w:rsidR="00F82D93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Национални стратегии и планове за управление</w:t>
      </w:r>
      <w:r w:rsidR="00F82D93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защото съгласно заданието са обща точка. </w:t>
      </w:r>
      <w:r w:rsidR="00231DCF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На стр. 15 към Стратегия за биологично разнообразие в Република България</w:t>
      </w:r>
      <w:r w:rsidR="002B668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до 2030 г.</w:t>
      </w:r>
      <w:r w:rsidR="00231DCF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, да се добави</w:t>
      </w:r>
      <w:r w:rsidR="002B668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413660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„</w:t>
      </w:r>
      <w:r w:rsidR="002B668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и</w:t>
      </w:r>
      <w:r w:rsidR="00BA3A97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съответния</w:t>
      </w:r>
      <w:r w:rsidR="00231DCF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2B668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Национален план за опазване и устойчиво използване на биологичното разнообразие и генетичните ресурси (5 г. период)“. </w:t>
      </w:r>
    </w:p>
    <w:p w:rsidR="00B02035" w:rsidRPr="00B02035" w:rsidRDefault="00B02035" w:rsidP="00B0203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C37860" w:rsidRDefault="00185AC4" w:rsidP="00C37860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Точка </w:t>
      </w:r>
      <w:r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З</w:t>
      </w:r>
      <w:r w:rsidR="00BB3872" w:rsidRPr="00C248D4">
        <w:rPr>
          <w:rFonts w:ascii="Times New Roman" w:hAnsi="Times New Roman" w:cs="Times New Roman"/>
          <w:bCs/>
          <w:i/>
          <w:sz w:val="24"/>
          <w:szCs w:val="24"/>
          <w:bdr w:val="none" w:sz="0" w:space="0" w:color="auto" w:frame="1"/>
          <w:lang w:eastAsia="bg-BG"/>
        </w:rPr>
        <w:t>аплахи и лимитиращи фактори</w:t>
      </w:r>
      <w:r w:rsidR="00BB3872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да се да се преструктурира съгласно </w:t>
      </w: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поредността на </w:t>
      </w:r>
      <w:r w:rsidR="00234ED4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заданието, но точката е детайлно разгледана в проекта на план за действие.  </w:t>
      </w:r>
    </w:p>
    <w:p w:rsidR="00B02035" w:rsidRPr="00B02035" w:rsidRDefault="00B02035" w:rsidP="00B0203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178AB" w:rsidRDefault="00A178AB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т. </w:t>
      </w:r>
      <w:r w:rsidR="00523C47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7 Необходими природозащитни действия</w:t>
      </w:r>
      <w:r w:rsidR="00533B39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, за отделните дейности е необходимо да се идентифицира „Изпълнител/Отговорен за реализацията“, в т.ч. държавни институции, научни органи</w:t>
      </w:r>
      <w:r w:rsidR="004E6C06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зации и неправителствен сектор, като същите се прехвърлят и в т. 8 (табл.) Мониторинг и оценка на плана (</w:t>
      </w:r>
      <w:r w:rsidR="00BE181F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в момента е разписано „Отговорност за провеждане-МОСВ“ </w:t>
      </w:r>
      <w:r w:rsidR="00BE181F" w:rsidRPr="00C248D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>навсякъде</w:t>
      </w:r>
      <w:r w:rsidR="00BE181F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). </w:t>
      </w:r>
    </w:p>
    <w:p w:rsidR="00B02035" w:rsidRPr="00B02035" w:rsidRDefault="00B02035" w:rsidP="00B0203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BE181F" w:rsidRPr="00C248D4" w:rsidRDefault="00BE181F" w:rsidP="00901825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По отношение на т. 9 Времева рамка и бюджет за природозащитните дейности, е необходимо бюджета да се разпредели количествено по години, за тези от годините, за които съгласно ПД се предвижда извършване на дейността</w:t>
      </w:r>
      <w:r w:rsidR="002532AC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.</w:t>
      </w:r>
      <w:r w:rsidR="0090182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A66C3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Да се идентифицират потенциални източници на финансиране (напр. ПОС, ПРСР, ОПРР, </w:t>
      </w:r>
      <w:r w:rsidR="00A66C3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  <w:t>LIFE</w:t>
      </w:r>
      <w:r w:rsidR="00A66C35" w:rsidRPr="003C171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r w:rsidR="00A66C35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ПУДООС, НПРД за НАТУРА 2000, държавния и общински бюджет, различни програми за сътрудничество).</w:t>
      </w:r>
      <w:r w:rsidR="002532AC" w:rsidRPr="00C248D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В момента е разписано твърде общо като национално и европейско финансиране, собствено финансиране. </w:t>
      </w:r>
    </w:p>
    <w:p w:rsidR="00CF113D" w:rsidRPr="00C248D4" w:rsidRDefault="00CF113D" w:rsidP="00CF113D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CF113D" w:rsidRPr="00C248D4" w:rsidRDefault="00CF113D" w:rsidP="00CF113D">
      <w:pPr>
        <w:pStyle w:val="ListParagraph"/>
        <w:spacing w:after="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</w:p>
    <w:p w:rsidR="00CF113D" w:rsidRPr="00C248D4" w:rsidRDefault="00CF113D" w:rsidP="00CF113D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  <w:r w:rsidRPr="00C248D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По отношение на </w:t>
      </w:r>
      <w:r w:rsidR="00885DD1" w:rsidRPr="00C248D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компонента </w:t>
      </w:r>
      <w:r w:rsidRPr="00C248D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НАТУРА 2000 и ЗТ: </w:t>
      </w:r>
    </w:p>
    <w:p w:rsidR="00C248D4" w:rsidRPr="00C248D4" w:rsidRDefault="00C248D4" w:rsidP="00CF113D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bg-BG"/>
        </w:rPr>
      </w:pPr>
    </w:p>
    <w:p w:rsidR="00DA08C2" w:rsidRPr="00C248D4" w:rsidRDefault="00DA08C2" w:rsidP="00DA08C2">
      <w:pPr>
        <w:overflowPunct/>
        <w:autoSpaceDE/>
        <w:autoSpaceDN/>
        <w:adjustRightInd/>
        <w:spacing w:after="120"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В Плана за действие следва да се посочат всички защитени зони, включващи Поточния рак </w:t>
      </w:r>
      <w:r w:rsidRPr="00C248D4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>(</w:t>
      </w:r>
      <w:proofErr w:type="spellStart"/>
      <w:r w:rsidRPr="00C248D4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>Austropotamobius</w:t>
      </w:r>
      <w:proofErr w:type="spellEnd"/>
      <w:r w:rsidRPr="00C248D4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 xml:space="preserve"> </w:t>
      </w:r>
      <w:proofErr w:type="spellStart"/>
      <w:r w:rsidRPr="00C248D4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>torrentium</w:t>
      </w:r>
      <w:proofErr w:type="spellEnd"/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) с кодове и наименования.</w:t>
      </w:r>
    </w:p>
    <w:p w:rsidR="00DA08C2" w:rsidRPr="00C248D4" w:rsidRDefault="00DA08C2" w:rsidP="00DA08C2">
      <w:pPr>
        <w:overflowPunct/>
        <w:autoSpaceDE/>
        <w:autoSpaceDN/>
        <w:adjustRightInd/>
        <w:spacing w:after="120" w:line="259" w:lineRule="auto"/>
        <w:ind w:firstLine="357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По отношение на посоченото в „VIII. Мониторинг и оценка на плана“ следва да се поясни таблица следва да се уточни естеството на ангажиментите, отговорностите и етапа на извършване на тези дейности от оправомощените за това държавни структури. В допълнение Министерство на околната среда и водите е водеща структура за създаване на законова рамка и правоприлагането й по отношение на политики, обвързани с опазване на околна среда, но не е упълномощена да упражнява контролна дейност над други по ранг държавни институции. Министерство на околната среда, чрез Оперативна програма „Околна среда 2014 – 2020“, е страна по договора за одобрение и управление на настоящия план за действие.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</w:pPr>
      <w:r w:rsidRPr="00C248D4">
        <w:rPr>
          <w:rFonts w:ascii="Times New Roman" w:hAnsi="Times New Roman"/>
          <w:sz w:val="24"/>
          <w:szCs w:val="24"/>
          <w:lang w:val="bg-BG"/>
        </w:rPr>
        <w:lastRenderedPageBreak/>
        <w:t xml:space="preserve">По отношение на „Дейност 3.1. Изготвяне и включване в ПУ и заповедите за обявяване на 40 броя ЗЗ режими и забрани, които да гарантират в максимална степен ограничаване на загубата на крайречни местообитания, </w:t>
      </w:r>
      <w:proofErr w:type="spellStart"/>
      <w:r w:rsidRPr="00C248D4">
        <w:rPr>
          <w:rFonts w:ascii="Times New Roman" w:hAnsi="Times New Roman"/>
          <w:sz w:val="24"/>
          <w:szCs w:val="24"/>
          <w:lang w:val="bg-BG"/>
        </w:rPr>
        <w:t>средообразуващи</w:t>
      </w:r>
      <w:proofErr w:type="spellEnd"/>
      <w:r w:rsidRPr="00C248D4">
        <w:rPr>
          <w:rFonts w:ascii="Times New Roman" w:hAnsi="Times New Roman"/>
          <w:sz w:val="24"/>
          <w:szCs w:val="24"/>
          <w:lang w:val="bg-BG"/>
        </w:rPr>
        <w:t xml:space="preserve"> за вида“ </w:t>
      </w: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следва да се поясни, че за допускане до процедура по обявяване на защитена зона по чл. 6, ал. 1 от ЗБР, е необходимо наличието на обстоятелство, в изпълнение на чл. 6, ал. 5 от ЗБР: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i/>
          <w:sz w:val="24"/>
          <w:szCs w:val="24"/>
          <w:lang w:val="bg-BG" w:eastAsia="bg-BG" w:bidi="bg-BG"/>
        </w:rPr>
        <w:t xml:space="preserve"> „Промяна по ал. 1, т. 5 е допустима при възникване на нови данни, установени след обявяване на защитена зона по реда на чл. 12, ал. 6, и се извършва само след отразяването им в стандартния формуляр на зоната по чл. 8, ал. 1, т. 4. Министърът на околната среда и водите издава инструкция за реда и начина на отразяване на нови данни в стандартните формуляри по чл. 8, ал. 1, т. 4.“</w:t>
      </w: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, да са налични неоспорими доказателства и факти за настоящото състояние с висока степен на значимост и </w:t>
      </w:r>
      <w:proofErr w:type="spellStart"/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застрашеност</w:t>
      </w:r>
      <w:proofErr w:type="spellEnd"/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 на местообитание и/или видове и необходимостта от увеличаване на съществуващата или обявяване на нова защитена зона. 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За целите на прилагане на качествено управление и едновременно с това подобряване на природозащитния статус следва да се изготвят специфични цели на съществуващи защитени зони. Към юли 2021 г. е разработена и одобрена „Концепцията на специфични и подробни природозащитни цели на ниво защитена зона за зони от екологичната мрежа Натура 2000“. Тя кореспондира тясно с необходимостта от конкретни действия за опазване спрямо териториалните и видови характеристики за всяка ЗЗ. 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По отношение на горепосоченото в Националния план за възстановяване и устойчивост е залегнало изпълнението на </w:t>
      </w:r>
      <w:r w:rsidRPr="00C248D4">
        <w:rPr>
          <w:rFonts w:ascii="Times New Roman" w:eastAsia="Calibri" w:hAnsi="Times New Roman"/>
          <w:sz w:val="24"/>
          <w:szCs w:val="24"/>
          <w:lang w:val="bg-BG"/>
        </w:rPr>
        <w:t xml:space="preserve">Проект „Интегриране на </w:t>
      </w:r>
      <w:proofErr w:type="spellStart"/>
      <w:r w:rsidRPr="00C248D4">
        <w:rPr>
          <w:rFonts w:ascii="Times New Roman" w:eastAsia="Calibri" w:hAnsi="Times New Roman"/>
          <w:sz w:val="24"/>
          <w:szCs w:val="24"/>
          <w:lang w:val="bg-BG"/>
        </w:rPr>
        <w:t>екосистемния</w:t>
      </w:r>
      <w:proofErr w:type="spellEnd"/>
      <w:r w:rsidRPr="00C248D4">
        <w:rPr>
          <w:rFonts w:ascii="Times New Roman" w:eastAsia="Calibri" w:hAnsi="Times New Roman"/>
          <w:sz w:val="24"/>
          <w:szCs w:val="24"/>
          <w:lang w:val="bg-BG"/>
        </w:rPr>
        <w:t xml:space="preserve"> подход и прилагане на решения базирани на природата в опазването на защитените зони от мрежата Натура 2000“. Основната цел в проекта е свързана с</w:t>
      </w:r>
      <w:r w:rsidRPr="00C248D4">
        <w:rPr>
          <w:rFonts w:ascii="Calibri" w:eastAsia="Calibri" w:hAnsi="Calibri"/>
          <w:sz w:val="22"/>
          <w:szCs w:val="22"/>
          <w:lang w:val="bg-BG"/>
        </w:rPr>
        <w:t xml:space="preserve"> </w:t>
      </w:r>
      <w:r w:rsidRPr="00C248D4">
        <w:rPr>
          <w:rFonts w:ascii="Times New Roman" w:eastAsia="Calibri" w:hAnsi="Times New Roman"/>
          <w:sz w:val="24"/>
          <w:szCs w:val="24"/>
          <w:lang w:val="bg-BG"/>
        </w:rPr>
        <w:t>осигуряване на качествено и модерно управление на биоразнообразието и Натура 2000 в България</w:t>
      </w: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.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В конкретика част от дейностите по проекта са насочени към </w:t>
      </w:r>
      <w:r w:rsidRPr="00C248D4">
        <w:rPr>
          <w:rFonts w:ascii="Times New Roman" w:eastAsia="Calibri" w:hAnsi="Times New Roman"/>
          <w:sz w:val="24"/>
          <w:szCs w:val="24"/>
          <w:lang w:val="bg-BG"/>
        </w:rPr>
        <w:t>разработване на специфични цели и мерки за 255 защитени зони, и мерки за опазване за 86 защитени зони</w:t>
      </w: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>. По отношение на осигуряването на финансови средства, проектът ще се осъществи с бюджетната подкрепа на Механизма за възстановяване и устойчивост, част Биоразнообразие.</w:t>
      </w:r>
    </w:p>
    <w:p w:rsidR="00DA08C2" w:rsidRPr="00C248D4" w:rsidRDefault="00DA08C2" w:rsidP="00DA08C2">
      <w:pPr>
        <w:overflowPunct/>
        <w:autoSpaceDE/>
        <w:autoSpaceDN/>
        <w:adjustRightInd/>
        <w:ind w:firstLine="360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  <w:r w:rsidRPr="00C248D4">
        <w:rPr>
          <w:rFonts w:ascii="Times New Roman" w:eastAsia="Calibri" w:hAnsi="Times New Roman"/>
          <w:sz w:val="24"/>
          <w:szCs w:val="24"/>
          <w:lang w:val="bg-BG"/>
        </w:rPr>
        <w:t xml:space="preserve">По „Дейност 4.1. Обявяване на нова защитена територия Резерват Река Белица“ </w:t>
      </w:r>
      <w:r w:rsidRPr="00C248D4">
        <w:rPr>
          <w:rFonts w:ascii="Times New Roman" w:hAnsi="Times New Roman"/>
          <w:sz w:val="24"/>
          <w:szCs w:val="24"/>
          <w:lang w:val="bg-BG"/>
        </w:rPr>
        <w:t xml:space="preserve">следва да се поясни, </w:t>
      </w:r>
      <w:r w:rsidRPr="00C248D4">
        <w:rPr>
          <w:rFonts w:ascii="Times New Roman" w:eastAsia="Calibri" w:hAnsi="Times New Roman"/>
          <w:sz w:val="24"/>
          <w:szCs w:val="24"/>
          <w:lang w:val="bg-BG" w:eastAsia="bg-BG" w:bidi="bg-BG"/>
        </w:rPr>
        <w:t xml:space="preserve">че за допускане до процедура по обявяване на защитена територия е необходимо наличието на обстоятелство, в изпълнение на </w:t>
      </w:r>
      <w:r w:rsidRPr="003C1714">
        <w:rPr>
          <w:rFonts w:ascii="Times New Roman" w:eastAsia="Calibri" w:hAnsi="Times New Roman"/>
          <w:sz w:val="24"/>
          <w:szCs w:val="24"/>
          <w:lang w:val="bg-BG"/>
        </w:rPr>
        <w:t xml:space="preserve">чл. 36 от </w:t>
      </w:r>
      <w:r w:rsidRPr="00C248D4">
        <w:rPr>
          <w:rFonts w:ascii="Times New Roman" w:eastAsia="Calibri" w:hAnsi="Times New Roman"/>
          <w:sz w:val="24"/>
          <w:szCs w:val="24"/>
          <w:lang w:val="bg-BG"/>
        </w:rPr>
        <w:t>Закона за защитените територии, доказващо неоспорима необходимост от подобни действия.</w:t>
      </w:r>
    </w:p>
    <w:p w:rsidR="003C1714" w:rsidRPr="003C205D" w:rsidRDefault="003C1714" w:rsidP="003C1714">
      <w:pPr>
        <w:ind w:firstLine="709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При изпълнението на мерките от плана за 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всяка мярка изпълнителите на проектите следва да докладват в МОСВ „Площ на природни местообитанията и местообитания на видове, върху които са приложени мерки за подобряване на състоянието им (в хектари).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3C1714" w:rsidRPr="003C205D" w:rsidRDefault="003C1714" w:rsidP="003C1714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Индикаторът се докладва в хектари и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геореферирана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база с данни, вкл. първични бази с данни от проектите. За реализираните проекти следва да се включат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следните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задължителни 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данни с метаданни или ЕSRI *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shp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(ESRI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shape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file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), в проекционна координатна система WGS84/UTM зона 35N и/или в официалната за страната система, при спазване на следната структура:</w:t>
      </w:r>
    </w:p>
    <w:p w:rsidR="003C1714" w:rsidRPr="003C205D" w:rsidRDefault="003C1714" w:rsidP="003C1714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/пакет от използваните изходни данни, които не са публично достъпни и/или не са в информационната система на НАТУРА 2000;</w:t>
      </w:r>
    </w:p>
    <w:p w:rsidR="003C1714" w:rsidRPr="003C205D" w:rsidRDefault="003C1714" w:rsidP="003C1714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/пакет от данни от проведените дейности на терен - GPS трак и точки с регистрации; полеви формуляри; снимков материал;</w:t>
      </w:r>
    </w:p>
    <w:p w:rsidR="003C1714" w:rsidRDefault="003C1714" w:rsidP="003C1714">
      <w:pPr>
        <w:pStyle w:val="ListParagraph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/пакет от данни от крайни продукти, получени от извършените анализи и обобщения.</w:t>
      </w:r>
    </w:p>
    <w:p w:rsidR="00DA08C2" w:rsidRPr="00C248D4" w:rsidRDefault="00DA08C2" w:rsidP="00DA08C2">
      <w:pPr>
        <w:overflowPunct/>
        <w:autoSpaceDE/>
        <w:autoSpaceDN/>
        <w:adjustRightInd/>
        <w:spacing w:before="120" w:after="120" w:line="270" w:lineRule="atLeast"/>
        <w:ind w:firstLine="709"/>
        <w:jc w:val="both"/>
        <w:textAlignment w:val="auto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Обръщаме внимание, че преди разглеждане на плана за действие от НСБР е необходимо да бъде проведена </w:t>
      </w:r>
      <w:proofErr w:type="spellStart"/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съгласувателна</w:t>
      </w:r>
      <w:proofErr w:type="spellEnd"/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процедура по реда на екологичното законодателство. В тази връзка, предвид </w:t>
      </w:r>
      <w:proofErr w:type="spellStart"/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входираното</w:t>
      </w:r>
      <w:proofErr w:type="spellEnd"/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от вносителите на плана уведомление по чл.10, ал.1 от </w:t>
      </w:r>
      <w:r w:rsidRPr="00C248D4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Наредба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(Наредбата за ОС, </w:t>
      </w:r>
      <w:proofErr w:type="spellStart"/>
      <w:r w:rsidRPr="00C248D4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обн</w:t>
      </w:r>
      <w:proofErr w:type="spellEnd"/>
      <w:r w:rsidRPr="00C248D4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., ДВ бр. 73/2007 г., изм. и доп.), </w:t>
      </w:r>
      <w:r w:rsidRPr="00C248D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следва да ги уведомите, че отдел „Натура 2000 и ЗТ“ ще се произнесе след отстраняване на цитираните по горе бележки.</w:t>
      </w:r>
    </w:p>
    <w:p w:rsidR="00DA08C2" w:rsidRPr="003C1714" w:rsidRDefault="00DA08C2" w:rsidP="00DA08C2">
      <w:pPr>
        <w:overflowPunct/>
        <w:autoSpaceDE/>
        <w:autoSpaceDN/>
        <w:adjustRightInd/>
        <w:spacing w:before="120" w:after="120" w:line="270" w:lineRule="atLeast"/>
        <w:ind w:firstLine="709"/>
        <w:jc w:val="both"/>
        <w:textAlignment w:val="auto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bookmarkStart w:id="0" w:name="_GoBack"/>
      <w:bookmarkEnd w:id="0"/>
      <w:r w:rsidRPr="003C171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 заключение дирекция НСЗП изразява положително становище с висока оценка за предоставените данни и предл</w:t>
      </w:r>
      <w:r w:rsidR="00C248D4" w:rsidRPr="003C171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ага на съвета следното решение:</w:t>
      </w:r>
      <w:r w:rsidRPr="003C171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Министъра на околната среда и водите да утвърди „</w:t>
      </w:r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План за действие за опазване на поточния рак </w:t>
      </w:r>
      <w:proofErr w:type="spellStart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Austropotamobius</w:t>
      </w:r>
      <w:proofErr w:type="spellEnd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torrentium</w:t>
      </w:r>
      <w:proofErr w:type="spellEnd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(</w:t>
      </w:r>
      <w:proofErr w:type="spellStart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Schrank</w:t>
      </w:r>
      <w:proofErr w:type="spellEnd"/>
      <w:r w:rsidR="00C248D4"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, 1803), в България за периода 2022-2031 г.“</w:t>
      </w:r>
      <w:r w:rsidRPr="003C1714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след съобразяване с направените бележки и решения от Съвета.</w:t>
      </w:r>
    </w:p>
    <w:p w:rsidR="003476F0" w:rsidRPr="009758F3" w:rsidRDefault="003476F0" w:rsidP="00F1223C">
      <w:pPr>
        <w:ind w:firstLine="567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bg-BG" w:eastAsia="bg-BG"/>
        </w:rPr>
      </w:pPr>
    </w:p>
    <w:sectPr w:rsidR="003476F0" w:rsidRPr="009758F3" w:rsidSect="00F1223C">
      <w:headerReference w:type="first" r:id="rId7"/>
      <w:footerReference w:type="first" r:id="rId8"/>
      <w:pgSz w:w="11907" w:h="16840" w:code="9"/>
      <w:pgMar w:top="1134" w:right="837" w:bottom="567" w:left="1349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48D" w:rsidRDefault="00CA048D">
      <w:r>
        <w:separator/>
      </w:r>
    </w:p>
  </w:endnote>
  <w:endnote w:type="continuationSeparator" w:id="0">
    <w:p w:rsidR="00CA048D" w:rsidRDefault="00CA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">
    <w:altName w:val="Arial"/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6A4" w:rsidRPr="006826A4" w:rsidRDefault="00C7759E" w:rsidP="006826A4">
    <w:pPr>
      <w:pStyle w:val="Footer"/>
      <w:rPr>
        <w:rFonts w:ascii="Calibri" w:eastAsia="Calibri" w:hAnsi="Calibri"/>
        <w:sz w:val="22"/>
        <w:szCs w:val="22"/>
        <w:lang w:val="bg-BG"/>
      </w:rPr>
    </w:pPr>
    <w:r>
      <w:rPr>
        <w:rFonts w:ascii="Times New Roman" w:hAnsi="Times New Roman"/>
        <w:noProof/>
        <w:lang w:val="bg-BG"/>
      </w:rPr>
      <w:tab/>
    </w:r>
    <w:r w:rsidR="008055A5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3220D" wp14:editId="4C4E34B9">
              <wp:simplePos x="0" y="0"/>
              <wp:positionH relativeFrom="column">
                <wp:posOffset>62865</wp:posOffset>
              </wp:positionH>
              <wp:positionV relativeFrom="paragraph">
                <wp:posOffset>80645</wp:posOffset>
              </wp:positionV>
              <wp:extent cx="5864860" cy="20955"/>
              <wp:effectExtent l="0" t="0" r="21590" b="36195"/>
              <wp:wrapNone/>
              <wp:docPr id="5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A61F4E" id="Straight Connec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6.35pt" to="466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">
              <o:lock v:ext="edit" shapetype="f"/>
            </v:line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10"/>
      <w:gridCol w:w="1841"/>
    </w:tblGrid>
    <w:tr w:rsidR="006826A4" w:rsidRPr="006826A4" w:rsidTr="006826A4">
      <w:trPr>
        <w:trHeight w:val="1013"/>
      </w:trPr>
      <w:tc>
        <w:tcPr>
          <w:tcW w:w="2356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lang w:val="bg-BG" w:eastAsia="bg-BG"/>
            </w:rPr>
            <w:drawing>
              <wp:inline distT="0" distB="0" distL="0" distR="0" wp14:anchorId="6F497B8A" wp14:editId="71155145">
                <wp:extent cx="1828800" cy="7239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София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, 1000,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бул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. „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Кн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.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Мария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Луиза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” 22</w:t>
          </w:r>
        </w:p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</w:p>
        <w:p w:rsidR="00D17C38" w:rsidRPr="00D17C38" w:rsidRDefault="006826A4" w:rsidP="00D17C38">
          <w:pPr>
            <w:rPr>
              <w:rFonts w:ascii="Times New Roman" w:hAnsi="Times New Roman"/>
              <w:b/>
              <w:lang w:val="bg-BG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Тел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: +359(2) 940 </w:t>
          </w:r>
          <w:r w:rsidR="00085DCC">
            <w:rPr>
              <w:rFonts w:ascii="Times New Roman" w:eastAsia="Calibri" w:hAnsi="Times New Roman"/>
              <w:sz w:val="22"/>
              <w:szCs w:val="22"/>
              <w:lang w:val="bg-BG"/>
            </w:rPr>
            <w:t>6</w:t>
          </w:r>
          <w:r w:rsidR="00E77122">
            <w:rPr>
              <w:rFonts w:ascii="Times New Roman" w:eastAsia="Calibri" w:hAnsi="Times New Roman"/>
              <w:sz w:val="22"/>
              <w:szCs w:val="22"/>
              <w:lang w:val="bg-BG"/>
            </w:rPr>
            <w:t>158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 xml:space="preserve">; </w:t>
          </w:r>
          <w:r w:rsidR="00A37869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факс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: +359(2</w:t>
          </w:r>
          <w:r w:rsidR="00A40E40" w:rsidRPr="00786CAA">
            <w:rPr>
              <w:rFonts w:ascii="Times New Roman" w:eastAsia="Calibri" w:hAnsi="Times New Roman"/>
              <w:sz w:val="22"/>
              <w:szCs w:val="22"/>
              <w:lang w:val="bg-BG"/>
            </w:rPr>
            <w:t>)</w:t>
          </w:r>
          <w:r w:rsidR="00085DCC">
            <w:t xml:space="preserve"> </w:t>
          </w:r>
          <w:r w:rsidR="00E77122" w:rsidRPr="00E77122">
            <w:rPr>
              <w:rFonts w:ascii="Times New Roman" w:eastAsia="Calibri" w:hAnsi="Times New Roman"/>
              <w:sz w:val="22"/>
              <w:szCs w:val="22"/>
              <w:lang w:val="bg-BG"/>
            </w:rPr>
            <w:t>9406127</w:t>
          </w:r>
        </w:p>
        <w:p w:rsidR="006826A4" w:rsidRPr="00A40E40" w:rsidRDefault="006826A4" w:rsidP="00D27EF7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" w:eastAsia="Calibri" w:hAnsi="Times"/>
              <w:sz w:val="22"/>
              <w:szCs w:val="22"/>
              <w:lang w:val="bg-BG"/>
            </w:rPr>
          </w:pPr>
        </w:p>
      </w:tc>
      <w:tc>
        <w:tcPr>
          <w:tcW w:w="2001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Times New Roman" w:eastAsia="Calibri" w:hAnsi="Times New Roman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9DBB2E2" wp14:editId="5C6A7AD1">
                <wp:extent cx="371475" cy="371475"/>
                <wp:effectExtent l="0" t="0" r="9525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B9A" w:rsidRPr="00842F0C" w:rsidRDefault="006B0B9A" w:rsidP="006826A4">
    <w:pPr>
      <w:tabs>
        <w:tab w:val="center" w:pos="4703"/>
        <w:tab w:val="right" w:pos="9406"/>
      </w:tabs>
      <w:overflowPunct/>
      <w:autoSpaceDE/>
      <w:autoSpaceDN/>
      <w:adjustRightInd/>
      <w:textAlignment w:val="auto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48D" w:rsidRDefault="00CA048D">
      <w:r>
        <w:separator/>
      </w:r>
    </w:p>
  </w:footnote>
  <w:footnote w:type="continuationSeparator" w:id="0">
    <w:p w:rsidR="00CA048D" w:rsidRDefault="00CA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94" w:rsidRDefault="00EA7694" w:rsidP="00EA7694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bg-BG" w:eastAsia="bg-BG"/>
      </w:rPr>
      <w:drawing>
        <wp:inline distT="0" distB="0" distL="0" distR="0" wp14:anchorId="3AB21526" wp14:editId="5CE22FDD">
          <wp:extent cx="895350" cy="781050"/>
          <wp:effectExtent l="0" t="0" r="0" b="0"/>
          <wp:docPr id="4" name="Picture 4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694" w:rsidRPr="005D6F42" w:rsidRDefault="00EA7694" w:rsidP="00EA7694">
    <w:pPr>
      <w:spacing w:before="20"/>
      <w:jc w:val="center"/>
      <w:rPr>
        <w:rFonts w:ascii="Times New Roman" w:hAnsi="Times New Roman"/>
        <w:b/>
        <w:caps/>
        <w:spacing w:val="20"/>
        <w:sz w:val="24"/>
        <w:szCs w:val="24"/>
        <w:lang w:val="bg-BG"/>
      </w:rPr>
    </w:pPr>
    <w:r w:rsidRPr="005D6F42">
      <w:rPr>
        <w:rFonts w:ascii="Times New Roman" w:hAnsi="Times New Roman"/>
        <w:b/>
        <w:caps/>
        <w:spacing w:val="20"/>
        <w:sz w:val="24"/>
        <w:szCs w:val="24"/>
        <w:lang w:val="bg-BG"/>
      </w:rPr>
      <w:t>Р е п у б л и к а   б ъ л г а р и я</w:t>
    </w:r>
  </w:p>
  <w:p w:rsidR="00EA7694" w:rsidRPr="005D6F42" w:rsidRDefault="00EA7694" w:rsidP="00EA7694">
    <w:pPr>
      <w:spacing w:line="270" w:lineRule="atLeast"/>
      <w:rPr>
        <w:rFonts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</w:pPr>
  </w:p>
  <w:p w:rsidR="00EA7694" w:rsidRPr="005D6F42" w:rsidRDefault="00EA7694" w:rsidP="00EA7694">
    <w:pPr>
      <w:pBdr>
        <w:bottom w:val="single" w:sz="4" w:space="0" w:color="auto"/>
      </w:pBdr>
      <w:spacing w:line="270" w:lineRule="atLeast"/>
      <w:jc w:val="center"/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</w:pP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МИНИСТЕРСТВО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НА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ОКОЛНАТА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СРЕДА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И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ВОДИТЕ</w:t>
    </w:r>
    <w:r w:rsidRPr="005D6F42"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  <w:t xml:space="preserve"> </w:t>
    </w:r>
  </w:p>
  <w:p w:rsidR="00ED1377" w:rsidRPr="003C1714" w:rsidRDefault="00ED1377" w:rsidP="00EA769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78"/>
    <w:multiLevelType w:val="hybridMultilevel"/>
    <w:tmpl w:val="1DA0D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3E9"/>
    <w:multiLevelType w:val="hybridMultilevel"/>
    <w:tmpl w:val="6810909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AD"/>
    <w:multiLevelType w:val="hybridMultilevel"/>
    <w:tmpl w:val="737CFF4E"/>
    <w:lvl w:ilvl="0" w:tplc="F24ABE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0D7D"/>
    <w:multiLevelType w:val="hybridMultilevel"/>
    <w:tmpl w:val="C988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63186"/>
    <w:multiLevelType w:val="hybridMultilevel"/>
    <w:tmpl w:val="ADD41D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5758E"/>
    <w:multiLevelType w:val="hybridMultilevel"/>
    <w:tmpl w:val="D9B20B6C"/>
    <w:lvl w:ilvl="0" w:tplc="9B64C3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2A55A93"/>
    <w:multiLevelType w:val="hybridMultilevel"/>
    <w:tmpl w:val="1D78D2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76B14"/>
    <w:multiLevelType w:val="hybridMultilevel"/>
    <w:tmpl w:val="77322128"/>
    <w:lvl w:ilvl="0" w:tplc="E43E9CE4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514477"/>
    <w:multiLevelType w:val="multilevel"/>
    <w:tmpl w:val="340C2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31B22"/>
    <w:multiLevelType w:val="multilevel"/>
    <w:tmpl w:val="C4EC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BB1E31"/>
    <w:multiLevelType w:val="multilevel"/>
    <w:tmpl w:val="1082C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11" w15:restartNumberingAfterBreak="0">
    <w:nsid w:val="433F0057"/>
    <w:multiLevelType w:val="multilevel"/>
    <w:tmpl w:val="F94A2A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 w15:restartNumberingAfterBreak="0">
    <w:nsid w:val="551969EA"/>
    <w:multiLevelType w:val="multilevel"/>
    <w:tmpl w:val="90CC5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>
      <w:start w:val="13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A976B6"/>
    <w:multiLevelType w:val="hybridMultilevel"/>
    <w:tmpl w:val="D34C9F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81E74"/>
    <w:multiLevelType w:val="hybridMultilevel"/>
    <w:tmpl w:val="0BA4030E"/>
    <w:lvl w:ilvl="0" w:tplc="F79E1A4A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F6B71"/>
    <w:multiLevelType w:val="multilevel"/>
    <w:tmpl w:val="F8903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16" w15:restartNumberingAfterBreak="0">
    <w:nsid w:val="6D941F55"/>
    <w:multiLevelType w:val="hybridMultilevel"/>
    <w:tmpl w:val="B8BC98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F77D0"/>
    <w:multiLevelType w:val="hybridMultilevel"/>
    <w:tmpl w:val="E5DA7C0C"/>
    <w:lvl w:ilvl="0" w:tplc="D964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73951"/>
    <w:multiLevelType w:val="hybridMultilevel"/>
    <w:tmpl w:val="46AEE964"/>
    <w:lvl w:ilvl="0" w:tplc="E43E9CE4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  <w:color w:val="auto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33F7BAD"/>
    <w:multiLevelType w:val="hybridMultilevel"/>
    <w:tmpl w:val="E85CC1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75331A"/>
    <w:multiLevelType w:val="hybridMultilevel"/>
    <w:tmpl w:val="DC820FD0"/>
    <w:lvl w:ilvl="0" w:tplc="9F38A5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281BE8"/>
    <w:multiLevelType w:val="hybridMultilevel"/>
    <w:tmpl w:val="AAC6EF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5"/>
  </w:num>
  <w:num w:numId="5">
    <w:abstractNumId w:val="19"/>
  </w:num>
  <w:num w:numId="6">
    <w:abstractNumId w:val="10"/>
  </w:num>
  <w:num w:numId="7">
    <w:abstractNumId w:val="17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8"/>
  </w:num>
  <w:num w:numId="13">
    <w:abstractNumId w:val="13"/>
  </w:num>
  <w:num w:numId="14">
    <w:abstractNumId w:val="20"/>
  </w:num>
  <w:num w:numId="15">
    <w:abstractNumId w:val="21"/>
  </w:num>
  <w:num w:numId="16">
    <w:abstractNumId w:val="6"/>
  </w:num>
  <w:num w:numId="17">
    <w:abstractNumId w:val="1"/>
  </w:num>
  <w:num w:numId="18">
    <w:abstractNumId w:val="7"/>
  </w:num>
  <w:num w:numId="19">
    <w:abstractNumId w:val="11"/>
  </w:num>
  <w:num w:numId="20">
    <w:abstractNumId w:val="12"/>
  </w:num>
  <w:num w:numId="21">
    <w:abstractNumId w:val="1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306F"/>
    <w:rsid w:val="00016382"/>
    <w:rsid w:val="00026295"/>
    <w:rsid w:val="000334DC"/>
    <w:rsid w:val="000343AB"/>
    <w:rsid w:val="00034716"/>
    <w:rsid w:val="00042511"/>
    <w:rsid w:val="00050242"/>
    <w:rsid w:val="00057E0A"/>
    <w:rsid w:val="00066AA2"/>
    <w:rsid w:val="00070BDD"/>
    <w:rsid w:val="00073B22"/>
    <w:rsid w:val="00075C87"/>
    <w:rsid w:val="000770E9"/>
    <w:rsid w:val="00085DCC"/>
    <w:rsid w:val="000977DF"/>
    <w:rsid w:val="000B2DDE"/>
    <w:rsid w:val="000B3E2D"/>
    <w:rsid w:val="000B6381"/>
    <w:rsid w:val="000C008A"/>
    <w:rsid w:val="000C3BCA"/>
    <w:rsid w:val="000F054D"/>
    <w:rsid w:val="001073F0"/>
    <w:rsid w:val="00112CA6"/>
    <w:rsid w:val="00122B91"/>
    <w:rsid w:val="00135FFD"/>
    <w:rsid w:val="00136D7F"/>
    <w:rsid w:val="00145AD0"/>
    <w:rsid w:val="0014698C"/>
    <w:rsid w:val="00157D1E"/>
    <w:rsid w:val="00166B7D"/>
    <w:rsid w:val="00171E8F"/>
    <w:rsid w:val="00184922"/>
    <w:rsid w:val="00185AC4"/>
    <w:rsid w:val="001A26DA"/>
    <w:rsid w:val="001B170D"/>
    <w:rsid w:val="001B4BA4"/>
    <w:rsid w:val="001B4BA5"/>
    <w:rsid w:val="001C5702"/>
    <w:rsid w:val="001C6903"/>
    <w:rsid w:val="001D0EE8"/>
    <w:rsid w:val="001E10FE"/>
    <w:rsid w:val="001F35C1"/>
    <w:rsid w:val="0020512A"/>
    <w:rsid w:val="0020653E"/>
    <w:rsid w:val="00207DFD"/>
    <w:rsid w:val="00212CD7"/>
    <w:rsid w:val="00213643"/>
    <w:rsid w:val="00226A7E"/>
    <w:rsid w:val="00227908"/>
    <w:rsid w:val="00231DCF"/>
    <w:rsid w:val="00233451"/>
    <w:rsid w:val="00234591"/>
    <w:rsid w:val="00234ED4"/>
    <w:rsid w:val="0023796F"/>
    <w:rsid w:val="0024120B"/>
    <w:rsid w:val="00250977"/>
    <w:rsid w:val="002532AC"/>
    <w:rsid w:val="00256349"/>
    <w:rsid w:val="002646CA"/>
    <w:rsid w:val="00266D04"/>
    <w:rsid w:val="00267070"/>
    <w:rsid w:val="002A709F"/>
    <w:rsid w:val="002B53A2"/>
    <w:rsid w:val="002B6685"/>
    <w:rsid w:val="002B7809"/>
    <w:rsid w:val="002C0370"/>
    <w:rsid w:val="002C20D1"/>
    <w:rsid w:val="002C707C"/>
    <w:rsid w:val="002D1E07"/>
    <w:rsid w:val="002D2C41"/>
    <w:rsid w:val="002E09F6"/>
    <w:rsid w:val="002E25EF"/>
    <w:rsid w:val="002E477F"/>
    <w:rsid w:val="002F163D"/>
    <w:rsid w:val="002F6D60"/>
    <w:rsid w:val="002F7889"/>
    <w:rsid w:val="00311ADA"/>
    <w:rsid w:val="003240BE"/>
    <w:rsid w:val="00324274"/>
    <w:rsid w:val="00330C1D"/>
    <w:rsid w:val="003476F0"/>
    <w:rsid w:val="00352F4E"/>
    <w:rsid w:val="00392732"/>
    <w:rsid w:val="003A03D6"/>
    <w:rsid w:val="003A2715"/>
    <w:rsid w:val="003A28D4"/>
    <w:rsid w:val="003A2A77"/>
    <w:rsid w:val="003B1097"/>
    <w:rsid w:val="003B27D1"/>
    <w:rsid w:val="003B30BB"/>
    <w:rsid w:val="003B5690"/>
    <w:rsid w:val="003C1714"/>
    <w:rsid w:val="003D4054"/>
    <w:rsid w:val="003D4A6B"/>
    <w:rsid w:val="003D68AD"/>
    <w:rsid w:val="003E157B"/>
    <w:rsid w:val="003E6C25"/>
    <w:rsid w:val="003F0AFB"/>
    <w:rsid w:val="003F379E"/>
    <w:rsid w:val="0040730B"/>
    <w:rsid w:val="00411608"/>
    <w:rsid w:val="00413660"/>
    <w:rsid w:val="00415811"/>
    <w:rsid w:val="00416D0F"/>
    <w:rsid w:val="00420DA9"/>
    <w:rsid w:val="004450E0"/>
    <w:rsid w:val="00446795"/>
    <w:rsid w:val="00465BC4"/>
    <w:rsid w:val="00483210"/>
    <w:rsid w:val="00483841"/>
    <w:rsid w:val="00491867"/>
    <w:rsid w:val="004925BF"/>
    <w:rsid w:val="00494FE3"/>
    <w:rsid w:val="004C3144"/>
    <w:rsid w:val="004D401B"/>
    <w:rsid w:val="004E6C06"/>
    <w:rsid w:val="004E725B"/>
    <w:rsid w:val="004F04D9"/>
    <w:rsid w:val="004F0D5A"/>
    <w:rsid w:val="004F4A8F"/>
    <w:rsid w:val="004F67C4"/>
    <w:rsid w:val="004F765C"/>
    <w:rsid w:val="00512816"/>
    <w:rsid w:val="0052043E"/>
    <w:rsid w:val="00523C47"/>
    <w:rsid w:val="00533B39"/>
    <w:rsid w:val="00536A75"/>
    <w:rsid w:val="0057056E"/>
    <w:rsid w:val="005A3B17"/>
    <w:rsid w:val="005A7C83"/>
    <w:rsid w:val="005B3CED"/>
    <w:rsid w:val="005B69F7"/>
    <w:rsid w:val="005C3D1F"/>
    <w:rsid w:val="005D04F8"/>
    <w:rsid w:val="005D45B2"/>
    <w:rsid w:val="005D4F7D"/>
    <w:rsid w:val="005D759C"/>
    <w:rsid w:val="005D7788"/>
    <w:rsid w:val="005E2EC1"/>
    <w:rsid w:val="005F2E04"/>
    <w:rsid w:val="005F36EE"/>
    <w:rsid w:val="00602A0B"/>
    <w:rsid w:val="00603C38"/>
    <w:rsid w:val="00613FCB"/>
    <w:rsid w:val="00615657"/>
    <w:rsid w:val="00616A0E"/>
    <w:rsid w:val="0062681E"/>
    <w:rsid w:val="006330F5"/>
    <w:rsid w:val="006338C0"/>
    <w:rsid w:val="006340C8"/>
    <w:rsid w:val="00643C98"/>
    <w:rsid w:val="00644375"/>
    <w:rsid w:val="00661C46"/>
    <w:rsid w:val="00662E0E"/>
    <w:rsid w:val="00667EF2"/>
    <w:rsid w:val="00670E9C"/>
    <w:rsid w:val="0067299B"/>
    <w:rsid w:val="006826A4"/>
    <w:rsid w:val="00686DB6"/>
    <w:rsid w:val="00690A70"/>
    <w:rsid w:val="00695681"/>
    <w:rsid w:val="006A5151"/>
    <w:rsid w:val="006B0B9A"/>
    <w:rsid w:val="006C63A2"/>
    <w:rsid w:val="006C7760"/>
    <w:rsid w:val="006D21A3"/>
    <w:rsid w:val="006E0C43"/>
    <w:rsid w:val="006E1608"/>
    <w:rsid w:val="006E7677"/>
    <w:rsid w:val="006F1B17"/>
    <w:rsid w:val="006F56D3"/>
    <w:rsid w:val="0072410E"/>
    <w:rsid w:val="00735898"/>
    <w:rsid w:val="007453FC"/>
    <w:rsid w:val="00750C5A"/>
    <w:rsid w:val="007550EB"/>
    <w:rsid w:val="0076286A"/>
    <w:rsid w:val="00764644"/>
    <w:rsid w:val="007719EF"/>
    <w:rsid w:val="00785EC5"/>
    <w:rsid w:val="00786CAA"/>
    <w:rsid w:val="00793AF1"/>
    <w:rsid w:val="0079486A"/>
    <w:rsid w:val="007949F2"/>
    <w:rsid w:val="00797B48"/>
    <w:rsid w:val="007A6290"/>
    <w:rsid w:val="007B5CDD"/>
    <w:rsid w:val="007C24FB"/>
    <w:rsid w:val="007C65D0"/>
    <w:rsid w:val="007D5877"/>
    <w:rsid w:val="007E4317"/>
    <w:rsid w:val="007E6B6D"/>
    <w:rsid w:val="007E7278"/>
    <w:rsid w:val="008055A5"/>
    <w:rsid w:val="00812E99"/>
    <w:rsid w:val="00816013"/>
    <w:rsid w:val="00817210"/>
    <w:rsid w:val="008246B2"/>
    <w:rsid w:val="0083205D"/>
    <w:rsid w:val="00842F0C"/>
    <w:rsid w:val="00852406"/>
    <w:rsid w:val="0085348A"/>
    <w:rsid w:val="008719BB"/>
    <w:rsid w:val="00876767"/>
    <w:rsid w:val="00880F45"/>
    <w:rsid w:val="0088363E"/>
    <w:rsid w:val="00885DD1"/>
    <w:rsid w:val="008B0206"/>
    <w:rsid w:val="008B1300"/>
    <w:rsid w:val="008C3019"/>
    <w:rsid w:val="008D25DD"/>
    <w:rsid w:val="008D74B9"/>
    <w:rsid w:val="008E7B08"/>
    <w:rsid w:val="008F0F99"/>
    <w:rsid w:val="0090039C"/>
    <w:rsid w:val="00901825"/>
    <w:rsid w:val="00901A7B"/>
    <w:rsid w:val="00916C4B"/>
    <w:rsid w:val="00933B3B"/>
    <w:rsid w:val="00936425"/>
    <w:rsid w:val="009378CF"/>
    <w:rsid w:val="00943658"/>
    <w:rsid w:val="0094591A"/>
    <w:rsid w:val="00946D85"/>
    <w:rsid w:val="0095068C"/>
    <w:rsid w:val="009571F2"/>
    <w:rsid w:val="00961612"/>
    <w:rsid w:val="00973C05"/>
    <w:rsid w:val="00974296"/>
    <w:rsid w:val="00974546"/>
    <w:rsid w:val="009758F3"/>
    <w:rsid w:val="00981A47"/>
    <w:rsid w:val="00994730"/>
    <w:rsid w:val="00994FD4"/>
    <w:rsid w:val="009958B3"/>
    <w:rsid w:val="009A49E5"/>
    <w:rsid w:val="009A4CC4"/>
    <w:rsid w:val="009B04D0"/>
    <w:rsid w:val="009B4C1C"/>
    <w:rsid w:val="009B5793"/>
    <w:rsid w:val="009C28A8"/>
    <w:rsid w:val="009C2DE3"/>
    <w:rsid w:val="009C37FE"/>
    <w:rsid w:val="009D4BD7"/>
    <w:rsid w:val="009E1D29"/>
    <w:rsid w:val="009E7D8E"/>
    <w:rsid w:val="009F0994"/>
    <w:rsid w:val="009F0EA9"/>
    <w:rsid w:val="009F4989"/>
    <w:rsid w:val="00A052F5"/>
    <w:rsid w:val="00A1736B"/>
    <w:rsid w:val="00A178AB"/>
    <w:rsid w:val="00A31D49"/>
    <w:rsid w:val="00A35B62"/>
    <w:rsid w:val="00A37869"/>
    <w:rsid w:val="00A40E40"/>
    <w:rsid w:val="00A45F0F"/>
    <w:rsid w:val="00A504C0"/>
    <w:rsid w:val="00A529D8"/>
    <w:rsid w:val="00A615C2"/>
    <w:rsid w:val="00A66C35"/>
    <w:rsid w:val="00A671F2"/>
    <w:rsid w:val="00A7691C"/>
    <w:rsid w:val="00A92A6F"/>
    <w:rsid w:val="00A94E16"/>
    <w:rsid w:val="00AB0B48"/>
    <w:rsid w:val="00AB5B7B"/>
    <w:rsid w:val="00AC7535"/>
    <w:rsid w:val="00AC7B4E"/>
    <w:rsid w:val="00AD13E8"/>
    <w:rsid w:val="00AF309C"/>
    <w:rsid w:val="00AF4B08"/>
    <w:rsid w:val="00B02035"/>
    <w:rsid w:val="00B02BDA"/>
    <w:rsid w:val="00B2037F"/>
    <w:rsid w:val="00B21A08"/>
    <w:rsid w:val="00B2632D"/>
    <w:rsid w:val="00B277E9"/>
    <w:rsid w:val="00B30FFB"/>
    <w:rsid w:val="00B33C7F"/>
    <w:rsid w:val="00B35BCE"/>
    <w:rsid w:val="00B444A3"/>
    <w:rsid w:val="00B4628B"/>
    <w:rsid w:val="00B47EF8"/>
    <w:rsid w:val="00B63C3D"/>
    <w:rsid w:val="00B64FA0"/>
    <w:rsid w:val="00B71A19"/>
    <w:rsid w:val="00B76562"/>
    <w:rsid w:val="00B82F3C"/>
    <w:rsid w:val="00B91DB1"/>
    <w:rsid w:val="00B93380"/>
    <w:rsid w:val="00BA057B"/>
    <w:rsid w:val="00BA3A97"/>
    <w:rsid w:val="00BA7B8F"/>
    <w:rsid w:val="00BB1E2A"/>
    <w:rsid w:val="00BB3872"/>
    <w:rsid w:val="00BD5B4B"/>
    <w:rsid w:val="00BE181F"/>
    <w:rsid w:val="00BE5564"/>
    <w:rsid w:val="00BF3345"/>
    <w:rsid w:val="00C00904"/>
    <w:rsid w:val="00C02136"/>
    <w:rsid w:val="00C07480"/>
    <w:rsid w:val="00C1246B"/>
    <w:rsid w:val="00C16CB6"/>
    <w:rsid w:val="00C1784B"/>
    <w:rsid w:val="00C17B63"/>
    <w:rsid w:val="00C17D7D"/>
    <w:rsid w:val="00C248D4"/>
    <w:rsid w:val="00C34735"/>
    <w:rsid w:val="00C34C29"/>
    <w:rsid w:val="00C36910"/>
    <w:rsid w:val="00C37860"/>
    <w:rsid w:val="00C473A4"/>
    <w:rsid w:val="00C476C2"/>
    <w:rsid w:val="00C47BC8"/>
    <w:rsid w:val="00C65BE2"/>
    <w:rsid w:val="00C71CC5"/>
    <w:rsid w:val="00C72F01"/>
    <w:rsid w:val="00C76288"/>
    <w:rsid w:val="00C7759E"/>
    <w:rsid w:val="00C90A15"/>
    <w:rsid w:val="00C9282E"/>
    <w:rsid w:val="00C96C3B"/>
    <w:rsid w:val="00C97C88"/>
    <w:rsid w:val="00CA048D"/>
    <w:rsid w:val="00CA3258"/>
    <w:rsid w:val="00CA7A14"/>
    <w:rsid w:val="00CB4830"/>
    <w:rsid w:val="00CB655B"/>
    <w:rsid w:val="00CB7C84"/>
    <w:rsid w:val="00CC126A"/>
    <w:rsid w:val="00CC37CE"/>
    <w:rsid w:val="00CD05C6"/>
    <w:rsid w:val="00CD1F33"/>
    <w:rsid w:val="00CD6506"/>
    <w:rsid w:val="00CE06EE"/>
    <w:rsid w:val="00CE27C9"/>
    <w:rsid w:val="00CF0CB7"/>
    <w:rsid w:val="00CF113D"/>
    <w:rsid w:val="00CF4F20"/>
    <w:rsid w:val="00CF5D1C"/>
    <w:rsid w:val="00D0261E"/>
    <w:rsid w:val="00D03B87"/>
    <w:rsid w:val="00D0487B"/>
    <w:rsid w:val="00D16112"/>
    <w:rsid w:val="00D17C38"/>
    <w:rsid w:val="00D22D8F"/>
    <w:rsid w:val="00D259F5"/>
    <w:rsid w:val="00D27EF7"/>
    <w:rsid w:val="00D27F07"/>
    <w:rsid w:val="00D308BF"/>
    <w:rsid w:val="00D450FA"/>
    <w:rsid w:val="00D530CC"/>
    <w:rsid w:val="00D53EEB"/>
    <w:rsid w:val="00D53FAC"/>
    <w:rsid w:val="00D5572B"/>
    <w:rsid w:val="00D619F0"/>
    <w:rsid w:val="00D61AE4"/>
    <w:rsid w:val="00D64F25"/>
    <w:rsid w:val="00D70AA0"/>
    <w:rsid w:val="00D70BF9"/>
    <w:rsid w:val="00D71C83"/>
    <w:rsid w:val="00D72DCC"/>
    <w:rsid w:val="00D7472F"/>
    <w:rsid w:val="00D92444"/>
    <w:rsid w:val="00D931AB"/>
    <w:rsid w:val="00DA08C2"/>
    <w:rsid w:val="00DA135A"/>
    <w:rsid w:val="00DC0E17"/>
    <w:rsid w:val="00DD301B"/>
    <w:rsid w:val="00DD4693"/>
    <w:rsid w:val="00DD55F9"/>
    <w:rsid w:val="00DE306D"/>
    <w:rsid w:val="00E15B5B"/>
    <w:rsid w:val="00E33C03"/>
    <w:rsid w:val="00E344E2"/>
    <w:rsid w:val="00E5274E"/>
    <w:rsid w:val="00E54079"/>
    <w:rsid w:val="00E5574B"/>
    <w:rsid w:val="00E5790D"/>
    <w:rsid w:val="00E61E1C"/>
    <w:rsid w:val="00E654A6"/>
    <w:rsid w:val="00E67EBC"/>
    <w:rsid w:val="00E706DE"/>
    <w:rsid w:val="00E77122"/>
    <w:rsid w:val="00E85447"/>
    <w:rsid w:val="00E91F4A"/>
    <w:rsid w:val="00EA1921"/>
    <w:rsid w:val="00EA21D2"/>
    <w:rsid w:val="00EA3B1F"/>
    <w:rsid w:val="00EA7694"/>
    <w:rsid w:val="00EB3405"/>
    <w:rsid w:val="00EB63EB"/>
    <w:rsid w:val="00EC0C45"/>
    <w:rsid w:val="00EC304D"/>
    <w:rsid w:val="00ED1377"/>
    <w:rsid w:val="00ED3B2B"/>
    <w:rsid w:val="00EF3CCE"/>
    <w:rsid w:val="00F00EC9"/>
    <w:rsid w:val="00F0307D"/>
    <w:rsid w:val="00F105E6"/>
    <w:rsid w:val="00F1223C"/>
    <w:rsid w:val="00F133D0"/>
    <w:rsid w:val="00F17F5D"/>
    <w:rsid w:val="00F20D99"/>
    <w:rsid w:val="00F2712E"/>
    <w:rsid w:val="00F31F73"/>
    <w:rsid w:val="00F363DC"/>
    <w:rsid w:val="00F53ACA"/>
    <w:rsid w:val="00F541D7"/>
    <w:rsid w:val="00F64BF9"/>
    <w:rsid w:val="00F71E35"/>
    <w:rsid w:val="00F71F3A"/>
    <w:rsid w:val="00F72CF1"/>
    <w:rsid w:val="00F73990"/>
    <w:rsid w:val="00F77730"/>
    <w:rsid w:val="00F82D93"/>
    <w:rsid w:val="00F86871"/>
    <w:rsid w:val="00FB5222"/>
    <w:rsid w:val="00FC43AE"/>
    <w:rsid w:val="00FD600D"/>
    <w:rsid w:val="00FE22D9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67371D"/>
  <w15:docId w15:val="{55F2B72B-36C0-4B50-B927-09AE8068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mainpageitemsjus">
    <w:name w:val="main_page_items_jus"/>
    <w:basedOn w:val="Normal"/>
    <w:rsid w:val="00842F0C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Verdana" w:hAnsi="Verdana"/>
      <w:b/>
      <w:bCs/>
      <w:color w:val="000000"/>
      <w:sz w:val="18"/>
      <w:szCs w:val="18"/>
      <w:lang w:val="bg-BG" w:eastAsia="bg-BG"/>
    </w:rPr>
  </w:style>
  <w:style w:type="paragraph" w:styleId="BalloonText">
    <w:name w:val="Balloon Text"/>
    <w:basedOn w:val="Normal"/>
    <w:semiHidden/>
    <w:rsid w:val="007719E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ED1377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NormalIndent">
    <w:name w:val="Normal Indent"/>
    <w:basedOn w:val="Normal"/>
    <w:rsid w:val="003D4054"/>
    <w:pPr>
      <w:overflowPunct/>
      <w:autoSpaceDE/>
      <w:autoSpaceDN/>
      <w:adjustRightInd/>
      <w:ind w:left="720"/>
      <w:textAlignment w:val="auto"/>
    </w:pPr>
    <w:rPr>
      <w:rFonts w:ascii="Timok" w:hAnsi="Timok"/>
      <w:sz w:val="28"/>
      <w:lang w:val="en-GB"/>
    </w:rPr>
  </w:style>
  <w:style w:type="character" w:styleId="CommentReference">
    <w:name w:val="annotation reference"/>
    <w:rsid w:val="00C65B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5BE2"/>
  </w:style>
  <w:style w:type="character" w:customStyle="1" w:styleId="CommentTextChar">
    <w:name w:val="Comment Text Char"/>
    <w:link w:val="CommentText"/>
    <w:rsid w:val="00C65BE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5BE2"/>
    <w:rPr>
      <w:b/>
      <w:bCs/>
    </w:rPr>
  </w:style>
  <w:style w:type="character" w:customStyle="1" w:styleId="CommentSubjectChar">
    <w:name w:val="Comment Subject Char"/>
    <w:link w:val="CommentSubject"/>
    <w:rsid w:val="00C65BE2"/>
    <w:rPr>
      <w:rFonts w:ascii="Arial" w:hAnsi="Arial"/>
      <w:b/>
      <w:bCs/>
      <w:lang w:val="en-US" w:eastAsia="en-US"/>
    </w:rPr>
  </w:style>
  <w:style w:type="paragraph" w:customStyle="1" w:styleId="m">
    <w:name w:val="m"/>
    <w:basedOn w:val="Normal"/>
    <w:rsid w:val="00F739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769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AF4B0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bg-BG"/>
    </w:rPr>
  </w:style>
  <w:style w:type="paragraph" w:customStyle="1" w:styleId="CharChar1Char0">
    <w:name w:val="Char Char1 Char"/>
    <w:basedOn w:val="Normal"/>
    <w:semiHidden/>
    <w:rsid w:val="00DA08C2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1477</Words>
  <Characters>8425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Windows User</cp:lastModifiedBy>
  <cp:revision>2</cp:revision>
  <cp:lastPrinted>2022-04-26T09:54:00Z</cp:lastPrinted>
  <dcterms:created xsi:type="dcterms:W3CDTF">2022-04-26T13:46:00Z</dcterms:created>
  <dcterms:modified xsi:type="dcterms:W3CDTF">2022-04-26T13:46:00Z</dcterms:modified>
</cp:coreProperties>
</file>