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43" w:rsidRPr="00EA5BF4" w:rsidRDefault="00543B43" w:rsidP="00543B43">
      <w:pPr>
        <w:jc w:val="both"/>
        <w:rPr>
          <w:rFonts w:ascii="Verdana" w:hAnsi="Verdana"/>
          <w:b/>
          <w:i/>
          <w:color w:val="000000"/>
          <w:lang w:val="bg-BG"/>
        </w:rPr>
      </w:pPr>
      <w:bookmarkStart w:id="0" w:name="_GoBack"/>
      <w:bookmarkEnd w:id="0"/>
      <w:r w:rsidRPr="00EA5BF4">
        <w:rPr>
          <w:rFonts w:ascii="Verdana" w:hAnsi="Verdana"/>
          <w:color w:val="000000"/>
          <w:lang w:val="bg-BG"/>
        </w:rPr>
        <w:t xml:space="preserve">Министерство на околната среда и водите, съобщава, че на 17 март, 2021 г. са обявени на обществеността за консултации и писмени становища проектите на </w:t>
      </w:r>
      <w:r w:rsidRPr="00EA5BF4">
        <w:rPr>
          <w:rFonts w:ascii="Verdana" w:hAnsi="Verdana"/>
          <w:b/>
          <w:i/>
          <w:color w:val="000000"/>
          <w:lang w:val="bg-BG"/>
        </w:rPr>
        <w:t xml:space="preserve">Актуализирани предварителни оценки на риска от наводнения за Дунавски, Черноморски, Източнобеломорски и Западнобеломорски райони за басейново управление. </w:t>
      </w:r>
    </w:p>
    <w:p w:rsidR="00543B43" w:rsidRPr="00EA5BF4" w:rsidRDefault="00543B43" w:rsidP="00543B43">
      <w:pPr>
        <w:jc w:val="both"/>
        <w:rPr>
          <w:rFonts w:ascii="Verdana" w:hAnsi="Verdana"/>
          <w:b/>
          <w:i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color w:val="000000"/>
          <w:lang w:val="bg-BG"/>
        </w:rPr>
        <w:t xml:space="preserve">Същите са разработени в рамките на проект BG16M1OP002-4.005-0001 „ПУРН – втори цикъл 2022-2027 г." с бенефициент дирекция „Управление на водите“ към Министерство на околната среда и водите в партньорство с </w:t>
      </w:r>
      <w:proofErr w:type="spellStart"/>
      <w:r w:rsidRPr="00EA5BF4">
        <w:rPr>
          <w:rFonts w:ascii="Verdana" w:hAnsi="Verdana"/>
          <w:color w:val="000000"/>
          <w:lang w:val="bg-BG"/>
        </w:rPr>
        <w:t>Басейновите</w:t>
      </w:r>
      <w:proofErr w:type="spellEnd"/>
      <w:r w:rsidRPr="00EA5BF4">
        <w:rPr>
          <w:rFonts w:ascii="Verdana" w:hAnsi="Verdana"/>
          <w:color w:val="000000"/>
          <w:lang w:val="bg-BG"/>
        </w:rPr>
        <w:t xml:space="preserve"> дирекции.</w:t>
      </w: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color w:val="000000"/>
          <w:lang w:val="bg-BG"/>
        </w:rPr>
        <w:t xml:space="preserve">Проектите са публикувани на интернет страницата на съответната </w:t>
      </w:r>
      <w:proofErr w:type="spellStart"/>
      <w:r w:rsidRPr="00EA5BF4">
        <w:rPr>
          <w:rFonts w:ascii="Verdana" w:hAnsi="Verdana"/>
          <w:color w:val="000000"/>
          <w:lang w:val="bg-BG"/>
        </w:rPr>
        <w:t>басейнова</w:t>
      </w:r>
      <w:proofErr w:type="spellEnd"/>
      <w:r w:rsidRPr="00EA5BF4">
        <w:rPr>
          <w:rFonts w:ascii="Verdana" w:hAnsi="Verdana"/>
          <w:color w:val="000000"/>
          <w:lang w:val="bg-BG"/>
        </w:rPr>
        <w:t xml:space="preserve"> дирекция, но могат да бъдат </w:t>
      </w:r>
      <w:proofErr w:type="spellStart"/>
      <w:r w:rsidRPr="00EA5BF4">
        <w:rPr>
          <w:rFonts w:ascii="Verdana" w:hAnsi="Verdana"/>
          <w:color w:val="000000"/>
          <w:lang w:val="bg-BG"/>
        </w:rPr>
        <w:t>достъпени</w:t>
      </w:r>
      <w:proofErr w:type="spellEnd"/>
      <w:r w:rsidRPr="00EA5BF4">
        <w:rPr>
          <w:rFonts w:ascii="Verdana" w:hAnsi="Verdana"/>
          <w:color w:val="000000"/>
          <w:lang w:val="bg-BG"/>
        </w:rPr>
        <w:t xml:space="preserve"> и чрез сайта на ведомството, в секция Води – Планове за управление – Планове за управление на риска от наводнения 2022 – 2027.</w:t>
      </w:r>
    </w:p>
    <w:p w:rsidR="00513302" w:rsidRPr="00EA5BF4" w:rsidRDefault="00513302" w:rsidP="00543B43">
      <w:pPr>
        <w:jc w:val="both"/>
        <w:rPr>
          <w:rFonts w:ascii="Verdana" w:hAnsi="Verdana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color w:val="000000"/>
          <w:lang w:val="bg-BG"/>
        </w:rPr>
        <w:t>В рамките на срока за консултации е планирано провеждането и на 17 онлайн срещи, разпределени по басейнови дирекции, както следва:</w:t>
      </w:r>
    </w:p>
    <w:p w:rsidR="00513302" w:rsidRPr="00EA5BF4" w:rsidRDefault="00513302" w:rsidP="00543B43">
      <w:pPr>
        <w:jc w:val="both"/>
        <w:rPr>
          <w:rFonts w:ascii="Verdana" w:hAnsi="Verdana"/>
          <w:b/>
          <w:color w:val="000000"/>
          <w:u w:val="single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b/>
          <w:color w:val="000000"/>
          <w:u w:val="single"/>
          <w:lang w:val="bg-BG"/>
        </w:rPr>
      </w:pPr>
      <w:r w:rsidRPr="00EA5BF4">
        <w:rPr>
          <w:rFonts w:ascii="Verdana" w:hAnsi="Verdana"/>
          <w:b/>
          <w:color w:val="000000"/>
          <w:u w:val="single"/>
          <w:lang w:val="bg-BG"/>
        </w:rPr>
        <w:t>БД „Дунавски район”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поречие на р.Огоста и всички поречия на запад от р.Огоста и р.Дунав–12 април, 2021;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долно поречие на р. Искър, поречия на реки Вит, Осъм и р. Дунав – 22 април, 2021;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горно поречие на р. Искър и поречие на река Ерма</w:t>
      </w:r>
      <w:r w:rsidR="00295CB5">
        <w:rPr>
          <w:rFonts w:ascii="Verdana" w:eastAsiaTheme="minorHAnsi" w:hAnsi="Verdana"/>
          <w:color w:val="000000"/>
          <w:lang w:val="bg-BG"/>
        </w:rPr>
        <w:t xml:space="preserve"> и р.Нишава </w:t>
      </w:r>
      <w:r w:rsidRPr="00EA5BF4">
        <w:rPr>
          <w:rFonts w:ascii="Verdana" w:eastAsiaTheme="minorHAnsi" w:hAnsi="Verdana"/>
          <w:color w:val="000000"/>
          <w:lang w:val="bg-BG"/>
        </w:rPr>
        <w:t>– 10 май, 2021г;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поречие на р. Янтра и р. Дунав - 17 май, 2021г;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поречие на р. Русенски Лом и р. Дунав – 25 май, 2021;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поречия на Добруджански реки и р.Дунав - 28 май, 2021.</w:t>
      </w: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b/>
          <w:color w:val="000000"/>
          <w:u w:val="single"/>
          <w:lang w:val="bg-BG"/>
        </w:rPr>
      </w:pPr>
      <w:r w:rsidRPr="00EA5BF4">
        <w:rPr>
          <w:rFonts w:ascii="Verdana" w:hAnsi="Verdana"/>
          <w:b/>
          <w:color w:val="000000"/>
          <w:u w:val="single"/>
          <w:lang w:val="bg-BG"/>
        </w:rPr>
        <w:t>БД „Черноморски район”</w:t>
      </w:r>
    </w:p>
    <w:p w:rsidR="00543B43" w:rsidRPr="00EA5BF4" w:rsidRDefault="00543B43" w:rsidP="00543B43">
      <w:pPr>
        <w:pStyle w:val="ListParagraph"/>
        <w:numPr>
          <w:ilvl w:val="0"/>
          <w:numId w:val="18"/>
        </w:numPr>
        <w:contextualSpacing w:val="0"/>
        <w:jc w:val="both"/>
        <w:rPr>
          <w:rFonts w:ascii="Verdana" w:eastAsiaTheme="minorHAnsi" w:hAnsi="Verdana" w:cstheme="minorBidi"/>
          <w:color w:val="000000"/>
          <w:lang w:val="bg-BG"/>
        </w:rPr>
      </w:pPr>
      <w:r w:rsidRPr="00EA5BF4">
        <w:rPr>
          <w:rFonts w:ascii="Verdana" w:eastAsiaTheme="minorHAnsi" w:hAnsi="Verdana" w:cstheme="minorBidi"/>
          <w:color w:val="000000"/>
          <w:lang w:val="bg-BG"/>
        </w:rPr>
        <w:t>за Добруджанските реки, поречие на р. Батова и долните поречия на реките Провадийска и Камчия –14 април, 2021;</w:t>
      </w:r>
    </w:p>
    <w:p w:rsidR="00543B43" w:rsidRPr="00EA5BF4" w:rsidRDefault="00543B43" w:rsidP="00543B43">
      <w:pPr>
        <w:pStyle w:val="ListParagraph"/>
        <w:numPr>
          <w:ilvl w:val="0"/>
          <w:numId w:val="18"/>
        </w:numPr>
        <w:contextualSpacing w:val="0"/>
        <w:jc w:val="both"/>
        <w:rPr>
          <w:rFonts w:ascii="Verdana" w:eastAsiaTheme="minorHAnsi" w:hAnsi="Verdana" w:cstheme="minorBidi"/>
          <w:color w:val="000000"/>
          <w:lang w:val="bg-BG"/>
        </w:rPr>
      </w:pPr>
      <w:r w:rsidRPr="00EA5BF4">
        <w:rPr>
          <w:rFonts w:ascii="Verdana" w:eastAsiaTheme="minorHAnsi" w:hAnsi="Verdana" w:cstheme="minorBidi"/>
          <w:color w:val="000000"/>
          <w:lang w:val="bg-BG"/>
        </w:rPr>
        <w:t>за горните поречия на реките Камчия и Провадийска – 26 април, 2021;</w:t>
      </w:r>
    </w:p>
    <w:p w:rsidR="00543B43" w:rsidRPr="00EA5BF4" w:rsidRDefault="00543B43" w:rsidP="00543B43">
      <w:pPr>
        <w:pStyle w:val="ListParagraph"/>
        <w:numPr>
          <w:ilvl w:val="0"/>
          <w:numId w:val="18"/>
        </w:numPr>
        <w:contextualSpacing w:val="0"/>
        <w:jc w:val="both"/>
        <w:rPr>
          <w:rFonts w:ascii="Verdana" w:eastAsiaTheme="minorHAnsi" w:hAnsi="Verdana" w:cstheme="minorBidi"/>
          <w:color w:val="000000"/>
          <w:lang w:val="bg-BG"/>
        </w:rPr>
      </w:pPr>
      <w:r w:rsidRPr="00EA5BF4">
        <w:rPr>
          <w:rFonts w:ascii="Verdana" w:eastAsiaTheme="minorHAnsi" w:hAnsi="Verdana" w:cstheme="minorBidi"/>
          <w:color w:val="000000"/>
          <w:lang w:val="bg-BG"/>
        </w:rPr>
        <w:t>за Бургаски реки и реките на юг от Бургас – 12 май, 2021г.</w:t>
      </w:r>
    </w:p>
    <w:p w:rsidR="00543B43" w:rsidRPr="00EA5BF4" w:rsidRDefault="00543B43" w:rsidP="00543B43">
      <w:pPr>
        <w:pStyle w:val="ListParagraph"/>
        <w:jc w:val="both"/>
        <w:rPr>
          <w:rFonts w:ascii="Verdana" w:eastAsiaTheme="minorHAnsi" w:hAnsi="Verdana" w:cstheme="minorBidi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b/>
          <w:color w:val="000000"/>
          <w:u w:val="single"/>
          <w:lang w:val="bg-BG"/>
        </w:rPr>
      </w:pPr>
      <w:r w:rsidRPr="00EA5BF4">
        <w:rPr>
          <w:rFonts w:ascii="Verdana" w:hAnsi="Verdana"/>
          <w:b/>
          <w:color w:val="000000"/>
          <w:u w:val="single"/>
          <w:lang w:val="bg-BG"/>
        </w:rPr>
        <w:t>БД „Източнобеломорски район”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поречията на реките Арда, Бяла и Атеринска–16 април, 2021;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р. Марица - долно поречие– 28 април, 2021;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р. Марица - средно поречие– 14 май, 2021;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р. Марица – горно поречие– 21 май, 2021;</w:t>
      </w:r>
    </w:p>
    <w:p w:rsidR="00543B43" w:rsidRPr="00EA5BF4" w:rsidRDefault="00543B43" w:rsidP="00543B43">
      <w:pPr>
        <w:pStyle w:val="ListParagraph"/>
        <w:numPr>
          <w:ilvl w:val="0"/>
          <w:numId w:val="17"/>
        </w:numPr>
        <w:contextualSpacing w:val="0"/>
        <w:jc w:val="both"/>
        <w:rPr>
          <w:rFonts w:ascii="Verdana" w:eastAsiaTheme="minorHAnsi" w:hAnsi="Verdana"/>
          <w:color w:val="000000"/>
          <w:lang w:val="bg-BG"/>
        </w:rPr>
      </w:pPr>
      <w:r w:rsidRPr="00EA5BF4">
        <w:rPr>
          <w:rFonts w:ascii="Verdana" w:eastAsiaTheme="minorHAnsi" w:hAnsi="Verdana"/>
          <w:color w:val="000000"/>
          <w:lang w:val="bg-BG"/>
        </w:rPr>
        <w:t>поречие на р.Тунджа – 26 май, 2021;</w:t>
      </w: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b/>
          <w:color w:val="000000"/>
          <w:u w:val="single"/>
          <w:lang w:val="bg-BG"/>
        </w:rPr>
      </w:pPr>
      <w:r w:rsidRPr="00EA5BF4">
        <w:rPr>
          <w:rFonts w:ascii="Verdana" w:hAnsi="Verdana"/>
          <w:b/>
          <w:color w:val="000000"/>
          <w:u w:val="single"/>
          <w:lang w:val="bg-BG"/>
        </w:rPr>
        <w:t>БД „Западнобеломорски район”</w:t>
      </w:r>
    </w:p>
    <w:p w:rsidR="00543B43" w:rsidRPr="00EA5BF4" w:rsidRDefault="00543B43" w:rsidP="00543B43">
      <w:pPr>
        <w:pStyle w:val="ListParagraph"/>
        <w:numPr>
          <w:ilvl w:val="0"/>
          <w:numId w:val="18"/>
        </w:numPr>
        <w:contextualSpacing w:val="0"/>
        <w:jc w:val="both"/>
        <w:rPr>
          <w:rFonts w:ascii="Verdana" w:eastAsiaTheme="minorHAnsi" w:hAnsi="Verdana" w:cstheme="minorBidi"/>
          <w:color w:val="000000"/>
          <w:lang w:val="bg-BG"/>
        </w:rPr>
      </w:pPr>
      <w:r w:rsidRPr="00EA5BF4">
        <w:rPr>
          <w:rFonts w:ascii="Verdana" w:eastAsiaTheme="minorHAnsi" w:hAnsi="Verdana" w:cstheme="minorBidi"/>
          <w:color w:val="000000"/>
          <w:lang w:val="bg-BG"/>
        </w:rPr>
        <w:t>р.Струма - горно поречие–20 април, 2021;</w:t>
      </w:r>
    </w:p>
    <w:p w:rsidR="00543B43" w:rsidRPr="00EA5BF4" w:rsidRDefault="00543B43" w:rsidP="00543B43">
      <w:pPr>
        <w:pStyle w:val="ListParagraph"/>
        <w:numPr>
          <w:ilvl w:val="0"/>
          <w:numId w:val="18"/>
        </w:numPr>
        <w:contextualSpacing w:val="0"/>
        <w:jc w:val="both"/>
        <w:rPr>
          <w:rFonts w:ascii="Verdana" w:eastAsiaTheme="minorHAnsi" w:hAnsi="Verdana" w:cstheme="minorBidi"/>
          <w:color w:val="000000"/>
          <w:lang w:val="bg-BG"/>
        </w:rPr>
      </w:pPr>
      <w:r w:rsidRPr="00EA5BF4">
        <w:rPr>
          <w:rFonts w:ascii="Verdana" w:eastAsiaTheme="minorHAnsi" w:hAnsi="Verdana" w:cstheme="minorBidi"/>
          <w:color w:val="000000"/>
          <w:lang w:val="bg-BG"/>
        </w:rPr>
        <w:t>р.Струма –долно поречие–27 април, 2021;</w:t>
      </w:r>
    </w:p>
    <w:p w:rsidR="00543B43" w:rsidRPr="00EA5BF4" w:rsidRDefault="00543B43" w:rsidP="00543B43">
      <w:pPr>
        <w:pStyle w:val="ListParagraph"/>
        <w:numPr>
          <w:ilvl w:val="0"/>
          <w:numId w:val="18"/>
        </w:numPr>
        <w:contextualSpacing w:val="0"/>
        <w:jc w:val="both"/>
        <w:rPr>
          <w:rFonts w:ascii="Verdana" w:eastAsiaTheme="minorHAnsi" w:hAnsi="Verdana" w:cstheme="minorBidi"/>
          <w:color w:val="000000"/>
          <w:lang w:val="bg-BG"/>
        </w:rPr>
      </w:pPr>
      <w:r w:rsidRPr="00EA5BF4">
        <w:rPr>
          <w:rFonts w:ascii="Verdana" w:eastAsiaTheme="minorHAnsi" w:hAnsi="Verdana" w:cstheme="minorBidi"/>
          <w:color w:val="000000"/>
          <w:lang w:val="bg-BG"/>
        </w:rPr>
        <w:t>поречията на реки Места и Доспат– 19 май, 2021г.</w:t>
      </w: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color w:val="000000"/>
          <w:lang w:val="bg-BG"/>
        </w:rPr>
        <w:t xml:space="preserve">Становища, забележки, препоръки и коментари по публикуваните проекти на Актуализирани предварителни оценки на риска от наводнения следва да бъдат изпращани поотделно за съответния район за басейново управление на официалния адрес на </w:t>
      </w:r>
      <w:proofErr w:type="spellStart"/>
      <w:r w:rsidRPr="00EA5BF4">
        <w:rPr>
          <w:rFonts w:ascii="Verdana" w:hAnsi="Verdana"/>
          <w:color w:val="000000"/>
          <w:lang w:val="bg-BG"/>
        </w:rPr>
        <w:t>Басейновата</w:t>
      </w:r>
      <w:proofErr w:type="spellEnd"/>
      <w:r w:rsidRPr="00EA5BF4">
        <w:rPr>
          <w:rFonts w:ascii="Verdana" w:hAnsi="Verdana"/>
          <w:color w:val="000000"/>
          <w:lang w:val="bg-BG"/>
        </w:rPr>
        <w:t xml:space="preserve"> дирекция или по елект</w:t>
      </w:r>
      <w:r w:rsidR="00513302" w:rsidRPr="00EA5BF4">
        <w:rPr>
          <w:rFonts w:ascii="Verdana" w:hAnsi="Verdana"/>
          <w:color w:val="000000"/>
          <w:lang w:val="bg-BG"/>
        </w:rPr>
        <w:t>ронната поща.</w:t>
      </w: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color w:val="000000"/>
          <w:lang w:val="bg-BG"/>
        </w:rPr>
        <w:t>(</w:t>
      </w:r>
      <w:r w:rsidRPr="00EA5BF4">
        <w:rPr>
          <w:rFonts w:ascii="Verdana" w:hAnsi="Verdana"/>
          <w:b/>
          <w:color w:val="000000"/>
          <w:lang w:val="bg-BG"/>
        </w:rPr>
        <w:t>БД „Дунавски район“</w:t>
      </w:r>
      <w:r w:rsidRPr="00EA5BF4">
        <w:rPr>
          <w:rFonts w:ascii="Verdana" w:hAnsi="Verdana"/>
          <w:color w:val="000000"/>
          <w:lang w:val="bg-BG"/>
        </w:rPr>
        <w:t xml:space="preserve"> – гр.Плевен, </w:t>
      </w:r>
      <w:proofErr w:type="spellStart"/>
      <w:r w:rsidR="00513302" w:rsidRPr="00EA5BF4">
        <w:rPr>
          <w:rFonts w:ascii="Verdana" w:hAnsi="Verdana"/>
          <w:color w:val="000000"/>
          <w:lang w:val="bg-BG"/>
        </w:rPr>
        <w:t>ул</w:t>
      </w:r>
      <w:proofErr w:type="spellEnd"/>
      <w:r w:rsidR="00513302" w:rsidRPr="00EA5BF4">
        <w:rPr>
          <w:rFonts w:ascii="Verdana" w:hAnsi="Verdana"/>
          <w:color w:val="000000"/>
          <w:lang w:val="bg-BG"/>
        </w:rPr>
        <w:t>.„</w:t>
      </w:r>
      <w:proofErr w:type="spellStart"/>
      <w:r w:rsidR="00513302" w:rsidRPr="00EA5BF4">
        <w:rPr>
          <w:rFonts w:ascii="Verdana" w:hAnsi="Verdana"/>
          <w:color w:val="000000"/>
          <w:lang w:val="bg-BG"/>
        </w:rPr>
        <w:t>Чаталджа</w:t>
      </w:r>
      <w:proofErr w:type="spellEnd"/>
      <w:r w:rsidR="00513302" w:rsidRPr="00EA5BF4">
        <w:rPr>
          <w:rFonts w:ascii="Verdana" w:hAnsi="Verdana"/>
          <w:color w:val="000000"/>
          <w:lang w:val="bg-BG"/>
        </w:rPr>
        <w:t>“</w:t>
      </w:r>
      <w:r w:rsidRPr="00EA5BF4">
        <w:rPr>
          <w:rFonts w:ascii="Verdana" w:hAnsi="Verdana"/>
          <w:color w:val="000000"/>
          <w:lang w:val="bg-BG"/>
        </w:rPr>
        <w:t xml:space="preserve">№ 60, </w:t>
      </w:r>
      <w:proofErr w:type="spellStart"/>
      <w:r w:rsidRPr="00EA5BF4">
        <w:rPr>
          <w:rFonts w:ascii="Verdana" w:hAnsi="Verdana"/>
          <w:color w:val="000000"/>
          <w:lang w:val="bg-BG"/>
        </w:rPr>
        <w:t>п.к</w:t>
      </w:r>
      <w:proofErr w:type="spellEnd"/>
      <w:r w:rsidRPr="00EA5BF4">
        <w:rPr>
          <w:rFonts w:ascii="Verdana" w:hAnsi="Verdana"/>
          <w:color w:val="000000"/>
          <w:lang w:val="bg-BG"/>
        </w:rPr>
        <w:t xml:space="preserve"> 1237, e-</w:t>
      </w:r>
      <w:proofErr w:type="spellStart"/>
      <w:r w:rsidRPr="00EA5BF4">
        <w:rPr>
          <w:rFonts w:ascii="Verdana" w:hAnsi="Verdana"/>
          <w:color w:val="000000"/>
          <w:lang w:val="bg-BG"/>
        </w:rPr>
        <w:t>mail</w:t>
      </w:r>
      <w:proofErr w:type="spellEnd"/>
      <w:r w:rsidRPr="00EA5BF4">
        <w:rPr>
          <w:rFonts w:ascii="Verdana" w:hAnsi="Verdana"/>
          <w:color w:val="000000"/>
          <w:lang w:val="bg-BG"/>
        </w:rPr>
        <w:t xml:space="preserve">: </w:t>
      </w:r>
      <w:hyperlink r:id="rId8" w:history="1">
        <w:r w:rsidRPr="00EA5BF4">
          <w:rPr>
            <w:rFonts w:ascii="Verdana" w:hAnsi="Verdana"/>
            <w:color w:val="000000"/>
            <w:lang w:val="bg-BG"/>
          </w:rPr>
          <w:t>dunavbd@bddr.org</w:t>
        </w:r>
      </w:hyperlink>
      <w:r w:rsidRPr="00EA5BF4">
        <w:rPr>
          <w:rFonts w:ascii="Verdana" w:hAnsi="Verdana"/>
          <w:color w:val="000000"/>
          <w:lang w:val="bg-BG"/>
        </w:rPr>
        <w:t>;</w:t>
      </w:r>
    </w:p>
    <w:p w:rsidR="00543B43" w:rsidRPr="00EA5BF4" w:rsidRDefault="00513302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b/>
          <w:color w:val="000000"/>
          <w:lang w:val="bg-BG"/>
        </w:rPr>
        <w:t>БД „Черноморски район“</w:t>
      </w:r>
      <w:r w:rsidRPr="00EA5BF4">
        <w:rPr>
          <w:rFonts w:ascii="Verdana" w:hAnsi="Verdana"/>
          <w:color w:val="000000"/>
          <w:lang w:val="bg-BG"/>
        </w:rPr>
        <w:t xml:space="preserve"> - </w:t>
      </w:r>
      <w:r w:rsidR="00543B43" w:rsidRPr="00EA5BF4">
        <w:rPr>
          <w:rFonts w:ascii="Verdana" w:hAnsi="Verdana"/>
          <w:color w:val="000000"/>
          <w:lang w:val="bg-BG"/>
        </w:rPr>
        <w:t xml:space="preserve">гр.Варна, </w:t>
      </w:r>
      <w:proofErr w:type="spellStart"/>
      <w:r w:rsidR="00543B43" w:rsidRPr="00EA5BF4">
        <w:rPr>
          <w:rFonts w:ascii="Verdana" w:hAnsi="Verdana"/>
          <w:color w:val="000000"/>
          <w:lang w:val="bg-BG"/>
        </w:rPr>
        <w:t>ул</w:t>
      </w:r>
      <w:proofErr w:type="spellEnd"/>
      <w:r w:rsidR="00543B43" w:rsidRPr="00EA5BF4">
        <w:rPr>
          <w:rFonts w:ascii="Verdana" w:hAnsi="Verdana"/>
          <w:color w:val="000000"/>
          <w:lang w:val="bg-BG"/>
        </w:rPr>
        <w:t xml:space="preserve">.„Александър </w:t>
      </w:r>
      <w:proofErr w:type="spellStart"/>
      <w:r w:rsidR="00543B43" w:rsidRPr="00EA5BF4">
        <w:rPr>
          <w:rFonts w:ascii="Verdana" w:hAnsi="Verdana"/>
          <w:color w:val="000000"/>
          <w:lang w:val="bg-BG"/>
        </w:rPr>
        <w:t>Дякович</w:t>
      </w:r>
      <w:proofErr w:type="spellEnd"/>
      <w:r w:rsidR="00543B43" w:rsidRPr="00EA5BF4">
        <w:rPr>
          <w:rFonts w:ascii="Verdana" w:hAnsi="Verdana"/>
          <w:color w:val="000000"/>
          <w:lang w:val="bg-BG"/>
        </w:rPr>
        <w:t>" №33, e-mail:bdvarna@bsbd.org;</w:t>
      </w: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b/>
          <w:color w:val="000000"/>
          <w:lang w:val="bg-BG"/>
        </w:rPr>
        <w:lastRenderedPageBreak/>
        <w:t>БД „Източнобеломорски район“</w:t>
      </w:r>
      <w:r w:rsidRPr="00EA5BF4">
        <w:rPr>
          <w:rFonts w:ascii="Verdana" w:hAnsi="Verdana"/>
          <w:color w:val="000000"/>
          <w:lang w:val="bg-BG"/>
        </w:rPr>
        <w:t xml:space="preserve"> – гр.Пловдив, </w:t>
      </w:r>
      <w:proofErr w:type="spellStart"/>
      <w:r w:rsidRPr="00EA5BF4">
        <w:rPr>
          <w:rFonts w:ascii="Verdana" w:hAnsi="Verdana"/>
          <w:color w:val="000000"/>
          <w:lang w:val="bg-BG"/>
        </w:rPr>
        <w:t>ул</w:t>
      </w:r>
      <w:proofErr w:type="spellEnd"/>
      <w:r w:rsidRPr="00EA5BF4">
        <w:rPr>
          <w:rFonts w:ascii="Verdana" w:hAnsi="Verdana"/>
          <w:color w:val="000000"/>
          <w:lang w:val="bg-BG"/>
        </w:rPr>
        <w:t>.„Янко Сакъзов“35, п.к.307, e-</w:t>
      </w:r>
      <w:proofErr w:type="spellStart"/>
      <w:r w:rsidRPr="00EA5BF4">
        <w:rPr>
          <w:rFonts w:ascii="Verdana" w:hAnsi="Verdana"/>
          <w:color w:val="000000"/>
          <w:lang w:val="bg-BG"/>
        </w:rPr>
        <w:t>mail</w:t>
      </w:r>
      <w:proofErr w:type="spellEnd"/>
      <w:r w:rsidRPr="00EA5BF4">
        <w:rPr>
          <w:rFonts w:ascii="Verdana" w:hAnsi="Verdana"/>
          <w:color w:val="000000"/>
          <w:lang w:val="bg-BG"/>
        </w:rPr>
        <w:t>:</w:t>
      </w:r>
      <w:r w:rsidRPr="00EA5BF4">
        <w:rPr>
          <w:sz w:val="24"/>
          <w:szCs w:val="24"/>
          <w:lang w:val="bg-BG"/>
        </w:rPr>
        <w:t xml:space="preserve"> </w:t>
      </w:r>
      <w:hyperlink r:id="rId9" w:history="1">
        <w:r w:rsidRPr="00EA5BF4">
          <w:rPr>
            <w:rFonts w:ascii="Verdana" w:hAnsi="Verdana"/>
            <w:color w:val="000000"/>
            <w:lang w:val="bg-BG"/>
          </w:rPr>
          <w:t>bd_plovdiv@earbd.bg</w:t>
        </w:r>
      </w:hyperlink>
      <w:r w:rsidRPr="00EA5BF4">
        <w:rPr>
          <w:rFonts w:ascii="Verdana" w:hAnsi="Verdana"/>
          <w:color w:val="000000"/>
          <w:lang w:val="bg-BG"/>
        </w:rPr>
        <w:t xml:space="preserve"> и </w:t>
      </w: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b/>
          <w:color w:val="000000"/>
          <w:lang w:val="bg-BG"/>
        </w:rPr>
        <w:t>БД „Западнобеломорски район“</w:t>
      </w:r>
      <w:r w:rsidRPr="00EA5BF4">
        <w:rPr>
          <w:rFonts w:ascii="Verdana" w:hAnsi="Verdana"/>
          <w:color w:val="000000"/>
          <w:lang w:val="bg-BG"/>
        </w:rPr>
        <w:t xml:space="preserve"> – гр.Благоевград, бул.„Св. Димитър Солунски”№ 66, п.к. 44, e-</w:t>
      </w:r>
      <w:proofErr w:type="spellStart"/>
      <w:r w:rsidRPr="00EA5BF4">
        <w:rPr>
          <w:rFonts w:ascii="Verdana" w:hAnsi="Verdana"/>
          <w:color w:val="000000"/>
          <w:lang w:val="bg-BG"/>
        </w:rPr>
        <w:t>mail</w:t>
      </w:r>
      <w:proofErr w:type="spellEnd"/>
      <w:r w:rsidRPr="00EA5BF4">
        <w:rPr>
          <w:rFonts w:ascii="Verdana" w:hAnsi="Verdana"/>
          <w:color w:val="000000"/>
          <w:lang w:val="bg-BG"/>
        </w:rPr>
        <w:t xml:space="preserve">: </w:t>
      </w:r>
      <w:hyperlink r:id="rId10" w:history="1">
        <w:r w:rsidRPr="00EA5BF4">
          <w:rPr>
            <w:rFonts w:ascii="Verdana" w:hAnsi="Verdana"/>
            <w:color w:val="000000"/>
            <w:lang w:val="bg-BG"/>
          </w:rPr>
          <w:t>bdblg@wabd.bg</w:t>
        </w:r>
      </w:hyperlink>
      <w:r w:rsidRPr="00EA5BF4">
        <w:rPr>
          <w:rFonts w:ascii="Verdana" w:hAnsi="Verdana"/>
          <w:color w:val="000000"/>
          <w:lang w:val="bg-BG"/>
        </w:rPr>
        <w:t>).</w:t>
      </w: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color w:val="000000"/>
          <w:lang w:val="bg-BG"/>
        </w:rPr>
        <w:t>Крайният срок за представяне на становища по документите е 7 юни, 2021 г.</w:t>
      </w:r>
    </w:p>
    <w:p w:rsidR="00E137B7" w:rsidRPr="00EA5BF4" w:rsidRDefault="00E137B7" w:rsidP="00543B43">
      <w:pPr>
        <w:jc w:val="both"/>
        <w:rPr>
          <w:rFonts w:ascii="Verdana" w:hAnsi="Verdana"/>
          <w:color w:val="000000"/>
          <w:lang w:val="bg-BG"/>
        </w:rPr>
      </w:pPr>
    </w:p>
    <w:p w:rsidR="00E137B7" w:rsidRPr="00EA5BF4" w:rsidRDefault="00E137B7" w:rsidP="00E137B7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color w:val="000000"/>
          <w:lang w:val="bg-BG"/>
        </w:rPr>
        <w:t>Всяко заинтересовано лице, при поискване, може да се запознае с документите и информацията, използвани при актуализаци</w:t>
      </w:r>
      <w:r w:rsidR="001678F8" w:rsidRPr="00EA5BF4">
        <w:rPr>
          <w:rFonts w:ascii="Verdana" w:hAnsi="Verdana"/>
          <w:color w:val="000000"/>
          <w:lang w:val="bg-BG"/>
        </w:rPr>
        <w:t>ите</w:t>
      </w:r>
      <w:r w:rsidRPr="00EA5BF4">
        <w:rPr>
          <w:rFonts w:ascii="Verdana" w:hAnsi="Verdana"/>
          <w:color w:val="000000"/>
          <w:lang w:val="bg-BG"/>
        </w:rPr>
        <w:t xml:space="preserve"> на предварителн</w:t>
      </w:r>
      <w:r w:rsidR="001678F8" w:rsidRPr="00EA5BF4">
        <w:rPr>
          <w:rFonts w:ascii="Verdana" w:hAnsi="Verdana"/>
          <w:color w:val="000000"/>
          <w:lang w:val="bg-BG"/>
        </w:rPr>
        <w:t>ите</w:t>
      </w:r>
      <w:r w:rsidRPr="00EA5BF4">
        <w:rPr>
          <w:rFonts w:ascii="Verdana" w:hAnsi="Verdana"/>
          <w:color w:val="000000"/>
          <w:lang w:val="bg-BG"/>
        </w:rPr>
        <w:t xml:space="preserve"> оценк</w:t>
      </w:r>
      <w:r w:rsidR="001678F8" w:rsidRPr="00EA5BF4">
        <w:rPr>
          <w:rFonts w:ascii="Verdana" w:hAnsi="Verdana"/>
          <w:color w:val="000000"/>
          <w:lang w:val="bg-BG"/>
        </w:rPr>
        <w:t>и</w:t>
      </w:r>
      <w:r w:rsidRPr="00EA5BF4">
        <w:rPr>
          <w:rFonts w:ascii="Verdana" w:hAnsi="Verdana"/>
          <w:color w:val="000000"/>
          <w:lang w:val="bg-BG"/>
        </w:rPr>
        <w:t xml:space="preserve">, на място, в </w:t>
      </w:r>
      <w:r w:rsidR="001678F8" w:rsidRPr="00EA5BF4">
        <w:rPr>
          <w:rFonts w:ascii="Verdana" w:hAnsi="Verdana"/>
          <w:color w:val="000000"/>
          <w:lang w:val="bg-BG"/>
        </w:rPr>
        <w:t xml:space="preserve">съответната </w:t>
      </w:r>
      <w:r w:rsidRPr="00EA5BF4">
        <w:rPr>
          <w:rFonts w:ascii="Verdana" w:hAnsi="Verdana"/>
          <w:color w:val="000000"/>
          <w:lang w:val="bg-BG"/>
        </w:rPr>
        <w:t>басейновата дирекция.</w:t>
      </w:r>
    </w:p>
    <w:p w:rsidR="00E137B7" w:rsidRPr="00EA5BF4" w:rsidRDefault="00E137B7" w:rsidP="00543B43">
      <w:pPr>
        <w:jc w:val="both"/>
        <w:rPr>
          <w:rFonts w:ascii="Verdana" w:hAnsi="Verdana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rFonts w:ascii="Verdana" w:hAnsi="Verdana"/>
          <w:color w:val="000000"/>
          <w:lang w:val="bg-BG"/>
        </w:rPr>
      </w:pPr>
      <w:r w:rsidRPr="00EA5BF4">
        <w:rPr>
          <w:rFonts w:ascii="Verdana" w:hAnsi="Verdana"/>
          <w:color w:val="000000"/>
          <w:lang w:val="bg-BG"/>
        </w:rPr>
        <w:t>Разчитаме на Вашето активно участие!</w:t>
      </w:r>
    </w:p>
    <w:p w:rsidR="00543B43" w:rsidRPr="00EA5BF4" w:rsidRDefault="00543B43" w:rsidP="00543B43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543B43" w:rsidRPr="00EA5BF4" w:rsidRDefault="00543B43" w:rsidP="00543B43">
      <w:pPr>
        <w:jc w:val="both"/>
        <w:rPr>
          <w:lang w:val="bg-BG"/>
        </w:rPr>
      </w:pPr>
    </w:p>
    <w:p w:rsidR="008C16AB" w:rsidRPr="00EA5BF4" w:rsidRDefault="008C16AB" w:rsidP="008C16AB">
      <w:pPr>
        <w:jc w:val="both"/>
        <w:rPr>
          <w:lang w:val="bg-BG"/>
        </w:rPr>
      </w:pPr>
    </w:p>
    <w:p w:rsidR="00446B7C" w:rsidRPr="00EA5BF4" w:rsidRDefault="00446B7C" w:rsidP="008C16AB">
      <w:pPr>
        <w:rPr>
          <w:lang w:val="bg-BG"/>
        </w:rPr>
      </w:pPr>
    </w:p>
    <w:sectPr w:rsidR="00446B7C" w:rsidRPr="00EA5BF4" w:rsidSect="00830A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71" w:right="1133" w:bottom="1191" w:left="992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83" w:rsidRDefault="00FD3283" w:rsidP="00DB4D36">
      <w:r>
        <w:separator/>
      </w:r>
    </w:p>
  </w:endnote>
  <w:endnote w:type="continuationSeparator" w:id="0">
    <w:p w:rsidR="00FD3283" w:rsidRDefault="00FD3283" w:rsidP="00DB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9E" w:rsidRDefault="00D27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24" w:rsidRDefault="00805C24">
    <w:pPr>
      <w:pStyle w:val="Footer"/>
    </w:pPr>
  </w:p>
  <w:p w:rsidR="00805C24" w:rsidRDefault="00805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9E" w:rsidRDefault="00D27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83" w:rsidRDefault="00FD3283" w:rsidP="00DB4D36">
      <w:r>
        <w:separator/>
      </w:r>
    </w:p>
  </w:footnote>
  <w:footnote w:type="continuationSeparator" w:id="0">
    <w:p w:rsidR="00FD3283" w:rsidRDefault="00FD3283" w:rsidP="00DB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9E" w:rsidRDefault="00D27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4359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56C0" w:rsidRDefault="00CF56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C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6C0" w:rsidRDefault="00CF5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1F497D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D2749E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D2749E" w:rsidRDefault="00A77513"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04D0C0E" wp14:editId="16D445B6">
                <wp:extent cx="913384" cy="723265"/>
                <wp:effectExtent l="0" t="0" r="1270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223" cy="73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77513" w:rsidRPr="0084683A" w:rsidRDefault="00A77513" w:rsidP="00A77513">
          <w:pPr>
            <w:tabs>
              <w:tab w:val="left" w:pos="3664"/>
            </w:tabs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A77513" w:rsidRPr="00A77513" w:rsidRDefault="00A77513" w:rsidP="00A77513">
          <w:pPr>
            <w:tabs>
              <w:tab w:val="left" w:pos="3664"/>
            </w:tabs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</w:tc>
      <w:tc>
        <w:tcPr>
          <w:tcW w:w="5760" w:type="dxa"/>
          <w:shd w:val="clear" w:color="auto" w:fill="auto"/>
          <w:vAlign w:val="center"/>
        </w:tcPr>
        <w:p w:rsidR="00D2749E" w:rsidRDefault="00D2749E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</w:p>
        <w:p w:rsidR="00D2749E" w:rsidRPr="00E374C5" w:rsidRDefault="00D2749E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D2749E" w:rsidRPr="00FB7DBE" w:rsidRDefault="00D2749E" w:rsidP="00004D11">
          <w:pPr>
            <w:spacing w:line="360" w:lineRule="auto"/>
            <w:jc w:val="center"/>
            <w:rPr>
              <w:rFonts w:ascii="Arial Narrow" w:hAnsi="Arial Narrow" w:cs="Tahoma"/>
              <w:lang w:eastAsia="bg-BG"/>
            </w:rPr>
          </w:pPr>
        </w:p>
      </w:tc>
      <w:tc>
        <w:tcPr>
          <w:tcW w:w="2520" w:type="dxa"/>
          <w:shd w:val="clear" w:color="auto" w:fill="auto"/>
        </w:tcPr>
        <w:p w:rsidR="00D2749E" w:rsidRDefault="00A77513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 w:rsidRPr="00795AC1"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68831BAD" wp14:editId="08C99D68">
                <wp:extent cx="1143000" cy="904875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334" cy="91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2749E" w:rsidRPr="00272B9E" w:rsidRDefault="00D2749E" w:rsidP="00A77513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D2749E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D2749E" w:rsidRDefault="00D2749E"/>
      </w:tc>
    </w:tr>
  </w:tbl>
  <w:p w:rsidR="00805C24" w:rsidRDefault="00805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F21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10FAF"/>
    <w:multiLevelType w:val="hybridMultilevel"/>
    <w:tmpl w:val="E3501DF2"/>
    <w:lvl w:ilvl="0" w:tplc="6360B2C6">
      <w:numFmt w:val="bullet"/>
      <w:lvlText w:val="-"/>
      <w:lvlJc w:val="left"/>
      <w:pPr>
        <w:ind w:left="720" w:hanging="360"/>
      </w:pPr>
      <w:rPr>
        <w:rFonts w:ascii="Liberation Mono" w:eastAsia="NSimSun" w:hAnsi="Liberation Mono" w:cs="Liberation Mon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2327"/>
    <w:multiLevelType w:val="hybridMultilevel"/>
    <w:tmpl w:val="3A309CB0"/>
    <w:lvl w:ilvl="0" w:tplc="4A840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9A5"/>
    <w:multiLevelType w:val="hybridMultilevel"/>
    <w:tmpl w:val="7E9EFBFC"/>
    <w:lvl w:ilvl="0" w:tplc="A3FECFAC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AC4DD7"/>
    <w:multiLevelType w:val="hybridMultilevel"/>
    <w:tmpl w:val="F218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514F"/>
    <w:multiLevelType w:val="hybridMultilevel"/>
    <w:tmpl w:val="92122316"/>
    <w:lvl w:ilvl="0" w:tplc="F4EA5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6619"/>
    <w:multiLevelType w:val="multilevel"/>
    <w:tmpl w:val="8D1034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7" w15:restartNumberingAfterBreak="0">
    <w:nsid w:val="45D657F7"/>
    <w:multiLevelType w:val="hybridMultilevel"/>
    <w:tmpl w:val="E206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132E4"/>
    <w:multiLevelType w:val="hybridMultilevel"/>
    <w:tmpl w:val="3A3EAD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E39CE"/>
    <w:multiLevelType w:val="multilevel"/>
    <w:tmpl w:val="B99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04107"/>
    <w:multiLevelType w:val="hybridMultilevel"/>
    <w:tmpl w:val="C9DCB1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A0838"/>
    <w:multiLevelType w:val="hybridMultilevel"/>
    <w:tmpl w:val="049E98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C937E2"/>
    <w:multiLevelType w:val="hybridMultilevel"/>
    <w:tmpl w:val="1484655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1E82811"/>
    <w:multiLevelType w:val="hybridMultilevel"/>
    <w:tmpl w:val="079099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624AC"/>
    <w:multiLevelType w:val="hybridMultilevel"/>
    <w:tmpl w:val="7794EB72"/>
    <w:lvl w:ilvl="0" w:tplc="1472BEA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C5085"/>
    <w:multiLevelType w:val="multilevel"/>
    <w:tmpl w:val="A9C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C49AE"/>
    <w:multiLevelType w:val="hybridMultilevel"/>
    <w:tmpl w:val="1446258A"/>
    <w:lvl w:ilvl="0" w:tplc="1472BEA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A53DE"/>
    <w:multiLevelType w:val="multilevel"/>
    <w:tmpl w:val="42E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3"/>
  </w:num>
  <w:num w:numId="5">
    <w:abstractNumId w:val="8"/>
  </w:num>
  <w:num w:numId="6">
    <w:abstractNumId w:val="0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6"/>
  </w:num>
  <w:num w:numId="14">
    <w:abstractNumId w:val="14"/>
  </w:num>
  <w:num w:numId="15">
    <w:abstractNumId w:val="2"/>
  </w:num>
  <w:num w:numId="16">
    <w:abstractNumId w:val="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0F"/>
    <w:rsid w:val="000026F8"/>
    <w:rsid w:val="00004D11"/>
    <w:rsid w:val="00005EBE"/>
    <w:rsid w:val="00021887"/>
    <w:rsid w:val="0002590A"/>
    <w:rsid w:val="00027CA2"/>
    <w:rsid w:val="00030F0A"/>
    <w:rsid w:val="0004105B"/>
    <w:rsid w:val="00044772"/>
    <w:rsid w:val="00057E88"/>
    <w:rsid w:val="00062546"/>
    <w:rsid w:val="00082702"/>
    <w:rsid w:val="000970E1"/>
    <w:rsid w:val="000A3149"/>
    <w:rsid w:val="000A60F7"/>
    <w:rsid w:val="000B3E0C"/>
    <w:rsid w:val="000B66D3"/>
    <w:rsid w:val="000C0514"/>
    <w:rsid w:val="000C4492"/>
    <w:rsid w:val="000C5A65"/>
    <w:rsid w:val="000D2130"/>
    <w:rsid w:val="00105E98"/>
    <w:rsid w:val="001158E6"/>
    <w:rsid w:val="00121B62"/>
    <w:rsid w:val="00144AB6"/>
    <w:rsid w:val="001522FF"/>
    <w:rsid w:val="00157C6B"/>
    <w:rsid w:val="00160CF5"/>
    <w:rsid w:val="001660AE"/>
    <w:rsid w:val="0016626E"/>
    <w:rsid w:val="001678F8"/>
    <w:rsid w:val="0018341E"/>
    <w:rsid w:val="00191252"/>
    <w:rsid w:val="00195DBD"/>
    <w:rsid w:val="001A3DB2"/>
    <w:rsid w:val="001A5D01"/>
    <w:rsid w:val="001B18A5"/>
    <w:rsid w:val="001C0573"/>
    <w:rsid w:val="001C188A"/>
    <w:rsid w:val="001D09AE"/>
    <w:rsid w:val="001D6D52"/>
    <w:rsid w:val="001E4FD0"/>
    <w:rsid w:val="00201333"/>
    <w:rsid w:val="002064EE"/>
    <w:rsid w:val="00212EB3"/>
    <w:rsid w:val="00217156"/>
    <w:rsid w:val="00222C0F"/>
    <w:rsid w:val="00223D7E"/>
    <w:rsid w:val="00225CA7"/>
    <w:rsid w:val="002320B5"/>
    <w:rsid w:val="002333BA"/>
    <w:rsid w:val="00233C9B"/>
    <w:rsid w:val="00236B09"/>
    <w:rsid w:val="0024110A"/>
    <w:rsid w:val="002643AC"/>
    <w:rsid w:val="00265B86"/>
    <w:rsid w:val="00272B9E"/>
    <w:rsid w:val="00277888"/>
    <w:rsid w:val="0028242F"/>
    <w:rsid w:val="00284EB4"/>
    <w:rsid w:val="00295CB5"/>
    <w:rsid w:val="002965C7"/>
    <w:rsid w:val="002967C1"/>
    <w:rsid w:val="002D058B"/>
    <w:rsid w:val="002D1C23"/>
    <w:rsid w:val="002E14EC"/>
    <w:rsid w:val="002E688E"/>
    <w:rsid w:val="002E710A"/>
    <w:rsid w:val="002F3799"/>
    <w:rsid w:val="002F6E40"/>
    <w:rsid w:val="002F7FC0"/>
    <w:rsid w:val="00313092"/>
    <w:rsid w:val="00322D19"/>
    <w:rsid w:val="00327481"/>
    <w:rsid w:val="003314D4"/>
    <w:rsid w:val="00335491"/>
    <w:rsid w:val="003518EB"/>
    <w:rsid w:val="00361234"/>
    <w:rsid w:val="003621A3"/>
    <w:rsid w:val="00365331"/>
    <w:rsid w:val="0037153B"/>
    <w:rsid w:val="003728D8"/>
    <w:rsid w:val="00373D3D"/>
    <w:rsid w:val="00376F30"/>
    <w:rsid w:val="00380D64"/>
    <w:rsid w:val="0039169C"/>
    <w:rsid w:val="00393E38"/>
    <w:rsid w:val="003A117C"/>
    <w:rsid w:val="003A2C30"/>
    <w:rsid w:val="003B5119"/>
    <w:rsid w:val="003C1D33"/>
    <w:rsid w:val="003C5D8F"/>
    <w:rsid w:val="003D0078"/>
    <w:rsid w:val="003D2706"/>
    <w:rsid w:val="003D3EC9"/>
    <w:rsid w:val="003E53DB"/>
    <w:rsid w:val="003E61B2"/>
    <w:rsid w:val="003E658E"/>
    <w:rsid w:val="003F1344"/>
    <w:rsid w:val="003F6608"/>
    <w:rsid w:val="00403476"/>
    <w:rsid w:val="0041309B"/>
    <w:rsid w:val="00434D00"/>
    <w:rsid w:val="00435E5C"/>
    <w:rsid w:val="00446B7C"/>
    <w:rsid w:val="00455A29"/>
    <w:rsid w:val="004637D8"/>
    <w:rsid w:val="00465F86"/>
    <w:rsid w:val="004841CD"/>
    <w:rsid w:val="0049712D"/>
    <w:rsid w:val="0049774D"/>
    <w:rsid w:val="004A5558"/>
    <w:rsid w:val="004B5BA2"/>
    <w:rsid w:val="004C0E2C"/>
    <w:rsid w:val="004C5C1B"/>
    <w:rsid w:val="004D4CE9"/>
    <w:rsid w:val="004D50C9"/>
    <w:rsid w:val="004F50EB"/>
    <w:rsid w:val="004F6F4E"/>
    <w:rsid w:val="00510FBD"/>
    <w:rsid w:val="005113F3"/>
    <w:rsid w:val="00512BEB"/>
    <w:rsid w:val="00513302"/>
    <w:rsid w:val="00515090"/>
    <w:rsid w:val="00516974"/>
    <w:rsid w:val="00522E4D"/>
    <w:rsid w:val="005240CD"/>
    <w:rsid w:val="00524FF6"/>
    <w:rsid w:val="005273E7"/>
    <w:rsid w:val="00535B6B"/>
    <w:rsid w:val="0054396C"/>
    <w:rsid w:val="00543B43"/>
    <w:rsid w:val="005503A0"/>
    <w:rsid w:val="00552EFB"/>
    <w:rsid w:val="0056126C"/>
    <w:rsid w:val="00562526"/>
    <w:rsid w:val="0059169D"/>
    <w:rsid w:val="00594305"/>
    <w:rsid w:val="005B1AE9"/>
    <w:rsid w:val="005B1F36"/>
    <w:rsid w:val="005B26D3"/>
    <w:rsid w:val="005B3CF8"/>
    <w:rsid w:val="005B77D2"/>
    <w:rsid w:val="005C29DD"/>
    <w:rsid w:val="005C4B38"/>
    <w:rsid w:val="005E0D97"/>
    <w:rsid w:val="005E2A25"/>
    <w:rsid w:val="005F3771"/>
    <w:rsid w:val="00606C42"/>
    <w:rsid w:val="00607AC3"/>
    <w:rsid w:val="00615FAF"/>
    <w:rsid w:val="006426D9"/>
    <w:rsid w:val="006507E3"/>
    <w:rsid w:val="006537D0"/>
    <w:rsid w:val="0065443E"/>
    <w:rsid w:val="00663E95"/>
    <w:rsid w:val="006641B3"/>
    <w:rsid w:val="00671AED"/>
    <w:rsid w:val="00673DFE"/>
    <w:rsid w:val="00674C1E"/>
    <w:rsid w:val="006A2E0D"/>
    <w:rsid w:val="006A421A"/>
    <w:rsid w:val="006A6152"/>
    <w:rsid w:val="006B2F98"/>
    <w:rsid w:val="006B36F9"/>
    <w:rsid w:val="006C6B88"/>
    <w:rsid w:val="006D2676"/>
    <w:rsid w:val="006E3AAB"/>
    <w:rsid w:val="00703470"/>
    <w:rsid w:val="007041F6"/>
    <w:rsid w:val="00715F38"/>
    <w:rsid w:val="007207F5"/>
    <w:rsid w:val="007310B9"/>
    <w:rsid w:val="00734153"/>
    <w:rsid w:val="00767C29"/>
    <w:rsid w:val="0079015C"/>
    <w:rsid w:val="00790543"/>
    <w:rsid w:val="007913BC"/>
    <w:rsid w:val="007A1247"/>
    <w:rsid w:val="007C0647"/>
    <w:rsid w:val="007E0ED5"/>
    <w:rsid w:val="007E7ABE"/>
    <w:rsid w:val="007F706F"/>
    <w:rsid w:val="00805C24"/>
    <w:rsid w:val="008064A4"/>
    <w:rsid w:val="008101AA"/>
    <w:rsid w:val="00815E83"/>
    <w:rsid w:val="008172EB"/>
    <w:rsid w:val="008217E2"/>
    <w:rsid w:val="00830A9C"/>
    <w:rsid w:val="00830ABD"/>
    <w:rsid w:val="00836486"/>
    <w:rsid w:val="00844CC7"/>
    <w:rsid w:val="0084683A"/>
    <w:rsid w:val="008507F5"/>
    <w:rsid w:val="00870E45"/>
    <w:rsid w:val="008830C8"/>
    <w:rsid w:val="008835A0"/>
    <w:rsid w:val="00884D7F"/>
    <w:rsid w:val="008851BA"/>
    <w:rsid w:val="00887132"/>
    <w:rsid w:val="00892894"/>
    <w:rsid w:val="00894825"/>
    <w:rsid w:val="008A0615"/>
    <w:rsid w:val="008B13E7"/>
    <w:rsid w:val="008C0113"/>
    <w:rsid w:val="008C16AB"/>
    <w:rsid w:val="008C48BB"/>
    <w:rsid w:val="008C560D"/>
    <w:rsid w:val="008D0C8C"/>
    <w:rsid w:val="008D1E6F"/>
    <w:rsid w:val="008D2FC4"/>
    <w:rsid w:val="008D3C49"/>
    <w:rsid w:val="008E2B8C"/>
    <w:rsid w:val="008F4B1A"/>
    <w:rsid w:val="00901435"/>
    <w:rsid w:val="00901BD6"/>
    <w:rsid w:val="009045D5"/>
    <w:rsid w:val="009259F3"/>
    <w:rsid w:val="00926576"/>
    <w:rsid w:val="00940543"/>
    <w:rsid w:val="00940D71"/>
    <w:rsid w:val="0094231A"/>
    <w:rsid w:val="009567AF"/>
    <w:rsid w:val="00957847"/>
    <w:rsid w:val="00957BCF"/>
    <w:rsid w:val="0096132C"/>
    <w:rsid w:val="009715C1"/>
    <w:rsid w:val="009760B1"/>
    <w:rsid w:val="009800E4"/>
    <w:rsid w:val="00980908"/>
    <w:rsid w:val="00982AA6"/>
    <w:rsid w:val="0098469E"/>
    <w:rsid w:val="00997F8E"/>
    <w:rsid w:val="009B1A5F"/>
    <w:rsid w:val="009C1481"/>
    <w:rsid w:val="009C429B"/>
    <w:rsid w:val="009C5523"/>
    <w:rsid w:val="009C63E7"/>
    <w:rsid w:val="009D2962"/>
    <w:rsid w:val="009E2580"/>
    <w:rsid w:val="009E2FE4"/>
    <w:rsid w:val="009F5CC0"/>
    <w:rsid w:val="00A0636E"/>
    <w:rsid w:val="00A158E7"/>
    <w:rsid w:val="00A1690B"/>
    <w:rsid w:val="00A33A25"/>
    <w:rsid w:val="00A36349"/>
    <w:rsid w:val="00A3655E"/>
    <w:rsid w:val="00A420C0"/>
    <w:rsid w:val="00A47889"/>
    <w:rsid w:val="00A51A00"/>
    <w:rsid w:val="00A77513"/>
    <w:rsid w:val="00A801BB"/>
    <w:rsid w:val="00A846DA"/>
    <w:rsid w:val="00A8726B"/>
    <w:rsid w:val="00A90296"/>
    <w:rsid w:val="00A92284"/>
    <w:rsid w:val="00A94091"/>
    <w:rsid w:val="00AB1744"/>
    <w:rsid w:val="00AB703C"/>
    <w:rsid w:val="00AC1838"/>
    <w:rsid w:val="00AC204A"/>
    <w:rsid w:val="00AC3928"/>
    <w:rsid w:val="00AD038A"/>
    <w:rsid w:val="00AE231F"/>
    <w:rsid w:val="00B122C6"/>
    <w:rsid w:val="00B13ACF"/>
    <w:rsid w:val="00B154E9"/>
    <w:rsid w:val="00B167E6"/>
    <w:rsid w:val="00B17456"/>
    <w:rsid w:val="00B3504C"/>
    <w:rsid w:val="00B367BF"/>
    <w:rsid w:val="00B400FF"/>
    <w:rsid w:val="00B4065D"/>
    <w:rsid w:val="00B44BCF"/>
    <w:rsid w:val="00B506CB"/>
    <w:rsid w:val="00B53681"/>
    <w:rsid w:val="00B5674A"/>
    <w:rsid w:val="00B623D2"/>
    <w:rsid w:val="00B658E7"/>
    <w:rsid w:val="00B80368"/>
    <w:rsid w:val="00B83119"/>
    <w:rsid w:val="00B97A66"/>
    <w:rsid w:val="00B97D3F"/>
    <w:rsid w:val="00BB1023"/>
    <w:rsid w:val="00BB360A"/>
    <w:rsid w:val="00BB615F"/>
    <w:rsid w:val="00BB7A53"/>
    <w:rsid w:val="00BD13FE"/>
    <w:rsid w:val="00BD6052"/>
    <w:rsid w:val="00BF17ED"/>
    <w:rsid w:val="00BF4B62"/>
    <w:rsid w:val="00C10017"/>
    <w:rsid w:val="00C13DA4"/>
    <w:rsid w:val="00C200A0"/>
    <w:rsid w:val="00C21F6F"/>
    <w:rsid w:val="00C338D7"/>
    <w:rsid w:val="00C41217"/>
    <w:rsid w:val="00C4318E"/>
    <w:rsid w:val="00C46EAD"/>
    <w:rsid w:val="00C57E2D"/>
    <w:rsid w:val="00C623CF"/>
    <w:rsid w:val="00C63178"/>
    <w:rsid w:val="00C7147A"/>
    <w:rsid w:val="00C73A91"/>
    <w:rsid w:val="00C83E4F"/>
    <w:rsid w:val="00C8557A"/>
    <w:rsid w:val="00C918EC"/>
    <w:rsid w:val="00C96BBA"/>
    <w:rsid w:val="00C976AA"/>
    <w:rsid w:val="00CA1B88"/>
    <w:rsid w:val="00CD083E"/>
    <w:rsid w:val="00CD17A4"/>
    <w:rsid w:val="00CD1D6E"/>
    <w:rsid w:val="00CD7C62"/>
    <w:rsid w:val="00CE046B"/>
    <w:rsid w:val="00CF0CAB"/>
    <w:rsid w:val="00CF4CBF"/>
    <w:rsid w:val="00CF56C0"/>
    <w:rsid w:val="00D023BE"/>
    <w:rsid w:val="00D05E57"/>
    <w:rsid w:val="00D2244A"/>
    <w:rsid w:val="00D2749E"/>
    <w:rsid w:val="00D30EEE"/>
    <w:rsid w:val="00D441F0"/>
    <w:rsid w:val="00D6728D"/>
    <w:rsid w:val="00D736C7"/>
    <w:rsid w:val="00D83EA8"/>
    <w:rsid w:val="00D97AD9"/>
    <w:rsid w:val="00DA4FC7"/>
    <w:rsid w:val="00DA6A83"/>
    <w:rsid w:val="00DB3F09"/>
    <w:rsid w:val="00DB4D36"/>
    <w:rsid w:val="00DB6544"/>
    <w:rsid w:val="00DC096B"/>
    <w:rsid w:val="00DC16A4"/>
    <w:rsid w:val="00DD4818"/>
    <w:rsid w:val="00DE3609"/>
    <w:rsid w:val="00DE5669"/>
    <w:rsid w:val="00DE677D"/>
    <w:rsid w:val="00DF06E9"/>
    <w:rsid w:val="00DF0CCF"/>
    <w:rsid w:val="00DF1EFD"/>
    <w:rsid w:val="00DF626B"/>
    <w:rsid w:val="00E01419"/>
    <w:rsid w:val="00E065BB"/>
    <w:rsid w:val="00E137B7"/>
    <w:rsid w:val="00E1564A"/>
    <w:rsid w:val="00E26923"/>
    <w:rsid w:val="00E34A2A"/>
    <w:rsid w:val="00E37194"/>
    <w:rsid w:val="00E374C5"/>
    <w:rsid w:val="00E43314"/>
    <w:rsid w:val="00E43916"/>
    <w:rsid w:val="00E5547C"/>
    <w:rsid w:val="00E62DA9"/>
    <w:rsid w:val="00E83F08"/>
    <w:rsid w:val="00E853BF"/>
    <w:rsid w:val="00E916FD"/>
    <w:rsid w:val="00E93874"/>
    <w:rsid w:val="00E94FB9"/>
    <w:rsid w:val="00EA1AA4"/>
    <w:rsid w:val="00EA2547"/>
    <w:rsid w:val="00EA3D61"/>
    <w:rsid w:val="00EA5BF4"/>
    <w:rsid w:val="00EA6122"/>
    <w:rsid w:val="00EB39FE"/>
    <w:rsid w:val="00EB4D5E"/>
    <w:rsid w:val="00EB6B34"/>
    <w:rsid w:val="00EC0103"/>
    <w:rsid w:val="00ED14BA"/>
    <w:rsid w:val="00ED679E"/>
    <w:rsid w:val="00EE177E"/>
    <w:rsid w:val="00EE1B23"/>
    <w:rsid w:val="00EE2DF3"/>
    <w:rsid w:val="00EE7186"/>
    <w:rsid w:val="00EF1D7B"/>
    <w:rsid w:val="00EF21C5"/>
    <w:rsid w:val="00F01900"/>
    <w:rsid w:val="00F0710F"/>
    <w:rsid w:val="00F12446"/>
    <w:rsid w:val="00F151F2"/>
    <w:rsid w:val="00F318D9"/>
    <w:rsid w:val="00F345E7"/>
    <w:rsid w:val="00F34942"/>
    <w:rsid w:val="00F36770"/>
    <w:rsid w:val="00F6610F"/>
    <w:rsid w:val="00F661B3"/>
    <w:rsid w:val="00F95511"/>
    <w:rsid w:val="00FA63CF"/>
    <w:rsid w:val="00FB1725"/>
    <w:rsid w:val="00FB5DEA"/>
    <w:rsid w:val="00FB7DBE"/>
    <w:rsid w:val="00FC12E1"/>
    <w:rsid w:val="00FD05B0"/>
    <w:rsid w:val="00FD3283"/>
    <w:rsid w:val="00FD3DD8"/>
    <w:rsid w:val="00FE1133"/>
    <w:rsid w:val="00FE45EE"/>
    <w:rsid w:val="00FE5869"/>
    <w:rsid w:val="00FE5B0E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E3D88-72BF-45CB-93FA-19077161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aliases w:val="123 List Paragraph,ADB paragraph numbering,ANNEX,Body,Bullets,Celula,Colorful List - Accent 11,List Paragraph (numbered (a)),List Paragraph nowy,List Paragraph1,List Paragraph11,List Paragraph2,Normal 2,Numbered List Paragraph,References"/>
    <w:basedOn w:val="Normal"/>
    <w:link w:val="ListParagraphChar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/>
      <w:contextualSpacing/>
      <w:jc w:val="both"/>
    </w:pPr>
    <w:rPr>
      <w:rFonts w:eastAsia="Calibri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nhideWhenUsed/>
    <w:rsid w:val="00DB4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jc w:val="center"/>
    </w:pPr>
    <w:rPr>
      <w:b/>
      <w:caps/>
      <w:spacing w:val="20"/>
      <w:sz w:val="24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character" w:customStyle="1" w:styleId="Bodytext">
    <w:name w:val="Body text_"/>
    <w:link w:val="BodyText1"/>
    <w:locked/>
    <w:rsid w:val="00223D7E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3D7E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val="bg-BG" w:eastAsia="en-US"/>
    </w:rPr>
  </w:style>
  <w:style w:type="character" w:customStyle="1" w:styleId="Bodytext6">
    <w:name w:val="Body text (6)_"/>
    <w:link w:val="Bodytext60"/>
    <w:locked/>
    <w:rsid w:val="00223D7E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23D7E"/>
    <w:pPr>
      <w:widowControl w:val="0"/>
      <w:shd w:val="clear" w:color="auto" w:fill="FFFFFF"/>
      <w:spacing w:before="60" w:after="6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BodytextBold">
    <w:name w:val="Body text + Bold"/>
    <w:rsid w:val="00223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7F5"/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filled-value2">
    <w:name w:val="filled-value2"/>
    <w:basedOn w:val="DefaultParagraphFont"/>
    <w:rsid w:val="008507F5"/>
    <w:rPr>
      <w:b w:val="0"/>
      <w:bCs w:val="0"/>
      <w:vanish w:val="0"/>
      <w:webHidden w:val="0"/>
      <w:sz w:val="23"/>
      <w:szCs w:val="23"/>
      <w:specVanish w:val="0"/>
    </w:rPr>
  </w:style>
  <w:style w:type="character" w:styleId="Hyperlink">
    <w:name w:val="Hyperlink"/>
    <w:basedOn w:val="DefaultParagraphFont"/>
    <w:rsid w:val="00B4065D"/>
    <w:rPr>
      <w:color w:val="000080"/>
      <w:u w:val="single"/>
    </w:rPr>
  </w:style>
  <w:style w:type="paragraph" w:customStyle="1" w:styleId="PreformattedText">
    <w:name w:val="Preformatted Text"/>
    <w:basedOn w:val="Normal"/>
    <w:rsid w:val="00D05E57"/>
    <w:pPr>
      <w:suppressAutoHyphens/>
      <w:spacing w:line="276" w:lineRule="auto"/>
    </w:pPr>
    <w:rPr>
      <w:rFonts w:ascii="Liberation Mono" w:eastAsia="NSimSun" w:hAnsi="Liberation Mono" w:cs="Liberation Mono"/>
      <w:color w:val="00000A"/>
      <w:kern w:val="1"/>
      <w:lang w:val="bg-BG" w:eastAsia="en-US"/>
    </w:rPr>
  </w:style>
  <w:style w:type="paragraph" w:styleId="BodyText0">
    <w:name w:val="Body Text"/>
    <w:basedOn w:val="Normal"/>
    <w:link w:val="BodyTextChar"/>
    <w:rsid w:val="00790543"/>
    <w:pPr>
      <w:suppressAutoHyphens/>
      <w:jc w:val="both"/>
    </w:pPr>
    <w:rPr>
      <w:color w:val="00000A"/>
      <w:kern w:val="1"/>
      <w:sz w:val="28"/>
      <w:szCs w:val="28"/>
      <w:lang w:val="bg-BG" w:eastAsia="zh-CN"/>
    </w:rPr>
  </w:style>
  <w:style w:type="character" w:customStyle="1" w:styleId="BodyTextChar">
    <w:name w:val="Body Text Char"/>
    <w:basedOn w:val="DefaultParagraphFont"/>
    <w:link w:val="BodyText0"/>
    <w:rsid w:val="00790543"/>
    <w:rPr>
      <w:rFonts w:ascii="Times New Roman" w:eastAsia="Times New Roman" w:hAnsi="Times New Roman" w:cs="Times New Roman"/>
      <w:color w:val="00000A"/>
      <w:kern w:val="1"/>
      <w:sz w:val="28"/>
      <w:szCs w:val="28"/>
      <w:lang w:eastAsia="zh-CN"/>
    </w:rPr>
  </w:style>
  <w:style w:type="character" w:customStyle="1" w:styleId="ListParagraphChar">
    <w:name w:val="List Paragraph Char"/>
    <w:aliases w:val="123 List Paragraph Char,ADB paragraph numbering Char,ANNEX Char,Body Char,Bullets Char,Celula Char,Colorful List - Accent 11 Char,List Paragraph (numbered (a)) Char,List Paragraph nowy Char,List Paragraph1 Char,List Paragraph11 Char"/>
    <w:link w:val="ListParagraph"/>
    <w:uiPriority w:val="34"/>
    <w:qFormat/>
    <w:locked/>
    <w:rsid w:val="003D2706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235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avbd@bddr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blg@wabd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_plovdiv@earbd.b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54FC-D74E-475F-86E1-627A29AA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Windows User</cp:lastModifiedBy>
  <cp:revision>2</cp:revision>
  <cp:lastPrinted>2021-02-15T12:30:00Z</cp:lastPrinted>
  <dcterms:created xsi:type="dcterms:W3CDTF">2021-04-08T11:31:00Z</dcterms:created>
  <dcterms:modified xsi:type="dcterms:W3CDTF">2021-04-08T11:31:00Z</dcterms:modified>
</cp:coreProperties>
</file>