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2B" w:rsidRDefault="0000342B" w:rsidP="00407EAD">
      <w:pPr>
        <w:ind w:firstLine="708"/>
        <w:jc w:val="center"/>
        <w:rPr>
          <w:b/>
          <w:bCs/>
        </w:rPr>
      </w:pPr>
      <w:bookmarkStart w:id="0" w:name="_Toc332972598"/>
      <w:bookmarkStart w:id="1" w:name="_Toc332972599"/>
      <w:bookmarkStart w:id="2" w:name="_Toc332972602"/>
      <w:r>
        <w:rPr>
          <w:b/>
          <w:bCs/>
        </w:rPr>
        <w:t xml:space="preserve">ОТЧЕТ НА МИНИСТЕРСТВО </w:t>
      </w:r>
      <w:r w:rsidRPr="006B5703">
        <w:rPr>
          <w:b/>
          <w:bCs/>
        </w:rPr>
        <w:t>НА ОКОЛНАТА СРЕДА И ВОДИТЕ</w:t>
      </w:r>
      <w:bookmarkEnd w:id="0"/>
    </w:p>
    <w:p w:rsidR="0000342B" w:rsidRPr="006B5703" w:rsidRDefault="0000342B" w:rsidP="00407EAD">
      <w:pPr>
        <w:ind w:firstLine="708"/>
        <w:jc w:val="center"/>
        <w:rPr>
          <w:b/>
          <w:bCs/>
        </w:rPr>
      </w:pPr>
      <w:r>
        <w:rPr>
          <w:b/>
          <w:bCs/>
        </w:rPr>
        <w:t>2009 – 2012 ГОДИНА</w:t>
      </w:r>
    </w:p>
    <w:p w:rsidR="0000342B" w:rsidRPr="006B5703" w:rsidRDefault="0000342B" w:rsidP="006B5703">
      <w:r>
        <w:rPr>
          <w:noProof/>
          <w:lang w:eastAsia="bg-BG"/>
        </w:rPr>
        <w:pict>
          <v:shapetype id="_x0000_t32" coordsize="21600,21600" o:spt="32" o:oned="t" path="m,l21600,21600e" filled="f">
            <v:path arrowok="t" fillok="f" o:connecttype="none"/>
            <o:lock v:ext="edit" shapetype="t"/>
          </v:shapetype>
          <v:shape id="Straight Arrow Connector 4" o:spid="_x0000_s1026" type="#_x0000_t32" style="position:absolute;margin-left:0;margin-top:16.2pt;width:469.8pt;height:.05pt;z-index:251658240;visibility:visible" strokecolor="#36f" strokeweight="5pt"/>
        </w:pict>
      </w:r>
    </w:p>
    <w:p w:rsidR="0000342B" w:rsidRPr="006B5703" w:rsidRDefault="0000342B" w:rsidP="006B5703">
      <w:r>
        <w:t>През трите години</w:t>
      </w:r>
      <w:r w:rsidRPr="006B5703">
        <w:t xml:space="preserve"> от управление</w:t>
      </w:r>
      <w:r>
        <w:t>то</w:t>
      </w:r>
      <w:r w:rsidRPr="006B5703">
        <w:t xml:space="preserve"> на правителството на европейското развитие на България продължи работата по изпълнение на заложената в Програмата на правителството цел за гарантиране и опазване на околната среда и водите на страната. </w:t>
      </w:r>
    </w:p>
    <w:p w:rsidR="0000342B" w:rsidRPr="004A703F" w:rsidRDefault="0000342B" w:rsidP="006B5703">
      <w:pPr>
        <w:rPr>
          <w:b/>
          <w:bCs/>
          <w:sz w:val="24"/>
          <w:szCs w:val="24"/>
          <w:u w:val="single"/>
        </w:rPr>
      </w:pPr>
      <w:r>
        <w:rPr>
          <w:noProof/>
          <w:lang w:eastAsia="bg-BG"/>
        </w:rPr>
        <w:pict>
          <v:rect id="Rectangle 3" o:spid="_x0000_s1027" style="position:absolute;margin-left:383.65pt;margin-top:20.35pt;width:102.35pt;height:129.75pt;z-index:251659264;visibility:visible" stroked="f">
            <v:textbox>
              <w:txbxContent>
                <w:p w:rsidR="0000342B" w:rsidRPr="0006129F" w:rsidRDefault="0000342B" w:rsidP="006B5703">
                  <w:pPr>
                    <w:tabs>
                      <w:tab w:val="num" w:pos="800"/>
                      <w:tab w:val="left" w:pos="993"/>
                    </w:tabs>
                    <w:spacing w:before="120" w:line="360" w:lineRule="auto"/>
                    <w:rPr>
                      <w:b/>
                      <w:bCs/>
                      <w:color w:val="3366FF"/>
                      <w:lang w:val="ru-RU"/>
                    </w:rPr>
                  </w:pPr>
                  <w:r w:rsidRPr="00834B12">
                    <w:rPr>
                      <w:b/>
                      <w:bCs/>
                      <w:color w:val="3366FF"/>
                    </w:rPr>
                    <w:t xml:space="preserve">Ускорено беше строителството и бяха въведени в експлоатация 36 </w:t>
                  </w:r>
                  <w:r>
                    <w:rPr>
                      <w:b/>
                      <w:bCs/>
                      <w:color w:val="3366FF"/>
                    </w:rPr>
                    <w:t>инвестиционни обекта.</w:t>
                  </w:r>
                </w:p>
              </w:txbxContent>
            </v:textbox>
          </v:rect>
        </w:pict>
      </w:r>
      <w:r w:rsidRPr="004A703F">
        <w:rPr>
          <w:b/>
          <w:bCs/>
          <w:sz w:val="24"/>
          <w:szCs w:val="24"/>
          <w:u w:val="single"/>
        </w:rPr>
        <w:t>Водни ресурси</w:t>
      </w:r>
      <w:bookmarkEnd w:id="1"/>
    </w:p>
    <w:p w:rsidR="0000342B" w:rsidRPr="006B5703" w:rsidRDefault="0000342B" w:rsidP="006B5703">
      <w:pPr>
        <w:ind w:right="1814"/>
        <w:jc w:val="both"/>
      </w:pPr>
      <w:r w:rsidRPr="006B5703">
        <w:t>Ускорена беше подготовката и реализацията на инвестиционни проекти с европейско финансиране – за строителство, реконструкция, модернизация на пречиствателни станции за отпадъчни води; за разширение, реконструкция на канализационни мрежи в населените места; за строителство, реконструкция, разширение на водоснабдителните мрежи, изграждане на нови резервоари за питейна вода и основни водопроводи. Осъществяването на проектите е от решаващо значение за постигане добро състояние на повърхностните речни и крайбрежни морски води, както и за подобряване качеството на подземните водни тела:</w:t>
      </w:r>
    </w:p>
    <w:p w:rsidR="0000342B" w:rsidRPr="006B5703" w:rsidRDefault="0000342B" w:rsidP="006B5703">
      <w:pPr>
        <w:numPr>
          <w:ilvl w:val="0"/>
          <w:numId w:val="2"/>
        </w:numPr>
        <w:tabs>
          <w:tab w:val="num" w:pos="900"/>
        </w:tabs>
        <w:jc w:val="both"/>
      </w:pPr>
      <w:r w:rsidRPr="006B5703">
        <w:rPr>
          <w:b/>
          <w:bCs/>
        </w:rPr>
        <w:t xml:space="preserve">Ускорено беше строителството и бяха въведени в експлоатация 36 инвестиционни обекта. </w:t>
      </w:r>
      <w:r w:rsidRPr="006B5703">
        <w:t xml:space="preserve">Изградени/реконструирани бяха 16 пречиствателни станции за отпадъчни води (ПСОВ) в градовете Хисаря, Сопот, Троян, Смолян, Севлиево, Бургас Меден – Рудник, Монтана, Ловеч, Попово, Балчик, Кюстендил, Кубратово (София), Варна, Сливен, Търговище и Велики Преслав, като 9 от тях са с отстраняване и на биогенните елементи (азот и фосфор). </w:t>
      </w:r>
      <w:bookmarkStart w:id="3" w:name="_GoBack"/>
      <w:bookmarkEnd w:id="3"/>
      <w:r w:rsidRPr="006B5703">
        <w:t xml:space="preserve">Общият брой на обслужваното население от изградените/рехабилитирани ПСОВ е 2 654 хил. еквивалентни жители. С въвеждането на пречиствателните станции в експлоатация още около 790 хил. куб. м./ден. пречистени води постъпват във водоприемниците. Изградена/рехабилитирана беше 332 км. канализационна мрежа, а броят на присъединеното население към нея е 1 114 хил. жители. Изградена/рехабилитирана беше и около 354 км. водоснабдителна мрежа. Въведени са в експлоатация и 2 пречиствателни станции за питейни води в Мала Църква и Пасарел. </w:t>
      </w:r>
    </w:p>
    <w:p w:rsidR="0000342B" w:rsidRPr="006B5703" w:rsidRDefault="0000342B" w:rsidP="006B5703">
      <w:pPr>
        <w:numPr>
          <w:ilvl w:val="0"/>
          <w:numId w:val="2"/>
        </w:numPr>
        <w:tabs>
          <w:tab w:val="num" w:pos="900"/>
        </w:tabs>
        <w:jc w:val="both"/>
        <w:rPr>
          <w:b/>
          <w:bCs/>
        </w:rPr>
      </w:pPr>
      <w:r w:rsidRPr="006B5703">
        <w:rPr>
          <w:b/>
          <w:bCs/>
        </w:rPr>
        <w:t>Продължава изпълнението на 60 инвестиционни проекта</w:t>
      </w:r>
      <w:r w:rsidRPr="006B5703">
        <w:t xml:space="preserve"> (в общините Велико Търново, Белослав, Благоевград, Бургас (3 проекта), Каварна, Казанлък, Враца, Вършец, Габрово, Горна Оряховица, Лозница, Попово, Руен, Тунджа, Търговище, Ябланица, Аксаково, Банско, Благоевград, Ботевград, Бяла (Варна), Бяла Слатина, Варна , Велики Преслав , Етрополе , Исперих , Казанлък,  Карлово, Кнежа, Козлодуй,  Кричим, Ловеч, Мездра, Несебър, Нови Пазар, Пещера, Пирдоп,  Провадия, Раковски, Свищов, Созопол, Сопот (2 проекта), Стара Загора, Средец, Стамболийски, Столична община (5 проекта), Тервел, Трявна, Троян, Хисаря (2 проекта), Червен Бряг, Ямбол), за които беше отпусната безвъзмездна финансова помощ в общ размер на близо 1,8 млрд. лв. С изпълнението на проектите се изгражда и рехабилитира над 800 км. канализационна мрежа към която се очаква да бъде присъединено население от над 375 хиляди реални жители. Изгражда се/рехабилитира се и над 500 км. водоснабдителна</w:t>
      </w:r>
      <w:r w:rsidRPr="006B5703">
        <w:rPr>
          <w:b/>
          <w:bCs/>
        </w:rPr>
        <w:t xml:space="preserve"> </w:t>
      </w:r>
      <w:r w:rsidRPr="006B5703">
        <w:t>мрежа.</w:t>
      </w:r>
    </w:p>
    <w:p w:rsidR="0000342B" w:rsidRPr="006B5703" w:rsidRDefault="0000342B" w:rsidP="006B5703">
      <w:pPr>
        <w:numPr>
          <w:ilvl w:val="0"/>
          <w:numId w:val="2"/>
        </w:numPr>
        <w:tabs>
          <w:tab w:val="num" w:pos="900"/>
        </w:tabs>
        <w:jc w:val="both"/>
      </w:pPr>
      <w:r w:rsidRPr="006B5703">
        <w:rPr>
          <w:b/>
          <w:bCs/>
        </w:rPr>
        <w:t>В процес на изпълнение са 26 проекта за подготовка на проектни предложения и реализиране на инвестицията за над 900 млн. лв.</w:t>
      </w:r>
      <w:r w:rsidRPr="006B5703">
        <w:t xml:space="preserve"> Проектите са на общините: Разлог, Чирпан, Дряново, Айтос, Радомир, Левски, Попово, Елин Пелин, Смолян, Пазарджик, Разград, Бургас (2 бр.) Тутракан, Ихтиман, Балчик (2 БР.) </w:t>
      </w:r>
      <w:r w:rsidRPr="006B5703">
        <w:sym w:font="Symbol" w:char="F02D"/>
      </w:r>
      <w:r w:rsidRPr="006B5703">
        <w:t xml:space="preserve"> проектиране и изграждане на ПСОВ в к.к Албена и гр. Балчик, Каварна, Дулово, Приморско, Гълъбово, Елхово, София, Сандански , Варна и Кюстендил. </w:t>
      </w:r>
    </w:p>
    <w:p w:rsidR="0000342B" w:rsidRPr="006B5703" w:rsidRDefault="0000342B" w:rsidP="006B5703">
      <w:pPr>
        <w:numPr>
          <w:ilvl w:val="0"/>
          <w:numId w:val="3"/>
        </w:numPr>
        <w:jc w:val="both"/>
      </w:pPr>
      <w:r w:rsidRPr="006B5703">
        <w:rPr>
          <w:b/>
          <w:bCs/>
        </w:rPr>
        <w:t>Предстои подписването на договори за финансиране</w:t>
      </w:r>
      <w:r w:rsidRPr="006B5703">
        <w:t xml:space="preserve"> </w:t>
      </w:r>
      <w:r w:rsidRPr="006B5703">
        <w:rPr>
          <w:b/>
          <w:bCs/>
        </w:rPr>
        <w:t>на</w:t>
      </w:r>
      <w:r w:rsidRPr="006B5703">
        <w:t xml:space="preserve"> </w:t>
      </w:r>
      <w:r w:rsidRPr="006B5703">
        <w:rPr>
          <w:b/>
          <w:bCs/>
        </w:rPr>
        <w:t>6 проекта</w:t>
      </w:r>
      <w:r w:rsidRPr="006B5703">
        <w:t xml:space="preserve"> (на общините Шумен, Панагюрище, Бяла (Русе), Монтана, Костинброд, Кубрат).</w:t>
      </w:r>
    </w:p>
    <w:p w:rsidR="0000342B" w:rsidRPr="006B5703" w:rsidRDefault="0000342B" w:rsidP="006B5703">
      <w:pPr>
        <w:numPr>
          <w:ilvl w:val="0"/>
          <w:numId w:val="3"/>
        </w:numPr>
        <w:jc w:val="both"/>
      </w:pPr>
      <w:r w:rsidRPr="006B5703">
        <w:t xml:space="preserve"> </w:t>
      </w:r>
      <w:r w:rsidRPr="006B5703">
        <w:rPr>
          <w:b/>
          <w:bCs/>
        </w:rPr>
        <w:t>В</w:t>
      </w:r>
      <w:r w:rsidRPr="006B5703">
        <w:t xml:space="preserve"> </w:t>
      </w:r>
      <w:r w:rsidRPr="006B5703">
        <w:rPr>
          <w:b/>
          <w:bCs/>
        </w:rPr>
        <w:t>процес на оценка</w:t>
      </w:r>
      <w:r w:rsidRPr="006B5703">
        <w:t xml:space="preserve"> са  39 проектни предложения за над 1,6 млрд. лв., (на общините Сливен, Луковит, Асеновград, Белене, Берковица,  Велико Търново, Видин, Вършец, Габрово, Генерал Тошево, Гоце Делчев, Девня, Димитровград, Добрич, Дупница,  Карнобат, Кърджали,  Лом, Момчилград, Монтана, Павликени, Перник, Петрич, Пловдив, Поморие, Първомай, Раднево, Русе, Свиленград, Своге, Севлиево, Септември, Тетевен, Троян, Харманли, Хасково,  Царево). </w:t>
      </w:r>
    </w:p>
    <w:p w:rsidR="0000342B" w:rsidRPr="006B5703" w:rsidRDefault="0000342B" w:rsidP="006B5703">
      <w:pPr>
        <w:numPr>
          <w:ilvl w:val="0"/>
          <w:numId w:val="3"/>
        </w:numPr>
        <w:tabs>
          <w:tab w:val="num" w:pos="900"/>
        </w:tabs>
        <w:jc w:val="both"/>
        <w:rPr>
          <w:b/>
          <w:bCs/>
        </w:rPr>
      </w:pPr>
      <w:r w:rsidRPr="006B5703">
        <w:rPr>
          <w:b/>
          <w:bCs/>
        </w:rPr>
        <w:t>Финансирано беше доизграждането на малки водоснабдителни обекти, на стойност 7, 1 млн. лв.</w:t>
      </w:r>
    </w:p>
    <w:p w:rsidR="0000342B" w:rsidRPr="006B5703" w:rsidRDefault="0000342B" w:rsidP="006B5703">
      <w:pPr>
        <w:jc w:val="both"/>
      </w:pPr>
      <w:r w:rsidRPr="006B5703">
        <w:t xml:space="preserve">За по-доброто усвояване на природните ресурси, за първи път с изменението на Закона за водите, през 2010 г., беше създадена нормативна възможност общините да управляват част от находищата на минерални води, изключителна държавна собственост, като държавата прехвърли правата за управление на местните власти. </w:t>
      </w:r>
    </w:p>
    <w:p w:rsidR="0000342B" w:rsidRPr="006B5703" w:rsidRDefault="0000342B" w:rsidP="006B5703">
      <w:pPr>
        <w:jc w:val="both"/>
        <w:rPr>
          <w:b/>
          <w:bCs/>
        </w:rPr>
      </w:pPr>
      <w:r w:rsidRPr="006B5703">
        <w:rPr>
          <w:b/>
          <w:bCs/>
        </w:rPr>
        <w:t>В резултат на това 43 общини</w:t>
      </w:r>
      <w:r w:rsidRPr="006B5703">
        <w:t xml:space="preserve"> (Костенец, Велинград, Бургас, Свищов, Димитровград, Сапарева баня, Девин, Разлог, Симеоновград, Джебел, Провадия, Айтос, Казанлък, Панагюрище, Стралджа, Петрич, Невестино, Калояново, Мъглиж, Карлово, Кирково, Баните, Сливен, Летница, Гърмен, Болярово, Нова Загора, Банско, Минерални бани, Кюстендил, Полски Тръмбеш, Велико Търново, Берковица, Радомир, Шумен, Сандански,Столична община, Стрелча, Благоевград, Поморие, Хисаря, Несебър, Долна баня) </w:t>
      </w:r>
      <w:r w:rsidRPr="006B5703">
        <w:rPr>
          <w:b/>
          <w:bCs/>
        </w:rPr>
        <w:t>вече разполагат с 65 находища на минерални води, предоставени им безвъзмездно за срок от 25 години.</w:t>
      </w:r>
    </w:p>
    <w:p w:rsidR="0000342B" w:rsidRPr="006B5703" w:rsidRDefault="0000342B" w:rsidP="006B5703">
      <w:pPr>
        <w:jc w:val="both"/>
      </w:pPr>
      <w:r w:rsidRPr="006B5703">
        <w:t xml:space="preserve">С цел извършване на реформа и цялостна промяна в управлението на водния сектор,  стартира и приключи разработването на проект на </w:t>
      </w:r>
      <w:r w:rsidRPr="006B5703">
        <w:rPr>
          <w:b/>
          <w:bCs/>
        </w:rPr>
        <w:t>Национална стратегия за управление и развитие на водния сектор.</w:t>
      </w:r>
      <w:r w:rsidRPr="006B5703">
        <w:t xml:space="preserve"> Със стратегията се предлага създаване на  оптимален  модел за управление на сектора по отношение на собствеността и управление на водната инфраструктура, и възможностите за финансиране, и се  залагат принципите на открита и предсказуема политика за управление на водите, тяхното рационално използване и справедливото им разпределение за населението, икономиката и екосистемите, както и опазването и възстановяването на количеството и качеството на водните ресурси.</w:t>
      </w:r>
    </w:p>
    <w:p w:rsidR="0000342B" w:rsidRPr="006B5703" w:rsidRDefault="0000342B" w:rsidP="006B5703">
      <w:pPr>
        <w:jc w:val="both"/>
      </w:pPr>
      <w:r w:rsidRPr="006B5703">
        <w:t xml:space="preserve">За </w:t>
      </w:r>
      <w:r w:rsidRPr="006B5703">
        <w:rPr>
          <w:b/>
          <w:bCs/>
        </w:rPr>
        <w:t>поддържане състоянието на речните легла</w:t>
      </w:r>
      <w:r w:rsidRPr="006B5703">
        <w:t xml:space="preserve">, и ограничаване на риска за живота, собствеността и стопанските дейности, както и във връзка с констатирани увреждания на речните легла (вследствие липса на контрол в периода преди 2009 г.) са одобрени </w:t>
      </w:r>
      <w:r w:rsidRPr="006B5703">
        <w:rPr>
          <w:b/>
          <w:bCs/>
        </w:rPr>
        <w:t>ясни правила за извършване на изземване на баластра от реките и почистването им</w:t>
      </w:r>
      <w:r w:rsidRPr="006B5703">
        <w:t>, с внесено изменение в Закона за водите, извършиха се многобройни комплексни проверки.</w:t>
      </w:r>
    </w:p>
    <w:p w:rsidR="0000342B" w:rsidRPr="006B5703" w:rsidRDefault="0000342B" w:rsidP="006B5703">
      <w:pPr>
        <w:jc w:val="both"/>
      </w:pPr>
      <w:r w:rsidRPr="006B5703">
        <w:t xml:space="preserve">За защита, съхранение и подобряване на </w:t>
      </w:r>
      <w:r w:rsidRPr="006B5703">
        <w:rPr>
          <w:b/>
          <w:bCs/>
        </w:rPr>
        <w:t>морската околна среда на Черно море</w:t>
      </w:r>
      <w:r w:rsidRPr="006B5703">
        <w:t>, за предотвратяване на нейното влошаване, както и за възстановяване на неблагоприятно засегнатите черноморски екосистеми:</w:t>
      </w:r>
    </w:p>
    <w:p w:rsidR="0000342B" w:rsidRPr="006B5703" w:rsidRDefault="0000342B" w:rsidP="00083BB0">
      <w:pPr>
        <w:numPr>
          <w:ilvl w:val="0"/>
          <w:numId w:val="2"/>
        </w:numPr>
        <w:tabs>
          <w:tab w:val="num" w:pos="900"/>
        </w:tabs>
        <w:jc w:val="both"/>
        <w:rPr>
          <w:b/>
          <w:bCs/>
        </w:rPr>
      </w:pPr>
      <w:r w:rsidRPr="006B5703">
        <w:rPr>
          <w:b/>
          <w:bCs/>
        </w:rPr>
        <w:t xml:space="preserve">приета e наредба, с която се предвижда, в срок до 01.01.2015 г., да се изготви Морската стратегия на Република България. </w:t>
      </w:r>
    </w:p>
    <w:p w:rsidR="0000342B" w:rsidRPr="006B5703" w:rsidRDefault="0000342B" w:rsidP="00083BB0">
      <w:pPr>
        <w:numPr>
          <w:ilvl w:val="0"/>
          <w:numId w:val="2"/>
        </w:numPr>
        <w:tabs>
          <w:tab w:val="num" w:pos="900"/>
        </w:tabs>
        <w:jc w:val="both"/>
      </w:pPr>
      <w:r w:rsidRPr="006B5703">
        <w:rPr>
          <w:b/>
          <w:bCs/>
        </w:rPr>
        <w:t xml:space="preserve">въведени са в експлоатация, изпълняват се и са одобрени за финансиране редица инвестиционни проекти </w:t>
      </w:r>
      <w:r w:rsidRPr="006B5703">
        <w:t>за канализация и пречистване на отпадъчните  води, посочени по-горе /Балчик, Бургас, Варна, Созопол, Златни пясъци, Албена, Бяла, Несебър, Слънчев бряг, Поморие, Приморско , Каварна/.</w:t>
      </w:r>
    </w:p>
    <w:p w:rsidR="0000342B" w:rsidRPr="006B5703" w:rsidRDefault="0000342B" w:rsidP="006B5703">
      <w:pPr>
        <w:jc w:val="both"/>
      </w:pPr>
      <w:r w:rsidRPr="006B5703">
        <w:t xml:space="preserve">С оглед </w:t>
      </w:r>
      <w:r w:rsidRPr="006B5703">
        <w:rPr>
          <w:b/>
          <w:bCs/>
        </w:rPr>
        <w:t>предотвратяване и намаляване на неблагоприятните последици от наводненията</w:t>
      </w:r>
      <w:r w:rsidRPr="006B5703">
        <w:t xml:space="preserve"> върху човешкото здраве, околната среда, културното наследство и стопанската дейност се разработи и прие нормативна уредба и е изготвена предварителна оценка на риска от наводнения, за която са проведени консултации с обществеността. Извършиха се законодателни промени, уреждащи отговорностите и контрола за </w:t>
      </w:r>
      <w:r w:rsidRPr="006B5703">
        <w:rPr>
          <w:b/>
          <w:bCs/>
        </w:rPr>
        <w:t>техническото състояние на язовирите</w:t>
      </w:r>
      <w:r w:rsidRPr="006B5703">
        <w:t>.</w:t>
      </w:r>
    </w:p>
    <w:p w:rsidR="0000342B" w:rsidRDefault="0000342B" w:rsidP="006B5703">
      <w:pPr>
        <w:jc w:val="both"/>
        <w:rPr>
          <w:b/>
          <w:bCs/>
          <w:sz w:val="24"/>
          <w:szCs w:val="24"/>
          <w:u w:val="single"/>
        </w:rPr>
      </w:pPr>
      <w:bookmarkStart w:id="4" w:name="_Toc332972600"/>
    </w:p>
    <w:p w:rsidR="0000342B" w:rsidRPr="004A703F" w:rsidRDefault="0000342B" w:rsidP="006B5703">
      <w:pPr>
        <w:jc w:val="both"/>
        <w:rPr>
          <w:b/>
          <w:bCs/>
          <w:sz w:val="24"/>
          <w:szCs w:val="24"/>
          <w:u w:val="single"/>
        </w:rPr>
      </w:pPr>
      <w:r w:rsidRPr="004A703F">
        <w:rPr>
          <w:b/>
          <w:bCs/>
          <w:sz w:val="24"/>
          <w:szCs w:val="24"/>
          <w:u w:val="single"/>
        </w:rPr>
        <w:t>Биологично разнообразие</w:t>
      </w:r>
      <w:bookmarkEnd w:id="4"/>
    </w:p>
    <w:p w:rsidR="0000342B" w:rsidRPr="006B5703" w:rsidRDefault="0000342B" w:rsidP="006B5703">
      <w:pPr>
        <w:jc w:val="both"/>
      </w:pPr>
      <w:r w:rsidRPr="006B5703">
        <w:rPr>
          <w:b/>
          <w:bCs/>
        </w:rPr>
        <w:t xml:space="preserve">В изпълнение на предвидената от правителството на България цел ограничаване и спиране на загубата на биологично разнообразие бяха </w:t>
      </w:r>
      <w:r w:rsidRPr="006B5703">
        <w:t xml:space="preserve">определени 7 нови и разширени 28 съществуващи защитени зони от мрежата Натура 2000, с което площта и беше увеличена с 4 904, 92 хектара. От началото на мандата на правителството до настоящият момент са издадени от министъра на околната среда и водите 12 заповеди за защитени зони за опазване на дивите птици, а 3 проекта на заповеди за защитени зони за опазване на местообитанията са на етап обобщаване на постъпилите становища след обществени консултации. Подготвени са 30 проектозаповеди за зони за местообитания. През отчетния период, бяха обявени 21 нови и разширена площта на 6 съществуващи защитени територии, с което общата площ на мрежата от защитени територии беше увеличена с 1 358, 1 хектара. Приети са 7 плана за управление на защитени територии, в т.ч. за природните паркове “Златни Пясъци” и “Шуменско плато”, “Врачански Балкан”, “Рилски манастир” и защитена местност “Кайлъка”. </w:t>
      </w:r>
    </w:p>
    <w:p w:rsidR="0000342B" w:rsidRPr="006B5703" w:rsidRDefault="0000342B" w:rsidP="006B5703">
      <w:pPr>
        <w:jc w:val="both"/>
      </w:pPr>
      <w:r w:rsidRPr="006B5703">
        <w:t>Във връзка с прилагане на националното и европейско законодателство в областта на биологичното разнообразие, са разработени 9 плана за действие за застрашени животински и растителни видове; издадени са 166 бр. разрешителни за изключения от забраните въведени със Закона за биологичното разнообразие за защитени видове растения и животни и 618 бр. разрешителни и сертификати по CITES за износ/внос и реекспорт на застрашени видове от дивата флора и фауна, извършени са 1 070 бр. регистрации на екземпляри от видове по чл. 90 от Закона за биологичното разнообразие и 130 бр. регистрации по Закона за лечебните растения.</w:t>
      </w:r>
    </w:p>
    <w:p w:rsidR="0000342B" w:rsidRPr="006B5703" w:rsidRDefault="0000342B" w:rsidP="006B5703">
      <w:pPr>
        <w:jc w:val="both"/>
      </w:pPr>
      <w:r w:rsidRPr="006B5703">
        <w:t>Със средства по Оперативна програма „Околна среда 2007-2013 г.” се изпълняват 81 проекта на стойност 240 млн. лв. С изпълнението им се разработват и актуализират планове за управление на национални паркове и резервати и природни паркове; се извършват теренни проучвания; се подпомага опазването и възстановяването на биологичното разнообразие на територията на цялата страна.</w:t>
      </w:r>
    </w:p>
    <w:p w:rsidR="0000342B" w:rsidRPr="004A703F" w:rsidRDefault="0000342B" w:rsidP="006B5703">
      <w:pPr>
        <w:jc w:val="both"/>
        <w:rPr>
          <w:b/>
          <w:bCs/>
          <w:sz w:val="24"/>
          <w:szCs w:val="24"/>
          <w:u w:val="single"/>
        </w:rPr>
      </w:pPr>
      <w:bookmarkStart w:id="5" w:name="_Toc332972601"/>
      <w:r w:rsidRPr="004A703F">
        <w:rPr>
          <w:b/>
          <w:bCs/>
          <w:sz w:val="24"/>
          <w:szCs w:val="24"/>
          <w:u w:val="single"/>
        </w:rPr>
        <w:t>Подобряване качеството на атмосферния въздух</w:t>
      </w:r>
      <w:bookmarkEnd w:id="5"/>
    </w:p>
    <w:p w:rsidR="0000342B" w:rsidRPr="006B5703" w:rsidRDefault="0000342B" w:rsidP="006B5703">
      <w:pPr>
        <w:jc w:val="both"/>
      </w:pPr>
      <w:r w:rsidRPr="006B5703">
        <w:rPr>
          <w:b/>
          <w:bCs/>
        </w:rPr>
        <w:t>С цел подобряване качеството на атмосферния въздух е осъществен контрол върху индустриалните източници на замърсяване на въздуха</w:t>
      </w:r>
      <w:r w:rsidRPr="006B5703">
        <w:t>.</w:t>
      </w:r>
    </w:p>
    <w:p w:rsidR="0000342B" w:rsidRPr="006B5703" w:rsidRDefault="0000342B" w:rsidP="006B5703">
      <w:pPr>
        <w:jc w:val="both"/>
      </w:pPr>
      <w:r w:rsidRPr="006B5703">
        <w:t>Във връзка с неизпълнение изискванията на законодателството и вследствие на това – превишаване на нормите за качество на атмосферния въздух (КАВ) за серен диоксид на територията на общините Гълъбово, Димитровград и Перник:</w:t>
      </w:r>
    </w:p>
    <w:p w:rsidR="0000342B" w:rsidRPr="006B5703" w:rsidRDefault="0000342B" w:rsidP="00083BB0">
      <w:pPr>
        <w:numPr>
          <w:ilvl w:val="0"/>
          <w:numId w:val="2"/>
        </w:numPr>
        <w:tabs>
          <w:tab w:val="num" w:pos="900"/>
        </w:tabs>
        <w:jc w:val="both"/>
        <w:rPr>
          <w:b/>
          <w:bCs/>
        </w:rPr>
      </w:pPr>
      <w:r w:rsidRPr="006B5703">
        <w:rPr>
          <w:b/>
          <w:bCs/>
        </w:rPr>
        <w:t xml:space="preserve">бяха спрени от експлоатация котли 1 до 4 на ТЕЦ “Република” </w:t>
      </w:r>
      <w:r w:rsidRPr="006B5703">
        <w:rPr>
          <w:b/>
          <w:bCs/>
        </w:rPr>
        <w:sym w:font="Symbol" w:char="F02D"/>
      </w:r>
      <w:r w:rsidRPr="006B5703">
        <w:rPr>
          <w:b/>
          <w:bCs/>
        </w:rPr>
        <w:t xml:space="preserve"> Перник; </w:t>
      </w:r>
    </w:p>
    <w:p w:rsidR="0000342B" w:rsidRPr="006B5703" w:rsidRDefault="0000342B" w:rsidP="00083BB0">
      <w:pPr>
        <w:numPr>
          <w:ilvl w:val="0"/>
          <w:numId w:val="2"/>
        </w:numPr>
        <w:tabs>
          <w:tab w:val="num" w:pos="900"/>
        </w:tabs>
        <w:jc w:val="both"/>
      </w:pPr>
      <w:r w:rsidRPr="006B5703">
        <w:rPr>
          <w:b/>
          <w:bCs/>
        </w:rPr>
        <w:t>с актуализация от февруари 2010 г. на комплексното разрешително на ТЕЦ “Марица Изток 2” бяха извадени от обхвата му блокове 5 и 6 на централата, до</w:t>
      </w:r>
      <w:r w:rsidRPr="006B5703">
        <w:t xml:space="preserve"> изграждането на сероочистваща инсталация за тях;</w:t>
      </w:r>
    </w:p>
    <w:p w:rsidR="0000342B" w:rsidRPr="006B5703" w:rsidRDefault="0000342B" w:rsidP="00083BB0">
      <w:pPr>
        <w:numPr>
          <w:ilvl w:val="0"/>
          <w:numId w:val="2"/>
        </w:numPr>
        <w:tabs>
          <w:tab w:val="num" w:pos="900"/>
        </w:tabs>
        <w:jc w:val="both"/>
      </w:pPr>
      <w:r w:rsidRPr="006B5703">
        <w:rPr>
          <w:b/>
          <w:bCs/>
        </w:rPr>
        <w:t>беше изведена от експлоатация, след изтичане на разрешената дерогация от 20 000 часа, ТЕЦ „Брикел“</w:t>
      </w:r>
      <w:r w:rsidRPr="006B5703">
        <w:t xml:space="preserve"> – до привеждане на инсталацията в съответствие с нормативните изисквания.</w:t>
      </w:r>
    </w:p>
    <w:p w:rsidR="0000342B" w:rsidRPr="006B5703" w:rsidRDefault="0000342B" w:rsidP="006B5703">
      <w:pPr>
        <w:jc w:val="both"/>
      </w:pPr>
      <w:r w:rsidRPr="006B5703">
        <w:t xml:space="preserve">Във връзка с наднормените нива на олово и серен диоксид в атмосферния въздух беше спряна дейността на част от оловното производство на “ОЦК” АД, Кърджали – до реализиране на мерки за привеждане на индустриалните източници на емисии в съответствие с нормативните изисквания. </w:t>
      </w:r>
    </w:p>
    <w:p w:rsidR="0000342B" w:rsidRPr="006B5703" w:rsidRDefault="0000342B" w:rsidP="006B5703">
      <w:pPr>
        <w:jc w:val="both"/>
      </w:pPr>
      <w:r w:rsidRPr="006B5703">
        <w:t>Във връзка с неизпълнение изискванията на законодателството и нарушаването на нормите за качество на атмосферния въздух за серен диоксид и прах на територията на общините Перник и Свищов бяха временно спрени от експлоатация Парогенератор №5 в ТЕЦ “Република” и котлоагрегати с № 1 – 4 в ТЕЦ “Свилоза”.</w:t>
      </w:r>
    </w:p>
    <w:p w:rsidR="0000342B" w:rsidRPr="006B5703" w:rsidRDefault="0000342B" w:rsidP="006B5703">
      <w:pPr>
        <w:jc w:val="both"/>
      </w:pPr>
      <w:r w:rsidRPr="006B5703">
        <w:t>Предприети са адекватни, активни и последователни мерки за подпомагане на общинските власти в провеждане на дългосрочна устойчива политика за подобряване качеството на атмосферния въздух. В резултат на положените усилия и оказаната всестранна помощ, към момента 27 от 29 общини с нарушено качество на атмосферния въздух имат актуализирани /разработени нови/ общински програми по чл. 27 от Закона за чистотата на атмосферния въздух.</w:t>
      </w:r>
    </w:p>
    <w:p w:rsidR="0000342B" w:rsidRPr="004A703F" w:rsidRDefault="0000342B" w:rsidP="006B5703">
      <w:pPr>
        <w:rPr>
          <w:b/>
          <w:bCs/>
          <w:sz w:val="24"/>
          <w:szCs w:val="24"/>
          <w:u w:val="single"/>
        </w:rPr>
      </w:pPr>
      <w:r w:rsidRPr="004A703F">
        <w:rPr>
          <w:b/>
          <w:bCs/>
          <w:sz w:val="24"/>
          <w:szCs w:val="24"/>
          <w:u w:val="single"/>
        </w:rPr>
        <w:t>Изменение на климата</w:t>
      </w:r>
      <w:bookmarkEnd w:id="2"/>
    </w:p>
    <w:p w:rsidR="0000342B" w:rsidRPr="006B5703" w:rsidRDefault="0000342B" w:rsidP="006B5703">
      <w:pPr>
        <w:ind w:right="1814"/>
        <w:jc w:val="both"/>
      </w:pPr>
      <w:r>
        <w:rPr>
          <w:noProof/>
          <w:lang w:eastAsia="bg-BG"/>
        </w:rPr>
        <w:pict>
          <v:rect id="Rectangle 2" o:spid="_x0000_s1028" style="position:absolute;left:0;text-align:left;margin-left:384pt;margin-top:6.95pt;width:111pt;height:153pt;z-index:251660288;visibility:visible" stroked="f" strokecolor="#c00000">
            <v:fill color2="#767676" rotate="t" focus="100%" type="gradient"/>
            <v:textbox>
              <w:txbxContent>
                <w:p w:rsidR="0000342B" w:rsidRPr="00645606" w:rsidRDefault="0000342B" w:rsidP="006B5703">
                  <w:pPr>
                    <w:tabs>
                      <w:tab w:val="num" w:pos="800"/>
                      <w:tab w:val="left" w:pos="993"/>
                    </w:tabs>
                    <w:spacing w:before="120" w:line="360" w:lineRule="auto"/>
                    <w:rPr>
                      <w:b/>
                      <w:bCs/>
                      <w:color w:val="3366FF"/>
                      <w:lang w:val="ru-RU"/>
                    </w:rPr>
                  </w:pPr>
                  <w:r w:rsidRPr="00834B12">
                    <w:rPr>
                      <w:b/>
                      <w:bCs/>
                      <w:color w:val="3366FF"/>
                    </w:rPr>
                    <w:t>Възстановена бе акредитацията на България за участие в международната търговия с емисии на парникови газове</w:t>
                  </w:r>
                  <w:r>
                    <w:rPr>
                      <w:b/>
                      <w:bCs/>
                      <w:color w:val="3366FF"/>
                    </w:rPr>
                    <w:t>.</w:t>
                  </w:r>
                </w:p>
              </w:txbxContent>
            </v:textbox>
          </v:rect>
        </w:pict>
      </w:r>
      <w:r w:rsidRPr="006B5703">
        <w:rPr>
          <w:b/>
          <w:bCs/>
        </w:rPr>
        <w:t xml:space="preserve">Възстановена беше акредитацията на България за участие в международната търговия с емисии на парникови газове, </w:t>
      </w:r>
      <w:r w:rsidRPr="006B5703">
        <w:t xml:space="preserve">което даде възможност на българските предприятия да търгуват квоти за емисии на парникови газове, а на държавата – да продава излишни предписани емисионни единици. </w:t>
      </w:r>
    </w:p>
    <w:p w:rsidR="0000342B" w:rsidRPr="0006129F" w:rsidRDefault="0000342B" w:rsidP="006B5703">
      <w:pPr>
        <w:ind w:right="1814"/>
        <w:jc w:val="both"/>
        <w:rPr>
          <w:lang w:val="ru-RU"/>
        </w:rPr>
      </w:pPr>
      <w:r w:rsidRPr="006B5703">
        <w:t xml:space="preserve">Разработена беше “Схема за зелени инвестиции” – сключени бяха две сделки за продажба на Предписани емисионни единици (ПЕЕ) с Република Австрия. В резултат се финансират 42 проекта, в рамките на които има общо 74 обекта. Това са основно детски градини и училища, които се санират за постигане на по-голяма енергийна ефективност. </w:t>
      </w:r>
    </w:p>
    <w:p w:rsidR="0000342B" w:rsidRPr="0006129F" w:rsidRDefault="0000342B" w:rsidP="006B5703">
      <w:pPr>
        <w:jc w:val="both"/>
        <w:rPr>
          <w:lang w:val="ru-RU"/>
        </w:rPr>
      </w:pPr>
    </w:p>
    <w:p w:rsidR="0000342B" w:rsidRPr="006B5703" w:rsidRDefault="0000342B" w:rsidP="006B5703">
      <w:pPr>
        <w:ind w:right="1814"/>
        <w:jc w:val="both"/>
      </w:pPr>
      <w:r>
        <w:rPr>
          <w:noProof/>
          <w:lang w:eastAsia="bg-BG"/>
        </w:rPr>
        <w:pict>
          <v:rect id="Rectangle 1" o:spid="_x0000_s1029" style="position:absolute;left:0;text-align:left;margin-left:385.5pt;margin-top:2.7pt;width:109.5pt;height:159.3pt;z-index:251661312;visibility:visible" stroked="f" strokecolor="#c00000">
            <v:fill color2="#767676" rotate="t" focus="100%" type="gradient"/>
            <v:textbox>
              <w:txbxContent>
                <w:p w:rsidR="0000342B" w:rsidRPr="00834B12" w:rsidRDefault="0000342B" w:rsidP="006B5703">
                  <w:pPr>
                    <w:tabs>
                      <w:tab w:val="num" w:pos="800"/>
                      <w:tab w:val="left" w:pos="993"/>
                    </w:tabs>
                    <w:spacing w:before="120" w:line="360" w:lineRule="auto"/>
                    <w:rPr>
                      <w:b/>
                      <w:bCs/>
                      <w:color w:val="3366FF"/>
                      <w:lang w:val="ru-RU"/>
                    </w:rPr>
                  </w:pPr>
                  <w:r w:rsidRPr="00834B12">
                    <w:rPr>
                      <w:b/>
                      <w:bCs/>
                      <w:color w:val="3366FF"/>
                    </w:rPr>
                    <w:t>Подновена беше дейността по механизма “съвместно изпълнение” на Протокола от Киото</w:t>
                  </w:r>
                  <w:r w:rsidRPr="00834B12">
                    <w:rPr>
                      <w:b/>
                      <w:bCs/>
                      <w:color w:val="3366FF"/>
                      <w:lang w:val="ru-RU"/>
                    </w:rPr>
                    <w:t>.</w:t>
                  </w:r>
                </w:p>
              </w:txbxContent>
            </v:textbox>
          </v:rect>
        </w:pict>
      </w:r>
      <w:r w:rsidRPr="006B5703">
        <w:rPr>
          <w:b/>
          <w:bCs/>
        </w:rPr>
        <w:t>Подновена беше дейността по механизма “съвместно изпълнение” на Протокола от Киото.</w:t>
      </w:r>
      <w:r w:rsidRPr="006B5703">
        <w:t xml:space="preserve"> </w:t>
      </w:r>
      <w:r w:rsidRPr="006B5703">
        <w:rPr>
          <w:b/>
          <w:bCs/>
        </w:rPr>
        <w:t>Одобрени бяха 8 проекта “съвместно изпълнение” и са подкрепени 4 проектни идеи.</w:t>
      </w:r>
      <w:r w:rsidRPr="006B5703">
        <w:t xml:space="preserve"> Прехвърлени бяха общо 4 766 400 единици редуцирани емисии по действащите проекти, което представлява намаления на емисиите на парникови газове в размер на 4 766 400 тона въглероден диоксид, постигнати на територията на България </w:t>
      </w:r>
    </w:p>
    <w:p w:rsidR="0000342B" w:rsidRPr="0006129F" w:rsidRDefault="0000342B" w:rsidP="006B5703">
      <w:pPr>
        <w:ind w:right="1814"/>
        <w:jc w:val="both"/>
        <w:rPr>
          <w:b/>
          <w:bCs/>
          <w:lang w:val="ru-RU"/>
        </w:rPr>
      </w:pPr>
      <w:r w:rsidRPr="006B5703">
        <w:rPr>
          <w:b/>
          <w:bCs/>
        </w:rPr>
        <w:t xml:space="preserve">Разпределени бяха безплатни квоти за нови участници през Втория период на Европейската схема за търговия с квоти за емисии на парникови газове (ЕСТЕ) до края на 2012 г. на общо 18 инсталации. По този начин те бяха подпомогнати при стартирането на своя бизнес. </w:t>
      </w:r>
    </w:p>
    <w:p w:rsidR="0000342B" w:rsidRPr="009D39AF" w:rsidRDefault="0000342B" w:rsidP="006B5703">
      <w:pPr>
        <w:jc w:val="both"/>
        <w:rPr>
          <w:b/>
          <w:bCs/>
        </w:rPr>
      </w:pPr>
    </w:p>
    <w:p w:rsidR="0000342B" w:rsidRPr="009D39AF" w:rsidRDefault="0000342B" w:rsidP="006B5703">
      <w:pPr>
        <w:jc w:val="both"/>
        <w:rPr>
          <w:b/>
          <w:bCs/>
          <w:sz w:val="24"/>
          <w:szCs w:val="24"/>
          <w:u w:val="single"/>
          <w:lang w:val="en-US"/>
        </w:rPr>
      </w:pPr>
      <w:bookmarkStart w:id="6" w:name="_Toc332972603"/>
      <w:r w:rsidRPr="004A703F">
        <w:rPr>
          <w:b/>
          <w:bCs/>
          <w:sz w:val="24"/>
          <w:szCs w:val="24"/>
          <w:u w:val="single"/>
        </w:rPr>
        <w:t>Устойчивото опазване, ползване и възстановяване на земите</w:t>
      </w:r>
      <w:bookmarkEnd w:id="6"/>
      <w:r w:rsidRPr="004A703F">
        <w:rPr>
          <w:b/>
          <w:bCs/>
          <w:sz w:val="24"/>
          <w:szCs w:val="24"/>
          <w:u w:val="single"/>
        </w:rPr>
        <w:t xml:space="preserve"> </w:t>
      </w:r>
    </w:p>
    <w:p w:rsidR="0000342B" w:rsidRPr="006B5703" w:rsidRDefault="0000342B" w:rsidP="006B5703">
      <w:pPr>
        <w:jc w:val="both"/>
      </w:pPr>
      <w:r w:rsidRPr="006B5703">
        <w:t>За устойчивото опазване, ползване и възстановяване на земите – едновременно с изграждането на нови съоръжения за обезвреждане/оползотворяване на отпадъци провеждаме мерки за закриване и рекултивация на стари депа и сметища, които не отговарят на изискванията на нормативната уредба.</w:t>
      </w:r>
    </w:p>
    <w:p w:rsidR="0000342B" w:rsidRPr="006B5703" w:rsidRDefault="0000342B" w:rsidP="00083BB0">
      <w:pPr>
        <w:numPr>
          <w:ilvl w:val="0"/>
          <w:numId w:val="4"/>
        </w:numPr>
        <w:jc w:val="both"/>
      </w:pPr>
      <w:r w:rsidRPr="006B5703">
        <w:rPr>
          <w:b/>
          <w:bCs/>
        </w:rPr>
        <w:t>Извършено беше закриване и рекултивация на 7 депа</w:t>
      </w:r>
      <w:r w:rsidRPr="006B5703">
        <w:t xml:space="preserve"> в общините Алфатар, Кайнарджа, Кресна, Бойчиновци, Сливо поле, Ситово и Вълчедръм, на обща стойност 1,715 млн. лв., като са рекултивирани общо 80 дка площ.</w:t>
      </w:r>
    </w:p>
    <w:p w:rsidR="0000342B" w:rsidRPr="006B5703" w:rsidRDefault="0000342B" w:rsidP="00083BB0">
      <w:pPr>
        <w:numPr>
          <w:ilvl w:val="0"/>
          <w:numId w:val="4"/>
        </w:numPr>
        <w:jc w:val="both"/>
      </w:pPr>
      <w:r w:rsidRPr="006B5703">
        <w:rPr>
          <w:b/>
          <w:bCs/>
        </w:rPr>
        <w:t>В процес на изпълнение</w:t>
      </w:r>
      <w:r w:rsidRPr="006B5703">
        <w:t xml:space="preserve"> </w:t>
      </w:r>
      <w:r w:rsidRPr="006B5703">
        <w:rPr>
          <w:b/>
          <w:bCs/>
        </w:rPr>
        <w:t>са проекти за закриване и рекултивация на 11 депа в общините:</w:t>
      </w:r>
      <w:r w:rsidRPr="006B5703">
        <w:t xml:space="preserve"> Столична (Долни Богров), Баните (Смолян), Якоруда, Долни Чифлик, Вършец, Венец, Разград, Калояново, Завет, Раковски и Кула на обща стойност 16,471 млн. лв. С реализацията на проектите ще бъдат закрити и рекултивирани общо 700,6 дка площ.</w:t>
      </w:r>
    </w:p>
    <w:p w:rsidR="0000342B" w:rsidRPr="006B5703" w:rsidRDefault="0000342B" w:rsidP="00083BB0">
      <w:pPr>
        <w:numPr>
          <w:ilvl w:val="0"/>
          <w:numId w:val="4"/>
        </w:numPr>
        <w:tabs>
          <w:tab w:val="num" w:pos="900"/>
        </w:tabs>
        <w:jc w:val="both"/>
      </w:pPr>
      <w:r w:rsidRPr="006B5703">
        <w:rPr>
          <w:b/>
          <w:bCs/>
        </w:rPr>
        <w:t>Съгласувани и одобрени за финансиране са проекти за рекултивация на 13 общини:</w:t>
      </w:r>
      <w:r w:rsidRPr="006B5703">
        <w:t xml:space="preserve"> Брезово, Самуил, Кубрат, Дулово, Каспичан, Цар Калоян, Столична (Долни Богров– II етап), Борово, Сухиндол, Хитрино, Костинброд, Елхово и Угърчин. При реализацията на тези проекти ще бъдат закрити и рекултивирани общо 871,736 дка площ.</w:t>
      </w:r>
    </w:p>
    <w:p w:rsidR="0000342B" w:rsidRPr="006B5703" w:rsidRDefault="0000342B" w:rsidP="00083BB0">
      <w:pPr>
        <w:numPr>
          <w:ilvl w:val="0"/>
          <w:numId w:val="4"/>
        </w:numPr>
        <w:tabs>
          <w:tab w:val="num" w:pos="900"/>
        </w:tabs>
        <w:jc w:val="both"/>
      </w:pPr>
      <w:r w:rsidRPr="006B5703">
        <w:rPr>
          <w:b/>
          <w:bCs/>
        </w:rPr>
        <w:t>В напреднал етап на оценка</w:t>
      </w:r>
      <w:r w:rsidRPr="006B5703">
        <w:t xml:space="preserve"> </w:t>
      </w:r>
      <w:r w:rsidRPr="006B5703">
        <w:rPr>
          <w:b/>
          <w:bCs/>
        </w:rPr>
        <w:t>са 9 проекта за закриване и рекултивация на депа с обща площ 127,153 дка на общините:</w:t>
      </w:r>
      <w:r w:rsidRPr="006B5703">
        <w:t xml:space="preserve"> Димитровград, Ахтопол, Китен, Чепеларе, Котел, Сливо поле, Тополовград, Лъки и Кнежа. Други 20 проекта на общини за закриване и рекултивация на депа са в предварителен етап на оценка.</w:t>
      </w:r>
    </w:p>
    <w:p w:rsidR="0000342B" w:rsidRPr="006B5703" w:rsidRDefault="0000342B" w:rsidP="00083BB0">
      <w:pPr>
        <w:numPr>
          <w:ilvl w:val="0"/>
          <w:numId w:val="4"/>
        </w:numPr>
        <w:tabs>
          <w:tab w:val="num" w:pos="900"/>
        </w:tabs>
        <w:jc w:val="both"/>
      </w:pPr>
      <w:r w:rsidRPr="006B5703">
        <w:t xml:space="preserve">Предстои сключването на договор за предоставяне на безвъзмездно финансиране в размер на над 90 млн. лв. от Оперативна програма „Околна среда 2007-2013 г.”, което да допълни средствата от националния бюджет. </w:t>
      </w:r>
    </w:p>
    <w:p w:rsidR="0000342B" w:rsidRPr="006B5703" w:rsidRDefault="0000342B" w:rsidP="006B5703">
      <w:pPr>
        <w:jc w:val="both"/>
      </w:pPr>
      <w:r w:rsidRPr="006B5703">
        <w:t xml:space="preserve">Финализирани са работните проекти за закриване и рекултивация на 14 броя рискови стари сметища и общински депа за неопасни отпадъци, разположени на територията на 8 общини – Лом, Берковица, Севлиево, Дряново, Русе, Иваново, Сливо поле и Созопол. </w:t>
      </w:r>
    </w:p>
    <w:p w:rsidR="0000342B" w:rsidRDefault="0000342B" w:rsidP="006B5703">
      <w:pPr>
        <w:jc w:val="both"/>
        <w:rPr>
          <w:b/>
          <w:bCs/>
          <w:sz w:val="24"/>
          <w:szCs w:val="24"/>
          <w:u w:val="single"/>
        </w:rPr>
      </w:pPr>
      <w:bookmarkStart w:id="7" w:name="_Toc332972604"/>
    </w:p>
    <w:p w:rsidR="0000342B" w:rsidRPr="004A703F" w:rsidRDefault="0000342B" w:rsidP="006B5703">
      <w:pPr>
        <w:jc w:val="both"/>
        <w:rPr>
          <w:b/>
          <w:bCs/>
          <w:sz w:val="24"/>
          <w:szCs w:val="24"/>
          <w:u w:val="single"/>
        </w:rPr>
      </w:pPr>
      <w:r w:rsidRPr="004A703F">
        <w:rPr>
          <w:b/>
          <w:bCs/>
          <w:sz w:val="24"/>
          <w:szCs w:val="24"/>
          <w:u w:val="single"/>
        </w:rPr>
        <w:t>Устойчиво управление на отпадъците</w:t>
      </w:r>
      <w:bookmarkEnd w:id="7"/>
    </w:p>
    <w:p w:rsidR="0000342B" w:rsidRPr="006B5703" w:rsidRDefault="0000342B" w:rsidP="006B5703">
      <w:pPr>
        <w:jc w:val="both"/>
      </w:pPr>
      <w:r w:rsidRPr="006B5703">
        <w:t>За подобряване и развитие на инфраструктурата за третиране на отпадъци (за изграждане на регионални системи за управление на отпадъците; за компостиращи съоръжения; за изграждане на съоръжения за сепариране на отпадъци от опаковки и смесени битови отпадъци; за площадки за разделно събрани отпадъци от домакинства; за съоръжения за третиране на отпадъци от строителство и разрушаване и за третиране на излезли от употреба гуми), с публични държавни средства, и от европейските фондове:</w:t>
      </w:r>
    </w:p>
    <w:p w:rsidR="0000342B" w:rsidRPr="006B5703" w:rsidRDefault="0000342B" w:rsidP="00083BB0">
      <w:pPr>
        <w:numPr>
          <w:ilvl w:val="0"/>
          <w:numId w:val="5"/>
        </w:numPr>
        <w:jc w:val="both"/>
      </w:pPr>
      <w:bookmarkStart w:id="8" w:name="_Toc331414844"/>
      <w:bookmarkStart w:id="9" w:name="_Toc331420799"/>
      <w:bookmarkStart w:id="10" w:name="_Toc331427519"/>
      <w:bookmarkStart w:id="11" w:name="_Toc331505048"/>
      <w:bookmarkStart w:id="12" w:name="_Toc331574426"/>
      <w:bookmarkStart w:id="13" w:name="_Toc331576738"/>
      <w:bookmarkStart w:id="14" w:name="_Toc332972605"/>
      <w:r w:rsidRPr="006B5703">
        <w:rPr>
          <w:b/>
          <w:bCs/>
        </w:rPr>
        <w:t>Беше финансирано изграждането</w:t>
      </w:r>
      <w:r w:rsidRPr="006B5703">
        <w:t xml:space="preserve"> </w:t>
      </w:r>
      <w:r w:rsidRPr="006B5703">
        <w:rPr>
          <w:b/>
          <w:bCs/>
        </w:rPr>
        <w:t>на системи от съоръжения за третиране на отпадъци (депа)</w:t>
      </w:r>
      <w:r w:rsidRPr="006B5703">
        <w:t xml:space="preserve"> </w:t>
      </w:r>
      <w:r w:rsidRPr="006B5703">
        <w:rPr>
          <w:b/>
          <w:bCs/>
        </w:rPr>
        <w:t>за обекти в общините Созопол, Доспат и Мадан</w:t>
      </w:r>
      <w:r w:rsidRPr="006B5703">
        <w:t xml:space="preserve"> (с обслужвано население – 379 145 жители от 11 общини). </w:t>
      </w:r>
      <w:r w:rsidRPr="006B5703">
        <w:rPr>
          <w:b/>
          <w:bCs/>
        </w:rPr>
        <w:t>Финансирани бяха приоритетни екологични обекти,</w:t>
      </w:r>
      <w:r w:rsidRPr="006B5703">
        <w:t xml:space="preserve"> в размер на 60 млн. лв., за 2010-2011 г., по-големите от които са: Регионално депо за неопасни битови отпадъци, гр. Шумен; Реконструкция и модернизация на Регионално депо – Смолян; Изграждане на клетка към Регионално депо за твърди битови отпадъци на общини Враца и Мездра; Реконструкция, модернизация и разширение на депо за неопасни отпадъци – община Гоце Делчев; Разширение на депо за неопасни отпадъци на общините Доспат, Девин, Борино и Сатовча (с обслужвано население – 507223 ж. от 22 общини)</w:t>
      </w:r>
      <w:bookmarkEnd w:id="8"/>
      <w:bookmarkEnd w:id="9"/>
      <w:bookmarkEnd w:id="10"/>
      <w:r w:rsidRPr="006B5703">
        <w:t>.</w:t>
      </w:r>
      <w:bookmarkEnd w:id="11"/>
      <w:bookmarkEnd w:id="12"/>
      <w:bookmarkEnd w:id="13"/>
      <w:bookmarkEnd w:id="14"/>
    </w:p>
    <w:p w:rsidR="0000342B" w:rsidRPr="006B5703" w:rsidRDefault="0000342B" w:rsidP="00083BB0">
      <w:pPr>
        <w:numPr>
          <w:ilvl w:val="0"/>
          <w:numId w:val="5"/>
        </w:numPr>
        <w:tabs>
          <w:tab w:val="num" w:pos="900"/>
        </w:tabs>
        <w:jc w:val="both"/>
      </w:pPr>
      <w:r w:rsidRPr="006B5703">
        <w:rPr>
          <w:b/>
          <w:bCs/>
        </w:rPr>
        <w:t>Въведена беше в експлоатация сепарираща инсталация за битови отпадъци в град Монтана, която обслужва Регионалното депо за битови отпадъци – Монтана</w:t>
      </w:r>
      <w:r w:rsidRPr="006B5703">
        <w:t xml:space="preserve"> (с капацитет около 70 000 тона годишно). Чрез линията за приемане и сепариране на твърди битови отпадъци се извършва сортиране и отделяне на всички подлежащи на рециклиране отпадъци от обслужваните от Регионалното депо 12 общини (Монтана, Берковица, Георги Дамяново, Чипровци, Вършец, Бойчиновци, Вълчедръм, Якимово, Лом, Брусарци, Медковец, Криводол) с обслужвано население - 201 308 жители.</w:t>
      </w:r>
    </w:p>
    <w:p w:rsidR="0000342B" w:rsidRPr="006B5703" w:rsidRDefault="0000342B" w:rsidP="00083BB0">
      <w:pPr>
        <w:numPr>
          <w:ilvl w:val="0"/>
          <w:numId w:val="6"/>
        </w:numPr>
        <w:tabs>
          <w:tab w:val="num" w:pos="900"/>
        </w:tabs>
        <w:jc w:val="both"/>
        <w:rPr>
          <w:b/>
          <w:bCs/>
        </w:rPr>
      </w:pPr>
      <w:r w:rsidRPr="006B5703">
        <w:rPr>
          <w:b/>
          <w:bCs/>
        </w:rPr>
        <w:t xml:space="preserve">В изпълнение са  проекти </w:t>
      </w:r>
      <w:r w:rsidRPr="006B5703">
        <w:t>за модерни регионални депа и инсталации за оползотворяване на битови отпадъци – Ботевград, Асеновград, Кърджали, Перник, Видин, Бургас, Разлог, Луковит, Столична община, Никопол, Самоков, Габрово, Аксаково (Варна), Кърджали. С изпълнението на тези проекти ще бъдат обслужени над 700 населени места. Предстои подписване на договор за строителство на регионално съоръжение за битови отпадъци на регион Стара Загора. В оценка са 8 проекта – Бяла, Велико Търново, Добрич, Малко Търново, Панагюрище, Плевен, Ямбол и Хасково.</w:t>
      </w:r>
      <w:r w:rsidRPr="006B5703">
        <w:rPr>
          <w:b/>
          <w:bCs/>
        </w:rPr>
        <w:t xml:space="preserve"> </w:t>
      </w:r>
    </w:p>
    <w:p w:rsidR="0000342B" w:rsidRPr="006B5703" w:rsidRDefault="0000342B" w:rsidP="006B5703">
      <w:pPr>
        <w:jc w:val="both"/>
      </w:pPr>
      <w:r w:rsidRPr="006B5703">
        <w:rPr>
          <w:b/>
          <w:bCs/>
        </w:rPr>
        <w:t xml:space="preserve">През м. юли 2012 г. беше приет нов Закон за управление на отпадъците, </w:t>
      </w:r>
      <w:r w:rsidRPr="006B5703">
        <w:t>с който се въвеждат нови изисквания за управление на отпадъците и се повишава значението на дейностите по рециклиране и оползотворяване на отпадъците чрез насочване на усилията към създаване на „рециклиращо общество”; въвежда се йерархия на отпадъците насърчаваща дейностите по разделно събиране и повторна употреба, рециклиране и оползотворяване.</w:t>
      </w:r>
    </w:p>
    <w:p w:rsidR="0000342B" w:rsidRPr="006B5703" w:rsidRDefault="0000342B" w:rsidP="006B5703">
      <w:pPr>
        <w:jc w:val="both"/>
      </w:pPr>
      <w:r w:rsidRPr="006B5703">
        <w:t>За осигуряване на поетапно намаляване на количеството на биоразградимите битови отпадъци, подлежащи на депониране за периода до 2020 г.(в три последователни етапа) е утвърден Национален стратегически план за поетапно намаляване на количествата на биоразградимите отпадъци, предназначени за депониране за периода 2010 – 2020 г.</w:t>
      </w:r>
    </w:p>
    <w:p w:rsidR="0000342B" w:rsidRPr="006B5703" w:rsidRDefault="0000342B" w:rsidP="006B5703">
      <w:pPr>
        <w:jc w:val="both"/>
      </w:pPr>
      <w:r w:rsidRPr="006B5703">
        <w:t>За постигане на поставените високи цели за рециклиране на отпадъците от строителство и разрушаване от почти 0 % през 2010  г. до 70 % до 2020 г., и за ограничаване на вредните въздействия на генерираните строителни отпадъци е приет Национален стратегически план за управление на отпадъците от строителство и разрушаване на територията на Р България за периода 2011 – 2020 г. и е изготвен проект на Наредба и ръководство за управление на отпадъците от строителство и разрушаване.</w:t>
      </w:r>
    </w:p>
    <w:p w:rsidR="0000342B" w:rsidRPr="006B5703" w:rsidRDefault="0000342B" w:rsidP="006B5703">
      <w:pPr>
        <w:jc w:val="both"/>
      </w:pPr>
      <w:r w:rsidRPr="006B5703">
        <w:t>Въведена е адекватна наказателна политика и превенция на кражбите на черни и цветни метали.</w:t>
      </w:r>
    </w:p>
    <w:p w:rsidR="0000342B" w:rsidRPr="004A703F" w:rsidRDefault="0000342B" w:rsidP="006B5703">
      <w:pPr>
        <w:jc w:val="both"/>
        <w:rPr>
          <w:b/>
          <w:bCs/>
          <w:sz w:val="24"/>
          <w:szCs w:val="24"/>
          <w:u w:val="single"/>
        </w:rPr>
      </w:pPr>
      <w:bookmarkStart w:id="15" w:name="_Toc332972606"/>
      <w:r w:rsidRPr="004A703F">
        <w:rPr>
          <w:b/>
          <w:bCs/>
          <w:sz w:val="24"/>
          <w:szCs w:val="24"/>
          <w:u w:val="single"/>
        </w:rPr>
        <w:t>Предотвратяване и намаляване на шума</w:t>
      </w:r>
      <w:bookmarkEnd w:id="15"/>
      <w:r w:rsidRPr="004A703F">
        <w:rPr>
          <w:b/>
          <w:bCs/>
          <w:sz w:val="24"/>
          <w:szCs w:val="24"/>
          <w:u w:val="single"/>
        </w:rPr>
        <w:t xml:space="preserve"> </w:t>
      </w:r>
    </w:p>
    <w:p w:rsidR="0000342B" w:rsidRPr="006B5703" w:rsidRDefault="0000342B" w:rsidP="006B5703">
      <w:pPr>
        <w:jc w:val="both"/>
        <w:rPr>
          <w:b/>
          <w:bCs/>
        </w:rPr>
      </w:pPr>
      <w:r w:rsidRPr="006B5703">
        <w:rPr>
          <w:b/>
          <w:bCs/>
        </w:rPr>
        <w:t>През 2009 г. бяха одобрени стратегическите карти за шум за агломерациите с население над 250 000 жители</w:t>
      </w:r>
      <w:r w:rsidRPr="006B5703">
        <w:t xml:space="preserve"> – София, Пловдив и Варна и за 89 км от основните пътища в България. През 2010 г. за същите обекти бяха разработени и одобрени плановете за действие за предотвратяване и намаляване на шума в околната среда, като понастоящем тече изпълнение на включените в тях мерки. </w:t>
      </w:r>
    </w:p>
    <w:p w:rsidR="0000342B" w:rsidRPr="006B5703" w:rsidRDefault="0000342B" w:rsidP="006B5703">
      <w:pPr>
        <w:jc w:val="both"/>
      </w:pPr>
      <w:r w:rsidRPr="006B5703">
        <w:t xml:space="preserve">Към момента тече срока за разработване на </w:t>
      </w:r>
      <w:r w:rsidRPr="006B5703">
        <w:rPr>
          <w:b/>
          <w:bCs/>
        </w:rPr>
        <w:t xml:space="preserve">стратегическите карти за шум за агломерациите с население над 100 000 жители. </w:t>
      </w:r>
      <w:r w:rsidRPr="006B5703">
        <w:t>Одобрени са картите на агломерации – Бургас и Русе. Предстои одобрение на картата на община Плевен, а Община Стара Загора е в процедура за избор на изпълнител. Разработват се картите за 902 км основни пътища.</w:t>
      </w:r>
    </w:p>
    <w:p w:rsidR="0000342B" w:rsidRPr="004A703F" w:rsidRDefault="0000342B" w:rsidP="006B5703">
      <w:pPr>
        <w:jc w:val="both"/>
        <w:rPr>
          <w:b/>
          <w:bCs/>
          <w:sz w:val="24"/>
          <w:szCs w:val="24"/>
          <w:u w:val="single"/>
        </w:rPr>
      </w:pPr>
      <w:r w:rsidRPr="004A703F">
        <w:rPr>
          <w:b/>
          <w:bCs/>
          <w:sz w:val="24"/>
          <w:szCs w:val="24"/>
          <w:u w:val="single"/>
        </w:rPr>
        <w:t>Превантивна и контролна дейност</w:t>
      </w:r>
    </w:p>
    <w:p w:rsidR="0000342B" w:rsidRPr="006B5703" w:rsidRDefault="0000342B" w:rsidP="006B5703">
      <w:pPr>
        <w:jc w:val="both"/>
        <w:rPr>
          <w:b/>
          <w:bCs/>
        </w:rPr>
      </w:pPr>
      <w:r w:rsidRPr="006B5703">
        <w:rPr>
          <w:b/>
          <w:bCs/>
        </w:rPr>
        <w:t>Специално внимание се отделя за активизиране на превантивния и последващ контрол,  с цел спазване на екологичното законодателство.</w:t>
      </w:r>
    </w:p>
    <w:p w:rsidR="0000342B" w:rsidRPr="006B5703" w:rsidRDefault="0000342B" w:rsidP="006B5703">
      <w:pPr>
        <w:jc w:val="both"/>
      </w:pPr>
      <w:r w:rsidRPr="006B5703">
        <w:rPr>
          <w:b/>
          <w:bCs/>
        </w:rPr>
        <w:t>През периода 2009 – 2012 г.</w:t>
      </w:r>
      <w:r w:rsidRPr="006B5703">
        <w:t>, от страна на Министерството на околната среда и водите и неговите регионални структури, са проведени общо 4 904 процедури по оценка на въздействието върху околната среда и 2 010 процедури по извършване на екологична оценка, с което е постигнато съобразяване на нормативните изисквания по околна среда на най-ранния етап на инвестиционния процес.</w:t>
      </w:r>
    </w:p>
    <w:p w:rsidR="0000342B" w:rsidRPr="006B5703" w:rsidRDefault="0000342B" w:rsidP="006B5703">
      <w:pPr>
        <w:jc w:val="both"/>
      </w:pPr>
      <w:r w:rsidRPr="006B5703">
        <w:t xml:space="preserve">Извършени са проверки на 47 593 обекта и са дадени 27 450 броя предписания за отстраняване на констатирани нарушения. За констатирани нарушения на екологичното законодателство са съставени 3 087 броя акта и са издадени 2 837 наказателни постановления, на обща стойност 5,8 млн. лв. За констатирано замърсяване на околната среда над допустимите норми през отчетния период са наложени 870 санкции. Постъпленията са в размер на 5 млн лв., като 80 % от тази сума е преведена на общините, на чиято територия се намира обекта-замърсител. Въведена е и практиката да се уведомяват, и канят за присъствие на проверките и жалбоподателите. В Министерството на околната среда и водите, на обявеният  “Зелен телефон” за приемане на сигнали за замърсяване на околната среда и по електронна поща са приети, анализирани и обработени 356 бр. сигнали. </w:t>
      </w:r>
    </w:p>
    <w:p w:rsidR="0000342B" w:rsidRPr="006B5703" w:rsidRDefault="0000342B" w:rsidP="006B5703">
      <w:pPr>
        <w:rPr>
          <w:b/>
          <w:bCs/>
        </w:rPr>
      </w:pPr>
    </w:p>
    <w:p w:rsidR="0000342B" w:rsidRPr="0006129F" w:rsidRDefault="0000342B">
      <w:pPr>
        <w:rPr>
          <w:lang w:val="ru-RU"/>
        </w:rPr>
      </w:pPr>
    </w:p>
    <w:sectPr w:rsidR="0000342B" w:rsidRPr="0006129F" w:rsidSect="006B5703">
      <w:footerReference w:type="default" r:id="rId7"/>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42B" w:rsidRDefault="0000342B">
      <w:r>
        <w:separator/>
      </w:r>
    </w:p>
  </w:endnote>
  <w:endnote w:type="continuationSeparator" w:id="0">
    <w:p w:rsidR="0000342B" w:rsidRDefault="00003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2B" w:rsidRDefault="0000342B" w:rsidP="00D5733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0342B" w:rsidRDefault="0000342B" w:rsidP="00083BB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42B" w:rsidRDefault="0000342B">
      <w:r>
        <w:separator/>
      </w:r>
    </w:p>
  </w:footnote>
  <w:footnote w:type="continuationSeparator" w:id="0">
    <w:p w:rsidR="0000342B" w:rsidRDefault="00003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261"/>
    <w:multiLevelType w:val="hybridMultilevel"/>
    <w:tmpl w:val="779282EC"/>
    <w:lvl w:ilvl="0" w:tplc="9C305EB0">
      <w:numFmt w:val="bullet"/>
      <w:lvlText w:val="-"/>
      <w:lvlJc w:val="left"/>
      <w:pPr>
        <w:tabs>
          <w:tab w:val="num" w:pos="360"/>
        </w:tabs>
        <w:ind w:left="360" w:hanging="360"/>
      </w:pPr>
      <w:rPr>
        <w:rFonts w:ascii="Times New Roman" w:eastAsia="Times New Roman" w:hAnsi="Times New Roman" w:hint="default"/>
      </w:rPr>
    </w:lvl>
    <w:lvl w:ilvl="1" w:tplc="FD18070E">
      <w:start w:val="1"/>
      <w:numFmt w:val="bullet"/>
      <w:lvlText w:val=""/>
      <w:lvlJc w:val="left"/>
      <w:pPr>
        <w:tabs>
          <w:tab w:val="num" w:pos="732"/>
        </w:tabs>
        <w:ind w:left="732" w:hanging="360"/>
      </w:pPr>
      <w:rPr>
        <w:rFonts w:ascii="Symbol" w:hAnsi="Symbol" w:hint="default"/>
        <w:color w:val="auto"/>
      </w:rPr>
    </w:lvl>
    <w:lvl w:ilvl="2" w:tplc="0402001B">
      <w:start w:val="1"/>
      <w:numFmt w:val="lowerRoman"/>
      <w:lvlText w:val="%3."/>
      <w:lvlJc w:val="right"/>
      <w:pPr>
        <w:tabs>
          <w:tab w:val="num" w:pos="1452"/>
        </w:tabs>
        <w:ind w:left="1452" w:hanging="180"/>
      </w:pPr>
    </w:lvl>
    <w:lvl w:ilvl="3" w:tplc="0402000F">
      <w:start w:val="1"/>
      <w:numFmt w:val="decimal"/>
      <w:lvlText w:val="%4."/>
      <w:lvlJc w:val="left"/>
      <w:pPr>
        <w:tabs>
          <w:tab w:val="num" w:pos="2172"/>
        </w:tabs>
        <w:ind w:left="2172" w:hanging="360"/>
      </w:pPr>
    </w:lvl>
    <w:lvl w:ilvl="4" w:tplc="04020019">
      <w:start w:val="1"/>
      <w:numFmt w:val="lowerLetter"/>
      <w:lvlText w:val="%5."/>
      <w:lvlJc w:val="left"/>
      <w:pPr>
        <w:tabs>
          <w:tab w:val="num" w:pos="2892"/>
        </w:tabs>
        <w:ind w:left="2892" w:hanging="360"/>
      </w:pPr>
    </w:lvl>
    <w:lvl w:ilvl="5" w:tplc="0402001B">
      <w:start w:val="1"/>
      <w:numFmt w:val="lowerRoman"/>
      <w:lvlText w:val="%6."/>
      <w:lvlJc w:val="right"/>
      <w:pPr>
        <w:tabs>
          <w:tab w:val="num" w:pos="3612"/>
        </w:tabs>
        <w:ind w:left="3612" w:hanging="180"/>
      </w:pPr>
    </w:lvl>
    <w:lvl w:ilvl="6" w:tplc="0402000F">
      <w:start w:val="1"/>
      <w:numFmt w:val="decimal"/>
      <w:lvlText w:val="%7."/>
      <w:lvlJc w:val="left"/>
      <w:pPr>
        <w:tabs>
          <w:tab w:val="num" w:pos="4332"/>
        </w:tabs>
        <w:ind w:left="4332" w:hanging="360"/>
      </w:pPr>
    </w:lvl>
    <w:lvl w:ilvl="7" w:tplc="04020019">
      <w:start w:val="1"/>
      <w:numFmt w:val="lowerLetter"/>
      <w:lvlText w:val="%8."/>
      <w:lvlJc w:val="left"/>
      <w:pPr>
        <w:tabs>
          <w:tab w:val="num" w:pos="5052"/>
        </w:tabs>
        <w:ind w:left="5052" w:hanging="360"/>
      </w:pPr>
    </w:lvl>
    <w:lvl w:ilvl="8" w:tplc="0402001B">
      <w:start w:val="1"/>
      <w:numFmt w:val="lowerRoman"/>
      <w:lvlText w:val="%9."/>
      <w:lvlJc w:val="right"/>
      <w:pPr>
        <w:tabs>
          <w:tab w:val="num" w:pos="5772"/>
        </w:tabs>
        <w:ind w:left="5772" w:hanging="180"/>
      </w:pPr>
    </w:lvl>
  </w:abstractNum>
  <w:abstractNum w:abstractNumId="1">
    <w:nsid w:val="0F6A0720"/>
    <w:multiLevelType w:val="hybridMultilevel"/>
    <w:tmpl w:val="FF8C3D4A"/>
    <w:lvl w:ilvl="0" w:tplc="552E465E">
      <w:start w:val="1"/>
      <w:numFmt w:val="decimal"/>
      <w:lvlText w:val="%1."/>
      <w:lvlJc w:val="left"/>
      <w:pPr>
        <w:tabs>
          <w:tab w:val="num" w:pos="360"/>
        </w:tabs>
        <w:ind w:left="360" w:hanging="360"/>
      </w:pPr>
      <w:rPr>
        <w:rFonts w:hint="default"/>
      </w:rPr>
    </w:lvl>
    <w:lvl w:ilvl="1" w:tplc="FD18070E">
      <w:start w:val="1"/>
      <w:numFmt w:val="bullet"/>
      <w:lvlText w:val=""/>
      <w:lvlJc w:val="left"/>
      <w:pPr>
        <w:tabs>
          <w:tab w:val="num" w:pos="732"/>
        </w:tabs>
        <w:ind w:left="732" w:hanging="360"/>
      </w:pPr>
      <w:rPr>
        <w:rFonts w:ascii="Symbol" w:hAnsi="Symbol" w:cs="Symbol" w:hint="default"/>
        <w:color w:val="auto"/>
      </w:rPr>
    </w:lvl>
    <w:lvl w:ilvl="2" w:tplc="0402001B">
      <w:start w:val="1"/>
      <w:numFmt w:val="lowerRoman"/>
      <w:lvlText w:val="%3."/>
      <w:lvlJc w:val="right"/>
      <w:pPr>
        <w:tabs>
          <w:tab w:val="num" w:pos="1452"/>
        </w:tabs>
        <w:ind w:left="1452" w:hanging="180"/>
      </w:pPr>
    </w:lvl>
    <w:lvl w:ilvl="3" w:tplc="0402000F">
      <w:start w:val="1"/>
      <w:numFmt w:val="decimal"/>
      <w:lvlText w:val="%4."/>
      <w:lvlJc w:val="left"/>
      <w:pPr>
        <w:tabs>
          <w:tab w:val="num" w:pos="2172"/>
        </w:tabs>
        <w:ind w:left="2172" w:hanging="360"/>
      </w:pPr>
    </w:lvl>
    <w:lvl w:ilvl="4" w:tplc="04020019">
      <w:start w:val="1"/>
      <w:numFmt w:val="lowerLetter"/>
      <w:lvlText w:val="%5."/>
      <w:lvlJc w:val="left"/>
      <w:pPr>
        <w:tabs>
          <w:tab w:val="num" w:pos="2892"/>
        </w:tabs>
        <w:ind w:left="2892" w:hanging="360"/>
      </w:pPr>
    </w:lvl>
    <w:lvl w:ilvl="5" w:tplc="0402001B">
      <w:start w:val="1"/>
      <w:numFmt w:val="lowerRoman"/>
      <w:lvlText w:val="%6."/>
      <w:lvlJc w:val="right"/>
      <w:pPr>
        <w:tabs>
          <w:tab w:val="num" w:pos="3612"/>
        </w:tabs>
        <w:ind w:left="3612" w:hanging="180"/>
      </w:pPr>
    </w:lvl>
    <w:lvl w:ilvl="6" w:tplc="0402000F">
      <w:start w:val="1"/>
      <w:numFmt w:val="decimal"/>
      <w:lvlText w:val="%7."/>
      <w:lvlJc w:val="left"/>
      <w:pPr>
        <w:tabs>
          <w:tab w:val="num" w:pos="4332"/>
        </w:tabs>
        <w:ind w:left="4332" w:hanging="360"/>
      </w:pPr>
    </w:lvl>
    <w:lvl w:ilvl="7" w:tplc="04020019">
      <w:start w:val="1"/>
      <w:numFmt w:val="lowerLetter"/>
      <w:lvlText w:val="%8."/>
      <w:lvlJc w:val="left"/>
      <w:pPr>
        <w:tabs>
          <w:tab w:val="num" w:pos="5052"/>
        </w:tabs>
        <w:ind w:left="5052" w:hanging="360"/>
      </w:pPr>
    </w:lvl>
    <w:lvl w:ilvl="8" w:tplc="0402001B">
      <w:start w:val="1"/>
      <w:numFmt w:val="lowerRoman"/>
      <w:lvlText w:val="%9."/>
      <w:lvlJc w:val="right"/>
      <w:pPr>
        <w:tabs>
          <w:tab w:val="num" w:pos="5772"/>
        </w:tabs>
        <w:ind w:left="5772" w:hanging="180"/>
      </w:pPr>
    </w:lvl>
  </w:abstractNum>
  <w:abstractNum w:abstractNumId="2">
    <w:nsid w:val="32F34212"/>
    <w:multiLevelType w:val="hybridMultilevel"/>
    <w:tmpl w:val="F02A22F0"/>
    <w:lvl w:ilvl="0" w:tplc="FD18070E">
      <w:start w:val="1"/>
      <w:numFmt w:val="bullet"/>
      <w:lvlText w:val=""/>
      <w:lvlJc w:val="left"/>
      <w:pPr>
        <w:tabs>
          <w:tab w:val="num" w:pos="360"/>
        </w:tabs>
        <w:ind w:left="360" w:hanging="360"/>
      </w:pPr>
      <w:rPr>
        <w:rFonts w:ascii="Symbol" w:hAnsi="Symbol" w:cs="Symbol" w:hint="default"/>
        <w:color w:val="auto"/>
      </w:rPr>
    </w:lvl>
    <w:lvl w:ilvl="1" w:tplc="04020003">
      <w:start w:val="1"/>
      <w:numFmt w:val="bullet"/>
      <w:lvlText w:val="o"/>
      <w:lvlJc w:val="left"/>
      <w:pPr>
        <w:tabs>
          <w:tab w:val="num" w:pos="360"/>
        </w:tabs>
        <w:ind w:left="360" w:hanging="360"/>
      </w:pPr>
      <w:rPr>
        <w:rFonts w:ascii="Courier New" w:hAnsi="Courier New" w:cs="Courier New" w:hint="default"/>
      </w:rPr>
    </w:lvl>
    <w:lvl w:ilvl="2" w:tplc="04020005">
      <w:start w:val="1"/>
      <w:numFmt w:val="bullet"/>
      <w:lvlText w:val=""/>
      <w:lvlJc w:val="left"/>
      <w:pPr>
        <w:tabs>
          <w:tab w:val="num" w:pos="1080"/>
        </w:tabs>
        <w:ind w:left="1080" w:hanging="360"/>
      </w:pPr>
      <w:rPr>
        <w:rFonts w:ascii="Wingdings" w:hAnsi="Wingdings" w:cs="Wingdings" w:hint="default"/>
      </w:rPr>
    </w:lvl>
    <w:lvl w:ilvl="3" w:tplc="04020001">
      <w:start w:val="1"/>
      <w:numFmt w:val="bullet"/>
      <w:lvlText w:val=""/>
      <w:lvlJc w:val="left"/>
      <w:pPr>
        <w:tabs>
          <w:tab w:val="num" w:pos="1800"/>
        </w:tabs>
        <w:ind w:left="1800" w:hanging="360"/>
      </w:pPr>
      <w:rPr>
        <w:rFonts w:ascii="Symbol" w:hAnsi="Symbol" w:cs="Symbol" w:hint="default"/>
      </w:rPr>
    </w:lvl>
    <w:lvl w:ilvl="4" w:tplc="04020003">
      <w:start w:val="1"/>
      <w:numFmt w:val="bullet"/>
      <w:lvlText w:val="o"/>
      <w:lvlJc w:val="left"/>
      <w:pPr>
        <w:tabs>
          <w:tab w:val="num" w:pos="2520"/>
        </w:tabs>
        <w:ind w:left="2520" w:hanging="360"/>
      </w:pPr>
      <w:rPr>
        <w:rFonts w:ascii="Courier New" w:hAnsi="Courier New" w:cs="Courier New" w:hint="default"/>
      </w:rPr>
    </w:lvl>
    <w:lvl w:ilvl="5" w:tplc="04020005">
      <w:start w:val="1"/>
      <w:numFmt w:val="bullet"/>
      <w:lvlText w:val=""/>
      <w:lvlJc w:val="left"/>
      <w:pPr>
        <w:tabs>
          <w:tab w:val="num" w:pos="3240"/>
        </w:tabs>
        <w:ind w:left="3240" w:hanging="360"/>
      </w:pPr>
      <w:rPr>
        <w:rFonts w:ascii="Wingdings" w:hAnsi="Wingdings" w:cs="Wingdings" w:hint="default"/>
      </w:rPr>
    </w:lvl>
    <w:lvl w:ilvl="6" w:tplc="04020001">
      <w:start w:val="1"/>
      <w:numFmt w:val="bullet"/>
      <w:lvlText w:val=""/>
      <w:lvlJc w:val="left"/>
      <w:pPr>
        <w:tabs>
          <w:tab w:val="num" w:pos="3960"/>
        </w:tabs>
        <w:ind w:left="3960" w:hanging="360"/>
      </w:pPr>
      <w:rPr>
        <w:rFonts w:ascii="Symbol" w:hAnsi="Symbol" w:cs="Symbol" w:hint="default"/>
      </w:rPr>
    </w:lvl>
    <w:lvl w:ilvl="7" w:tplc="04020003">
      <w:start w:val="1"/>
      <w:numFmt w:val="bullet"/>
      <w:lvlText w:val="o"/>
      <w:lvlJc w:val="left"/>
      <w:pPr>
        <w:tabs>
          <w:tab w:val="num" w:pos="4680"/>
        </w:tabs>
        <w:ind w:left="4680" w:hanging="360"/>
      </w:pPr>
      <w:rPr>
        <w:rFonts w:ascii="Courier New" w:hAnsi="Courier New" w:cs="Courier New" w:hint="default"/>
      </w:rPr>
    </w:lvl>
    <w:lvl w:ilvl="8" w:tplc="04020005">
      <w:start w:val="1"/>
      <w:numFmt w:val="bullet"/>
      <w:lvlText w:val=""/>
      <w:lvlJc w:val="left"/>
      <w:pPr>
        <w:tabs>
          <w:tab w:val="num" w:pos="5400"/>
        </w:tabs>
        <w:ind w:left="5400" w:hanging="360"/>
      </w:pPr>
      <w:rPr>
        <w:rFonts w:ascii="Wingdings" w:hAnsi="Wingdings" w:cs="Wingdings" w:hint="default"/>
      </w:rPr>
    </w:lvl>
  </w:abstractNum>
  <w:abstractNum w:abstractNumId="3">
    <w:nsid w:val="35E548DC"/>
    <w:multiLevelType w:val="hybridMultilevel"/>
    <w:tmpl w:val="DE5860A4"/>
    <w:lvl w:ilvl="0" w:tplc="9C305EB0">
      <w:numFmt w:val="bullet"/>
      <w:lvlText w:val="-"/>
      <w:lvlJc w:val="left"/>
      <w:pPr>
        <w:tabs>
          <w:tab w:val="num" w:pos="360"/>
        </w:tabs>
        <w:ind w:left="360" w:hanging="360"/>
      </w:pPr>
      <w:rPr>
        <w:rFonts w:ascii="Times New Roman" w:eastAsia="Times New Roman" w:hAnsi="Times New Roman" w:hint="default"/>
      </w:rPr>
    </w:lvl>
    <w:lvl w:ilvl="1" w:tplc="FD18070E">
      <w:start w:val="1"/>
      <w:numFmt w:val="bullet"/>
      <w:lvlText w:val=""/>
      <w:lvlJc w:val="left"/>
      <w:pPr>
        <w:tabs>
          <w:tab w:val="num" w:pos="732"/>
        </w:tabs>
        <w:ind w:left="732" w:hanging="360"/>
      </w:pPr>
      <w:rPr>
        <w:rFonts w:ascii="Symbol" w:hAnsi="Symbol" w:cs="Symbol" w:hint="default"/>
        <w:color w:val="auto"/>
      </w:rPr>
    </w:lvl>
    <w:lvl w:ilvl="2" w:tplc="0402001B">
      <w:start w:val="1"/>
      <w:numFmt w:val="lowerRoman"/>
      <w:lvlText w:val="%3."/>
      <w:lvlJc w:val="right"/>
      <w:pPr>
        <w:tabs>
          <w:tab w:val="num" w:pos="1452"/>
        </w:tabs>
        <w:ind w:left="1452" w:hanging="180"/>
      </w:pPr>
    </w:lvl>
    <w:lvl w:ilvl="3" w:tplc="0402000F">
      <w:start w:val="1"/>
      <w:numFmt w:val="decimal"/>
      <w:lvlText w:val="%4."/>
      <w:lvlJc w:val="left"/>
      <w:pPr>
        <w:tabs>
          <w:tab w:val="num" w:pos="2172"/>
        </w:tabs>
        <w:ind w:left="2172" w:hanging="360"/>
      </w:pPr>
    </w:lvl>
    <w:lvl w:ilvl="4" w:tplc="04020019">
      <w:start w:val="1"/>
      <w:numFmt w:val="lowerLetter"/>
      <w:lvlText w:val="%5."/>
      <w:lvlJc w:val="left"/>
      <w:pPr>
        <w:tabs>
          <w:tab w:val="num" w:pos="2892"/>
        </w:tabs>
        <w:ind w:left="2892" w:hanging="360"/>
      </w:pPr>
    </w:lvl>
    <w:lvl w:ilvl="5" w:tplc="0402001B">
      <w:start w:val="1"/>
      <w:numFmt w:val="lowerRoman"/>
      <w:lvlText w:val="%6."/>
      <w:lvlJc w:val="right"/>
      <w:pPr>
        <w:tabs>
          <w:tab w:val="num" w:pos="3612"/>
        </w:tabs>
        <w:ind w:left="3612" w:hanging="180"/>
      </w:pPr>
    </w:lvl>
    <w:lvl w:ilvl="6" w:tplc="0402000F">
      <w:start w:val="1"/>
      <w:numFmt w:val="decimal"/>
      <w:lvlText w:val="%7."/>
      <w:lvlJc w:val="left"/>
      <w:pPr>
        <w:tabs>
          <w:tab w:val="num" w:pos="4332"/>
        </w:tabs>
        <w:ind w:left="4332" w:hanging="360"/>
      </w:pPr>
    </w:lvl>
    <w:lvl w:ilvl="7" w:tplc="04020019">
      <w:start w:val="1"/>
      <w:numFmt w:val="lowerLetter"/>
      <w:lvlText w:val="%8."/>
      <w:lvlJc w:val="left"/>
      <w:pPr>
        <w:tabs>
          <w:tab w:val="num" w:pos="5052"/>
        </w:tabs>
        <w:ind w:left="5052" w:hanging="360"/>
      </w:pPr>
    </w:lvl>
    <w:lvl w:ilvl="8" w:tplc="0402001B">
      <w:start w:val="1"/>
      <w:numFmt w:val="lowerRoman"/>
      <w:lvlText w:val="%9."/>
      <w:lvlJc w:val="right"/>
      <w:pPr>
        <w:tabs>
          <w:tab w:val="num" w:pos="5772"/>
        </w:tabs>
        <w:ind w:left="5772" w:hanging="180"/>
      </w:pPr>
    </w:lvl>
  </w:abstractNum>
  <w:abstractNum w:abstractNumId="4">
    <w:nsid w:val="48621E4C"/>
    <w:multiLevelType w:val="hybridMultilevel"/>
    <w:tmpl w:val="D7FC804A"/>
    <w:lvl w:ilvl="0" w:tplc="FD18070E">
      <w:start w:val="1"/>
      <w:numFmt w:val="bullet"/>
      <w:lvlText w:val=""/>
      <w:lvlJc w:val="left"/>
      <w:pPr>
        <w:tabs>
          <w:tab w:val="num" w:pos="360"/>
        </w:tabs>
        <w:ind w:left="360" w:hanging="360"/>
      </w:pPr>
      <w:rPr>
        <w:rFonts w:ascii="Symbol" w:hAnsi="Symbol" w:cs="Symbol" w:hint="default"/>
        <w:color w:val="auto"/>
      </w:rPr>
    </w:lvl>
    <w:lvl w:ilvl="1" w:tplc="04020003">
      <w:start w:val="1"/>
      <w:numFmt w:val="bullet"/>
      <w:lvlText w:val="o"/>
      <w:lvlJc w:val="left"/>
      <w:pPr>
        <w:tabs>
          <w:tab w:val="num" w:pos="360"/>
        </w:tabs>
        <w:ind w:left="360" w:hanging="360"/>
      </w:pPr>
      <w:rPr>
        <w:rFonts w:ascii="Courier New" w:hAnsi="Courier New" w:cs="Courier New" w:hint="default"/>
      </w:rPr>
    </w:lvl>
    <w:lvl w:ilvl="2" w:tplc="04020005">
      <w:start w:val="1"/>
      <w:numFmt w:val="bullet"/>
      <w:lvlText w:val=""/>
      <w:lvlJc w:val="left"/>
      <w:pPr>
        <w:tabs>
          <w:tab w:val="num" w:pos="1080"/>
        </w:tabs>
        <w:ind w:left="1080" w:hanging="360"/>
      </w:pPr>
      <w:rPr>
        <w:rFonts w:ascii="Wingdings" w:hAnsi="Wingdings" w:cs="Wingdings" w:hint="default"/>
      </w:rPr>
    </w:lvl>
    <w:lvl w:ilvl="3" w:tplc="04020001">
      <w:start w:val="1"/>
      <w:numFmt w:val="bullet"/>
      <w:lvlText w:val=""/>
      <w:lvlJc w:val="left"/>
      <w:pPr>
        <w:tabs>
          <w:tab w:val="num" w:pos="1800"/>
        </w:tabs>
        <w:ind w:left="1800" w:hanging="360"/>
      </w:pPr>
      <w:rPr>
        <w:rFonts w:ascii="Symbol" w:hAnsi="Symbol" w:cs="Symbol" w:hint="default"/>
      </w:rPr>
    </w:lvl>
    <w:lvl w:ilvl="4" w:tplc="04020003">
      <w:start w:val="1"/>
      <w:numFmt w:val="bullet"/>
      <w:lvlText w:val="o"/>
      <w:lvlJc w:val="left"/>
      <w:pPr>
        <w:tabs>
          <w:tab w:val="num" w:pos="2520"/>
        </w:tabs>
        <w:ind w:left="2520" w:hanging="360"/>
      </w:pPr>
      <w:rPr>
        <w:rFonts w:ascii="Courier New" w:hAnsi="Courier New" w:cs="Courier New" w:hint="default"/>
      </w:rPr>
    </w:lvl>
    <w:lvl w:ilvl="5" w:tplc="04020005">
      <w:start w:val="1"/>
      <w:numFmt w:val="bullet"/>
      <w:lvlText w:val=""/>
      <w:lvlJc w:val="left"/>
      <w:pPr>
        <w:tabs>
          <w:tab w:val="num" w:pos="3240"/>
        </w:tabs>
        <w:ind w:left="3240" w:hanging="360"/>
      </w:pPr>
      <w:rPr>
        <w:rFonts w:ascii="Wingdings" w:hAnsi="Wingdings" w:cs="Wingdings" w:hint="default"/>
      </w:rPr>
    </w:lvl>
    <w:lvl w:ilvl="6" w:tplc="04020001">
      <w:start w:val="1"/>
      <w:numFmt w:val="bullet"/>
      <w:lvlText w:val=""/>
      <w:lvlJc w:val="left"/>
      <w:pPr>
        <w:tabs>
          <w:tab w:val="num" w:pos="3960"/>
        </w:tabs>
        <w:ind w:left="3960" w:hanging="360"/>
      </w:pPr>
      <w:rPr>
        <w:rFonts w:ascii="Symbol" w:hAnsi="Symbol" w:cs="Symbol" w:hint="default"/>
      </w:rPr>
    </w:lvl>
    <w:lvl w:ilvl="7" w:tplc="04020003">
      <w:start w:val="1"/>
      <w:numFmt w:val="bullet"/>
      <w:lvlText w:val="o"/>
      <w:lvlJc w:val="left"/>
      <w:pPr>
        <w:tabs>
          <w:tab w:val="num" w:pos="4680"/>
        </w:tabs>
        <w:ind w:left="4680" w:hanging="360"/>
      </w:pPr>
      <w:rPr>
        <w:rFonts w:ascii="Courier New" w:hAnsi="Courier New" w:cs="Courier New" w:hint="default"/>
      </w:rPr>
    </w:lvl>
    <w:lvl w:ilvl="8" w:tplc="04020005">
      <w:start w:val="1"/>
      <w:numFmt w:val="bullet"/>
      <w:lvlText w:val=""/>
      <w:lvlJc w:val="left"/>
      <w:pPr>
        <w:tabs>
          <w:tab w:val="num" w:pos="5400"/>
        </w:tabs>
        <w:ind w:left="5400" w:hanging="360"/>
      </w:pPr>
      <w:rPr>
        <w:rFonts w:ascii="Wingdings" w:hAnsi="Wingdings" w:cs="Wingdings" w:hint="default"/>
      </w:rPr>
    </w:lvl>
  </w:abstractNum>
  <w:abstractNum w:abstractNumId="5">
    <w:nsid w:val="7A9E4FB8"/>
    <w:multiLevelType w:val="hybridMultilevel"/>
    <w:tmpl w:val="3DB81C54"/>
    <w:lvl w:ilvl="0" w:tplc="9C305EB0">
      <w:numFmt w:val="bullet"/>
      <w:lvlText w:val="-"/>
      <w:lvlJc w:val="left"/>
      <w:pPr>
        <w:tabs>
          <w:tab w:val="num" w:pos="360"/>
        </w:tabs>
        <w:ind w:left="360" w:hanging="360"/>
      </w:pPr>
      <w:rPr>
        <w:rFonts w:ascii="Times New Roman" w:eastAsia="Times New Roman" w:hAnsi="Times New Roman" w:hint="default"/>
      </w:rPr>
    </w:lvl>
    <w:lvl w:ilvl="1" w:tplc="FD18070E">
      <w:start w:val="1"/>
      <w:numFmt w:val="bullet"/>
      <w:lvlText w:val=""/>
      <w:lvlJc w:val="left"/>
      <w:pPr>
        <w:tabs>
          <w:tab w:val="num" w:pos="732"/>
        </w:tabs>
        <w:ind w:left="732" w:hanging="360"/>
      </w:pPr>
      <w:rPr>
        <w:rFonts w:ascii="Symbol" w:hAnsi="Symbol" w:cs="Symbol" w:hint="default"/>
        <w:color w:val="auto"/>
      </w:rPr>
    </w:lvl>
    <w:lvl w:ilvl="2" w:tplc="0402001B">
      <w:start w:val="1"/>
      <w:numFmt w:val="lowerRoman"/>
      <w:lvlText w:val="%3."/>
      <w:lvlJc w:val="right"/>
      <w:pPr>
        <w:tabs>
          <w:tab w:val="num" w:pos="1452"/>
        </w:tabs>
        <w:ind w:left="1452" w:hanging="180"/>
      </w:pPr>
    </w:lvl>
    <w:lvl w:ilvl="3" w:tplc="0402000F">
      <w:start w:val="1"/>
      <w:numFmt w:val="decimal"/>
      <w:lvlText w:val="%4."/>
      <w:lvlJc w:val="left"/>
      <w:pPr>
        <w:tabs>
          <w:tab w:val="num" w:pos="2172"/>
        </w:tabs>
        <w:ind w:left="2172" w:hanging="360"/>
      </w:pPr>
    </w:lvl>
    <w:lvl w:ilvl="4" w:tplc="04020019">
      <w:start w:val="1"/>
      <w:numFmt w:val="lowerLetter"/>
      <w:lvlText w:val="%5."/>
      <w:lvlJc w:val="left"/>
      <w:pPr>
        <w:tabs>
          <w:tab w:val="num" w:pos="2892"/>
        </w:tabs>
        <w:ind w:left="2892" w:hanging="360"/>
      </w:pPr>
    </w:lvl>
    <w:lvl w:ilvl="5" w:tplc="0402001B">
      <w:start w:val="1"/>
      <w:numFmt w:val="lowerRoman"/>
      <w:lvlText w:val="%6."/>
      <w:lvlJc w:val="right"/>
      <w:pPr>
        <w:tabs>
          <w:tab w:val="num" w:pos="3612"/>
        </w:tabs>
        <w:ind w:left="3612" w:hanging="180"/>
      </w:pPr>
    </w:lvl>
    <w:lvl w:ilvl="6" w:tplc="0402000F">
      <w:start w:val="1"/>
      <w:numFmt w:val="decimal"/>
      <w:lvlText w:val="%7."/>
      <w:lvlJc w:val="left"/>
      <w:pPr>
        <w:tabs>
          <w:tab w:val="num" w:pos="4332"/>
        </w:tabs>
        <w:ind w:left="4332" w:hanging="360"/>
      </w:pPr>
    </w:lvl>
    <w:lvl w:ilvl="7" w:tplc="04020019">
      <w:start w:val="1"/>
      <w:numFmt w:val="lowerLetter"/>
      <w:lvlText w:val="%8."/>
      <w:lvlJc w:val="left"/>
      <w:pPr>
        <w:tabs>
          <w:tab w:val="num" w:pos="5052"/>
        </w:tabs>
        <w:ind w:left="5052" w:hanging="360"/>
      </w:pPr>
    </w:lvl>
    <w:lvl w:ilvl="8" w:tplc="0402001B">
      <w:start w:val="1"/>
      <w:numFmt w:val="lowerRoman"/>
      <w:lvlText w:val="%9."/>
      <w:lvlJc w:val="right"/>
      <w:pPr>
        <w:tabs>
          <w:tab w:val="num" w:pos="5772"/>
        </w:tabs>
        <w:ind w:left="5772"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EB0"/>
    <w:rsid w:val="0000342B"/>
    <w:rsid w:val="0006129F"/>
    <w:rsid w:val="00083BB0"/>
    <w:rsid w:val="002D4D34"/>
    <w:rsid w:val="002F536D"/>
    <w:rsid w:val="00407EAD"/>
    <w:rsid w:val="004A703F"/>
    <w:rsid w:val="00645606"/>
    <w:rsid w:val="006B5703"/>
    <w:rsid w:val="00834B12"/>
    <w:rsid w:val="009D39AF"/>
    <w:rsid w:val="00B64EB0"/>
    <w:rsid w:val="00CC1F29"/>
    <w:rsid w:val="00D5733D"/>
    <w:rsid w:val="00F21941"/>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4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3BB0"/>
    <w:pPr>
      <w:tabs>
        <w:tab w:val="center" w:pos="4536"/>
        <w:tab w:val="right" w:pos="9072"/>
      </w:tabs>
    </w:pPr>
  </w:style>
  <w:style w:type="character" w:customStyle="1" w:styleId="FooterChar">
    <w:name w:val="Footer Char"/>
    <w:basedOn w:val="DefaultParagraphFont"/>
    <w:link w:val="Footer"/>
    <w:uiPriority w:val="99"/>
    <w:semiHidden/>
    <w:rsid w:val="00687C13"/>
    <w:rPr>
      <w:rFonts w:cs="Calibri"/>
      <w:lang w:eastAsia="en-US"/>
    </w:rPr>
  </w:style>
  <w:style w:type="character" w:styleId="PageNumber">
    <w:name w:val="page number"/>
    <w:basedOn w:val="DefaultParagraphFont"/>
    <w:uiPriority w:val="99"/>
    <w:rsid w:val="00083B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7</Pages>
  <Words>2956</Words>
  <Characters>16855</Characters>
  <Application>Microsoft Office Outlook</Application>
  <DocSecurity>0</DocSecurity>
  <Lines>0</Lines>
  <Paragraphs>0</Paragraphs>
  <ScaleCrop>false</ScaleCrop>
  <Company>moew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IPetkov</dc:creator>
  <cp:keywords/>
  <dc:description/>
  <cp:lastModifiedBy>user_nec</cp:lastModifiedBy>
  <cp:revision>10</cp:revision>
  <dcterms:created xsi:type="dcterms:W3CDTF">2012-09-03T07:08:00Z</dcterms:created>
  <dcterms:modified xsi:type="dcterms:W3CDTF">2012-09-03T09:45:00Z</dcterms:modified>
</cp:coreProperties>
</file>