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D" w:rsidRDefault="00884426" w:rsidP="00C839AB">
      <w:pPr>
        <w:rPr>
          <w:sz w:val="16"/>
          <w:szCs w:val="16"/>
        </w:rPr>
      </w:pPr>
    </w:p>
    <w:p w:rsidR="0004038D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  <w:bookmarkStart w:id="0" w:name="_GoBack"/>
      <w:bookmarkEnd w:id="0"/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C839AB">
      <w:pPr>
        <w:rPr>
          <w:sz w:val="16"/>
          <w:szCs w:val="16"/>
        </w:rPr>
      </w:pPr>
    </w:p>
    <w:p w:rsidR="00624101" w:rsidRDefault="00884426" w:rsidP="005A1B14">
      <w:pPr>
        <w:pStyle w:val="DoNotTranslateExternal1"/>
      </w:pPr>
      <w:r>
        <w:t>ECHA/PR/16/13</w:t>
      </w:r>
    </w:p>
    <w:p w:rsidR="00F2242B" w:rsidRDefault="00884426" w:rsidP="00624101">
      <w:pPr>
        <w:rPr>
          <w:sz w:val="16"/>
          <w:szCs w:val="16"/>
        </w:rPr>
      </w:pPr>
    </w:p>
    <w:p w:rsidR="00F2242B" w:rsidRDefault="00884426" w:rsidP="00624101"/>
    <w:p w:rsidR="00C839AB" w:rsidRPr="00BC0312" w:rsidRDefault="00884426" w:rsidP="00C839AB">
      <w:pPr>
        <w:pStyle w:val="NATitle"/>
        <w:rPr>
          <w:sz w:val="28"/>
        </w:rPr>
      </w:pPr>
      <w:r>
        <w:t>REACH 2018 г.: Подгответе регистрационните си досиета в ИТ формат</w:t>
      </w:r>
    </w:p>
    <w:p w:rsidR="00515866" w:rsidRDefault="00884426" w:rsidP="00515866">
      <w:pPr>
        <w:pStyle w:val="BodyText"/>
        <w:rPr>
          <w:rFonts w:ascii="Georgia" w:hAnsi="Georgia"/>
          <w:snapToGrid/>
          <w:color w:val="0046AD"/>
          <w:sz w:val="28"/>
        </w:rPr>
      </w:pPr>
      <w:r>
        <w:rPr>
          <w:rFonts w:ascii="Georgia" w:hAnsi="Georgia"/>
          <w:snapToGrid/>
          <w:color w:val="0046AD"/>
          <w:sz w:val="28"/>
        </w:rPr>
        <w:t>Информацията за идентичността, опасностите, употребите на веществата и рисковете от веществата, събрани в предишните фази, трябва да бъдат документирани в стандартизиран ИТ формат в регистрационните досиета. За тази цел ECHA предоставя безплатен софтуер, н</w:t>
      </w:r>
      <w:r>
        <w:rPr>
          <w:rFonts w:ascii="Georgia" w:hAnsi="Georgia"/>
          <w:snapToGrid/>
          <w:color w:val="0046AD"/>
          <w:sz w:val="28"/>
        </w:rPr>
        <w:t>аречен IUCLID. В най-простите случаи е възможно също така да се създаде досие директно в инструмента за подаване REACH-IT на ECHA.</w:t>
      </w:r>
    </w:p>
    <w:p w:rsidR="00286B78" w:rsidRPr="00937BCD" w:rsidRDefault="00884426" w:rsidP="00A93706">
      <w:pPr>
        <w:pStyle w:val="BodyText"/>
      </w:pPr>
      <w:r>
        <w:rPr>
          <w:b/>
        </w:rPr>
        <w:t xml:space="preserve">Хелзинки, 3 октомври 2016 г. </w:t>
      </w:r>
      <w:r>
        <w:t xml:space="preserve">— </w:t>
      </w:r>
      <w:r>
        <w:rPr>
          <w:i/>
        </w:rPr>
        <w:t>Подготовката на регистрационното досие</w:t>
      </w:r>
      <w:r>
        <w:t xml:space="preserve"> е </w:t>
      </w:r>
      <w:r>
        <w:rPr>
          <w:b/>
        </w:rPr>
        <w:t>петата фаза</w:t>
      </w:r>
      <w:r>
        <w:t xml:space="preserve"> на Пътната карта за REACH 2018 на ECHA. Н</w:t>
      </w:r>
      <w:r>
        <w:t>а дружества, които регистрират едно и също вещество, се препоръчва да продължат да си сътрудничат в тази фаза на подготвителната работа.</w:t>
      </w:r>
    </w:p>
    <w:p w:rsidR="00923F8D" w:rsidRDefault="00884426" w:rsidP="00A93706">
      <w:pPr>
        <w:pStyle w:val="BodyText"/>
        <w:rPr>
          <w:rFonts w:cs="Arial"/>
        </w:rPr>
      </w:pPr>
      <w:r>
        <w:t xml:space="preserve">За подаване в ИТ формат могат да бъдат подготвени два вида досиета: </w:t>
      </w:r>
      <w:r>
        <w:rPr>
          <w:b/>
        </w:rPr>
        <w:t>досието на</w:t>
      </w:r>
      <w:r>
        <w:t xml:space="preserve"> </w:t>
      </w:r>
      <w:r>
        <w:rPr>
          <w:b/>
        </w:rPr>
        <w:t>водещия регистрант</w:t>
      </w:r>
      <w:r>
        <w:t xml:space="preserve"> включва информация, с</w:t>
      </w:r>
      <w:r>
        <w:t>пецифична за дружеството на водещия регистрант, и информацията, която е била одобрена от всички регистранти, например класификацията и етикетирането на веществото и (подробните) резюмета на изследванията. Останалите членове на съвместното подаване трябва д</w:t>
      </w:r>
      <w:r>
        <w:t xml:space="preserve">а създадат </w:t>
      </w:r>
      <w:r>
        <w:rPr>
          <w:b/>
        </w:rPr>
        <w:t>регистрационно досие на член</w:t>
      </w:r>
      <w:r>
        <w:t xml:space="preserve"> с информация, специфична за техните дружества, например точната идентичност на тяхното вещество и неговите употреби.</w:t>
      </w:r>
    </w:p>
    <w:p w:rsidR="00FC67A8" w:rsidRPr="005D3AD4" w:rsidRDefault="00884426" w:rsidP="000E470A">
      <w:pPr>
        <w:pStyle w:val="BodyText"/>
      </w:pPr>
      <w:r>
        <w:t>Водещото регистрационно досие може да бъде създадено само в новия софтуер IUCLID 6, който се предла</w:t>
      </w:r>
      <w:r>
        <w:t>га безплатно на уебсайта на IUCLID. Регистрационното досие на член също може да бъде създадено в IUCLID 6, но и директно в новия REACH-IT, без да се налага да инсталирате IUCLID. Новото поколение на тези инструменти е тествано от индустриалните потребители</w:t>
      </w:r>
      <w:r>
        <w:t>, които потвърждават, че инструментите са по-лесни за използване от тези от предишното поколение.</w:t>
      </w:r>
    </w:p>
    <w:p w:rsidR="00114E6E" w:rsidRDefault="00884426" w:rsidP="000E470A">
      <w:pPr>
        <w:pStyle w:val="BodyText"/>
      </w:pPr>
      <w:r>
        <w:t>IUCLID 6 съдържа</w:t>
      </w:r>
      <w:r>
        <w:rPr>
          <w:b/>
        </w:rPr>
        <w:t xml:space="preserve"> обширна система за помощ </w:t>
      </w:r>
      <w:r>
        <w:t>в рамките на самия инструмент; тя скоро ще се предлага на 23 езика на ЕС. Това позволява на потребителя да получи це</w:t>
      </w:r>
      <w:r>
        <w:t>ленасочена помощ при попълване на данните. Регистрантите могат да проверят пълнотата на информацията си чрез инструмент за проверка наречен</w:t>
      </w:r>
      <w:r>
        <w:rPr>
          <w:i/>
        </w:rPr>
        <w:t xml:space="preserve"> Validation Assistant (Помощник за валидиране), </w:t>
      </w:r>
      <w:r>
        <w:t>който се предлага в рамките на IUCLID. Този инструмент ще съобщи също</w:t>
      </w:r>
      <w:r>
        <w:t xml:space="preserve"> така за потенциални несъответствия, които могат да бъдат коригирани преди подаване на регистрацията на ECHA.</w:t>
      </w:r>
    </w:p>
    <w:p w:rsidR="00114E6E" w:rsidRDefault="00884426" w:rsidP="009536BF">
      <w:r>
        <w:t>На уебсайта на ЕСНА вече можете да намерите въведение в софтуера IUCLID и практически съвети за това как да се създаде досие в IUCLID или директно</w:t>
      </w:r>
      <w:r>
        <w:t xml:space="preserve"> в REACH-IT. </w:t>
      </w:r>
      <w:r>
        <w:lastRenderedPageBreak/>
        <w:t>Предлагат се и ръководствата на потребителя за IUCLID 6 и REACH-IT 3; те скоро ще бъдат достъпни на 23 езика на ЕС.</w:t>
      </w:r>
    </w:p>
    <w:p w:rsidR="009536BF" w:rsidRDefault="00884426" w:rsidP="009536BF"/>
    <w:p w:rsidR="003E5BC8" w:rsidRPr="00D044AE" w:rsidRDefault="00884426" w:rsidP="000E470A">
      <w:pPr>
        <w:pStyle w:val="BodyText"/>
        <w:rPr>
          <w:sz w:val="16"/>
          <w:szCs w:val="16"/>
        </w:rPr>
      </w:pPr>
      <w:r>
        <w:t xml:space="preserve">Във вторник, 4 октомври, в 11:00 ч. (местно време в Хелзинки) ще се проведе </w:t>
      </w:r>
      <w:r>
        <w:rPr>
          <w:b/>
        </w:rPr>
        <w:t>уебинар</w:t>
      </w:r>
      <w:r>
        <w:t xml:space="preserve"> относно петата фаза на „Пътната карта за R</w:t>
      </w:r>
      <w:r>
        <w:t xml:space="preserve">EACH 2018 г.“. Той ще направлява участниците през различните етапи на създаване на регистрационно досие в IUCLID. Ще покаже как се инсталира софтуерът и как да се направи проверка дали цялата необходима информация е попълнена. Ще бъдат дадени и инструкции </w:t>
      </w:r>
      <w:r>
        <w:t xml:space="preserve">за това как регистрантите членове могат да подготвят досиетата си в REACH-IT. Участниците ще имат възможност да задават въпроси на експерти от ECHA. </w:t>
      </w:r>
    </w:p>
    <w:p w:rsidR="00F2242B" w:rsidRDefault="00884426" w:rsidP="003E5BC8">
      <w:pPr>
        <w:rPr>
          <w:b/>
        </w:rPr>
      </w:pPr>
    </w:p>
    <w:p w:rsidR="003E5BC8" w:rsidRPr="00156E15" w:rsidRDefault="00884426" w:rsidP="003E5BC8">
      <w:pPr>
        <w:rPr>
          <w:b/>
        </w:rPr>
      </w:pPr>
      <w:r>
        <w:rPr>
          <w:b/>
        </w:rPr>
        <w:t>Основна информация</w:t>
      </w:r>
    </w:p>
    <w:p w:rsidR="003E5BC8" w:rsidRDefault="00884426" w:rsidP="003E5BC8">
      <w:r>
        <w:t xml:space="preserve">Крайният срок за регистрация по REACH е 31 май 2018 г. Този краен срок се отнася за </w:t>
      </w:r>
      <w:r>
        <w:t>дружества, които произвеждат или внасят химични вещества в малки обеми, между 1 и 100 тона на година.</w:t>
      </w:r>
    </w:p>
    <w:p w:rsidR="003E5BC8" w:rsidRDefault="00884426" w:rsidP="003E5BC8">
      <w:pPr>
        <w:jc w:val="both"/>
      </w:pPr>
    </w:p>
    <w:p w:rsidR="003E5BC8" w:rsidRDefault="00884426" w:rsidP="003E5BC8">
      <w:r>
        <w:t xml:space="preserve">Пътната карта за REACH 2018 г. на ECHA разделя регистрацията на седем фази и описва основните етапи на всяка фаза, както и съдействието, което Агенцията </w:t>
      </w:r>
      <w:r>
        <w:t xml:space="preserve">предвижда да окаже на регистрантите. </w:t>
      </w:r>
    </w:p>
    <w:p w:rsidR="003E5BC8" w:rsidRDefault="00884426" w:rsidP="003E5BC8"/>
    <w:p w:rsidR="003E5BC8" w:rsidRDefault="00884426" w:rsidP="003E5BC8">
      <w:r>
        <w:t>Дружествата трябва да започнат подготовката навреме. Страниците на уебсайта на ECHA за REACH 2018 г. служат като център за „обслужване на едно гише“ за всякакви материали в помощ на дружествата при подготовката за рег</w:t>
      </w:r>
      <w:r>
        <w:t xml:space="preserve">истрация. </w:t>
      </w:r>
    </w:p>
    <w:p w:rsidR="003E5BC8" w:rsidRDefault="00884426" w:rsidP="003E5BC8">
      <w:pPr>
        <w:jc w:val="both"/>
      </w:pPr>
    </w:p>
    <w:p w:rsidR="002E6FCF" w:rsidRDefault="00884426" w:rsidP="003E5BC8">
      <w:pPr>
        <w:jc w:val="both"/>
      </w:pPr>
    </w:p>
    <w:p w:rsidR="003E5BC8" w:rsidRPr="00BF7D01" w:rsidRDefault="00884426" w:rsidP="003E5BC8">
      <w:pPr>
        <w:pStyle w:val="Heading2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</w:rPr>
        <w:t>Допълнителна информация</w:t>
      </w:r>
    </w:p>
    <w:p w:rsidR="00F2242B" w:rsidRDefault="00884426" w:rsidP="00F2242B">
      <w:pPr>
        <w:pStyle w:val="BodyText"/>
        <w:spacing w:after="0"/>
      </w:pPr>
      <w:r>
        <w:t xml:space="preserve">Регистрирайте се сега: Уебинар на 4 октомври за REACH 2018 г.: Подгответе своята регистрация във вид на досие в IUCLID </w:t>
      </w:r>
    </w:p>
    <w:p w:rsidR="00562CC2" w:rsidRDefault="00884426" w:rsidP="003E5BC8">
      <w:pPr>
        <w:pStyle w:val="BodyText"/>
      </w:pPr>
      <w:hyperlink r:id="rId14" w:history="1">
        <w:r>
          <w:rPr>
            <w:rStyle w:val="Hyperlink"/>
          </w:rPr>
          <w:t>https://echa.europa.eu/view-webinar/-/journal_content/56_INSTANCE_DdN5/title/reach-2018-prepare-your-registra</w:t>
        </w:r>
        <w:r>
          <w:rPr>
            <w:rStyle w:val="Hyperlink"/>
          </w:rPr>
          <w:t>tion-as-a-iuclid-dossier</w:t>
        </w:r>
      </w:hyperlink>
    </w:p>
    <w:p w:rsidR="00F2242B" w:rsidRDefault="00884426" w:rsidP="00F2242B">
      <w:pPr>
        <w:pStyle w:val="BodyText"/>
        <w:spacing w:after="0"/>
      </w:pPr>
      <w:r>
        <w:t>Страници на уебсайта на ECHA за REACH 2018 г., инфографика и брошура</w:t>
      </w:r>
    </w:p>
    <w:p w:rsidR="00B94B41" w:rsidRDefault="00884426" w:rsidP="00B94B41">
      <w:pPr>
        <w:pStyle w:val="BodyText"/>
      </w:pPr>
      <w:hyperlink r:id="rId15" w:history="1">
        <w:r>
          <w:rPr>
            <w:rStyle w:val="Hyperlink"/>
          </w:rPr>
          <w:t>http://echa.europa.eu/bg/reach-2018</w:t>
        </w:r>
      </w:hyperlink>
    </w:p>
    <w:p w:rsidR="00F2242B" w:rsidRDefault="00884426" w:rsidP="00F2242B">
      <w:pPr>
        <w:pStyle w:val="BodyText"/>
        <w:spacing w:after="0"/>
      </w:pPr>
      <w:r>
        <w:t>Съдействие — Създаване на вашето регистрационно досие</w:t>
      </w:r>
    </w:p>
    <w:p w:rsidR="00B94B41" w:rsidRDefault="00884426" w:rsidP="00B94B41">
      <w:pPr>
        <w:pStyle w:val="BodyText"/>
      </w:pPr>
      <w:hyperlink r:id="rId16" w:history="1">
        <w:r>
          <w:rPr>
            <w:rStyle w:val="Hyperlink"/>
          </w:rPr>
          <w:t>https://echa.europa.eu/support/registration/creating-your-registration-dossier</w:t>
        </w:r>
      </w:hyperlink>
    </w:p>
    <w:p w:rsidR="00F2242B" w:rsidRDefault="00884426" w:rsidP="00F2242B">
      <w:pPr>
        <w:pStyle w:val="BodyText"/>
        <w:spacing w:after="0"/>
      </w:pPr>
      <w:r>
        <w:t>Изтегляне на IUCLID 6</w:t>
      </w:r>
    </w:p>
    <w:p w:rsidR="00A15BF2" w:rsidRDefault="00884426" w:rsidP="003E5BC8">
      <w:pPr>
        <w:pStyle w:val="BodyText"/>
      </w:pPr>
      <w:hyperlink r:id="rId17" w:history="1">
        <w:r>
          <w:rPr>
            <w:rStyle w:val="Hyperlink"/>
          </w:rPr>
          <w:t>https://iuclid6.echa.eur</w:t>
        </w:r>
        <w:r>
          <w:rPr>
            <w:rStyle w:val="Hyperlink"/>
          </w:rPr>
          <w:t>opa.eu/download</w:t>
        </w:r>
      </w:hyperlink>
    </w:p>
    <w:p w:rsidR="00F2242B" w:rsidRDefault="00884426" w:rsidP="00F2242B">
      <w:pPr>
        <w:pStyle w:val="BodyText"/>
        <w:spacing w:after="0"/>
      </w:pPr>
      <w:r>
        <w:t>Ръководства за подготвяне на досиета по REACH и CLP (преводите им ще се предлагат през октомври 2016 г.)</w:t>
      </w:r>
    </w:p>
    <w:p w:rsidR="00A15BF2" w:rsidRDefault="00884426" w:rsidP="003E5BC8">
      <w:pPr>
        <w:pStyle w:val="BodyText"/>
      </w:pPr>
      <w:hyperlink r:id="rId18" w:history="1">
        <w:r>
          <w:rPr>
            <w:rStyle w:val="Hyperlink"/>
          </w:rPr>
          <w:t>https://echa.europa.eu/manuals</w:t>
        </w:r>
      </w:hyperlink>
    </w:p>
    <w:p w:rsidR="00F2242B" w:rsidRDefault="00884426" w:rsidP="00F2242B">
      <w:pPr>
        <w:pStyle w:val="BodyText"/>
        <w:spacing w:after="0"/>
      </w:pPr>
      <w:r>
        <w:t>Въведение в законодателството на ЕС в областта на хими</w:t>
      </w:r>
      <w:r>
        <w:t>калите</w:t>
      </w:r>
    </w:p>
    <w:p w:rsidR="003E5BC8" w:rsidRDefault="00884426" w:rsidP="003E5BC8">
      <w:pPr>
        <w:pStyle w:val="BodyText"/>
      </w:pPr>
      <w:hyperlink r:id="rId19" w:history="1">
        <w:r>
          <w:rPr>
            <w:rStyle w:val="Hyperlink"/>
          </w:rPr>
          <w:t>http://echa.europa.eu/bg/support/getting-started</w:t>
        </w:r>
      </w:hyperlink>
    </w:p>
    <w:p w:rsidR="00F2242B" w:rsidRDefault="00884426" w:rsidP="00F2242B">
      <w:pPr>
        <w:pStyle w:val="BodyText"/>
        <w:spacing w:after="0"/>
      </w:pPr>
      <w:r>
        <w:t>Звена за компютърна поддръжка</w:t>
      </w:r>
    </w:p>
    <w:p w:rsidR="003E5BC8" w:rsidRDefault="00884426" w:rsidP="003E5BC8">
      <w:pPr>
        <w:pStyle w:val="BodyText"/>
      </w:pPr>
      <w:hyperlink r:id="rId20" w:history="1">
        <w:r>
          <w:rPr>
            <w:rStyle w:val="Hyperlink"/>
          </w:rPr>
          <w:t>http://echa.europa.eu/bg/support/helpdesks/</w:t>
        </w:r>
      </w:hyperlink>
    </w:p>
    <w:p w:rsidR="00F2242B" w:rsidRDefault="00884426" w:rsidP="00F2242B">
      <w:pPr>
        <w:pStyle w:val="BodyText"/>
        <w:spacing w:after="0"/>
      </w:pPr>
      <w:r>
        <w:t>Б</w:t>
      </w:r>
      <w:r>
        <w:t>юлетин на ECHA — REACH</w:t>
      </w:r>
    </w:p>
    <w:p w:rsidR="003E5BC8" w:rsidRDefault="00884426" w:rsidP="003E5BC8">
      <w:pPr>
        <w:pStyle w:val="BodyText"/>
      </w:pPr>
      <w:hyperlink r:id="rId21" w:history="1">
        <w:r>
          <w:rPr>
            <w:rStyle w:val="Hyperlink"/>
          </w:rPr>
          <w:t>http://newsletter.echa.europa.eu/home/-/newsletter/tag/reach</w:t>
        </w:r>
      </w:hyperlink>
    </w:p>
    <w:p w:rsidR="00F2242B" w:rsidRDefault="00884426" w:rsidP="00F2242B">
      <w:pPr>
        <w:pStyle w:val="BodyText"/>
        <w:spacing w:after="0"/>
      </w:pPr>
      <w:r>
        <w:t>Информация за медиите</w:t>
      </w:r>
    </w:p>
    <w:p w:rsidR="003E5BC8" w:rsidRDefault="00884426" w:rsidP="003E5BC8">
      <w:pPr>
        <w:pStyle w:val="BodyText"/>
      </w:pPr>
      <w:hyperlink r:id="rId22" w:history="1">
        <w:r>
          <w:rPr>
            <w:rStyle w:val="Hyperlink"/>
          </w:rPr>
          <w:t>http://echa.europa.eu/press/press-material/pr-for-reach-2018</w:t>
        </w:r>
      </w:hyperlink>
    </w:p>
    <w:p w:rsidR="00F2242B" w:rsidRDefault="00884426" w:rsidP="00F2242B">
      <w:pPr>
        <w:pStyle w:val="BodyText"/>
        <w:spacing w:after="0"/>
      </w:pPr>
      <w:r>
        <w:lastRenderedPageBreak/>
        <w:t>REACH 2018 г. в LinkedIn</w:t>
      </w:r>
    </w:p>
    <w:p w:rsidR="003E5BC8" w:rsidRDefault="00884426" w:rsidP="003E5BC8">
      <w:pPr>
        <w:pStyle w:val="BodyText"/>
      </w:pPr>
      <w:hyperlink r:id="rId23" w:history="1">
        <w:r>
          <w:rPr>
            <w:rStyle w:val="Hyperlink"/>
          </w:rPr>
          <w:t>https://linkedin.com/company/reach-2</w:t>
        </w:r>
        <w:r>
          <w:rPr>
            <w:rStyle w:val="Hyperlink"/>
          </w:rPr>
          <w:t>018</w:t>
        </w:r>
      </w:hyperlink>
    </w:p>
    <w:p w:rsidR="00F2242B" w:rsidRDefault="00884426" w:rsidP="006063CA">
      <w:r>
        <w:t>Twitter #REACH2018</w:t>
      </w:r>
    </w:p>
    <w:p w:rsidR="00283640" w:rsidRPr="003E5BC8" w:rsidRDefault="00884426" w:rsidP="006063CA">
      <w:hyperlink r:id="rId24" w:history="1">
        <w:r>
          <w:rPr>
            <w:rStyle w:val="Hyperlink"/>
          </w:rPr>
          <w:t>https://twitter.com/hashtag/reach2018</w:t>
        </w:r>
      </w:hyperlink>
    </w:p>
    <w:sectPr w:rsidR="00283640" w:rsidRPr="003E5BC8" w:rsidSect="006063CA">
      <w:headerReference w:type="first" r:id="rId25"/>
      <w:footerReference w:type="first" r:id="rId26"/>
      <w:pgSz w:w="11907" w:h="16839" w:code="9"/>
      <w:pgMar w:top="1418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26" w:rsidRDefault="00884426">
      <w:r>
        <w:separator/>
      </w:r>
    </w:p>
  </w:endnote>
  <w:endnote w:type="continuationSeparator" w:id="0">
    <w:p w:rsidR="00884426" w:rsidRDefault="008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A" w:rsidRPr="006063CA" w:rsidRDefault="00884426" w:rsidP="005A1B14">
    <w:pPr>
      <w:pStyle w:val="DoNotTranslateExternal2"/>
    </w:pPr>
    <w:r>
      <w:t xml:space="preserve">Annankatu 18, P.O. Box 400, FI-00121 </w:t>
    </w:r>
    <w:r>
      <w:t>Helsinki, Finland | Tel. +358 9 686180 | Fax +358 9 68618210 | echa.europa.eu</w:t>
    </w:r>
  </w:p>
  <w:p w:rsidR="006063CA" w:rsidRDefault="00884426" w:rsidP="005A1B14">
    <w:pPr>
      <w:pStyle w:val="DoNotTranslateExternal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26" w:rsidRDefault="00884426">
      <w:r>
        <w:separator/>
      </w:r>
    </w:p>
  </w:footnote>
  <w:footnote w:type="continuationSeparator" w:id="0">
    <w:p w:rsidR="00884426" w:rsidRDefault="0088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CA" w:rsidRDefault="00884426">
    <w:pPr>
      <w:pStyle w:val="Header"/>
    </w:pPr>
    <w:r>
      <w:rPr>
        <w:noProof/>
        <w:snapToGrid/>
        <w:lang w:val="en-US" w:eastAsia="en-US" w:bidi="ar-SA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-1905</wp:posOffset>
          </wp:positionH>
          <wp:positionV relativeFrom="page">
            <wp:posOffset>0</wp:posOffset>
          </wp:positionV>
          <wp:extent cx="7560310" cy="1598295"/>
          <wp:effectExtent l="0" t="0" r="2540" b="1905"/>
          <wp:wrapNone/>
          <wp:docPr id="2" name="Picture 1" descr="press_relea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2966720" cy="342900"/>
              <wp:effectExtent l="0" t="0" r="5080" b="0"/>
              <wp:wrapTight wrapText="bothSides">
                <wp:wrapPolygon edited="0">
                  <wp:start x="0" y="0"/>
                  <wp:lineTo x="0" y="20400"/>
                  <wp:lineTo x="21498" y="20400"/>
                  <wp:lineTo x="21498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3CA" w:rsidRPr="006063CA" w:rsidRDefault="00884426">
                          <w:pPr>
                            <w:rPr>
                              <w:rFonts w:ascii="Georgia" w:hAnsi="Georgia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FFFFFF"/>
                              <w:sz w:val="32"/>
                            </w:rPr>
                            <w:t>Съобщение за пресата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0pt;height:27pt;margin-top:62.4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063CA" w:rsidRPr="006063CA">
                    <w:pPr>
                      <w:rPr>
                        <w:rFonts w:ascii="Georgia" w:hAnsi="Georgia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FFFFFF"/>
                        <w:sz w:val="32"/>
                      </w:rPr>
                      <w:t>Съобщение за пресата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202"/>
    <w:multiLevelType w:val="hybridMultilevel"/>
    <w:tmpl w:val="4F76FC38"/>
    <w:lvl w:ilvl="0" w:tplc="6D8E82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EC85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A5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4E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7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87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C3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28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E4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B27"/>
    <w:multiLevelType w:val="hybridMultilevel"/>
    <w:tmpl w:val="898EB81E"/>
    <w:lvl w:ilvl="0" w:tplc="94D059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EE6C6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E7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62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6F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D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2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0A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34919"/>
    <w:multiLevelType w:val="hybridMultilevel"/>
    <w:tmpl w:val="32681AF4"/>
    <w:lvl w:ilvl="0" w:tplc="0024D7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6E02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7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4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F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A8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29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4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CA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320DE"/>
    <w:multiLevelType w:val="hybridMultilevel"/>
    <w:tmpl w:val="5A305404"/>
    <w:lvl w:ilvl="0" w:tplc="6E5C3C4C">
      <w:start w:val="1"/>
      <w:numFmt w:val="decimal"/>
      <w:lvlText w:val="%1."/>
      <w:lvlJc w:val="left"/>
      <w:pPr>
        <w:ind w:left="720" w:hanging="360"/>
      </w:pPr>
    </w:lvl>
    <w:lvl w:ilvl="1" w:tplc="BA74A9F6" w:tentative="1">
      <w:start w:val="1"/>
      <w:numFmt w:val="lowerLetter"/>
      <w:lvlText w:val="%2."/>
      <w:lvlJc w:val="left"/>
      <w:pPr>
        <w:ind w:left="1440" w:hanging="360"/>
      </w:pPr>
    </w:lvl>
    <w:lvl w:ilvl="2" w:tplc="D7DCB414" w:tentative="1">
      <w:start w:val="1"/>
      <w:numFmt w:val="lowerRoman"/>
      <w:lvlText w:val="%3."/>
      <w:lvlJc w:val="right"/>
      <w:pPr>
        <w:ind w:left="2160" w:hanging="180"/>
      </w:pPr>
    </w:lvl>
    <w:lvl w:ilvl="3" w:tplc="E0768DD8" w:tentative="1">
      <w:start w:val="1"/>
      <w:numFmt w:val="decimal"/>
      <w:lvlText w:val="%4."/>
      <w:lvlJc w:val="left"/>
      <w:pPr>
        <w:ind w:left="2880" w:hanging="360"/>
      </w:pPr>
    </w:lvl>
    <w:lvl w:ilvl="4" w:tplc="27068BA6" w:tentative="1">
      <w:start w:val="1"/>
      <w:numFmt w:val="lowerLetter"/>
      <w:lvlText w:val="%5."/>
      <w:lvlJc w:val="left"/>
      <w:pPr>
        <w:ind w:left="3600" w:hanging="360"/>
      </w:pPr>
    </w:lvl>
    <w:lvl w:ilvl="5" w:tplc="DCA2B1DE" w:tentative="1">
      <w:start w:val="1"/>
      <w:numFmt w:val="lowerRoman"/>
      <w:lvlText w:val="%6."/>
      <w:lvlJc w:val="right"/>
      <w:pPr>
        <w:ind w:left="4320" w:hanging="180"/>
      </w:pPr>
    </w:lvl>
    <w:lvl w:ilvl="6" w:tplc="2D44E562" w:tentative="1">
      <w:start w:val="1"/>
      <w:numFmt w:val="decimal"/>
      <w:lvlText w:val="%7."/>
      <w:lvlJc w:val="left"/>
      <w:pPr>
        <w:ind w:left="5040" w:hanging="360"/>
      </w:pPr>
    </w:lvl>
    <w:lvl w:ilvl="7" w:tplc="718EE368" w:tentative="1">
      <w:start w:val="1"/>
      <w:numFmt w:val="lowerLetter"/>
      <w:lvlText w:val="%8."/>
      <w:lvlJc w:val="left"/>
      <w:pPr>
        <w:ind w:left="5760" w:hanging="360"/>
      </w:pPr>
    </w:lvl>
    <w:lvl w:ilvl="8" w:tplc="CA7EE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C3A85"/>
    <w:multiLevelType w:val="hybridMultilevel"/>
    <w:tmpl w:val="5A305404"/>
    <w:lvl w:ilvl="0" w:tplc="B608E36A">
      <w:start w:val="1"/>
      <w:numFmt w:val="decimal"/>
      <w:lvlText w:val="%1."/>
      <w:lvlJc w:val="left"/>
      <w:pPr>
        <w:ind w:left="720" w:hanging="360"/>
      </w:pPr>
    </w:lvl>
    <w:lvl w:ilvl="1" w:tplc="FA88E6EE" w:tentative="1">
      <w:start w:val="1"/>
      <w:numFmt w:val="lowerLetter"/>
      <w:lvlText w:val="%2."/>
      <w:lvlJc w:val="left"/>
      <w:pPr>
        <w:ind w:left="1440" w:hanging="360"/>
      </w:pPr>
    </w:lvl>
    <w:lvl w:ilvl="2" w:tplc="B7105862" w:tentative="1">
      <w:start w:val="1"/>
      <w:numFmt w:val="lowerRoman"/>
      <w:lvlText w:val="%3."/>
      <w:lvlJc w:val="right"/>
      <w:pPr>
        <w:ind w:left="2160" w:hanging="180"/>
      </w:pPr>
    </w:lvl>
    <w:lvl w:ilvl="3" w:tplc="FCAE27CC" w:tentative="1">
      <w:start w:val="1"/>
      <w:numFmt w:val="decimal"/>
      <w:lvlText w:val="%4."/>
      <w:lvlJc w:val="left"/>
      <w:pPr>
        <w:ind w:left="2880" w:hanging="360"/>
      </w:pPr>
    </w:lvl>
    <w:lvl w:ilvl="4" w:tplc="316A2B0E" w:tentative="1">
      <w:start w:val="1"/>
      <w:numFmt w:val="lowerLetter"/>
      <w:lvlText w:val="%5."/>
      <w:lvlJc w:val="left"/>
      <w:pPr>
        <w:ind w:left="3600" w:hanging="360"/>
      </w:pPr>
    </w:lvl>
    <w:lvl w:ilvl="5" w:tplc="35380326" w:tentative="1">
      <w:start w:val="1"/>
      <w:numFmt w:val="lowerRoman"/>
      <w:lvlText w:val="%6."/>
      <w:lvlJc w:val="right"/>
      <w:pPr>
        <w:ind w:left="4320" w:hanging="180"/>
      </w:pPr>
    </w:lvl>
    <w:lvl w:ilvl="6" w:tplc="4956EF4C" w:tentative="1">
      <w:start w:val="1"/>
      <w:numFmt w:val="decimal"/>
      <w:lvlText w:val="%7."/>
      <w:lvlJc w:val="left"/>
      <w:pPr>
        <w:ind w:left="5040" w:hanging="360"/>
      </w:pPr>
    </w:lvl>
    <w:lvl w:ilvl="7" w:tplc="B838EAF0" w:tentative="1">
      <w:start w:val="1"/>
      <w:numFmt w:val="lowerLetter"/>
      <w:lvlText w:val="%8."/>
      <w:lvlJc w:val="left"/>
      <w:pPr>
        <w:ind w:left="5760" w:hanging="360"/>
      </w:pPr>
    </w:lvl>
    <w:lvl w:ilvl="8" w:tplc="79BCC3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E"/>
    <w:rsid w:val="00884426"/>
    <w:rsid w:val="00D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3CA"/>
    <w:pPr>
      <w:widowControl w:val="0"/>
    </w:pPr>
    <w:rPr>
      <w:rFonts w:ascii="Verdana" w:hAnsi="Verdana"/>
      <w:snapToGrid w:val="0"/>
    </w:rPr>
  </w:style>
  <w:style w:type="paragraph" w:styleId="Heading1">
    <w:name w:val="heading 1"/>
    <w:basedOn w:val="Normal"/>
    <w:next w:val="Normal"/>
    <w:qFormat/>
    <w:rsid w:val="00606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rsid w:val="006063CA"/>
    <w:pPr>
      <w:keepLines/>
      <w:spacing w:before="0" w:after="240"/>
      <w:outlineLvl w:val="1"/>
    </w:pPr>
    <w:rPr>
      <w:rFonts w:ascii="Verdana" w:hAnsi="Verdana"/>
      <w:bCs w:val="0"/>
      <w:color w:val="0046AD"/>
      <w:kern w:val="0"/>
      <w:sz w:val="24"/>
      <w:szCs w:val="22"/>
    </w:rPr>
  </w:style>
  <w:style w:type="paragraph" w:styleId="Heading3">
    <w:name w:val="heading 3"/>
    <w:basedOn w:val="Heading2"/>
    <w:next w:val="BodyText"/>
    <w:qFormat/>
    <w:rsid w:val="006063CA"/>
    <w:pPr>
      <w:spacing w:after="0"/>
      <w:outlineLvl w:val="2"/>
    </w:pPr>
    <w:rPr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3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3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6063CA"/>
    <w:pPr>
      <w:spacing w:after="240"/>
    </w:pPr>
  </w:style>
  <w:style w:type="paragraph" w:customStyle="1" w:styleId="Potsikko">
    <w:name w:val="Pääotsikko"/>
    <w:next w:val="Johdanto"/>
    <w:rsid w:val="006063CA"/>
    <w:pPr>
      <w:spacing w:after="380"/>
    </w:pPr>
    <w:rPr>
      <w:rFonts w:ascii="Georgia" w:hAnsi="Georgia"/>
      <w:noProof/>
      <w:color w:val="0046AD"/>
      <w:sz w:val="66"/>
    </w:rPr>
  </w:style>
  <w:style w:type="paragraph" w:customStyle="1" w:styleId="Johdanto">
    <w:name w:val="Johdanto"/>
    <w:basedOn w:val="Potsikko"/>
    <w:rsid w:val="006063CA"/>
    <w:pPr>
      <w:spacing w:after="360"/>
    </w:pPr>
    <w:rPr>
      <w:sz w:val="28"/>
    </w:rPr>
  </w:style>
  <w:style w:type="character" w:customStyle="1" w:styleId="BodyTextChar">
    <w:name w:val="Body Text Char"/>
    <w:link w:val="BodyText"/>
    <w:rsid w:val="006063CA"/>
    <w:rPr>
      <w:rFonts w:ascii="Verdana" w:hAnsi="Verdana"/>
      <w:noProof/>
      <w:snapToGrid w:val="0"/>
      <w:lang w:val="bg-BG" w:eastAsia="bg-BG" w:bidi="bg-BG"/>
    </w:rPr>
  </w:style>
  <w:style w:type="paragraph" w:customStyle="1" w:styleId="ECHAcode">
    <w:name w:val="ECHA code"/>
    <w:next w:val="Heading1"/>
    <w:rsid w:val="006063CA"/>
    <w:pPr>
      <w:spacing w:after="360"/>
    </w:pPr>
    <w:rPr>
      <w:rFonts w:ascii="Verdana" w:hAnsi="Verdana"/>
      <w:noProof/>
      <w:sz w:val="22"/>
    </w:rPr>
  </w:style>
  <w:style w:type="paragraph" w:customStyle="1" w:styleId="NATitle">
    <w:name w:val="NA_Title"/>
    <w:next w:val="Normal"/>
    <w:qFormat/>
    <w:rsid w:val="00FB441B"/>
    <w:pPr>
      <w:spacing w:after="360"/>
    </w:pPr>
    <w:rPr>
      <w:rFonts w:ascii="Georgia" w:hAnsi="Georgia"/>
      <w:noProof/>
      <w:color w:val="0046AD"/>
      <w:sz w:val="48"/>
      <w:szCs w:val="48"/>
    </w:rPr>
  </w:style>
  <w:style w:type="character" w:styleId="Hyperlink">
    <w:name w:val="Hyperlink"/>
    <w:uiPriority w:val="99"/>
    <w:unhideWhenUsed/>
    <w:rsid w:val="00802420"/>
    <w:rPr>
      <w:rFonts w:cs="Times New Roman"/>
      <w:color w:val="0000FF"/>
      <w:u w:val="single"/>
    </w:rPr>
  </w:style>
  <w:style w:type="character" w:styleId="FollowedHyperlink">
    <w:name w:val="FollowedHyperlink"/>
    <w:rsid w:val="008575A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3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4CAC"/>
    <w:rPr>
      <w:rFonts w:ascii="Tahoma" w:hAnsi="Tahoma" w:cs="Tahoma"/>
      <w:snapToGrid w:val="0"/>
      <w:sz w:val="16"/>
      <w:szCs w:val="16"/>
      <w:lang w:eastAsia="bg-BG"/>
    </w:rPr>
  </w:style>
  <w:style w:type="character" w:styleId="CommentReference">
    <w:name w:val="annotation reference"/>
    <w:rsid w:val="00FB70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0DD"/>
  </w:style>
  <w:style w:type="character" w:customStyle="1" w:styleId="CommentTextChar">
    <w:name w:val="Comment Text Char"/>
    <w:link w:val="CommentText"/>
    <w:rsid w:val="00FB70DD"/>
    <w:rPr>
      <w:rFonts w:ascii="Verdana" w:hAnsi="Verdana"/>
      <w:snapToGrid w:val="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B70DD"/>
    <w:rPr>
      <w:b/>
      <w:bCs/>
    </w:rPr>
  </w:style>
  <w:style w:type="character" w:customStyle="1" w:styleId="CommentSubjectChar">
    <w:name w:val="Comment Subject Char"/>
    <w:link w:val="CommentSubject"/>
    <w:rsid w:val="00FB70DD"/>
    <w:rPr>
      <w:rFonts w:ascii="Verdana" w:hAnsi="Verdana"/>
      <w:b/>
      <w:bCs/>
      <w:snapToGrid w:val="0"/>
      <w:lang w:eastAsia="bg-BG"/>
    </w:rPr>
  </w:style>
  <w:style w:type="paragraph" w:styleId="Revision">
    <w:name w:val="Revision"/>
    <w:hidden/>
    <w:uiPriority w:val="99"/>
    <w:semiHidden/>
    <w:rsid w:val="005A7648"/>
    <w:rPr>
      <w:rFonts w:ascii="Verdana" w:hAnsi="Verdana"/>
      <w:snapToGrid w:val="0"/>
    </w:rPr>
  </w:style>
  <w:style w:type="paragraph" w:customStyle="1" w:styleId="DoNotTranslateExternal1">
    <w:name w:val="DoNotTranslateExternal1"/>
    <w:basedOn w:val="Normal"/>
    <w:qFormat/>
    <w:rsid w:val="005A1B14"/>
    <w:rPr>
      <w:sz w:val="16"/>
      <w:szCs w:val="16"/>
    </w:rPr>
  </w:style>
  <w:style w:type="paragraph" w:customStyle="1" w:styleId="DoNotTranslateExternal2">
    <w:name w:val="DoNotTranslateExternal2"/>
    <w:basedOn w:val="Normal"/>
    <w:qFormat/>
    <w:rsid w:val="005A1B14"/>
    <w:pPr>
      <w:spacing w:line="160" w:lineRule="exact"/>
      <w:jc w:val="center"/>
    </w:pPr>
    <w:rPr>
      <w:spacing w:val="2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3CA"/>
    <w:pPr>
      <w:widowControl w:val="0"/>
    </w:pPr>
    <w:rPr>
      <w:rFonts w:ascii="Verdana" w:hAnsi="Verdana"/>
      <w:snapToGrid w:val="0"/>
    </w:rPr>
  </w:style>
  <w:style w:type="paragraph" w:styleId="Heading1">
    <w:name w:val="heading 1"/>
    <w:basedOn w:val="Normal"/>
    <w:next w:val="Normal"/>
    <w:qFormat/>
    <w:rsid w:val="00606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rsid w:val="006063CA"/>
    <w:pPr>
      <w:keepLines/>
      <w:spacing w:before="0" w:after="240"/>
      <w:outlineLvl w:val="1"/>
    </w:pPr>
    <w:rPr>
      <w:rFonts w:ascii="Verdana" w:hAnsi="Verdana"/>
      <w:bCs w:val="0"/>
      <w:color w:val="0046AD"/>
      <w:kern w:val="0"/>
      <w:sz w:val="24"/>
      <w:szCs w:val="22"/>
    </w:rPr>
  </w:style>
  <w:style w:type="paragraph" w:styleId="Heading3">
    <w:name w:val="heading 3"/>
    <w:basedOn w:val="Heading2"/>
    <w:next w:val="BodyText"/>
    <w:qFormat/>
    <w:rsid w:val="006063CA"/>
    <w:pPr>
      <w:spacing w:after="0"/>
      <w:outlineLvl w:val="2"/>
    </w:pPr>
    <w:rPr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3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3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6063CA"/>
    <w:pPr>
      <w:spacing w:after="240"/>
    </w:pPr>
  </w:style>
  <w:style w:type="paragraph" w:customStyle="1" w:styleId="Potsikko">
    <w:name w:val="Pääotsikko"/>
    <w:next w:val="Johdanto"/>
    <w:rsid w:val="006063CA"/>
    <w:pPr>
      <w:spacing w:after="380"/>
    </w:pPr>
    <w:rPr>
      <w:rFonts w:ascii="Georgia" w:hAnsi="Georgia"/>
      <w:noProof/>
      <w:color w:val="0046AD"/>
      <w:sz w:val="66"/>
    </w:rPr>
  </w:style>
  <w:style w:type="paragraph" w:customStyle="1" w:styleId="Johdanto">
    <w:name w:val="Johdanto"/>
    <w:basedOn w:val="Potsikko"/>
    <w:rsid w:val="006063CA"/>
    <w:pPr>
      <w:spacing w:after="360"/>
    </w:pPr>
    <w:rPr>
      <w:sz w:val="28"/>
    </w:rPr>
  </w:style>
  <w:style w:type="character" w:customStyle="1" w:styleId="BodyTextChar">
    <w:name w:val="Body Text Char"/>
    <w:link w:val="BodyText"/>
    <w:rsid w:val="006063CA"/>
    <w:rPr>
      <w:rFonts w:ascii="Verdana" w:hAnsi="Verdana"/>
      <w:noProof/>
      <w:snapToGrid w:val="0"/>
      <w:lang w:val="bg-BG" w:eastAsia="bg-BG" w:bidi="bg-BG"/>
    </w:rPr>
  </w:style>
  <w:style w:type="paragraph" w:customStyle="1" w:styleId="ECHAcode">
    <w:name w:val="ECHA code"/>
    <w:next w:val="Heading1"/>
    <w:rsid w:val="006063CA"/>
    <w:pPr>
      <w:spacing w:after="360"/>
    </w:pPr>
    <w:rPr>
      <w:rFonts w:ascii="Verdana" w:hAnsi="Verdana"/>
      <w:noProof/>
      <w:sz w:val="22"/>
    </w:rPr>
  </w:style>
  <w:style w:type="paragraph" w:customStyle="1" w:styleId="NATitle">
    <w:name w:val="NA_Title"/>
    <w:next w:val="Normal"/>
    <w:qFormat/>
    <w:rsid w:val="00FB441B"/>
    <w:pPr>
      <w:spacing w:after="360"/>
    </w:pPr>
    <w:rPr>
      <w:rFonts w:ascii="Georgia" w:hAnsi="Georgia"/>
      <w:noProof/>
      <w:color w:val="0046AD"/>
      <w:sz w:val="48"/>
      <w:szCs w:val="48"/>
    </w:rPr>
  </w:style>
  <w:style w:type="character" w:styleId="Hyperlink">
    <w:name w:val="Hyperlink"/>
    <w:uiPriority w:val="99"/>
    <w:unhideWhenUsed/>
    <w:rsid w:val="00802420"/>
    <w:rPr>
      <w:rFonts w:cs="Times New Roman"/>
      <w:color w:val="0000FF"/>
      <w:u w:val="single"/>
    </w:rPr>
  </w:style>
  <w:style w:type="character" w:styleId="FollowedHyperlink">
    <w:name w:val="FollowedHyperlink"/>
    <w:rsid w:val="008575A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3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4CAC"/>
    <w:rPr>
      <w:rFonts w:ascii="Tahoma" w:hAnsi="Tahoma" w:cs="Tahoma"/>
      <w:snapToGrid w:val="0"/>
      <w:sz w:val="16"/>
      <w:szCs w:val="16"/>
      <w:lang w:eastAsia="bg-BG"/>
    </w:rPr>
  </w:style>
  <w:style w:type="character" w:styleId="CommentReference">
    <w:name w:val="annotation reference"/>
    <w:rsid w:val="00FB70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0DD"/>
  </w:style>
  <w:style w:type="character" w:customStyle="1" w:styleId="CommentTextChar">
    <w:name w:val="Comment Text Char"/>
    <w:link w:val="CommentText"/>
    <w:rsid w:val="00FB70DD"/>
    <w:rPr>
      <w:rFonts w:ascii="Verdana" w:hAnsi="Verdana"/>
      <w:snapToGrid w:val="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B70DD"/>
    <w:rPr>
      <w:b/>
      <w:bCs/>
    </w:rPr>
  </w:style>
  <w:style w:type="character" w:customStyle="1" w:styleId="CommentSubjectChar">
    <w:name w:val="Comment Subject Char"/>
    <w:link w:val="CommentSubject"/>
    <w:rsid w:val="00FB70DD"/>
    <w:rPr>
      <w:rFonts w:ascii="Verdana" w:hAnsi="Verdana"/>
      <w:b/>
      <w:bCs/>
      <w:snapToGrid w:val="0"/>
      <w:lang w:eastAsia="bg-BG"/>
    </w:rPr>
  </w:style>
  <w:style w:type="paragraph" w:styleId="Revision">
    <w:name w:val="Revision"/>
    <w:hidden/>
    <w:uiPriority w:val="99"/>
    <w:semiHidden/>
    <w:rsid w:val="005A7648"/>
    <w:rPr>
      <w:rFonts w:ascii="Verdana" w:hAnsi="Verdana"/>
      <w:snapToGrid w:val="0"/>
    </w:rPr>
  </w:style>
  <w:style w:type="paragraph" w:customStyle="1" w:styleId="DoNotTranslateExternal1">
    <w:name w:val="DoNotTranslateExternal1"/>
    <w:basedOn w:val="Normal"/>
    <w:qFormat/>
    <w:rsid w:val="005A1B14"/>
    <w:rPr>
      <w:sz w:val="16"/>
      <w:szCs w:val="16"/>
    </w:rPr>
  </w:style>
  <w:style w:type="paragraph" w:customStyle="1" w:styleId="DoNotTranslateExternal2">
    <w:name w:val="DoNotTranslateExternal2"/>
    <w:basedOn w:val="Normal"/>
    <w:qFormat/>
    <w:rsid w:val="005A1B14"/>
    <w:pPr>
      <w:spacing w:line="160" w:lineRule="exact"/>
      <w:jc w:val="center"/>
    </w:pPr>
    <w:rPr>
      <w:spacing w:val="2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echa.europa.eu/manual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newsletter.echa.europa.eu/home/-/newsletter/tag/reach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iuclid6.echa.europa.eu/downloa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ha.europa.eu/support/registration/creating-your-registration-dossier" TargetMode="External"/><Relationship Id="rId20" Type="http://schemas.openxmlformats.org/officeDocument/2006/relationships/hyperlink" Target="http://echa.europa.eu/bg/support/helpdesk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twitter.com/hashtag/reach2018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echa.europa.eu/bg/reach-2018" TargetMode="External"/><Relationship Id="rId23" Type="http://schemas.openxmlformats.org/officeDocument/2006/relationships/hyperlink" Target="https://www.linkedin.com/company/reach-2018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echa.europa.eu/bg/support/getting-started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echa.europa.eu/view-webinar/-/journal_content/56_INSTANCE_DdN5/title/reach-2018-prepare-your-registration-as-a-iuclid-dossier" TargetMode="External"/><Relationship Id="rId22" Type="http://schemas.openxmlformats.org/officeDocument/2006/relationships/hyperlink" Target="http://echa.europa.eu/press/press-material/pr-for-reach-201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SecClassTaxHTField0 xmlns="1a101ee2-a8a8-4e0f-bfd9-aff15f9bc83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IconOverlay xmlns="http://schemas.microsoft.com/sharepoint/v4" xsi:nil="true"/>
    <ECHACategoryTaxHTField0 xmlns="1a101ee2-a8a8-4e0f-bfd9-aff15f9bc839">
      <Terms xmlns="http://schemas.microsoft.com/office/infopath/2007/PartnerControls"/>
    </ECHACategoryTaxHTField0>
    <TaxCatchAll xmlns="b80ede5c-af4c-4bf2-9a87-706a3579dc11"/>
    <ECHADocumentTypeTaxHTField0 xmlns="1a101ee2-a8a8-4e0f-bfd9-aff15f9bc839">
      <Terms xmlns="http://schemas.microsoft.com/office/infopath/2007/PartnerControls"/>
    </ECHADocumentTypeTaxHTField0>
    <ECHAProcessTaxHTField0 xmlns="1a101ee2-a8a8-4e0f-bfd9-aff15f9bc839">
      <Terms xmlns="http://schemas.microsoft.com/office/infopath/2007/PartnerControls"/>
    </ECHAProcessTaxHTField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7FAEB87D17E6294EB61B3D88BCB3558E" ma:contentTypeVersion="17" ma:contentTypeDescription="Content type for ECHA process documents" ma:contentTypeScope="" ma:versionID="b70c1d81d58122285d16317819dca3f7">
  <xsd:schema xmlns:xsd="http://www.w3.org/2001/XMLSchema" xmlns:xs="http://www.w3.org/2001/XMLSchema" xmlns:p="http://schemas.microsoft.com/office/2006/metadata/properties" xmlns:ns2="1a101ee2-a8a8-4e0f-bfd9-aff15f9bc839" xmlns:ns3="b80ede5c-af4c-4bf2-9a87-706a3579dc11" xmlns:ns4="http://schemas.microsoft.com/sharepoint/v4" targetNamespace="http://schemas.microsoft.com/office/2006/metadata/properties" ma:root="true" ma:fieldsID="4137fa1406570a0534569dc022589d37" ns2:_="" ns3:_="" ns4:_="">
    <xsd:import namespace="1a101ee2-a8a8-4e0f-bfd9-aff15f9bc839"/>
    <xsd:import namespace="b80ede5c-af4c-4bf2-9a87-706a3579dc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01ee2-a8a8-4e0f-bfd9-aff15f9bc839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nillable="true" ma:taxonomy="true" ma:internalName="ab0eb6f132fb4a769815f72efb98c81d" ma:taxonomyFieldName="ECHASecClass" ma:displayName="Security classification" ma:readOnly="false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2e49345-dbec-4f99-ae5c-0d1330abc637}" ma:internalName="TaxCatchAll" ma:showField="CatchAllData" ma:web="1a101ee2-a8a8-4e0f-bfd9-aff15f9bc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2e49345-dbec-4f99-ae5c-0d1330abc637}" ma:internalName="TaxCatchAllLabel" ma:readOnly="true" ma:showField="CatchAllDataLabel" ma:web="1a101ee2-a8a8-4e0f-bfd9-aff15f9bc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DA3255-D4A0-4718-B513-9415940134A1}">
  <ds:schemaRefs>
    <ds:schemaRef ds:uri="http://schemas.microsoft.com/office/2006/metadata/properties"/>
    <ds:schemaRef ds:uri="http://schemas.microsoft.com/office/infopath/2007/PartnerControls"/>
    <ds:schemaRef ds:uri="1a101ee2-a8a8-4e0f-bfd9-aff15f9bc839"/>
    <ds:schemaRef ds:uri="http://schemas.microsoft.com/sharepoint/v4"/>
    <ds:schemaRef ds:uri="b80ede5c-af4c-4bf2-9a87-706a3579dc11"/>
  </ds:schemaRefs>
</ds:datastoreItem>
</file>

<file path=customXml/itemProps2.xml><?xml version="1.0" encoding="utf-8"?>
<ds:datastoreItem xmlns:ds="http://schemas.openxmlformats.org/officeDocument/2006/customXml" ds:itemID="{5FAA143F-A775-4A20-8BB4-51EEA3154A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D3505C-349C-455E-B8B4-AF3C402637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0141A1-0D9C-4297-9DEB-0B228EBE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01ee2-a8a8-4e0f-bfd9-aff15f9bc839"/>
    <ds:schemaRef ds:uri="b80ede5c-af4c-4bf2-9a87-706a3579dc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BFAB5-F3EE-405B-A3A4-67914A66FE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F536C5-D735-4B9F-9C81-E2FA25D276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CDT</vt:lpstr>
    </vt:vector>
  </TitlesOfParts>
  <Manager>CDT</Manager>
  <Company>CDT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CDT</dc:title>
  <dc:subject>CDT</dc:subject>
  <dc:creator>CDT</dc:creator>
  <cp:keywords>CDT</cp:keywords>
  <dc:description>CDT</dc:description>
  <cp:lastModifiedBy>Administrator</cp:lastModifiedBy>
  <cp:revision>2</cp:revision>
  <dcterms:created xsi:type="dcterms:W3CDTF">2016-09-28T12:58:00Z</dcterms:created>
  <dcterms:modified xsi:type="dcterms:W3CDTF">2016-09-28T12:58:00Z</dcterms:modified>
  <cp:category>CDT</cp:category>
</cp:coreProperties>
</file>