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6CD" w:rsidRPr="00B8720E" w:rsidRDefault="002136CD" w:rsidP="00B8720E">
      <w:pPr>
        <w:spacing w:before="240" w:after="12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6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ПРОЕКТ!</w:t>
      </w:r>
    </w:p>
    <w:p w:rsidR="002136CD" w:rsidRPr="002136CD" w:rsidRDefault="002136CD" w:rsidP="002136C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2136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П У Б Л И К А   Б Ъ Л Г А Р И Я</w:t>
      </w:r>
    </w:p>
    <w:p w:rsidR="002136CD" w:rsidRPr="002136CD" w:rsidRDefault="002136CD" w:rsidP="002136C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2136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МИНИСТЕРСКИ СЪВЕТ</w:t>
      </w:r>
    </w:p>
    <w:p w:rsidR="002136CD" w:rsidRPr="002136CD" w:rsidRDefault="002136CD" w:rsidP="002136C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2136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-------------------------------------------------------------------------------------------------------</w:t>
      </w:r>
    </w:p>
    <w:p w:rsidR="002136CD" w:rsidRPr="002136CD" w:rsidRDefault="002136CD" w:rsidP="00622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2136CD" w:rsidRPr="002136CD" w:rsidRDefault="002136CD" w:rsidP="00622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2136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ПОСТАНОВЛЕНИЕ</w:t>
      </w:r>
    </w:p>
    <w:p w:rsidR="002136CD" w:rsidRPr="002136CD" w:rsidRDefault="002136CD" w:rsidP="00622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2136CD" w:rsidRPr="002136CD" w:rsidRDefault="002136CD" w:rsidP="00622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2136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№……………………..</w:t>
      </w:r>
    </w:p>
    <w:p w:rsidR="002136CD" w:rsidRPr="002136CD" w:rsidRDefault="002136CD" w:rsidP="00622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2136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от………………………201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6</w:t>
      </w:r>
      <w:r w:rsidRPr="002136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г.</w:t>
      </w:r>
    </w:p>
    <w:p w:rsidR="002136CD" w:rsidRPr="002136CD" w:rsidRDefault="002136CD" w:rsidP="00622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3E68ED" w:rsidRPr="00B8720E" w:rsidRDefault="002136CD" w:rsidP="008E1C26">
      <w:pPr>
        <w:pStyle w:val="Style"/>
        <w:ind w:left="142" w:right="0" w:firstLine="0"/>
        <w:jc w:val="center"/>
        <w:outlineLvl w:val="0"/>
        <w:rPr>
          <w:b/>
          <w:bCs/>
          <w:lang w:val="en-US"/>
        </w:rPr>
      </w:pPr>
      <w:r w:rsidRPr="002136CD">
        <w:rPr>
          <w:b/>
          <w:bCs/>
        </w:rPr>
        <w:t xml:space="preserve">за изменение </w:t>
      </w:r>
      <w:r w:rsidR="003E68ED" w:rsidRPr="00295BAC">
        <w:rPr>
          <w:b/>
        </w:rPr>
        <w:t xml:space="preserve">на </w:t>
      </w:r>
      <w:r w:rsidR="003E68ED" w:rsidRPr="00295BAC">
        <w:rPr>
          <w:b/>
          <w:lang w:val="ru-RU"/>
        </w:rPr>
        <w:t xml:space="preserve">Наредба </w:t>
      </w:r>
      <w:r w:rsidR="003E68ED" w:rsidRPr="00295BAC">
        <w:rPr>
          <w:b/>
        </w:rPr>
        <w:t>за излезлите от употреба моторни превозни средства</w:t>
      </w:r>
      <w:r w:rsidR="008E1C26">
        <w:rPr>
          <w:b/>
        </w:rPr>
        <w:t>,</w:t>
      </w:r>
      <w:r w:rsidR="008E1C26" w:rsidRPr="008E1C26">
        <w:t xml:space="preserve"> </w:t>
      </w:r>
      <w:r w:rsidR="008E1C26" w:rsidRPr="008E1C26">
        <w:rPr>
          <w:b/>
        </w:rPr>
        <w:t xml:space="preserve">приета с Постановление № </w:t>
      </w:r>
      <w:r w:rsidR="008E1C26">
        <w:rPr>
          <w:b/>
        </w:rPr>
        <w:t>11</w:t>
      </w:r>
      <w:r w:rsidR="008E1C26" w:rsidRPr="008E1C26">
        <w:rPr>
          <w:b/>
        </w:rPr>
        <w:t xml:space="preserve"> на Министерския съвет от</w:t>
      </w:r>
      <w:r w:rsidR="008E1C26" w:rsidRPr="008E1C26">
        <w:t xml:space="preserve"> </w:t>
      </w:r>
      <w:r w:rsidR="008E1C26" w:rsidRPr="008E1C26">
        <w:rPr>
          <w:b/>
        </w:rPr>
        <w:t>2013 г.</w:t>
      </w:r>
      <w:r w:rsidR="003E68ED" w:rsidRPr="00295BAC">
        <w:rPr>
          <w:b/>
          <w:lang w:val="en-US"/>
        </w:rPr>
        <w:t xml:space="preserve"> (</w:t>
      </w:r>
      <w:r w:rsidR="003E68ED" w:rsidRPr="003E68ED">
        <w:rPr>
          <w:b/>
        </w:rPr>
        <w:t xml:space="preserve">Обн., ДВ, бр. 7 от 2013 г., изм. и доп., бр. 95 от 2013 г., , бр. 60 </w:t>
      </w:r>
      <w:r w:rsidR="003C58A6">
        <w:rPr>
          <w:b/>
        </w:rPr>
        <w:t>от</w:t>
      </w:r>
      <w:r w:rsidR="003E68ED" w:rsidRPr="003E68ED">
        <w:rPr>
          <w:b/>
        </w:rPr>
        <w:t>2014 г., бр. 57 от 2015</w:t>
      </w:r>
      <w:r w:rsidR="00411907">
        <w:rPr>
          <w:b/>
        </w:rPr>
        <w:t xml:space="preserve">  </w:t>
      </w:r>
      <w:r w:rsidR="002A0F04">
        <w:rPr>
          <w:b/>
        </w:rPr>
        <w:t>г., бр. 30 от 2016</w:t>
      </w:r>
      <w:r w:rsidR="002A0F04">
        <w:rPr>
          <w:b/>
          <w:lang w:val="en-US"/>
        </w:rPr>
        <w:t> </w:t>
      </w:r>
      <w:r w:rsidR="003E68ED" w:rsidRPr="003E68ED">
        <w:rPr>
          <w:b/>
        </w:rPr>
        <w:t>г.</w:t>
      </w:r>
      <w:r w:rsidR="00B8720E">
        <w:rPr>
          <w:b/>
          <w:lang w:val="en-US"/>
        </w:rPr>
        <w:t>)</w:t>
      </w:r>
    </w:p>
    <w:p w:rsidR="002136CD" w:rsidRPr="002136CD" w:rsidRDefault="003E68ED" w:rsidP="003E68ED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</w:p>
    <w:p w:rsidR="002136CD" w:rsidRPr="00622823" w:rsidRDefault="002136CD" w:rsidP="006228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622823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МИНИСТЕРСКИЯТ СЪВЕТ</w:t>
      </w:r>
    </w:p>
    <w:p w:rsidR="002136CD" w:rsidRDefault="002136CD" w:rsidP="006228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2823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ПОСТАНОВИ:</w:t>
      </w:r>
    </w:p>
    <w:p w:rsidR="00E4245C" w:rsidRDefault="002136CD" w:rsidP="00CF3668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282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§ 1.</w:t>
      </w:r>
      <w:r w:rsidRPr="002136C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="00E4245C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В чл. 45, т. 2 след думите „третиране на ИУМПС,“  се добавя „ в т.ч. и“.</w:t>
      </w:r>
    </w:p>
    <w:p w:rsidR="00E4245C" w:rsidRDefault="004243C8" w:rsidP="00E4245C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4243C8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§ 2.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="00E4245C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Параграф 2 от допълнителните разпоредби се изменя така:</w:t>
      </w:r>
    </w:p>
    <w:p w:rsidR="00E4245C" w:rsidRDefault="00E4245C" w:rsidP="00E424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„§ 2. </w:t>
      </w:r>
      <w:r w:rsidRPr="004243C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Наредбата въвежда изискванията на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:</w:t>
      </w:r>
    </w:p>
    <w:p w:rsidR="00E4245C" w:rsidRDefault="00E4245C" w:rsidP="00E424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1.</w:t>
      </w:r>
      <w:r w:rsidRPr="004243C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Директива 2000/53/ЕО на Европейския парламент и на Съвета от 18 септември 2000 г. относно излезлите от употреба превозни средства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ОВ, L 269/34 от 21.10.2000 г.);</w:t>
      </w:r>
    </w:p>
    <w:p w:rsidR="00E4245C" w:rsidRDefault="00E4245C" w:rsidP="00E424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2.</w:t>
      </w:r>
      <w:r w:rsidRPr="004243C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Директива 2011/37/ЕС на Комисията от 30 март 2011 г. за изменение на приложение II към Директива 2000/53/ЕО на Европейския парламент и на Съвета относно излезлите от употреба превозни средства (ОВ, L 269/34 от 21.10.2000 г.)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;</w:t>
      </w:r>
    </w:p>
    <w:p w:rsidR="00E4245C" w:rsidRDefault="00E4245C" w:rsidP="00E424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3.</w:t>
      </w:r>
      <w:r w:rsidRPr="004243C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Директива 2013/28/ЕС на Комисията от 17 май 2013 г. за изменение на Приложение II на Директива 2000/53/ЕО на Европейския парламент и на Съвета относно излезлите от употреба превозни средства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(ОВ, L 135/14 от 22.05.2013 г.);</w:t>
      </w:r>
    </w:p>
    <w:p w:rsidR="00E4245C" w:rsidRDefault="00E4245C" w:rsidP="00E424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4. </w:t>
      </w:r>
      <w:r w:rsidRPr="00972593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Директива 2016/774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/ЕС</w:t>
      </w:r>
      <w:r w:rsidRPr="00972593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на Комисията от 18 май 2016 година за изменение на приложение II към Директива 2000/53/ЕО на Европейския парламент и на Съвета относно излезлите от употреба превозни средства (ОВ, L 128/4 от 19.05.2016 г.)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“</w:t>
      </w:r>
      <w:r w:rsidRPr="00972593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.</w:t>
      </w:r>
    </w:p>
    <w:p w:rsidR="00CF3668" w:rsidRDefault="00597654" w:rsidP="00CF3668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43C8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4243C8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="00CF3668" w:rsidRPr="00CF366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Приложение № 1 се изменя така:</w:t>
      </w:r>
    </w:p>
    <w:p w:rsidR="00622823" w:rsidRPr="00622823" w:rsidRDefault="00622823" w:rsidP="00CF3668">
      <w:pPr>
        <w:spacing w:before="240" w:after="12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622823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“Приложение № 1 към чл.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5</w:t>
      </w:r>
    </w:p>
    <w:p w:rsidR="007C124B" w:rsidRPr="00CF3668" w:rsidRDefault="007C124B" w:rsidP="0062282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proofErr w:type="gramStart"/>
      <w:r w:rsidRPr="00CF36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Материали и компоненти, </w:t>
      </w:r>
      <w:r w:rsidRPr="00CF3668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изключени</w:t>
      </w:r>
      <w:r w:rsidRPr="00CF36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</w:t>
      </w:r>
      <w:r w:rsidRPr="00CF3668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обхвата</w:t>
      </w:r>
      <w:r w:rsidRPr="00CF36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</w:t>
      </w:r>
      <w:r w:rsidRPr="00CF3668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</w:t>
      </w:r>
      <w:proofErr w:type="gramEnd"/>
      <w:r w:rsidRPr="00CF3668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5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7"/>
        <w:gridCol w:w="2257"/>
        <w:gridCol w:w="2156"/>
      </w:tblGrid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Материали и компоненти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4B282E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Обхват и дата на изтичане </w:t>
            </w:r>
            <w:r w:rsidR="00314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на </w:t>
            </w:r>
            <w:r w:rsidR="004B2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срока на </w:t>
            </w:r>
            <w:r w:rsidRPr="007C12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освобождаването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282E" w:rsidRDefault="004B282E" w:rsidP="004B2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 се постави етикет или</w:t>
            </w:r>
          </w:p>
          <w:p w:rsidR="004B282E" w:rsidRDefault="004B282E" w:rsidP="004B2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се идентифицира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  <w:p w:rsidR="004B282E" w:rsidRDefault="004B282E" w:rsidP="004B2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съответствие с</w:t>
            </w:r>
          </w:p>
          <w:p w:rsidR="007C124B" w:rsidRPr="007C124B" w:rsidRDefault="004B282E" w:rsidP="004B282E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изискванията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чл. 5</w:t>
            </w:r>
          </w:p>
        </w:tc>
      </w:tr>
      <w:tr w:rsidR="007C124B" w:rsidRPr="007C124B" w:rsidTr="007C124B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C124B" w:rsidRPr="007C124B" w:rsidRDefault="007C124B" w:rsidP="007C124B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Олово като легиращ елемент</w:t>
            </w:r>
            <w:r w:rsidRPr="007C12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"/>
              <w:gridCol w:w="4701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7C124B" w:rsidRDefault="007C124B" w:rsidP="001B1870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1B18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.</w:t>
                  </w: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a)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Стомана за механична обработка истоманени детайли, обработени с последващо горещо поцинковане, с тегловно съдържание на олово до 0,35 %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"/>
              <w:gridCol w:w="4744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7C124B" w:rsidRDefault="007C124B" w:rsidP="001B1870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Поцинковани при непрекъснат процес стоманени листове с тегловно съдържание на олово до 0,35 %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Превозни средства, чийто тип е одобрен преди 1 януари 2016 г., и резервни части за тези превозни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1"/>
              <w:gridCol w:w="4606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a).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Алуминий за механична обработка с тегловно съдържание на олово до 2 %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Като резервни части за превозни средства, пуснати на пазара преди 1 юли 2005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7"/>
              <w:gridCol w:w="4540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б).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Алуминий с тегловно съдържание на олово до 1,5 %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Като резервни части за превозни средства, пуснати на пазара преди 1 юли 2008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8"/>
              <w:gridCol w:w="4549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в).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Алуминий с тегловно съдържание на олово до 0,4 %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4767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Медна сплав с тегловно съдържание на олово до 4 %.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4272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CF7F4D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  <w:r w:rsidR="003C58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.</w:t>
                  </w: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a)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Лагерни черупки и втулки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Като резервни части за превозни средства, пуснати на пазара преди 1 юли 2008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"/>
              <w:gridCol w:w="4723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CF7F4D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б)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Лагерни черупки и втулки в двигатели, предавателни механизми и компресори за климатични инсталации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Като резервни части за превозни средства, пуснати на пазара преди 1 юли 2011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124B" w:rsidRPr="007C124B" w:rsidTr="007C124B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C124B" w:rsidRPr="007C124B" w:rsidRDefault="007C124B" w:rsidP="007C124B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Олово и оловни съединения в компоненти</w:t>
            </w:r>
            <w:r w:rsidRPr="007C12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7"/>
              <w:gridCol w:w="4600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Акумулаторни батерии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3"/>
              <w:gridCol w:w="4674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Виброгасители (амортисьори)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Превозни средства, чийто тип е одобрен преди 1 януари </w:t>
            </w: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2016 г., и резервни части за тези превозни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"/>
              <w:gridCol w:w="4731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7C124B" w:rsidRDefault="007C124B" w:rsidP="00C94E50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7</w:t>
                  </w:r>
                  <w:r w:rsidR="00B53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.</w:t>
                  </w: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a)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Вулканизиращи вещества и стабилизатори за еластомери в спирачни маркучи, горивни маркучи, вентилационни маркучи, еластомерни/метални части в приложения за ходовата част, както и за опорни тампони за двигатели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Като резервни части за превозни средства, пуснати на пазара преди 1 юли 2005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"/>
              <w:gridCol w:w="4744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7C124B" w:rsidRDefault="007C124B" w:rsidP="00C94E50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Вулканизиращи вещества и стабилизатори за еластомери в спирачни маркучи, горивни маркучи, вентилационни маркучи, еластомерни/метални части в приложения за ходовата част, както и за опорни тампони за двигатели, с тегловно съдържание на олово до 0,5 %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Като резервни части за превозни средства, пуснати на пазара преди 1 юли 2006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"/>
              <w:gridCol w:w="4753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7C124B" w:rsidRDefault="007C124B" w:rsidP="00C94E50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в)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Свързващи вещества за еластомери за силови предавателни механизми, с тегловно съдържание на олово до 0,5 %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Като резервни части за превозни средства, пуснати на пазара преди 1 юли 2009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7"/>
              <w:gridCol w:w="4730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7C124B" w:rsidRDefault="007C124B" w:rsidP="00C94E50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  <w:r w:rsidR="00C94E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.</w:t>
                  </w: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a)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Олово в припой за прикрепване на електрически и електронни компоненти към печатни платки и олово в покритието на крачетата на компонентите, различни от електролитни алуминиеви кондензатори, в изводите на компонентите и в електронните печатни платки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Превозни средства, чийто тип е одобрен преди 1 януари 2016 г., и резервни части за тези превозни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896A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hyperlink r:id="rId6" w:anchor="ntr3-L_2016128BG.01000602-E0003" w:history="1">
              <w:r w:rsidRPr="007C124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(</w:t>
              </w:r>
              <w:r w:rsidR="00896A35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</w:rPr>
                <w:t>1</w:t>
              </w:r>
              <w:r w:rsidRPr="007C124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)</w:t>
              </w:r>
            </w:hyperlink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"/>
              <w:gridCol w:w="4744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7C124B" w:rsidRDefault="007C124B" w:rsidP="00C94E50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Олово в припой за електрически приложения, различни от запояване върху електронни печатни платки или върху стъкло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Превозни средства, чийто тип е одобрен преди 1 януари 2011 г., и резервни части за тези превозни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896A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hyperlink r:id="rId7" w:anchor="ntr3-L_2016128BG.01000602-E0003" w:history="1">
              <w:r w:rsidRPr="007C124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(</w:t>
              </w:r>
              <w:r w:rsidR="00896A35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</w:rPr>
                <w:t>1</w:t>
              </w:r>
              <w:r w:rsidRPr="007C124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)</w:t>
              </w:r>
            </w:hyperlink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"/>
              <w:gridCol w:w="4753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7C124B" w:rsidRDefault="007C124B" w:rsidP="00C94E50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в)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Олово в покритието на изводите на електролитни алуминиеви кондензатори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Превозни средства, чийто тип е одобрен преди 1 януари 2013 г., и резервни части за тези превозни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896A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hyperlink r:id="rId8" w:anchor="ntr3-L_2016128BG.01000602-E0003" w:history="1">
              <w:r w:rsidRPr="007C124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(</w:t>
              </w:r>
              <w:r w:rsidR="00896A35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</w:rPr>
                <w:t>1</w:t>
              </w:r>
              <w:r w:rsidRPr="007C124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)</w:t>
              </w:r>
            </w:hyperlink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"/>
              <w:gridCol w:w="4768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7C124B" w:rsidRDefault="007C124B" w:rsidP="00C94E50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г)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Олово, използвано при запояване върху стъкло в дебитомерите за масов дебит на въздух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Превозни средства, чийто тип е одобрен преди 1 януари </w:t>
            </w: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2015 г., и резервни части за тези превозни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896A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X</w:t>
            </w:r>
            <w:hyperlink r:id="rId9" w:anchor="ntr3-L_2016128BG.01000602-E0003" w:history="1">
              <w:r w:rsidRPr="007C124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(</w:t>
              </w:r>
              <w:r w:rsidR="00896A35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</w:rPr>
                <w:t>1</w:t>
              </w:r>
              <w:r w:rsidRPr="007C124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)</w:t>
              </w:r>
            </w:hyperlink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4672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7C124B" w:rsidRDefault="007C124B" w:rsidP="00C94E50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8</w:t>
                  </w:r>
                  <w:r w:rsidR="00C94E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.</w:t>
                  </w: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д)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Олово в припой за висока температура на топене (т.е. сплави на оловото с 85 % или повече тегловно съдържание на олово)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2A0F04" w:rsidP="00896A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anchor="ntr2-L_2016128BG.01000602-E0002" w:history="1">
              <w:r w:rsidR="007C124B" w:rsidRPr="007C124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r w:rsidR="007C124B"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896A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hyperlink r:id="rId11" w:anchor="ntr3-L_2016128BG.01000602-E0003" w:history="1">
              <w:r w:rsidRPr="007C124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(</w:t>
              </w:r>
              <w:r w:rsidR="00896A35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</w:rPr>
                <w:t>1</w:t>
              </w:r>
              <w:r w:rsidRPr="007C124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)</w:t>
              </w:r>
            </w:hyperlink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"/>
              <w:gridCol w:w="4494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7C124B" w:rsidRDefault="007C124B" w:rsidP="00C94E50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е)(a)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Олово, използвано в съвместими щифтови съединителни системи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Превозни средства, чийто тип е одобрен преди 1 януари 2017 г. и резервни части за тези превозни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896A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hyperlink r:id="rId12" w:anchor="ntr3-L_2016128BG.01000602-E0003" w:history="1">
              <w:r w:rsidRPr="007C124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(</w:t>
              </w:r>
              <w:r w:rsidR="00896A35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</w:rPr>
                <w:t>1</w:t>
              </w:r>
              <w:r w:rsidRPr="007C124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)</w:t>
              </w:r>
            </w:hyperlink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4478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7C124B" w:rsidRDefault="007C124B" w:rsidP="00C94E50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е)(б)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Олово, използвано в съвместими щифтови съединителни системи, различни от свързващата повърхност на електрическите съединители в токопроводящата система на превозни средства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896A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hyperlink r:id="rId13" w:anchor="ntr3-L_2016128BG.01000602-E0003" w:history="1">
              <w:r w:rsidRPr="007C124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(</w:t>
              </w:r>
              <w:r w:rsidR="00896A35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</w:rPr>
                <w:t>1</w:t>
              </w:r>
              <w:r w:rsidRPr="007C124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)</w:t>
              </w:r>
            </w:hyperlink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"/>
              <w:gridCol w:w="4701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7C124B" w:rsidRDefault="007C124B" w:rsidP="00C94E50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ж)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Олово в припой за създаване на надеждна електрическа връзка между полупроводниковия кристал и носещата част в корпусите на интегрални схеми от типа Flip-Chip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2A0F04" w:rsidP="00896A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anchor="ntr2-L_2016128BG.01000602-E0002" w:history="1">
              <w:r w:rsidR="007C124B" w:rsidRPr="007C124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  <w:r w:rsidR="007C124B"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896A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hyperlink r:id="rId15" w:anchor="ntr3-L_2016128BG.01000602-E0003" w:history="1">
              <w:r w:rsidRPr="007C124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(</w:t>
              </w:r>
              <w:r w:rsidR="00896A35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</w:rPr>
                <w:t>1</w:t>
              </w:r>
              <w:r w:rsidRPr="007C124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)</w:t>
              </w:r>
            </w:hyperlink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"/>
              <w:gridCol w:w="4772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7C124B" w:rsidRDefault="007C124B" w:rsidP="00C94E50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з)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Олово в припой за прикрепване на топлоотвеждащи пластини към радиатора на силови полупроводникови блокове с размер на интегралната схема от поне 1 cm</w:t>
                  </w: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излъчваща зона и номинална плътност от поне 1 A/mm</w:t>
                  </w: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силициевата зона на интегралната схема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Превозни средства, чийто тип е одобрен преди 1 януари 2016 г. и резервни части за тези превозни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896A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hyperlink r:id="rId16" w:anchor="ntr3-L_2016128BG.01000602-E0003" w:history="1">
              <w:r w:rsidRPr="007C124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(</w:t>
              </w:r>
              <w:r w:rsidR="00896A35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</w:rPr>
                <w:t>1</w:t>
              </w:r>
              <w:r w:rsidRPr="007C124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)</w:t>
              </w:r>
            </w:hyperlink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"/>
              <w:gridCol w:w="4738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7C124B" w:rsidRDefault="007C124B" w:rsidP="00C94E50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и)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Олово в припой за запояване при приложения в стъкла с вграден електрически проводник, с изключение на запояване в многопластови стъкла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Превозни средства, чийто тип е одобрен преди 1 януари 2016 г. и резервни части за тези превозни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896A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hyperlink r:id="rId17" w:anchor="ntr3-L_2016128BG.01000602-E0003" w:history="1">
              <w:r w:rsidRPr="007C124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(</w:t>
              </w:r>
              <w:r w:rsidR="00896A35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</w:rPr>
                <w:t>1</w:t>
              </w:r>
              <w:r w:rsidRPr="007C124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)</w:t>
              </w:r>
            </w:hyperlink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4603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7C124B" w:rsidRDefault="007C124B" w:rsidP="00C94E50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й)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Олово в припой за запояване на многопластови стъкла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Превозни средства, чийто тип е одобрен преди 1 януари 2020 г. и резервни части за тези превозни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896A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hyperlink r:id="rId18" w:anchor="ntr3-L_2016128BG.01000602-E0003" w:history="1">
              <w:r w:rsidRPr="007C124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(</w:t>
              </w:r>
              <w:r w:rsidR="00896A35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</w:rPr>
                <w:t>1</w:t>
              </w:r>
              <w:r w:rsidRPr="007C124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)</w:t>
              </w:r>
            </w:hyperlink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"/>
              <w:gridCol w:w="4494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Легла на клапани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Като резервни части </w:t>
            </w: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 типове двигатели, разработени преди 1 юли 2003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9"/>
              <w:gridCol w:w="4618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7C124B" w:rsidRDefault="007C124B" w:rsidP="00C94E50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10</w:t>
                  </w:r>
                  <w:r w:rsidR="00C94E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.</w:t>
                  </w: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a)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Електрически и електронни компоненти, съдържащи олово в стъкло или керамика, в стъклена или керамична матрична съставка на композитен материал, в стъклено-керамичен материал или в стъклено-керамична матрична съставка на композитен материал.</w:t>
                  </w:r>
                </w:p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Това освобождаване не важи за използването на олово във: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4378"/>
                  </w:tblGrid>
                  <w:tr w:rsidR="007C124B" w:rsidRPr="007C124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C124B" w:rsidRPr="007C124B" w:rsidRDefault="007C124B" w:rsidP="007C124B">
                        <w:pPr>
                          <w:spacing w:before="120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C12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—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C124B" w:rsidRPr="007C124B" w:rsidRDefault="007C124B" w:rsidP="007C124B">
                        <w:pPr>
                          <w:spacing w:before="120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C12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стъкло в лампови колби и глазура на запалителни свещи,</w:t>
                        </w:r>
                      </w:p>
                    </w:tc>
                  </w:tr>
                </w:tbl>
                <w:p w:rsidR="007C124B" w:rsidRPr="007C124B" w:rsidRDefault="007C124B" w:rsidP="007C12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4378"/>
                  </w:tblGrid>
                  <w:tr w:rsidR="007C124B" w:rsidRPr="007C124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C124B" w:rsidRPr="007C124B" w:rsidRDefault="007C124B" w:rsidP="007C124B">
                        <w:pPr>
                          <w:spacing w:before="120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C12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—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C124B" w:rsidRPr="007C124B" w:rsidRDefault="007C124B" w:rsidP="007C124B">
                        <w:pPr>
                          <w:spacing w:before="120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C12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диелектрични керамични материали за компонентите, изброени в 10 б), 10 в) и 10 г).</w:t>
                        </w:r>
                      </w:p>
                    </w:tc>
                  </w:tr>
                </w:tbl>
                <w:p w:rsidR="007C124B" w:rsidRPr="007C124B" w:rsidRDefault="007C124B" w:rsidP="007C12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896A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hyperlink r:id="rId19" w:anchor="ntr4-L_2016128BG.01000602-E0004" w:history="1">
              <w:r w:rsidRPr="007C124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(</w:t>
              </w:r>
              <w:r w:rsidR="00896A35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  <w:r w:rsidRPr="007C124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)</w:t>
              </w:r>
            </w:hyperlink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компоненти, различни от пиезокерамиките в двигателите)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"/>
              <w:gridCol w:w="4735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7C124B" w:rsidRDefault="007C124B" w:rsidP="00C94E50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б)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Олово в диелектрични керамични материали на основата на цирконат-титанат на оловото, използвани в кондензатори, които са част от интегрални схеми или дискретни полупроводникови елементи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"/>
              <w:gridCol w:w="4753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7C124B" w:rsidRDefault="007C124B" w:rsidP="00A94E68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в)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Олово в диелектрични керамични материали на кондензатори за номинално напрежение, което е по-ниско от 125 V~ или 250 V=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Превозни средства, чийто тип е одобрен преди 1 януари 2016 г., и резервни части за тези превозни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"/>
              <w:gridCol w:w="4768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7C124B" w:rsidRDefault="007C124B" w:rsidP="00A94E68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г)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Олово в диелектрични керамични материали на кондензатори за компенсация на свързаните с температурата отклонения на датчиците в ултразвуковите хидроакустични системи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Превозни средства, чийто тип е одобрен преди 1 януари 2017 г. и резервни части за тези превозни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5"/>
              <w:gridCol w:w="4622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Пиротехнически задействащи устройства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Превозни средства, чийто тип е одобрен преди 1 юли 2006 г., и резервни части за тези превозни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4647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Съдържащи олово термоелектрични </w:t>
                  </w: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материали за електротехнически приложения в автомобила с цел намаляване на емисиите на CO</w:t>
                  </w: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чрез оползотворяване на топлината на отработилите газове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Превозни средства, чийто тип е одобрен </w:t>
            </w: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преди 1 януари 2019 г., и резервни части за тези превозни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</w:tr>
      <w:tr w:rsidR="007C124B" w:rsidRPr="007C124B" w:rsidTr="007C124B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C124B" w:rsidRPr="007C124B" w:rsidRDefault="007C124B" w:rsidP="007C124B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Шествалентен хром</w:t>
            </w:r>
            <w:r w:rsidRPr="007C12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4100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CF7F4D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  <w:r w:rsidR="00A94E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.</w:t>
                  </w: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a)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Покрития против корозия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Като резервни части за превозни средства, пуснати на пазара преди 1 юли 2007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4663"/>
            </w:tblGrid>
            <w:tr w:rsidR="007C124B" w:rsidRPr="007C124B" w:rsidTr="00CF7F4D">
              <w:trPr>
                <w:tblCellSpacing w:w="0" w:type="dxa"/>
              </w:trPr>
              <w:tc>
                <w:tcPr>
                  <w:tcW w:w="287" w:type="pct"/>
                  <w:hideMark/>
                </w:tcPr>
                <w:p w:rsidR="007C124B" w:rsidRPr="007C124B" w:rsidRDefault="007C124B" w:rsidP="00A94E68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</w:t>
                  </w:r>
                </w:p>
              </w:tc>
              <w:tc>
                <w:tcPr>
                  <w:tcW w:w="4713" w:type="pct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Покрития против корозия, използвани за сглобките с болтове и гайки за ходовата част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Като резервни части за превозни средства, пуснати на пазара преди 1 юли 2008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4647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Като антикорозионен агент за охладителната система от въглеродна стомана на абсорбционни хладилници в моторните каравани до 0,75 тегловни % в охлаждащия разтвор, освен ако е възможно използването на други технологии за охлаждане (т.е. на разположение на пазара за приложение в моторни каравани) и не води до отрицателни въздействия върху околната среда, здравето и/или безопасността на потребителите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C124B" w:rsidRPr="007C124B" w:rsidTr="007C124B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C124B" w:rsidRPr="007C124B" w:rsidRDefault="007C124B" w:rsidP="007C124B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Живак</w:t>
            </w:r>
            <w:r w:rsidRPr="007C12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4211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7C124B" w:rsidRDefault="007C124B" w:rsidP="00A94E68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  <w:r w:rsidR="00A94E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.</w:t>
                  </w: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a)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Газоразрядни лампи за фарове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Превозни средства, чийто тип е одобрен преди 1 юли 2012 г., и резервни части за тези превозни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"/>
              <w:gridCol w:w="4744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7C124B" w:rsidRDefault="007C124B" w:rsidP="00A94E68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Луминесцентни лампи, използвани в дисплеите на арматурните табла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Превозни средства, чийто тип е одобрен преди 1 юли 2012 г., и резервни части за тези превозни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C124B" w:rsidRPr="007C124B" w:rsidTr="007C124B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C124B" w:rsidRPr="007C124B" w:rsidRDefault="007C124B" w:rsidP="007C124B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Кадмий</w:t>
            </w:r>
            <w:r w:rsidRPr="007C12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C124B" w:rsidRPr="007C124B" w:rsidTr="004B282E">
        <w:trPr>
          <w:tblCellSpacing w:w="0" w:type="dxa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4647"/>
            </w:tblGrid>
            <w:tr w:rsidR="007C124B" w:rsidRPr="007C12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0" w:type="auto"/>
                  <w:hideMark/>
                </w:tcPr>
                <w:p w:rsidR="007C124B" w:rsidRPr="007C124B" w:rsidRDefault="007C124B" w:rsidP="007C124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2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Акумулатори за електрически превозни средства</w:t>
                  </w:r>
                </w:p>
              </w:tc>
            </w:tr>
          </w:tbl>
          <w:p w:rsidR="007C124B" w:rsidRPr="007C124B" w:rsidRDefault="007C124B" w:rsidP="007C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Като резервни части за превозни средства, пуснати на пазара преди 31 декември </w:t>
            </w: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2008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24B" w:rsidRPr="007C124B" w:rsidRDefault="007C124B" w:rsidP="007C124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</w:tbl>
    <w:p w:rsidR="007C124B" w:rsidRPr="007C124B" w:rsidRDefault="007C124B" w:rsidP="007C124B">
      <w:pPr>
        <w:spacing w:before="120"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C124B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Забележки: </w:t>
      </w:r>
    </w:p>
    <w:p w:rsidR="007C124B" w:rsidRPr="007C124B" w:rsidRDefault="007C124B" w:rsidP="007C124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24B">
        <w:rPr>
          <w:rFonts w:ascii="Times New Roman" w:eastAsia="Times New Roman" w:hAnsi="Times New Roman" w:cs="Times New Roman"/>
          <w:sz w:val="24"/>
          <w:szCs w:val="24"/>
        </w:rPr>
        <w:t>При хомогенен материал, за олово, шествалентен хром и живак се допуска максимална тегловна концентрация до 0</w:t>
      </w:r>
      <w:proofErr w:type="gramStart"/>
      <w:r w:rsidRPr="007C124B">
        <w:rPr>
          <w:rFonts w:ascii="Times New Roman" w:eastAsia="Times New Roman" w:hAnsi="Times New Roman" w:cs="Times New Roman"/>
          <w:sz w:val="24"/>
          <w:szCs w:val="24"/>
        </w:rPr>
        <w:t>,1</w:t>
      </w:r>
      <w:proofErr w:type="gramEnd"/>
      <w:r w:rsidRPr="007C124B">
        <w:rPr>
          <w:rFonts w:ascii="Times New Roman" w:eastAsia="Times New Roman" w:hAnsi="Times New Roman" w:cs="Times New Roman"/>
          <w:sz w:val="24"/>
          <w:szCs w:val="24"/>
        </w:rPr>
        <w:t xml:space="preserve"> %, а за кадмий — 0,01 %.</w:t>
      </w:r>
    </w:p>
    <w:p w:rsidR="007C124B" w:rsidRPr="007C124B" w:rsidRDefault="007C124B" w:rsidP="0041190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124B">
        <w:rPr>
          <w:rFonts w:ascii="Times New Roman" w:eastAsia="Times New Roman" w:hAnsi="Times New Roman" w:cs="Times New Roman"/>
          <w:sz w:val="24"/>
          <w:szCs w:val="24"/>
        </w:rPr>
        <w:t xml:space="preserve">Разрешава се без ограничения повторната употреба на части от превозни средства, които вече са били на пазара към датата на изтичане на освобождаването, тъй като употребата им не попада в обхвата </w:t>
      </w:r>
      <w:r w:rsidRPr="002C61A0">
        <w:rPr>
          <w:rFonts w:ascii="Times New Roman" w:eastAsia="Times New Roman" w:hAnsi="Times New Roman" w:cs="Times New Roman"/>
          <w:sz w:val="24"/>
          <w:szCs w:val="24"/>
        </w:rPr>
        <w:t>на чл</w:t>
      </w:r>
      <w:r w:rsidR="0024534C" w:rsidRPr="002C61A0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proofErr w:type="gramEnd"/>
      <w:r w:rsidR="000547A1" w:rsidRPr="002C61A0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Pr="002C61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124B" w:rsidRPr="002C61A0" w:rsidRDefault="007C124B" w:rsidP="0041190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24B">
        <w:rPr>
          <w:rFonts w:ascii="Times New Roman" w:eastAsia="Times New Roman" w:hAnsi="Times New Roman" w:cs="Times New Roman"/>
          <w:sz w:val="24"/>
          <w:szCs w:val="24"/>
        </w:rPr>
        <w:t xml:space="preserve">Резервните части, пуснати на пазара след 1 юли 2003 г., които се използват за превозни средства, пуснати на пазара преди 1 юли 2003 г., се освобождават от разпоредбите на </w:t>
      </w:r>
      <w:r w:rsidRPr="002C61A0">
        <w:rPr>
          <w:rFonts w:ascii="Times New Roman" w:eastAsia="Times New Roman" w:hAnsi="Times New Roman" w:cs="Times New Roman"/>
          <w:sz w:val="24"/>
          <w:szCs w:val="24"/>
        </w:rPr>
        <w:t>чл</w:t>
      </w:r>
      <w:r w:rsidR="00486C1C" w:rsidRPr="002C61A0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0547A1" w:rsidRPr="002C61A0">
        <w:rPr>
          <w:rFonts w:ascii="Times New Roman" w:eastAsia="Times New Roman" w:hAnsi="Times New Roman" w:cs="Times New Roman"/>
          <w:sz w:val="24"/>
          <w:szCs w:val="24"/>
        </w:rPr>
        <w:t>5</w:t>
      </w:r>
      <w:hyperlink r:id="rId20" w:anchor="ntr*-L_2016128BG.01000602-E0005" w:history="1">
        <w:r w:rsidRPr="002C61A0">
          <w:rPr>
            <w:rFonts w:ascii="Times New Roman" w:eastAsia="Times New Roman" w:hAnsi="Times New Roman" w:cs="Times New Roman"/>
            <w:sz w:val="24"/>
            <w:szCs w:val="24"/>
          </w:rPr>
          <w:t> (</w:t>
        </w:r>
        <w:r w:rsidRPr="002C61A0">
          <w:rPr>
            <w:rFonts w:ascii="Times New Roman" w:eastAsia="Times New Roman" w:hAnsi="Times New Roman" w:cs="Times New Roman"/>
            <w:sz w:val="24"/>
            <w:szCs w:val="24"/>
            <w:vertAlign w:val="superscript"/>
          </w:rPr>
          <w:t>*</w:t>
        </w:r>
        <w:r w:rsidRPr="002C61A0">
          <w:rPr>
            <w:rFonts w:ascii="Times New Roman" w:eastAsia="Times New Roman" w:hAnsi="Times New Roman" w:cs="Times New Roman"/>
            <w:sz w:val="24"/>
            <w:szCs w:val="24"/>
          </w:rPr>
          <w:t>)</w:t>
        </w:r>
      </w:hyperlink>
      <w:r w:rsidRPr="002C61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124B" w:rsidRPr="007C124B" w:rsidRDefault="002A0F04" w:rsidP="00411907">
      <w:pPr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93.6pt;height:.75pt" o:hrpct="200" o:hrstd="t" o:hrnoshade="t" o:hr="t" fillcolor="black" stroked="f"/>
        </w:pict>
      </w:r>
    </w:p>
    <w:p w:rsidR="007C124B" w:rsidRPr="007C124B" w:rsidRDefault="002A0F04" w:rsidP="0041190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" w:anchor="ntc3-L_2016128BG.01000602-E0003" w:history="1">
        <w:proofErr w:type="gramStart"/>
        <w:r w:rsidR="007C124B" w:rsidRPr="007C124B">
          <w:rPr>
            <w:rFonts w:ascii="Times New Roman" w:eastAsia="Times New Roman" w:hAnsi="Times New Roman" w:cs="Times New Roman"/>
            <w:sz w:val="24"/>
            <w:szCs w:val="24"/>
          </w:rPr>
          <w:t>(</w:t>
        </w:r>
        <w:r w:rsidR="00896A35">
          <w:rPr>
            <w:rFonts w:ascii="Times New Roman" w:eastAsia="Times New Roman" w:hAnsi="Times New Roman" w:cs="Times New Roman"/>
            <w:sz w:val="24"/>
            <w:szCs w:val="24"/>
            <w:vertAlign w:val="superscript"/>
          </w:rPr>
          <w:t>1</w:t>
        </w:r>
        <w:r w:rsidR="007C124B" w:rsidRPr="007C124B">
          <w:rPr>
            <w:rFonts w:ascii="Times New Roman" w:eastAsia="Times New Roman" w:hAnsi="Times New Roman" w:cs="Times New Roman"/>
            <w:sz w:val="24"/>
            <w:szCs w:val="24"/>
          </w:rPr>
          <w:t>)</w:t>
        </w:r>
      </w:hyperlink>
      <w:r w:rsidR="007C124B" w:rsidRPr="007C124B">
        <w:rPr>
          <w:rFonts w:ascii="Times New Roman" w:eastAsia="Times New Roman" w:hAnsi="Times New Roman" w:cs="Times New Roman"/>
          <w:sz w:val="24"/>
          <w:szCs w:val="24"/>
        </w:rPr>
        <w:t>  Демонтаж, ако във връзка с точка 10, буква а) е надвишен средният праг от 60 грама за превозно средство.</w:t>
      </w:r>
      <w:proofErr w:type="gramEnd"/>
      <w:r w:rsidR="007C124B" w:rsidRPr="007C1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C124B" w:rsidRPr="007C124B">
        <w:rPr>
          <w:rFonts w:ascii="Times New Roman" w:eastAsia="Times New Roman" w:hAnsi="Times New Roman" w:cs="Times New Roman"/>
          <w:sz w:val="24"/>
          <w:szCs w:val="24"/>
        </w:rPr>
        <w:t>За прилагането на тази клауза няма да се вземат предвид електронни устройства, които не са монтирани на производствената линия от производителя.</w:t>
      </w:r>
      <w:proofErr w:type="gramEnd"/>
    </w:p>
    <w:p w:rsidR="007C124B" w:rsidRPr="002C61A0" w:rsidRDefault="002A0F04" w:rsidP="0041190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" w:anchor="ntc4-L_2016128BG.01000602-E0004" w:history="1">
        <w:proofErr w:type="gramStart"/>
        <w:r w:rsidR="007C124B" w:rsidRPr="002C61A0">
          <w:rPr>
            <w:rFonts w:ascii="Times New Roman" w:eastAsia="Times New Roman" w:hAnsi="Times New Roman" w:cs="Times New Roman"/>
            <w:sz w:val="24"/>
            <w:szCs w:val="24"/>
          </w:rPr>
          <w:t>(</w:t>
        </w:r>
        <w:r w:rsidR="00896A35">
          <w:rPr>
            <w:rFonts w:ascii="Times New Roman" w:eastAsia="Times New Roman" w:hAnsi="Times New Roman" w:cs="Times New Roman"/>
            <w:sz w:val="24"/>
            <w:szCs w:val="24"/>
            <w:vertAlign w:val="superscript"/>
          </w:rPr>
          <w:t>2</w:t>
        </w:r>
        <w:r w:rsidR="007C124B" w:rsidRPr="002C61A0">
          <w:rPr>
            <w:rFonts w:ascii="Times New Roman" w:eastAsia="Times New Roman" w:hAnsi="Times New Roman" w:cs="Times New Roman"/>
            <w:sz w:val="24"/>
            <w:szCs w:val="24"/>
          </w:rPr>
          <w:t>)</w:t>
        </w:r>
      </w:hyperlink>
      <w:r w:rsidR="007C124B" w:rsidRPr="002C61A0">
        <w:rPr>
          <w:rFonts w:ascii="Times New Roman" w:eastAsia="Times New Roman" w:hAnsi="Times New Roman" w:cs="Times New Roman"/>
          <w:sz w:val="24"/>
          <w:szCs w:val="24"/>
        </w:rPr>
        <w:t xml:space="preserve">  Демонтаж, ако във връзка с </w:t>
      </w:r>
      <w:r w:rsidR="00A94E68" w:rsidRPr="002C61A0">
        <w:rPr>
          <w:rFonts w:ascii="Times New Roman" w:eastAsia="Times New Roman" w:hAnsi="Times New Roman" w:cs="Times New Roman"/>
          <w:sz w:val="24"/>
          <w:szCs w:val="24"/>
        </w:rPr>
        <w:t>точк</w:t>
      </w:r>
      <w:r w:rsidR="00A94E68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="00A94E68" w:rsidRPr="002C61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24B" w:rsidRPr="002C61A0">
        <w:rPr>
          <w:rFonts w:ascii="Times New Roman" w:eastAsia="Times New Roman" w:hAnsi="Times New Roman" w:cs="Times New Roman"/>
          <w:sz w:val="24"/>
          <w:szCs w:val="24"/>
        </w:rPr>
        <w:t>8</w:t>
      </w:r>
      <w:r w:rsidR="00A94E68">
        <w:rPr>
          <w:rFonts w:ascii="Times New Roman" w:eastAsia="Times New Roman" w:hAnsi="Times New Roman" w:cs="Times New Roman"/>
          <w:sz w:val="24"/>
          <w:szCs w:val="24"/>
          <w:lang w:val="bg-BG"/>
        </w:rPr>
        <w:t>, букви</w:t>
      </w:r>
      <w:r w:rsidR="00A94E68" w:rsidRPr="002C61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24B" w:rsidRPr="002C61A0">
        <w:rPr>
          <w:rFonts w:ascii="Times New Roman" w:eastAsia="Times New Roman" w:hAnsi="Times New Roman" w:cs="Times New Roman"/>
          <w:sz w:val="24"/>
          <w:szCs w:val="24"/>
        </w:rPr>
        <w:t>а) — 8.</w:t>
      </w:r>
      <w:proofErr w:type="gramEnd"/>
      <w:r w:rsidR="007C124B" w:rsidRPr="002C61A0">
        <w:rPr>
          <w:rFonts w:ascii="Times New Roman" w:eastAsia="Times New Roman" w:hAnsi="Times New Roman" w:cs="Times New Roman"/>
          <w:sz w:val="24"/>
          <w:szCs w:val="24"/>
        </w:rPr>
        <w:t xml:space="preserve"> й) </w:t>
      </w:r>
      <w:proofErr w:type="gramStart"/>
      <w:r w:rsidR="007C124B" w:rsidRPr="002C61A0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gramEnd"/>
      <w:r w:rsidR="007C124B" w:rsidRPr="002C61A0">
        <w:rPr>
          <w:rFonts w:ascii="Times New Roman" w:eastAsia="Times New Roman" w:hAnsi="Times New Roman" w:cs="Times New Roman"/>
          <w:sz w:val="24"/>
          <w:szCs w:val="24"/>
        </w:rPr>
        <w:t xml:space="preserve"> надвишен средният праг от 60 грама за превозно средство. </w:t>
      </w:r>
      <w:proofErr w:type="gramStart"/>
      <w:r w:rsidR="007C124B" w:rsidRPr="002C61A0">
        <w:rPr>
          <w:rFonts w:ascii="Times New Roman" w:eastAsia="Times New Roman" w:hAnsi="Times New Roman" w:cs="Times New Roman"/>
          <w:sz w:val="24"/>
          <w:szCs w:val="24"/>
        </w:rPr>
        <w:t>За прилагането на тази клауза няма да се вземат предвид електронни устройства, които не са монтирани на производствената линия от производителя.</w:t>
      </w:r>
      <w:proofErr w:type="gramEnd"/>
    </w:p>
    <w:p w:rsidR="007C124B" w:rsidRDefault="002A0F04" w:rsidP="0041190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" w:anchor="ntc*-L_2016128BG.01000602-E0005" w:history="1">
        <w:r w:rsidR="007C124B" w:rsidRPr="002C61A0">
          <w:rPr>
            <w:rFonts w:ascii="Times New Roman" w:eastAsia="Times New Roman" w:hAnsi="Times New Roman" w:cs="Times New Roman"/>
            <w:sz w:val="24"/>
            <w:szCs w:val="24"/>
          </w:rPr>
          <w:t>(</w:t>
        </w:r>
        <w:r w:rsidR="007C124B" w:rsidRPr="002C61A0">
          <w:rPr>
            <w:rFonts w:ascii="Times New Roman" w:eastAsia="Times New Roman" w:hAnsi="Times New Roman" w:cs="Times New Roman"/>
            <w:sz w:val="24"/>
            <w:szCs w:val="24"/>
            <w:vertAlign w:val="superscript"/>
          </w:rPr>
          <w:t>*</w:t>
        </w:r>
        <w:r w:rsidR="007C124B" w:rsidRPr="002C61A0">
          <w:rPr>
            <w:rFonts w:ascii="Times New Roman" w:eastAsia="Times New Roman" w:hAnsi="Times New Roman" w:cs="Times New Roman"/>
            <w:sz w:val="24"/>
            <w:szCs w:val="24"/>
          </w:rPr>
          <w:t>)</w:t>
        </w:r>
      </w:hyperlink>
      <w:r w:rsidR="007C124B" w:rsidRPr="002C61A0">
        <w:rPr>
          <w:rFonts w:ascii="Times New Roman" w:eastAsia="Times New Roman" w:hAnsi="Times New Roman" w:cs="Times New Roman"/>
          <w:sz w:val="24"/>
          <w:szCs w:val="24"/>
        </w:rPr>
        <w:t>  Тази клауза</w:t>
      </w:r>
      <w:r w:rsidR="007C124B" w:rsidRPr="007C124B">
        <w:rPr>
          <w:rFonts w:ascii="Times New Roman" w:eastAsia="Times New Roman" w:hAnsi="Times New Roman" w:cs="Times New Roman"/>
          <w:sz w:val="24"/>
          <w:szCs w:val="24"/>
        </w:rPr>
        <w:t xml:space="preserve"> не се прилага за тежестите за балансиране на колела, въгленовите четки за електродвигатели и спирачните накладки</w:t>
      </w:r>
      <w:proofErr w:type="gramStart"/>
      <w:r w:rsidR="007C124B" w:rsidRPr="007C124B">
        <w:rPr>
          <w:rFonts w:ascii="Times New Roman" w:eastAsia="Times New Roman" w:hAnsi="Times New Roman" w:cs="Times New Roman"/>
          <w:sz w:val="24"/>
          <w:szCs w:val="24"/>
        </w:rPr>
        <w:t>.“</w:t>
      </w:r>
      <w:proofErr w:type="gramEnd"/>
    </w:p>
    <w:p w:rsidR="00D75637" w:rsidRPr="00042968" w:rsidRDefault="00042968" w:rsidP="00042968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042968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ЗАКЛЮЧИТЕЛНА РАЗПОРЕДБА</w:t>
      </w:r>
    </w:p>
    <w:p w:rsidR="00042968" w:rsidRPr="00042968" w:rsidRDefault="00042968" w:rsidP="00042968">
      <w:pPr>
        <w:spacing w:before="24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4243C8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4</w:t>
      </w:r>
      <w:r w:rsidRPr="004243C8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Постановлението влиза в сила на 18</w:t>
      </w:r>
      <w:r w:rsidR="002A0F04">
        <w:rPr>
          <w:rFonts w:ascii="Times New Roman" w:eastAsia="Times New Roman" w:hAnsi="Times New Roman" w:cs="Times New Roman"/>
          <w:bCs/>
          <w:sz w:val="24"/>
          <w:szCs w:val="24"/>
        </w:rPr>
        <w:t>.11.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2016 г.</w:t>
      </w:r>
    </w:p>
    <w:p w:rsidR="00042968" w:rsidRPr="00042968" w:rsidRDefault="00042968" w:rsidP="00042968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22596B" w:rsidRPr="002673D2" w:rsidRDefault="0022596B" w:rsidP="0022596B">
      <w:pPr>
        <w:pStyle w:val="m"/>
        <w:spacing w:before="0" w:beforeAutospacing="0" w:after="0" w:afterAutospacing="0"/>
        <w:jc w:val="both"/>
      </w:pPr>
    </w:p>
    <w:p w:rsidR="0022596B" w:rsidRPr="009C6ABE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>МИНИСТЪР - ПРЕДСЕДАТЕЛ:</w:t>
      </w:r>
    </w:p>
    <w:p w:rsidR="0022596B" w:rsidRPr="009C6ABE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ab/>
        <w:t>/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БОЙКО БОРИСОВ</w:t>
      </w: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>/</w:t>
      </w:r>
    </w:p>
    <w:p w:rsidR="0022596B" w:rsidRPr="009C6ABE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И Д. </w:t>
      </w: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>ГЛАВЕН СЕКРЕТАР НА</w:t>
      </w:r>
    </w:p>
    <w:p w:rsidR="0022596B" w:rsidRPr="009C6ABE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>МИНИСТЕРСКИЯ СЪВЕТ:</w:t>
      </w:r>
    </w:p>
    <w:p w:rsidR="0022596B" w:rsidRPr="009C6ABE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>/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ВЕСЕЛИН ДАКОВ</w:t>
      </w: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 xml:space="preserve"> /</w:t>
      </w:r>
    </w:p>
    <w:p w:rsidR="0022596B" w:rsidRPr="00007177" w:rsidRDefault="0022596B" w:rsidP="0022596B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22596B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22596B" w:rsidRPr="009C6ABE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>ГЛАВЕН СЕКРЕТАР НА</w:t>
      </w:r>
    </w:p>
    <w:p w:rsidR="0022596B" w:rsidRPr="009C6ABE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>МИНИСТЕРСТВО НА ОКОЛНАТА СРЕДА И ВОДИТЕ:</w:t>
      </w:r>
    </w:p>
    <w:p w:rsidR="0022596B" w:rsidRPr="003F3FA8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   /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ВАЛЕРИЯ ГЕРОВА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/</w:t>
      </w:r>
    </w:p>
    <w:p w:rsidR="0022596B" w:rsidRPr="00235135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22596B" w:rsidRPr="009C6ABE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И.Д. </w:t>
      </w: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>ДИРЕКТОР НА ДИРЕКЦИЯ “ПРАВНО-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АДМИНИСТРАТИВНО</w:t>
      </w:r>
    </w:p>
    <w:p w:rsidR="0022596B" w:rsidRPr="009C6ABE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>ОБСЛУЖВАНЕ ” В МОСВ:</w:t>
      </w:r>
    </w:p>
    <w:p w:rsidR="004A3E41" w:rsidRPr="00007177" w:rsidRDefault="0022596B" w:rsidP="00007177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  </w:t>
      </w:r>
      <w:r w:rsidRPr="009C6ABE">
        <w:rPr>
          <w:rFonts w:ascii="Times New Roman" w:hAnsi="Times New Roman"/>
          <w:b/>
          <w:bCs/>
          <w:sz w:val="24"/>
          <w:szCs w:val="24"/>
          <w:lang w:val="ru-RU"/>
        </w:rPr>
        <w:t>/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ВАЛЕРИЯ ГЕРОВА/</w:t>
      </w:r>
    </w:p>
    <w:sectPr w:rsidR="004A3E41" w:rsidRPr="00007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3C92"/>
    <w:multiLevelType w:val="hybridMultilevel"/>
    <w:tmpl w:val="39E68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B195E"/>
    <w:multiLevelType w:val="hybridMultilevel"/>
    <w:tmpl w:val="DBE6C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4B"/>
    <w:rsid w:val="00007177"/>
    <w:rsid w:val="00042968"/>
    <w:rsid w:val="000547A1"/>
    <w:rsid w:val="000D7372"/>
    <w:rsid w:val="00151FBB"/>
    <w:rsid w:val="001B1870"/>
    <w:rsid w:val="001F43B2"/>
    <w:rsid w:val="0021290F"/>
    <w:rsid w:val="002136CD"/>
    <w:rsid w:val="0022596B"/>
    <w:rsid w:val="0024534C"/>
    <w:rsid w:val="002A0F04"/>
    <w:rsid w:val="002C61A0"/>
    <w:rsid w:val="0030042E"/>
    <w:rsid w:val="00314803"/>
    <w:rsid w:val="003212EB"/>
    <w:rsid w:val="003C58A6"/>
    <w:rsid w:val="003E68ED"/>
    <w:rsid w:val="00411907"/>
    <w:rsid w:val="004243C8"/>
    <w:rsid w:val="00486C1C"/>
    <w:rsid w:val="004A3E41"/>
    <w:rsid w:val="004B282E"/>
    <w:rsid w:val="00505A97"/>
    <w:rsid w:val="00597654"/>
    <w:rsid w:val="005D153D"/>
    <w:rsid w:val="00622823"/>
    <w:rsid w:val="007532B4"/>
    <w:rsid w:val="007A5C54"/>
    <w:rsid w:val="007C124B"/>
    <w:rsid w:val="007D2804"/>
    <w:rsid w:val="00886073"/>
    <w:rsid w:val="00896A35"/>
    <w:rsid w:val="008E1C26"/>
    <w:rsid w:val="00943FD6"/>
    <w:rsid w:val="00966864"/>
    <w:rsid w:val="00972593"/>
    <w:rsid w:val="00A02023"/>
    <w:rsid w:val="00A92FF7"/>
    <w:rsid w:val="00A94E68"/>
    <w:rsid w:val="00AD6781"/>
    <w:rsid w:val="00B53651"/>
    <w:rsid w:val="00B8720E"/>
    <w:rsid w:val="00BC6FF9"/>
    <w:rsid w:val="00C310BB"/>
    <w:rsid w:val="00C94E50"/>
    <w:rsid w:val="00CF3668"/>
    <w:rsid w:val="00CF7F4D"/>
    <w:rsid w:val="00D75637"/>
    <w:rsid w:val="00E4245C"/>
    <w:rsid w:val="00EF617E"/>
    <w:rsid w:val="00F74062"/>
    <w:rsid w:val="00F9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7C124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7C124B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bl-hdr">
    <w:name w:val="tbl-hdr"/>
    <w:basedOn w:val="Normal"/>
    <w:rsid w:val="007C124B"/>
    <w:pPr>
      <w:spacing w:before="60" w:after="60" w:line="240" w:lineRule="auto"/>
      <w:ind w:right="195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bl-txt">
    <w:name w:val="tbl-txt"/>
    <w:basedOn w:val="Normal"/>
    <w:rsid w:val="007C124B"/>
    <w:pPr>
      <w:spacing w:before="60" w:after="60" w:line="240" w:lineRule="auto"/>
    </w:pPr>
    <w:rPr>
      <w:rFonts w:ascii="Times New Roman" w:eastAsia="Times New Roman" w:hAnsi="Times New Roman" w:cs="Times New Roman"/>
    </w:rPr>
  </w:style>
  <w:style w:type="paragraph" w:customStyle="1" w:styleId="ti-annotation">
    <w:name w:val="ti-annotation"/>
    <w:basedOn w:val="Normal"/>
    <w:rsid w:val="007C124B"/>
    <w:pPr>
      <w:spacing w:before="120"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i-grseq-1">
    <w:name w:val="ti-grseq-1"/>
    <w:basedOn w:val="Normal"/>
    <w:rsid w:val="007C124B"/>
    <w:pPr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ld">
    <w:name w:val="bold"/>
    <w:basedOn w:val="DefaultParagraphFont"/>
    <w:rsid w:val="007C124B"/>
    <w:rPr>
      <w:b/>
      <w:bCs/>
    </w:rPr>
  </w:style>
  <w:style w:type="character" w:customStyle="1" w:styleId="italic">
    <w:name w:val="italic"/>
    <w:basedOn w:val="DefaultParagraphFont"/>
    <w:rsid w:val="007C124B"/>
    <w:rPr>
      <w:i/>
      <w:iCs/>
    </w:rPr>
  </w:style>
  <w:style w:type="character" w:customStyle="1" w:styleId="sub">
    <w:name w:val="sub"/>
    <w:basedOn w:val="DefaultParagraphFont"/>
    <w:rsid w:val="007C124B"/>
    <w:rPr>
      <w:sz w:val="17"/>
      <w:szCs w:val="17"/>
      <w:vertAlign w:val="subscript"/>
    </w:rPr>
  </w:style>
  <w:style w:type="character" w:customStyle="1" w:styleId="super">
    <w:name w:val="super"/>
    <w:basedOn w:val="DefaultParagraphFont"/>
    <w:rsid w:val="007C124B"/>
    <w:rPr>
      <w:sz w:val="17"/>
      <w:szCs w:val="17"/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C12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7372"/>
    <w:pPr>
      <w:ind w:left="720"/>
      <w:contextualSpacing/>
    </w:pPr>
  </w:style>
  <w:style w:type="paragraph" w:customStyle="1" w:styleId="m">
    <w:name w:val="m"/>
    <w:basedOn w:val="Normal"/>
    <w:rsid w:val="0022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Style">
    <w:name w:val="Style"/>
    <w:rsid w:val="003E68ED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C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45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3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3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34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7C124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7C124B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bl-hdr">
    <w:name w:val="tbl-hdr"/>
    <w:basedOn w:val="Normal"/>
    <w:rsid w:val="007C124B"/>
    <w:pPr>
      <w:spacing w:before="60" w:after="60" w:line="240" w:lineRule="auto"/>
      <w:ind w:right="195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bl-txt">
    <w:name w:val="tbl-txt"/>
    <w:basedOn w:val="Normal"/>
    <w:rsid w:val="007C124B"/>
    <w:pPr>
      <w:spacing w:before="60" w:after="60" w:line="240" w:lineRule="auto"/>
    </w:pPr>
    <w:rPr>
      <w:rFonts w:ascii="Times New Roman" w:eastAsia="Times New Roman" w:hAnsi="Times New Roman" w:cs="Times New Roman"/>
    </w:rPr>
  </w:style>
  <w:style w:type="paragraph" w:customStyle="1" w:styleId="ti-annotation">
    <w:name w:val="ti-annotation"/>
    <w:basedOn w:val="Normal"/>
    <w:rsid w:val="007C124B"/>
    <w:pPr>
      <w:spacing w:before="120"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i-grseq-1">
    <w:name w:val="ti-grseq-1"/>
    <w:basedOn w:val="Normal"/>
    <w:rsid w:val="007C124B"/>
    <w:pPr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ld">
    <w:name w:val="bold"/>
    <w:basedOn w:val="DefaultParagraphFont"/>
    <w:rsid w:val="007C124B"/>
    <w:rPr>
      <w:b/>
      <w:bCs/>
    </w:rPr>
  </w:style>
  <w:style w:type="character" w:customStyle="1" w:styleId="italic">
    <w:name w:val="italic"/>
    <w:basedOn w:val="DefaultParagraphFont"/>
    <w:rsid w:val="007C124B"/>
    <w:rPr>
      <w:i/>
      <w:iCs/>
    </w:rPr>
  </w:style>
  <w:style w:type="character" w:customStyle="1" w:styleId="sub">
    <w:name w:val="sub"/>
    <w:basedOn w:val="DefaultParagraphFont"/>
    <w:rsid w:val="007C124B"/>
    <w:rPr>
      <w:sz w:val="17"/>
      <w:szCs w:val="17"/>
      <w:vertAlign w:val="subscript"/>
    </w:rPr>
  </w:style>
  <w:style w:type="character" w:customStyle="1" w:styleId="super">
    <w:name w:val="super"/>
    <w:basedOn w:val="DefaultParagraphFont"/>
    <w:rsid w:val="007C124B"/>
    <w:rPr>
      <w:sz w:val="17"/>
      <w:szCs w:val="17"/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C12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7372"/>
    <w:pPr>
      <w:ind w:left="720"/>
      <w:contextualSpacing/>
    </w:pPr>
  </w:style>
  <w:style w:type="paragraph" w:customStyle="1" w:styleId="m">
    <w:name w:val="m"/>
    <w:basedOn w:val="Normal"/>
    <w:rsid w:val="0022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Style">
    <w:name w:val="Style"/>
    <w:rsid w:val="003E68ED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C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45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3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3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3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49805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BG/TXT/HTML/?uri=CELEX:32016L0774&amp;rid=1" TargetMode="External"/><Relationship Id="rId13" Type="http://schemas.openxmlformats.org/officeDocument/2006/relationships/hyperlink" Target="http://eur-lex.europa.eu/legal-content/BG/TXT/HTML/?uri=CELEX:32016L0774&amp;rid=1" TargetMode="External"/><Relationship Id="rId18" Type="http://schemas.openxmlformats.org/officeDocument/2006/relationships/hyperlink" Target="http://eur-lex.europa.eu/legal-content/BG/TXT/HTML/?uri=CELEX:32016L0774&amp;rid=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ur-lex.europa.eu/legal-content/BG/TXT/HTML/?uri=CELEX:32016L0774&amp;rid=1" TargetMode="External"/><Relationship Id="rId7" Type="http://schemas.openxmlformats.org/officeDocument/2006/relationships/hyperlink" Target="http://eur-lex.europa.eu/legal-content/BG/TXT/HTML/?uri=CELEX:32016L0774&amp;rid=1" TargetMode="External"/><Relationship Id="rId12" Type="http://schemas.openxmlformats.org/officeDocument/2006/relationships/hyperlink" Target="http://eur-lex.europa.eu/legal-content/BG/TXT/HTML/?uri=CELEX:32016L0774&amp;rid=1" TargetMode="External"/><Relationship Id="rId17" Type="http://schemas.openxmlformats.org/officeDocument/2006/relationships/hyperlink" Target="http://eur-lex.europa.eu/legal-content/BG/TXT/HTML/?uri=CELEX:32016L0774&amp;rid=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ur-lex.europa.eu/legal-content/BG/TXT/HTML/?uri=CELEX:32016L0774&amp;rid=1" TargetMode="External"/><Relationship Id="rId20" Type="http://schemas.openxmlformats.org/officeDocument/2006/relationships/hyperlink" Target="http://eur-lex.europa.eu/legal-content/BG/TXT/HTML/?uri=CELEX:32016L0774&amp;rid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ur-lex.europa.eu/legal-content/BG/TXT/HTML/?uri=CELEX:32016L0774&amp;rid=1" TargetMode="External"/><Relationship Id="rId11" Type="http://schemas.openxmlformats.org/officeDocument/2006/relationships/hyperlink" Target="http://eur-lex.europa.eu/legal-content/BG/TXT/HTML/?uri=CELEX:32016L0774&amp;rid=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ur-lex.europa.eu/legal-content/BG/TXT/HTML/?uri=CELEX:32016L0774&amp;rid=1" TargetMode="External"/><Relationship Id="rId23" Type="http://schemas.openxmlformats.org/officeDocument/2006/relationships/hyperlink" Target="http://eur-lex.europa.eu/legal-content/BG/TXT/HTML/?uri=CELEX:32016L0774&amp;rid=1" TargetMode="External"/><Relationship Id="rId10" Type="http://schemas.openxmlformats.org/officeDocument/2006/relationships/hyperlink" Target="http://eur-lex.europa.eu/legal-content/BG/TXT/HTML/?uri=CELEX:32016L0774&amp;rid=1" TargetMode="External"/><Relationship Id="rId19" Type="http://schemas.openxmlformats.org/officeDocument/2006/relationships/hyperlink" Target="http://eur-lex.europa.eu/legal-content/BG/TXT/HTML/?uri=CELEX:32016L0774&amp;ri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BG/TXT/HTML/?uri=CELEX:32016L0774&amp;rid=1" TargetMode="External"/><Relationship Id="rId14" Type="http://schemas.openxmlformats.org/officeDocument/2006/relationships/hyperlink" Target="http://eur-lex.europa.eu/legal-content/BG/TXT/HTML/?uri=CELEX:32016L0774&amp;rid=1" TargetMode="External"/><Relationship Id="rId22" Type="http://schemas.openxmlformats.org/officeDocument/2006/relationships/hyperlink" Target="http://eur-lex.europa.eu/legal-content/BG/TXT/HTML/?uri=CELEX:32016L0774&amp;ri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KGeorgieva</dc:creator>
  <cp:lastModifiedBy>KGeorgieva</cp:lastModifiedBy>
  <cp:revision>5</cp:revision>
  <dcterms:created xsi:type="dcterms:W3CDTF">2016-10-07T06:39:00Z</dcterms:created>
  <dcterms:modified xsi:type="dcterms:W3CDTF">2016-10-18T13:56:00Z</dcterms:modified>
</cp:coreProperties>
</file>