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17" w:rsidRPr="009D3E17" w:rsidRDefault="009D3E17" w:rsidP="009D3E1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М  О  Т  И  В  И</w:t>
      </w:r>
    </w:p>
    <w:p w:rsidR="009D3E17" w:rsidRPr="009D3E17" w:rsidRDefault="009D3E17" w:rsidP="009D3E1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D3E17" w:rsidRPr="009D3E17" w:rsidRDefault="009D3E17" w:rsidP="009D3E1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към проекта на Закон за изменение и допълнение на Закона за генетично модифицирани организми</w:t>
      </w:r>
    </w:p>
    <w:p w:rsidR="009D3E17" w:rsidRPr="009D3E17" w:rsidRDefault="009D3E17" w:rsidP="009D3E1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Проектът на Закон за изменение и допълнение на Закона за генетично модифицирани организми е разработен с цел да се приведе националното законодателство в областта на биологичната безопасност в съответствие с действащото Европейско законодателство, като същевременно се подобри защитата на гражданите от потенциално вредни агенти.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Предложените промените в Закона за генетично модифицирани организми (ЗГМО) са в отговор на мотивирано становище 2010/2152 C(2012) 2588 от 26 Април 2012 г на Европейската Комисия по Нарушение № 2010/2152, с което Република България се приканва да промени чл. 17, ал. 1 от ЗГМО, като включи в обхвата му и дейности с ГМО без риск за човешкото здраве и околната среда, като по този начин приведе Закона в пълно съответствие с разпоредбите на Директива 2009/41/ЕО относно работата с генетично модифицирани микроорганизми в контролирани условия.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Понастоящем, чл. 23 от ЗГМО задължава работа с ГМО в контролирани условия да се извършва само в помещения, които са били регистрирани в Министерството на околната среда и водите и отговарят на изискванията за безопасна работа, независимо от наличието или отсъствието на риск за здравето и околната среда По този начин всички ГМО попадат в обхвата на ЗГМО, въпреки, че не е изрично упоменато, че ГМО, които не представляват риск за човешкото здраве и околната среда също се включват в разпоредбите на чл. 17, ал. 1 от ЗГМО. Това поражда известна правна несигурност.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С цел да се внесе пълна правна яснота, се предлага да бъдат направени предложените промени в ЗГМО. Това ще доведе и до прекратяване на процед</w:t>
      </w:r>
      <w:r>
        <w:rPr>
          <w:rFonts w:ascii="Times New Roman" w:hAnsi="Times New Roman" w:cs="Times New Roman"/>
          <w:sz w:val="24"/>
          <w:szCs w:val="24"/>
          <w:lang w:val="bg-BG"/>
        </w:rPr>
        <w:t>урата по Нарушение № 2010/2152.</w:t>
      </w:r>
      <w:bookmarkStart w:id="0" w:name="_GoBack"/>
      <w:bookmarkEnd w:id="0"/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Предложените промените в Закона за отговорността за предотвратяване и отстраняване на екологични щети са в изпълнение на поети ангажименти пред Европейската комисия за привеждане в пълно съответствие на транспонирането в националното законодателство на Директива 2004/35/ЕО относно екологичната отговорност по отношение на предотвратяването и отстраняването на екологични щети (във връзка с писма на ЕК от м. ноември 2012г., м. февруари 2013г., както и първа двустранна среща на експертно ниво в Брюксел (25.04.2012г.) за обсъждане на въпроси с цел установяване пълнотата на транспониране на Директивата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националното законодателство).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lastRenderedPageBreak/>
        <w:t>Допълнително се предлагат изменения в ЗГМО, които ще повишат ефективността на работата на Консултативната комисия по ГМО.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Изменението в чл. 6, ал. 2, т. 3 на ЗГМО ще позволи на Комисията да подпомага дейността на министрите на околната среда и водите, и на земеделието и храните в областта на ГМО и в случаите, когато тяхната компетентност, произтича от европейско или национално законодателство, различно от Закона за ГМО, без да се засягат настоящите и правомощия.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Предлагаме в работата на Комисия, без право на глас, да се включат представители на няколко допълнителни ведомства, които имат функции по контрола и употребата на ГМО, с цел да се подобри и ускори нейната работа, както и тази на съответните ведомства.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Допълнително се регламентира участието на външни експерти в работата на Консултативната комисия по ГМО, когато се разглеждат въпроси изискващи специфична научна експертиза. Въвежда се изискване външните експерти да са хабилитирани, с цел да се гарантира високата им квалификация, а броят им се ограничава до трима, за да </w:t>
      </w:r>
      <w:r>
        <w:rPr>
          <w:rFonts w:ascii="Times New Roman" w:hAnsi="Times New Roman" w:cs="Times New Roman"/>
          <w:sz w:val="24"/>
          <w:szCs w:val="24"/>
          <w:lang w:val="bg-BG"/>
        </w:rPr>
        <w:t>се избегнат извънредни разходи.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E17">
        <w:rPr>
          <w:rFonts w:ascii="Times New Roman" w:hAnsi="Times New Roman" w:cs="Times New Roman"/>
          <w:sz w:val="24"/>
          <w:szCs w:val="24"/>
          <w:lang w:val="bg-BG"/>
        </w:rPr>
        <w:t>Предлаганите промени няма да окажат пряко и/или косвено въздействие върху държавния бюджет и не налагат други изменения в българското законодателство.</w:t>
      </w:r>
    </w:p>
    <w:p w:rsidR="009D3E17" w:rsidRPr="009D3E17" w:rsidRDefault="009D3E17" w:rsidP="009D3E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3C1B" w:rsidRPr="009D3E17" w:rsidRDefault="00173C1B" w:rsidP="009D3E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73C1B" w:rsidRPr="009D3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17"/>
    <w:rsid w:val="00173C1B"/>
    <w:rsid w:val="009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2013-12-03T13:40:00Z</dcterms:created>
  <dcterms:modified xsi:type="dcterms:W3CDTF">2013-12-03T13:43:00Z</dcterms:modified>
</cp:coreProperties>
</file>