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265"/>
        <w:tblW w:w="10283" w:type="dxa"/>
        <w:tblLook w:val="04A0" w:firstRow="1" w:lastRow="0" w:firstColumn="1" w:lastColumn="0" w:noHBand="0" w:noVBand="1"/>
      </w:tblPr>
      <w:tblGrid>
        <w:gridCol w:w="1548"/>
        <w:gridCol w:w="8735"/>
      </w:tblGrid>
      <w:tr w:rsidR="00837449" w:rsidRPr="00837449" w:rsidTr="00837449">
        <w:trPr>
          <w:trHeight w:val="1445"/>
        </w:trPr>
        <w:tc>
          <w:tcPr>
            <w:tcW w:w="1548" w:type="dxa"/>
            <w:hideMark/>
          </w:tcPr>
          <w:p w:rsidR="00837449" w:rsidRDefault="00837449">
            <w:pPr>
              <w:rPr>
                <w:rFonts w:ascii="Times New Roman" w:hAnsi="Times New Roman"/>
                <w:sz w:val="28"/>
                <w:lang w:val="bg-BG"/>
              </w:rPr>
            </w:pPr>
            <w:r>
              <w:rPr>
                <w:noProof/>
              </w:rPr>
              <mc:AlternateContent>
                <mc:Choice Requires="wps">
                  <w:drawing>
                    <wp:anchor distT="0" distB="0" distL="114300" distR="114300" simplePos="0" relativeHeight="251658240" behindDoc="0" locked="0" layoutInCell="1" allowOverlap="1">
                      <wp:simplePos x="0" y="0"/>
                      <wp:positionH relativeFrom="column">
                        <wp:posOffset>877570</wp:posOffset>
                      </wp:positionH>
                      <wp:positionV relativeFrom="paragraph">
                        <wp:posOffset>-282575</wp:posOffset>
                      </wp:positionV>
                      <wp:extent cx="0" cy="1066800"/>
                      <wp:effectExtent l="10795" t="12700" r="8255" b="158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9.1pt;margin-top:-22.25pt;width:0;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" strokeweight="1.25pt"/>
                  </w:pict>
                </mc:Fallback>
              </mc:AlternateContent>
            </w:r>
            <w:r>
              <w:rPr>
                <w:rFonts w:ascii="Times New Roman" w:hAnsi="Times New Roman"/>
                <w:sz w:val="28"/>
                <w:lang w:val="bg-BG"/>
              </w:rPr>
              <w:t xml:space="preserve">   </w:t>
            </w:r>
          </w:p>
          <w:p w:rsidR="00837449" w:rsidRDefault="00837449">
            <w:pPr>
              <w:rPr>
                <w:rFonts w:ascii="Times New Roman" w:hAnsi="Times New Roman"/>
                <w:lang w:val="bg-BG"/>
              </w:rPr>
            </w:pPr>
            <w:r>
              <w:rPr>
                <w:rFonts w:ascii="Times New Roman" w:hAnsi="Times New Roman"/>
                <w:noProof/>
                <w:sz w:val="28"/>
              </w:rPr>
              <w:drawing>
                <wp:inline distT="0" distB="0" distL="0" distR="0">
                  <wp:extent cx="7143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19125"/>
                          </a:xfrm>
                          <a:prstGeom prst="rect">
                            <a:avLst/>
                          </a:prstGeom>
                          <a:noFill/>
                          <a:ln>
                            <a:noFill/>
                          </a:ln>
                        </pic:spPr>
                      </pic:pic>
                    </a:graphicData>
                  </a:graphic>
                </wp:inline>
              </w:drawing>
            </w:r>
          </w:p>
        </w:tc>
        <w:tc>
          <w:tcPr>
            <w:tcW w:w="8735" w:type="dxa"/>
          </w:tcPr>
          <w:p w:rsidR="00837449" w:rsidRDefault="00837449">
            <w:pPr>
              <w:pStyle w:val="Title"/>
              <w:jc w:val="left"/>
              <w:rPr>
                <w:spacing w:val="88"/>
                <w:sz w:val="32"/>
                <w:szCs w:val="32"/>
              </w:rPr>
            </w:pPr>
          </w:p>
          <w:p w:rsidR="00837449" w:rsidRDefault="00837449">
            <w:pPr>
              <w:pStyle w:val="Title"/>
              <w:jc w:val="left"/>
              <w:rPr>
                <w:spacing w:val="88"/>
                <w:sz w:val="32"/>
                <w:szCs w:val="32"/>
              </w:rPr>
            </w:pPr>
            <w:r>
              <w:rPr>
                <w:spacing w:val="88"/>
                <w:sz w:val="32"/>
                <w:szCs w:val="32"/>
              </w:rPr>
              <w:t>РЕПУБЛИКА БЪЛГАРИЯ</w:t>
            </w:r>
          </w:p>
          <w:p w:rsidR="00837449" w:rsidRDefault="00837449">
            <w:pPr>
              <w:pStyle w:val="Title"/>
              <w:jc w:val="left"/>
              <w:rPr>
                <w:i/>
                <w:sz w:val="24"/>
                <w:szCs w:val="24"/>
              </w:rPr>
            </w:pPr>
          </w:p>
          <w:p w:rsidR="00837449" w:rsidRDefault="00837449">
            <w:pPr>
              <w:pStyle w:val="Title"/>
              <w:jc w:val="left"/>
              <w:rPr>
                <w:b/>
                <w:sz w:val="24"/>
                <w:szCs w:val="24"/>
              </w:rPr>
            </w:pPr>
            <w:r>
              <w:rPr>
                <w:b/>
                <w:sz w:val="24"/>
                <w:szCs w:val="24"/>
              </w:rPr>
              <w:t>МИНИСТЕРСТВО НА ОКОЛНАТА СРЕДА И ВОДИТЕ</w:t>
            </w:r>
          </w:p>
          <w:p w:rsidR="00837449" w:rsidRDefault="00837449">
            <w:pPr>
              <w:pStyle w:val="Title"/>
              <w:jc w:val="left"/>
              <w:rPr>
                <w:b/>
                <w:bCs/>
                <w:caps/>
                <w:sz w:val="32"/>
                <w:szCs w:val="32"/>
              </w:rPr>
            </w:pPr>
          </w:p>
        </w:tc>
      </w:tr>
    </w:tbl>
    <w:p w:rsidR="00837449" w:rsidRDefault="00837449" w:rsidP="00837449">
      <w:pPr>
        <w:jc w:val="both"/>
        <w:rPr>
          <w:rFonts w:ascii="Times New Roman" w:hAnsi="Times New Roman"/>
          <w:sz w:val="24"/>
          <w:szCs w:val="24"/>
          <w:lang w:val="bg-BG"/>
        </w:rPr>
      </w:pPr>
    </w:p>
    <w:p w:rsidR="00837449" w:rsidRDefault="00837449" w:rsidP="00837449">
      <w:pPr>
        <w:jc w:val="both"/>
        <w:rPr>
          <w:rFonts w:ascii="Times New Roman" w:hAnsi="Times New Roman"/>
          <w:sz w:val="24"/>
          <w:szCs w:val="24"/>
          <w:lang w:val="bg-BG"/>
        </w:rPr>
      </w:pPr>
    </w:p>
    <w:p w:rsidR="00837449" w:rsidRDefault="00837449" w:rsidP="00837449">
      <w:pPr>
        <w:jc w:val="both"/>
        <w:rPr>
          <w:rFonts w:ascii="Times New Roman" w:hAnsi="Times New Roman"/>
          <w:sz w:val="24"/>
          <w:szCs w:val="24"/>
          <w:lang w:val="bg-BG"/>
        </w:rPr>
      </w:pPr>
    </w:p>
    <w:p w:rsidR="00837449" w:rsidRPr="00837449" w:rsidRDefault="00837449" w:rsidP="00837449">
      <w:pPr>
        <w:tabs>
          <w:tab w:val="left" w:pos="709"/>
        </w:tabs>
        <w:jc w:val="center"/>
        <w:rPr>
          <w:rFonts w:ascii="Times New Roman" w:hAnsi="Times New Roman" w:cs="Arial"/>
          <w:b/>
          <w:color w:val="FF0000"/>
          <w:sz w:val="16"/>
          <w:szCs w:val="16"/>
          <w:lang w:val="bg-BG"/>
        </w:rPr>
      </w:pPr>
      <w:r w:rsidRPr="00837449">
        <w:rPr>
          <w:rFonts w:ascii="Times New Roman" w:hAnsi="Times New Roman"/>
          <w:b/>
          <w:bCs/>
          <w:sz w:val="24"/>
          <w:szCs w:val="24"/>
          <w:lang w:val="bg-BG"/>
        </w:rPr>
        <w:t>Мотиви за разработване на проект на Инструкции за определяне на националните технически изисквания към съоръженията за компостиране“ и проект на „Инструкции за определяне на националните технически изисквания към съоръженията за анаеробно разграждане“</w:t>
      </w:r>
    </w:p>
    <w:p w:rsidR="00837449" w:rsidRDefault="00837449" w:rsidP="00837449">
      <w:pPr>
        <w:tabs>
          <w:tab w:val="left" w:pos="709"/>
        </w:tabs>
        <w:ind w:firstLine="567"/>
        <w:jc w:val="both"/>
        <w:rPr>
          <w:rFonts w:ascii="Times New Roman" w:hAnsi="Times New Roman" w:cs="Arial"/>
          <w:b/>
          <w:bCs/>
          <w:color w:val="FF0000"/>
          <w:sz w:val="16"/>
          <w:szCs w:val="16"/>
          <w:lang w:val="bg-BG"/>
        </w:rPr>
      </w:pPr>
    </w:p>
    <w:p w:rsidR="00837449" w:rsidRDefault="00837449" w:rsidP="00837449">
      <w:pPr>
        <w:pStyle w:val="Style"/>
        <w:tabs>
          <w:tab w:val="left" w:pos="709"/>
        </w:tabs>
        <w:spacing w:before="240"/>
        <w:ind w:left="0" w:right="0" w:firstLine="720"/>
        <w:outlineLvl w:val="0"/>
      </w:pPr>
      <w:r>
        <w:t xml:space="preserve">На основание чл. 56 от Инструкцията за организацията на деловодната дейност и документооборота на Централното управление на Министерството на околната среда и водите, представям на Вашето внимание проект на </w:t>
      </w:r>
      <w:r>
        <w:rPr>
          <w:i/>
        </w:rPr>
        <w:t>„Инструкции за определяне на националните технически изисквания към съоръженията за компостиране“</w:t>
      </w:r>
      <w:r>
        <w:t xml:space="preserve"> и проект на </w:t>
      </w:r>
      <w:r>
        <w:rPr>
          <w:i/>
        </w:rPr>
        <w:t>„Инструкции за определяне на националните технически изисквания към съоръженията за анаеробно разграждане“.</w:t>
      </w:r>
    </w:p>
    <w:p w:rsidR="00837449" w:rsidRDefault="00837449" w:rsidP="00837449">
      <w:pPr>
        <w:pStyle w:val="Style"/>
        <w:tabs>
          <w:tab w:val="left" w:pos="709"/>
        </w:tabs>
        <w:ind w:left="0" w:right="0" w:firstLine="720"/>
        <w:outlineLvl w:val="0"/>
      </w:pPr>
      <w:r>
        <w:t xml:space="preserve">Инструкции са разработени на основани чл. 18, т. 1 от Наредбата за третиране на биоотпадъците. </w:t>
      </w:r>
    </w:p>
    <w:p w:rsidR="00837449" w:rsidRDefault="00837449" w:rsidP="00837449">
      <w:pPr>
        <w:pStyle w:val="Style"/>
        <w:tabs>
          <w:tab w:val="left" w:pos="709"/>
        </w:tabs>
        <w:ind w:left="0" w:right="0" w:firstLine="720"/>
        <w:outlineLvl w:val="0"/>
      </w:pPr>
      <w:r>
        <w:t xml:space="preserve">Основната цел на </w:t>
      </w:r>
      <w:proofErr w:type="spellStart"/>
      <w:r>
        <w:t>проекто-документите</w:t>
      </w:r>
      <w:proofErr w:type="spellEnd"/>
      <w:r>
        <w:t xml:space="preserve"> е да се определят национални технически изисквания към съоръженията за биологично третиране (компостиране и анаеробно разграждане) на биоотпадъците, които не попадат в обхвата на приложение № 4 към Закона за опазване на околната среда. Въвеждането на единни технически изисквания към управлението на съоръженията и процесите за биологично третиране ще осигурят получаването на висококачествени крайни продукти (компост и ферментационен продукт).</w:t>
      </w:r>
    </w:p>
    <w:p w:rsidR="00837449" w:rsidRDefault="00837449" w:rsidP="00837449">
      <w:pPr>
        <w:pStyle w:val="Style"/>
        <w:tabs>
          <w:tab w:val="left" w:pos="709"/>
        </w:tabs>
        <w:ind w:left="0" w:right="0" w:firstLine="720"/>
        <w:outlineLvl w:val="0"/>
      </w:pPr>
      <w:r>
        <w:t xml:space="preserve">В </w:t>
      </w:r>
      <w:proofErr w:type="spellStart"/>
      <w:r>
        <w:t>проекто-документите</w:t>
      </w:r>
      <w:proofErr w:type="spellEnd"/>
      <w:r>
        <w:t xml:space="preserve"> са разгледани свойствата на материалите (биоотпадъците), подходящи за производство на компост и ферментационен продукт. Описани са изискванията за извършване на входящ контрол при приемането на биоотпадъците на съоръженията за биологично третиране с цел да се осигурят подходящи суровини за получаване на крайни продукти с високо качество. Разгледани са специфични изисквания по отношение на процеса, потенциалните емисии и аспектите, свързани с качеството на процесите, включително управление на качеството и общите изисквания за водене на записи и документиране. Посочени са ключови изисквания към управлението на процесите за намаляване на емисиите на миризми, като са въведени ориентировъчни стойности за добри експлоатационни практики за свеждане до минимум на емисиите на миризми.</w:t>
      </w:r>
    </w:p>
    <w:p w:rsidR="00837449" w:rsidRDefault="00837449" w:rsidP="00837449">
      <w:pPr>
        <w:pStyle w:val="Style"/>
        <w:tabs>
          <w:tab w:val="left" w:pos="709"/>
        </w:tabs>
        <w:ind w:left="0" w:right="0" w:firstLine="720"/>
        <w:outlineLvl w:val="0"/>
      </w:pPr>
      <w:r>
        <w:t>Подробно са разгледани всички етапи и зони от процеса (предварително третиране, активно разграждане, узряване, пресяване, управление на инфилтрата (отпадъчните води)). Специално внимание е обърнато и на хигиенните аспекти, свързани с унищожаването на патогенните организми и аспектите, свързани със здравето на работниците, работещи на съоръженията за компостиране и анаеробно разграждане.</w:t>
      </w:r>
    </w:p>
    <w:p w:rsidR="00837449" w:rsidRDefault="00837449" w:rsidP="00837449">
      <w:pPr>
        <w:pStyle w:val="Style"/>
        <w:tabs>
          <w:tab w:val="left" w:pos="709"/>
        </w:tabs>
        <w:ind w:left="0" w:right="0" w:firstLine="720"/>
        <w:outlineLvl w:val="0"/>
      </w:pPr>
      <w:r>
        <w:t>Инструкциите представляват насоки „стъпка по стъпка“ за прилагане на стандартизирани изисквания за управление на качеството в съоръженията за компостиране и анаеробно разграждане.</w:t>
      </w:r>
    </w:p>
    <w:p w:rsidR="00837449" w:rsidRPr="00837449" w:rsidRDefault="00837449" w:rsidP="00837449">
      <w:pPr>
        <w:pStyle w:val="Style"/>
        <w:tabs>
          <w:tab w:val="left" w:pos="709"/>
        </w:tabs>
        <w:ind w:left="0" w:right="0" w:firstLine="720"/>
        <w:outlineLvl w:val="0"/>
        <w:rPr>
          <w:rFonts w:cs="Arial"/>
        </w:rPr>
      </w:pPr>
      <w:r>
        <w:t xml:space="preserve">Основните резултати от прилагането на инструкциите ще бъдат въвеждане на </w:t>
      </w:r>
      <w:r>
        <w:rPr>
          <w:rFonts w:cs="Arial"/>
        </w:rPr>
        <w:lastRenderedPageBreak/>
        <w:t>националните технически изисквания към съоръженията за компостиране и анаеробно разграждане, осигурявайки правилно и безопасно по отношение на околната среда функциониране на съоръженията за биологично третиране и получаването продукти с гарантирано постоянно високо качество, които са безопасни за здравето на хората.</w:t>
      </w:r>
    </w:p>
    <w:p w:rsidR="00837449" w:rsidRDefault="00837449" w:rsidP="00837449">
      <w:pPr>
        <w:pStyle w:val="Style"/>
        <w:tabs>
          <w:tab w:val="left" w:pos="709"/>
        </w:tabs>
        <w:spacing w:before="240"/>
        <w:ind w:left="0" w:firstLine="709"/>
        <w:outlineLvl w:val="0"/>
        <w:rPr>
          <w:rFonts w:cs="Arial"/>
        </w:rPr>
      </w:pPr>
      <w:proofErr w:type="spellStart"/>
      <w:r>
        <w:rPr>
          <w:rFonts w:cs="Arial"/>
        </w:rPr>
        <w:t>Проекто-документите</w:t>
      </w:r>
      <w:proofErr w:type="spellEnd"/>
      <w:r>
        <w:rPr>
          <w:rFonts w:cs="Arial"/>
        </w:rPr>
        <w:t xml:space="preserve"> не транспонира европейско законодателство и поради тази причина не се разглежда от Работна група 20 „Околна среда“ към Съвета по европейските въпроси на МОСВ.</w:t>
      </w:r>
    </w:p>
    <w:p w:rsidR="00837449" w:rsidRDefault="00837449" w:rsidP="00837449">
      <w:pPr>
        <w:pStyle w:val="Style"/>
        <w:tabs>
          <w:tab w:val="left" w:pos="709"/>
        </w:tabs>
        <w:ind w:left="0" w:right="0" w:firstLine="720"/>
        <w:outlineLvl w:val="0"/>
        <w:rPr>
          <w:rFonts w:cs="Arial"/>
        </w:rPr>
      </w:pPr>
    </w:p>
    <w:p w:rsidR="00837449" w:rsidRDefault="00837449" w:rsidP="00837449">
      <w:pPr>
        <w:pStyle w:val="Style"/>
        <w:tabs>
          <w:tab w:val="left" w:pos="709"/>
        </w:tabs>
        <w:ind w:left="0" w:right="0" w:firstLine="720"/>
        <w:outlineLvl w:val="0"/>
        <w:rPr>
          <w:rFonts w:cs="Arial"/>
        </w:rPr>
      </w:pPr>
      <w:r>
        <w:rPr>
          <w:rFonts w:cs="Arial"/>
        </w:rPr>
        <w:t xml:space="preserve">Предложеният проект на Инструкции за определяне на националните технически изисквания към </w:t>
      </w:r>
      <w:bookmarkStart w:id="0" w:name="_GoBack"/>
      <w:bookmarkEnd w:id="0"/>
      <w:r>
        <w:rPr>
          <w:rFonts w:cs="Arial"/>
        </w:rPr>
        <w:t>съоръженията за компостиране и проект на Инструкции за определяне на националните технически изисквания към съоръженията за анаеробно разграждане няма да доведе до пряко и/или косвено въздействие върху държавния бюджет и не изисква допълнителни финансовите и други средства за неговото прилагане.</w:t>
      </w:r>
    </w:p>
    <w:p w:rsidR="00837449" w:rsidRDefault="00837449" w:rsidP="00837449">
      <w:pPr>
        <w:pStyle w:val="BodyTextIndent"/>
        <w:tabs>
          <w:tab w:val="left" w:pos="709"/>
        </w:tabs>
        <w:ind w:left="0" w:firstLine="720"/>
        <w:jc w:val="center"/>
        <w:rPr>
          <w:rFonts w:ascii="Times New Roman" w:hAnsi="Times New Roman"/>
          <w:b/>
          <w:bCs/>
          <w:sz w:val="24"/>
          <w:szCs w:val="24"/>
          <w:lang w:val="ru-RU"/>
        </w:rPr>
      </w:pPr>
    </w:p>
    <w:p w:rsidR="003D1E88" w:rsidRDefault="003D1E88"/>
    <w:sectPr w:rsidR="003D1E8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D33EA"/>
    <w:multiLevelType w:val="hybridMultilevel"/>
    <w:tmpl w:val="43C43750"/>
    <w:lvl w:ilvl="0" w:tplc="57EC69B4">
      <w:start w:val="1"/>
      <w:numFmt w:val="decimal"/>
      <w:lvlText w:val="%1."/>
      <w:lvlJc w:val="left"/>
      <w:pPr>
        <w:tabs>
          <w:tab w:val="num" w:pos="1068"/>
        </w:tabs>
        <w:ind w:left="1068" w:hanging="360"/>
      </w:pPr>
      <w:rPr>
        <w:rFonts w:cs="Arial"/>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68"/>
    <w:rsid w:val="003D1E88"/>
    <w:rsid w:val="00837449"/>
    <w:rsid w:val="00A227A2"/>
    <w:rsid w:val="00AF7F59"/>
    <w:rsid w:val="00B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449"/>
    <w:pPr>
      <w:overflowPunct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7449"/>
    <w:pPr>
      <w:overflowPunct/>
      <w:autoSpaceDE/>
      <w:autoSpaceDN/>
      <w:adjustRightInd/>
      <w:jc w:val="center"/>
    </w:pPr>
    <w:rPr>
      <w:rFonts w:ascii="Times New Roman" w:hAnsi="Times New Roman"/>
      <w:sz w:val="28"/>
      <w:lang w:val="bg-BG"/>
    </w:rPr>
  </w:style>
  <w:style w:type="character" w:customStyle="1" w:styleId="TitleChar">
    <w:name w:val="Title Char"/>
    <w:basedOn w:val="DefaultParagraphFont"/>
    <w:link w:val="Title"/>
    <w:rsid w:val="00837449"/>
    <w:rPr>
      <w:rFonts w:ascii="Times New Roman" w:eastAsia="Times New Roman" w:hAnsi="Times New Roman" w:cs="Times New Roman"/>
      <w:sz w:val="28"/>
      <w:szCs w:val="20"/>
      <w:lang w:val="bg-BG"/>
    </w:rPr>
  </w:style>
  <w:style w:type="paragraph" w:styleId="BodyTextIndent">
    <w:name w:val="Body Text Indent"/>
    <w:basedOn w:val="Normal"/>
    <w:link w:val="BodyTextIndentChar"/>
    <w:semiHidden/>
    <w:unhideWhenUsed/>
    <w:rsid w:val="00837449"/>
    <w:pPr>
      <w:spacing w:after="120"/>
      <w:ind w:left="283"/>
    </w:pPr>
  </w:style>
  <w:style w:type="character" w:customStyle="1" w:styleId="BodyTextIndentChar">
    <w:name w:val="Body Text Indent Char"/>
    <w:basedOn w:val="DefaultParagraphFont"/>
    <w:link w:val="BodyTextIndent"/>
    <w:semiHidden/>
    <w:rsid w:val="00837449"/>
    <w:rPr>
      <w:rFonts w:ascii="Arial" w:eastAsia="Times New Roman" w:hAnsi="Arial" w:cs="Times New Roman"/>
      <w:sz w:val="20"/>
      <w:szCs w:val="20"/>
    </w:rPr>
  </w:style>
  <w:style w:type="paragraph" w:customStyle="1" w:styleId="Style">
    <w:name w:val="Style"/>
    <w:rsid w:val="008374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character" w:customStyle="1" w:styleId="apple-style-span">
    <w:name w:val="apple-style-span"/>
    <w:rsid w:val="00837449"/>
  </w:style>
  <w:style w:type="paragraph" w:styleId="BalloonText">
    <w:name w:val="Balloon Text"/>
    <w:basedOn w:val="Normal"/>
    <w:link w:val="BalloonTextChar"/>
    <w:uiPriority w:val="99"/>
    <w:semiHidden/>
    <w:unhideWhenUsed/>
    <w:rsid w:val="00837449"/>
    <w:rPr>
      <w:rFonts w:ascii="Tahoma" w:hAnsi="Tahoma" w:cs="Tahoma"/>
      <w:sz w:val="16"/>
      <w:szCs w:val="16"/>
    </w:rPr>
  </w:style>
  <w:style w:type="character" w:customStyle="1" w:styleId="BalloonTextChar">
    <w:name w:val="Balloon Text Char"/>
    <w:basedOn w:val="DefaultParagraphFont"/>
    <w:link w:val="BalloonText"/>
    <w:uiPriority w:val="99"/>
    <w:semiHidden/>
    <w:rsid w:val="008374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449"/>
    <w:pPr>
      <w:overflowPunct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7449"/>
    <w:pPr>
      <w:overflowPunct/>
      <w:autoSpaceDE/>
      <w:autoSpaceDN/>
      <w:adjustRightInd/>
      <w:jc w:val="center"/>
    </w:pPr>
    <w:rPr>
      <w:rFonts w:ascii="Times New Roman" w:hAnsi="Times New Roman"/>
      <w:sz w:val="28"/>
      <w:lang w:val="bg-BG"/>
    </w:rPr>
  </w:style>
  <w:style w:type="character" w:customStyle="1" w:styleId="TitleChar">
    <w:name w:val="Title Char"/>
    <w:basedOn w:val="DefaultParagraphFont"/>
    <w:link w:val="Title"/>
    <w:rsid w:val="00837449"/>
    <w:rPr>
      <w:rFonts w:ascii="Times New Roman" w:eastAsia="Times New Roman" w:hAnsi="Times New Roman" w:cs="Times New Roman"/>
      <w:sz w:val="28"/>
      <w:szCs w:val="20"/>
      <w:lang w:val="bg-BG"/>
    </w:rPr>
  </w:style>
  <w:style w:type="paragraph" w:styleId="BodyTextIndent">
    <w:name w:val="Body Text Indent"/>
    <w:basedOn w:val="Normal"/>
    <w:link w:val="BodyTextIndentChar"/>
    <w:semiHidden/>
    <w:unhideWhenUsed/>
    <w:rsid w:val="00837449"/>
    <w:pPr>
      <w:spacing w:after="120"/>
      <w:ind w:left="283"/>
    </w:pPr>
  </w:style>
  <w:style w:type="character" w:customStyle="1" w:styleId="BodyTextIndentChar">
    <w:name w:val="Body Text Indent Char"/>
    <w:basedOn w:val="DefaultParagraphFont"/>
    <w:link w:val="BodyTextIndent"/>
    <w:semiHidden/>
    <w:rsid w:val="00837449"/>
    <w:rPr>
      <w:rFonts w:ascii="Arial" w:eastAsia="Times New Roman" w:hAnsi="Arial" w:cs="Times New Roman"/>
      <w:sz w:val="20"/>
      <w:szCs w:val="20"/>
    </w:rPr>
  </w:style>
  <w:style w:type="paragraph" w:customStyle="1" w:styleId="Style">
    <w:name w:val="Style"/>
    <w:rsid w:val="00837449"/>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character" w:customStyle="1" w:styleId="apple-style-span">
    <w:name w:val="apple-style-span"/>
    <w:rsid w:val="00837449"/>
  </w:style>
  <w:style w:type="paragraph" w:styleId="BalloonText">
    <w:name w:val="Balloon Text"/>
    <w:basedOn w:val="Normal"/>
    <w:link w:val="BalloonTextChar"/>
    <w:uiPriority w:val="99"/>
    <w:semiHidden/>
    <w:unhideWhenUsed/>
    <w:rsid w:val="00837449"/>
    <w:rPr>
      <w:rFonts w:ascii="Tahoma" w:hAnsi="Tahoma" w:cs="Tahoma"/>
      <w:sz w:val="16"/>
      <w:szCs w:val="16"/>
    </w:rPr>
  </w:style>
  <w:style w:type="character" w:customStyle="1" w:styleId="BalloonTextChar">
    <w:name w:val="Balloon Text Char"/>
    <w:basedOn w:val="DefaultParagraphFont"/>
    <w:link w:val="BalloonText"/>
    <w:uiPriority w:val="99"/>
    <w:semiHidden/>
    <w:rsid w:val="008374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4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GStoyanov</dc:creator>
  <cp:keywords/>
  <dc:description/>
  <cp:lastModifiedBy>GStoyanov</cp:lastModifiedBy>
  <cp:revision>2</cp:revision>
  <dcterms:created xsi:type="dcterms:W3CDTF">2013-12-16T14:22:00Z</dcterms:created>
  <dcterms:modified xsi:type="dcterms:W3CDTF">2013-12-16T14:24:00Z</dcterms:modified>
</cp:coreProperties>
</file>