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CF" w:rsidRDefault="00C465CF" w:rsidP="00C465CF">
      <w:pPr>
        <w:rPr>
          <w:lang w:val="en-US"/>
        </w:rPr>
      </w:pPr>
      <w:bookmarkStart w:id="0" w:name="_GoBack"/>
      <w:bookmarkEnd w:id="0"/>
    </w:p>
    <w:p w:rsidR="0078138A" w:rsidRPr="0078138A" w:rsidRDefault="0078138A" w:rsidP="00C465CF">
      <w:pPr>
        <w:rPr>
          <w:lang w:val="en-US"/>
        </w:rPr>
      </w:pPr>
    </w:p>
    <w:p w:rsidR="00C465CF" w:rsidRPr="00C465CF" w:rsidRDefault="00C465CF" w:rsidP="00C465CF">
      <w:pPr>
        <w:pStyle w:val="Title"/>
        <w:ind w:right="0"/>
        <w:jc w:val="both"/>
        <w:rPr>
          <w:rFonts w:ascii="Times New Roman" w:hAnsi="Times New Roman"/>
          <w:sz w:val="28"/>
          <w:szCs w:val="28"/>
        </w:rPr>
      </w:pP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  <w:t xml:space="preserve">                             ПРОЕКТ!</w:t>
      </w:r>
    </w:p>
    <w:p w:rsidR="00C465CF" w:rsidRPr="00C465CF" w:rsidRDefault="00C465CF" w:rsidP="00C465CF">
      <w:pPr>
        <w:pStyle w:val="Title"/>
        <w:ind w:right="0"/>
        <w:rPr>
          <w:rFonts w:ascii="Times New Roman" w:hAnsi="Times New Roman"/>
          <w:sz w:val="28"/>
          <w:szCs w:val="28"/>
        </w:rPr>
      </w:pPr>
      <w:r w:rsidRPr="00C465CF">
        <w:rPr>
          <w:rFonts w:ascii="Times New Roman" w:hAnsi="Times New Roman"/>
          <w:sz w:val="28"/>
          <w:szCs w:val="28"/>
        </w:rPr>
        <w:t>Р Е П У Б Л И К А   Б Ъ Л Г А Р И Я</w:t>
      </w:r>
    </w:p>
    <w:p w:rsidR="00C465CF" w:rsidRPr="00C465CF" w:rsidRDefault="00C465CF" w:rsidP="00C465CF">
      <w:pPr>
        <w:jc w:val="center"/>
        <w:rPr>
          <w:sz w:val="28"/>
          <w:szCs w:val="28"/>
        </w:rPr>
      </w:pPr>
      <w:r w:rsidRPr="00C465CF">
        <w:rPr>
          <w:sz w:val="28"/>
          <w:szCs w:val="28"/>
        </w:rPr>
        <w:t>МИНИСТЕРСКИ СЪВЕТ</w:t>
      </w:r>
    </w:p>
    <w:p w:rsidR="00C465CF" w:rsidRPr="00C465CF" w:rsidRDefault="00C465CF" w:rsidP="00C465CF">
      <w:pPr>
        <w:jc w:val="center"/>
        <w:rPr>
          <w:sz w:val="26"/>
          <w:szCs w:val="26"/>
        </w:rPr>
      </w:pPr>
      <w:r w:rsidRPr="00C465CF">
        <w:rPr>
          <w:sz w:val="26"/>
          <w:szCs w:val="26"/>
        </w:rPr>
        <w:t>-------------------------------------------------------------------------------------------------------</w:t>
      </w:r>
    </w:p>
    <w:p w:rsidR="00C465CF" w:rsidRPr="00C465CF" w:rsidRDefault="00C465CF" w:rsidP="00C465CF">
      <w:pPr>
        <w:rPr>
          <w:b/>
          <w:sz w:val="26"/>
          <w:szCs w:val="26"/>
        </w:rPr>
      </w:pPr>
    </w:p>
    <w:p w:rsidR="00C465CF" w:rsidRPr="00C465CF" w:rsidRDefault="00C465CF" w:rsidP="00C465CF">
      <w:pPr>
        <w:jc w:val="center"/>
        <w:rPr>
          <w:b/>
          <w:sz w:val="26"/>
          <w:szCs w:val="26"/>
        </w:rPr>
      </w:pPr>
      <w:r w:rsidRPr="00C465CF">
        <w:rPr>
          <w:b/>
          <w:sz w:val="26"/>
          <w:szCs w:val="26"/>
        </w:rPr>
        <w:t>ПОСТАНОВЛЕНИЕ</w:t>
      </w:r>
    </w:p>
    <w:p w:rsidR="00C465CF" w:rsidRPr="00C465CF" w:rsidRDefault="00C465CF" w:rsidP="00C465CF">
      <w:pPr>
        <w:jc w:val="center"/>
        <w:rPr>
          <w:b/>
          <w:sz w:val="26"/>
          <w:szCs w:val="26"/>
        </w:rPr>
      </w:pPr>
    </w:p>
    <w:p w:rsidR="00C465CF" w:rsidRPr="00C465CF" w:rsidRDefault="00C465CF" w:rsidP="00C465CF">
      <w:pPr>
        <w:jc w:val="center"/>
        <w:rPr>
          <w:b/>
          <w:sz w:val="26"/>
          <w:szCs w:val="26"/>
        </w:rPr>
      </w:pPr>
      <w:r w:rsidRPr="00C465CF">
        <w:rPr>
          <w:b/>
          <w:sz w:val="26"/>
          <w:szCs w:val="26"/>
        </w:rPr>
        <w:t>№……………………..</w:t>
      </w:r>
    </w:p>
    <w:p w:rsidR="00C465CF" w:rsidRPr="00C465CF" w:rsidRDefault="00C465CF" w:rsidP="00C465CF">
      <w:pPr>
        <w:jc w:val="center"/>
        <w:rPr>
          <w:rFonts w:eastAsia="DejaVu Sans"/>
          <w:b/>
          <w:sz w:val="26"/>
          <w:szCs w:val="26"/>
        </w:rPr>
      </w:pPr>
      <w:r w:rsidRPr="00C465CF">
        <w:rPr>
          <w:rFonts w:eastAsia="DejaVu Sans"/>
          <w:b/>
          <w:sz w:val="26"/>
          <w:szCs w:val="26"/>
        </w:rPr>
        <w:t xml:space="preserve">от…………………….. </w:t>
      </w:r>
      <w:smartTag w:uri="urn:schemas-microsoft-com:office:smarttags" w:element="metricconverter">
        <w:smartTagPr>
          <w:attr w:name="ProductID" w:val="2014 г"/>
        </w:smartTagPr>
        <w:r w:rsidRPr="00C465CF">
          <w:rPr>
            <w:rFonts w:eastAsia="DejaVu Sans"/>
            <w:b/>
            <w:sz w:val="26"/>
            <w:szCs w:val="26"/>
          </w:rPr>
          <w:t>2014 г</w:t>
        </w:r>
      </w:smartTag>
      <w:r w:rsidRPr="00C465CF">
        <w:rPr>
          <w:rFonts w:eastAsia="DejaVu Sans"/>
          <w:b/>
          <w:sz w:val="26"/>
          <w:szCs w:val="26"/>
        </w:rPr>
        <w:t>.</w:t>
      </w:r>
    </w:p>
    <w:p w:rsidR="00C465CF" w:rsidRPr="00C465CF" w:rsidRDefault="00C465CF" w:rsidP="00C465CF">
      <w:pPr>
        <w:jc w:val="center"/>
        <w:rPr>
          <w:bCs/>
        </w:rPr>
      </w:pPr>
    </w:p>
    <w:p w:rsidR="00C465CF" w:rsidRPr="00C465CF" w:rsidRDefault="00C465CF" w:rsidP="00C465CF">
      <w:pPr>
        <w:jc w:val="center"/>
        <w:rPr>
          <w:b/>
          <w:bCs/>
        </w:rPr>
      </w:pPr>
      <w:r w:rsidRPr="00C465CF">
        <w:rPr>
          <w:b/>
          <w:bCs/>
        </w:rPr>
        <w:t>за изменение и допълнение на нормативни актове на Министерския съвет</w:t>
      </w:r>
    </w:p>
    <w:p w:rsidR="00C465CF" w:rsidRPr="00C465CF" w:rsidRDefault="00C465CF" w:rsidP="00C465CF">
      <w:pPr>
        <w:jc w:val="center"/>
        <w:rPr>
          <w:bCs/>
        </w:rPr>
      </w:pPr>
    </w:p>
    <w:p w:rsidR="00C465CF" w:rsidRPr="00C465CF" w:rsidRDefault="00C465CF" w:rsidP="00C465CF">
      <w:pPr>
        <w:jc w:val="center"/>
        <w:rPr>
          <w:bCs/>
        </w:rPr>
      </w:pPr>
    </w:p>
    <w:p w:rsidR="00C465CF" w:rsidRPr="00C465CF" w:rsidRDefault="00C465CF" w:rsidP="00C465CF">
      <w:pPr>
        <w:jc w:val="center"/>
        <w:rPr>
          <w:bCs/>
        </w:rPr>
      </w:pPr>
    </w:p>
    <w:p w:rsidR="00C465CF" w:rsidRPr="00C465CF" w:rsidRDefault="00C465CF" w:rsidP="00C465CF">
      <w:pPr>
        <w:jc w:val="center"/>
        <w:rPr>
          <w:b/>
          <w:bCs/>
        </w:rPr>
      </w:pPr>
      <w:r w:rsidRPr="00C465CF">
        <w:rPr>
          <w:b/>
          <w:bCs/>
        </w:rPr>
        <w:t xml:space="preserve">МИНИСТЕРСКИЯТ СЪВЕТ </w:t>
      </w:r>
    </w:p>
    <w:p w:rsidR="00C465CF" w:rsidRPr="00C465CF" w:rsidRDefault="00C465CF" w:rsidP="00C465CF">
      <w:pPr>
        <w:jc w:val="center"/>
        <w:rPr>
          <w:b/>
          <w:bCs/>
        </w:rPr>
      </w:pPr>
      <w:r w:rsidRPr="00C465CF">
        <w:rPr>
          <w:b/>
          <w:bCs/>
        </w:rPr>
        <w:t>ПОСТАНОВИ:</w:t>
      </w:r>
    </w:p>
    <w:p w:rsidR="00C465CF" w:rsidRPr="00C465CF" w:rsidRDefault="00C465CF" w:rsidP="00C465CF">
      <w:pPr>
        <w:jc w:val="center"/>
        <w:rPr>
          <w:bCs/>
        </w:rPr>
      </w:pPr>
    </w:p>
    <w:p w:rsidR="00C465CF" w:rsidRPr="00C465CF" w:rsidRDefault="00C465CF" w:rsidP="00C465CF">
      <w:pPr>
        <w:jc w:val="center"/>
        <w:rPr>
          <w:bCs/>
        </w:rPr>
      </w:pPr>
    </w:p>
    <w:p w:rsidR="00C465CF" w:rsidRPr="00C465CF" w:rsidRDefault="00C465CF" w:rsidP="00C465CF">
      <w:pPr>
        <w:jc w:val="center"/>
        <w:rPr>
          <w:bCs/>
        </w:rPr>
      </w:pPr>
    </w:p>
    <w:p w:rsidR="00C465CF" w:rsidRPr="00C465CF" w:rsidRDefault="00C465CF" w:rsidP="00C465CF">
      <w:pPr>
        <w:jc w:val="both"/>
      </w:pPr>
      <w:r w:rsidRPr="00C465CF">
        <w:rPr>
          <w:b/>
        </w:rPr>
        <w:t>§ 1.</w:t>
      </w:r>
      <w:r w:rsidRPr="00C465CF">
        <w:t xml:space="preserve"> В </w:t>
      </w:r>
      <w:r w:rsidRPr="00C465CF">
        <w:rPr>
          <w:bCs/>
        </w:rPr>
        <w:t>Наредбата за условията и реда за пускане на пазара на електрическо и електронно оборудване във връзка с ограниченията за употреба на определени опасни вещества, приета с Постановление No 55 от 2013 г. (обн., ДВ, бр. 24 от 2013 г.) се правят следните изменения и допълнения:</w:t>
      </w:r>
    </w:p>
    <w:p w:rsidR="00C465CF" w:rsidRPr="00C465CF" w:rsidRDefault="00C465CF" w:rsidP="00C465CF">
      <w:pPr>
        <w:jc w:val="both"/>
      </w:pPr>
    </w:p>
    <w:p w:rsidR="00C465CF" w:rsidRPr="00C465CF" w:rsidRDefault="00C465CF" w:rsidP="00C465CF">
      <w:pPr>
        <w:jc w:val="both"/>
      </w:pPr>
      <w:r w:rsidRPr="00C465CF">
        <w:t xml:space="preserve">1. В § 2 от Допълнителните </w:t>
      </w:r>
      <w:r w:rsidR="00EA27F8">
        <w:t xml:space="preserve">разпоредби се създават т. 4 - </w:t>
      </w:r>
      <w:r w:rsidR="00EA27F8">
        <w:rPr>
          <w:lang w:val="en-US"/>
        </w:rPr>
        <w:t>27</w:t>
      </w:r>
      <w:r w:rsidRPr="00C465CF">
        <w:t>:</w:t>
      </w:r>
    </w:p>
    <w:p w:rsidR="00C465CF" w:rsidRPr="00C465CF" w:rsidRDefault="00C465CF" w:rsidP="00C465CF">
      <w:pPr>
        <w:jc w:val="both"/>
      </w:pPr>
      <w:r w:rsidRPr="00C465CF">
        <w:t>„4. Делегирана директива 2014/1/ЕС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ограничението за употреба на олово в качеството на легиращ елемент в лагери и износващи се повърхности в медицинска апаратура, изложена на йонизиращо лъчение (ОВ, L 4/45, 9.1.2014 г.).</w:t>
      </w:r>
    </w:p>
    <w:p w:rsidR="00C465CF" w:rsidRPr="00C465CF" w:rsidRDefault="00C465CF" w:rsidP="00C465CF">
      <w:pPr>
        <w:jc w:val="both"/>
      </w:pPr>
      <w:r w:rsidRPr="00C465CF">
        <w:t xml:space="preserve">5. Делегирана директива 2014/2/ЕС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кадмий във фосфорните покрития в усилвателите на рентгенови изображения до 31 декември </w:t>
      </w:r>
      <w:smartTag w:uri="urn:schemas-microsoft-com:office:smarttags" w:element="metricconverter">
        <w:smartTagPr>
          <w:attr w:name="ProductID" w:val="2019 г"/>
        </w:smartTagPr>
        <w:r w:rsidRPr="00C465CF">
          <w:t>2019 г</w:t>
        </w:r>
      </w:smartTag>
      <w:r w:rsidRPr="00C465CF">
        <w:t xml:space="preserve">. и в резервни части за рентгенови системи, пуснати на пазара в ЕС преди 1 януари </w:t>
      </w:r>
      <w:smartTag w:uri="urn:schemas-microsoft-com:office:smarttags" w:element="metricconverter">
        <w:smartTagPr>
          <w:attr w:name="ProductID" w:val="2020 г"/>
        </w:smartTagPr>
        <w:r w:rsidRPr="00C465CF">
          <w:t>2020 г</w:t>
        </w:r>
      </w:smartTag>
      <w:r w:rsidRPr="00C465CF">
        <w:t>. (ОВ, L 4/47, 9.1.2014 г.).</w:t>
      </w:r>
    </w:p>
    <w:p w:rsidR="00C465CF" w:rsidRPr="00C465CF" w:rsidRDefault="00C465CF" w:rsidP="00C465CF">
      <w:pPr>
        <w:jc w:val="both"/>
      </w:pPr>
      <w:r w:rsidRPr="00C465CF">
        <w:t>6. Делегирана директива 2014/3/ЕС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оловно-ацетатен маркер в стереотаксически рамки за глава, използвани при компютърна томография (CT) и магнитно-резонансна томография (MRI), както и при позициониращи системи на съоръжения за гама-терапия и адронна терапия (ОВ, L 4/49, 9.1.2014 г.).</w:t>
      </w:r>
    </w:p>
    <w:p w:rsidR="00C465CF" w:rsidRPr="00C465CF" w:rsidRDefault="00C465CF" w:rsidP="00C465CF">
      <w:pPr>
        <w:jc w:val="both"/>
      </w:pPr>
      <w:r w:rsidRPr="00C465CF">
        <w:t>7. Делегирана директива 2014/4/ЕС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за осигуряване на вакуумно плътни свързвания между алуминий и стомана в усилвателите на рентгенови изображения (ОВ, L 4/51, 9.1.2014 г.).</w:t>
      </w:r>
    </w:p>
    <w:p w:rsidR="00C465CF" w:rsidRPr="00C465CF" w:rsidRDefault="00C465CF" w:rsidP="00C465CF">
      <w:pPr>
        <w:jc w:val="both"/>
      </w:pPr>
      <w:r w:rsidRPr="00C465CF">
        <w:lastRenderedPageBreak/>
        <w:t xml:space="preserve">8. Делегирана директива 2014/5/ЕС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в припои за печатни платки, в покрития на изводи на електрически и електронни елементи и покрития на печатни платки, в припои за свързване на проводници и кабели, в припои за свързване на измервателни преобразуватели и датчици, които се използват трайно при температури под – </w:t>
      </w:r>
      <w:smartTag w:uri="urn:schemas-microsoft-com:office:smarttags" w:element="metricconverter">
        <w:smartTagPr>
          <w:attr w:name="ProductID" w:val="20 ﾰC"/>
        </w:smartTagPr>
        <w:r w:rsidRPr="00C465CF">
          <w:t>20 °C</w:t>
        </w:r>
      </w:smartTag>
      <w:r w:rsidRPr="00C465CF">
        <w:t xml:space="preserve"> при нормални условия на работа и съхранение (ОВ, L 4/53, 9.1.2014 г.).</w:t>
      </w:r>
    </w:p>
    <w:p w:rsidR="00C465CF" w:rsidRPr="00C465CF" w:rsidRDefault="00C465CF" w:rsidP="00C465CF">
      <w:pPr>
        <w:jc w:val="both"/>
      </w:pPr>
      <w:r w:rsidRPr="00C465CF">
        <w:t xml:space="preserve">9. Делегирана директива 2014/6/ЕС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в повърхностните покрития на щифтови съединителни системи, за които са необходими немагнитни съединители и които се използват дълготрайно при температури под – </w:t>
      </w:r>
      <w:smartTag w:uri="urn:schemas-microsoft-com:office:smarttags" w:element="metricconverter">
        <w:smartTagPr>
          <w:attr w:name="ProductID" w:val="20 ﾰC"/>
        </w:smartTagPr>
        <w:r w:rsidRPr="00C465CF">
          <w:t>20 °C</w:t>
        </w:r>
      </w:smartTag>
      <w:r w:rsidRPr="00C465CF">
        <w:t xml:space="preserve"> при съответните нормални условия на работа и съхранение (ОВ, L 4/55, 9.1.2014 г.).</w:t>
      </w:r>
    </w:p>
    <w:p w:rsidR="00C465CF" w:rsidRPr="00C465CF" w:rsidRDefault="00C465CF" w:rsidP="00C465CF">
      <w:pPr>
        <w:jc w:val="both"/>
      </w:pPr>
      <w:r w:rsidRPr="00C465CF">
        <w:t xml:space="preserve">10. Делегирана директива 2014/7/ЕС на Комисията от 18 октомври 2013 година за изменение, с цел адаптиране към научно-техническия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в припои, покрития на изводи на електрически и електронни елементи и печатни платки, съединения на електрически проводници, екрани и затворени съединители, които се използват: а) в магнитни полета, разположени в сферата с радиус </w:t>
      </w:r>
      <w:smartTag w:uri="urn:schemas-microsoft-com:office:smarttags" w:element="metricconverter">
        <w:smartTagPr>
          <w:attr w:name="ProductID" w:val="1 m"/>
        </w:smartTagPr>
        <w:r w:rsidRPr="00C465CF">
          <w:t>1 m</w:t>
        </w:r>
      </w:smartTag>
      <w:r w:rsidRPr="00C465CF">
        <w:t xml:space="preserve"> около изоцентъра на магнита в апаратура за магнитно-резонансна томография, включително измервателни уреди за състоянието на пациента, предназначени да бъдат използвани в тази сфера, или б) в магнитни полета на разстояние под </w:t>
      </w:r>
      <w:smartTag w:uri="urn:schemas-microsoft-com:office:smarttags" w:element="metricconverter">
        <w:smartTagPr>
          <w:attr w:name="ProductID" w:val="1 m"/>
        </w:smartTagPr>
        <w:r w:rsidRPr="00C465CF">
          <w:t>1 m</w:t>
        </w:r>
      </w:smartTag>
      <w:r w:rsidRPr="00C465CF">
        <w:t xml:space="preserve"> от външните повърхности на циклотронни магнити, магнити за транспортиране на снопове частици и за управление на посоката на снопове частици, използвани при адронната терапия (ОВ, L 4/57, 9.1.2014 г.).</w:t>
      </w:r>
    </w:p>
    <w:p w:rsidR="00C465CF" w:rsidRPr="00C465CF" w:rsidRDefault="00C465CF" w:rsidP="00C465CF">
      <w:pPr>
        <w:jc w:val="both"/>
      </w:pPr>
      <w:r w:rsidRPr="00C465CF">
        <w:t>11. Делегирана директива 2014/8/ЕС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в припои за монтиране на цифрови матрични детектори от кадмиев телурид и кадмиев цинков телурид към печатни платки (ОВ, L 4/59, 9.1.2014 г.).</w:t>
      </w:r>
    </w:p>
    <w:p w:rsidR="00C465CF" w:rsidRPr="00C465CF" w:rsidRDefault="00C465CF" w:rsidP="00C465CF">
      <w:pPr>
        <w:jc w:val="both"/>
      </w:pPr>
      <w:r w:rsidRPr="00C465CF">
        <w:t>12. Делегирана директива 2014/9/ЕС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и кадмий, свързани с метални връзки, създаващи магнитни вериги в детектори за магнитно-резонансни томографи (MRI), за квантови интерферометри със свръхпроводимост (SQUID), за уреди за ядрено-магнитен резонанс (NMR), или за масспектрометри, използващи преобразувание на Фурие (FTMS) (ОВ, L 4/61, 9.1.2014 г.).</w:t>
      </w:r>
    </w:p>
    <w:p w:rsidR="00C465CF" w:rsidRPr="00C465CF" w:rsidRDefault="00C465CF" w:rsidP="00C465CF">
      <w:pPr>
        <w:jc w:val="both"/>
      </w:pPr>
      <w:r w:rsidRPr="00C465CF">
        <w:t>13. Делегирана директива 2014/10/ЕС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в сплави, представляващи свръхпроводящи или топлопроводящи материали, използвани в студените глави на криогенни охладители, и/или в криогенно охлаждани студени сонди, и/или в криогенно охлаждани системи за еквипотенциално свързване, съответно в медицински апарати (категория 8), и/или в промишлени контролни и регулиращи прибори (ОВ, L 4/63, 9.1.2014 г.).</w:t>
      </w:r>
    </w:p>
    <w:p w:rsidR="00C465CF" w:rsidRPr="00C465CF" w:rsidRDefault="00C465CF" w:rsidP="00C465CF">
      <w:pPr>
        <w:jc w:val="both"/>
      </w:pPr>
      <w:r w:rsidRPr="00C465CF">
        <w:t xml:space="preserve">14. Делегирана директива 2014/11/ЕС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шествалентен хром в </w:t>
      </w:r>
      <w:r w:rsidRPr="00C465CF">
        <w:lastRenderedPageBreak/>
        <w:t xml:space="preserve">дозаторите на алкални метали, използвани за изработването на фотокатоди за усилватели на рентгенови изображения до 31 декември </w:t>
      </w:r>
      <w:smartTag w:uri="urn:schemas-microsoft-com:office:smarttags" w:element="metricconverter">
        <w:smartTagPr>
          <w:attr w:name="ProductID" w:val="2019 г"/>
        </w:smartTagPr>
        <w:r w:rsidRPr="00C465CF">
          <w:t>2019 г</w:t>
        </w:r>
      </w:smartTag>
      <w:r w:rsidRPr="00C465CF">
        <w:t xml:space="preserve">., както и в резервни части за рентгенови системи, пуснати на пазара в ЕС преди 1 януари </w:t>
      </w:r>
      <w:smartTag w:uri="urn:schemas-microsoft-com:office:smarttags" w:element="metricconverter">
        <w:smartTagPr>
          <w:attr w:name="ProductID" w:val="2020 г"/>
        </w:smartTagPr>
        <w:r w:rsidRPr="00C465CF">
          <w:t>2020 г</w:t>
        </w:r>
      </w:smartTag>
      <w:r w:rsidRPr="00C465CF">
        <w:t>. (ОВ, L 4/65, 9.1.2014 г.)</w:t>
      </w:r>
    </w:p>
    <w:p w:rsidR="00C465CF" w:rsidRPr="00C465CF" w:rsidRDefault="00C465CF" w:rsidP="00C465CF">
      <w:pPr>
        <w:jc w:val="both"/>
      </w:pPr>
      <w:r w:rsidRPr="00C465CF">
        <w:t>15. Делегирана директива 2014/12/ЕС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в припои за печатни платки за детектори и блокове за събиране на данни на позитронно-емисионни томографи, интегрирани в апаратура за магнитно- резонансна томография. (ОВ, L 4/67, 9.1.2014 г.)</w:t>
      </w:r>
    </w:p>
    <w:p w:rsidR="00C465CF" w:rsidRPr="00C465CF" w:rsidRDefault="00C465CF" w:rsidP="00C465CF">
      <w:pPr>
        <w:jc w:val="both"/>
      </w:pPr>
      <w:r w:rsidRPr="00C465CF">
        <w:t>16. Делегирана директива 2014/13/ЕС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в припои за наситени печатни платки, използвани в мобилни медицински апарати от класове IIa и IIб съгласно Директива 93/42/ЕИО, различни от преносимите дефибрилатори за спешна помощ (ОВ, L 4/69, 9.1.2014 г.).</w:t>
      </w:r>
    </w:p>
    <w:p w:rsidR="00C465CF" w:rsidRPr="00C465CF" w:rsidRDefault="00C465CF" w:rsidP="00C465CF">
      <w:pPr>
        <w:jc w:val="both"/>
      </w:pPr>
      <w:r w:rsidRPr="00C465CF">
        <w:t>17.  Делегирана директива 2014/14/ЕС на Комисията от 18 октомври 2013 година за изменение, с цел адаптиране към техническия прогрес, на приложение III към Директива 2011/65/ЕС на Европейския парламент и на Съвета, състоящо се в освобождаване от съответното ограничение на употребата на 3,5 mg живак/лампа в едноцокълни компактни луминесцентни лампи с общоосветително предназначение и мощност под 30 W, имащи експлоатационен срок равен на или по-голям от 20 000 часа (ОВ, L 4/71, 9.1.2014 г.).</w:t>
      </w:r>
    </w:p>
    <w:p w:rsidR="00C465CF" w:rsidRPr="00C465CF" w:rsidRDefault="00C465CF" w:rsidP="00C465CF">
      <w:pPr>
        <w:jc w:val="both"/>
      </w:pPr>
      <w:r w:rsidRPr="00C465CF">
        <w:t xml:space="preserve">18. Делегирана директива 2014/15/ЕС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олово, кадмий и шествалентен хром в повторно използвани резервни части, произхождащи от медицински апарати, пуснати на пазара преди 22 юли </w:t>
      </w:r>
      <w:smartTag w:uri="urn:schemas-microsoft-com:office:smarttags" w:element="metricconverter">
        <w:smartTagPr>
          <w:attr w:name="ProductID" w:val="2014 г"/>
        </w:smartTagPr>
        <w:r w:rsidRPr="00C465CF">
          <w:t>2014 г</w:t>
        </w:r>
      </w:smartTag>
      <w:r w:rsidRPr="00C465CF">
        <w:t xml:space="preserve">., и вложени в изделия от категория 8, пуснати на пазара преди 22 юли </w:t>
      </w:r>
      <w:smartTag w:uri="urn:schemas-microsoft-com:office:smarttags" w:element="metricconverter">
        <w:smartTagPr>
          <w:attr w:name="ProductID" w:val="2021 г"/>
        </w:smartTagPr>
        <w:r w:rsidRPr="00C465CF">
          <w:t>2021 г</w:t>
        </w:r>
      </w:smartTag>
      <w:r w:rsidRPr="00C465CF">
        <w:t>., при условие че повторната употреба се извършва в рамките на одитируеми междуфирмени системи със затворен цикъл за връщане на резервните части, както и че наличието на повторно използвани резервни части се обявява на потребителя (ОВ, L 4/73, 9.1.2014 г.).</w:t>
      </w:r>
    </w:p>
    <w:p w:rsidR="008A25FE" w:rsidRDefault="00C465CF" w:rsidP="00C465CF">
      <w:pPr>
        <w:jc w:val="both"/>
        <w:rPr>
          <w:lang w:val="en-US"/>
        </w:rPr>
      </w:pPr>
      <w:r w:rsidRPr="00C465CF">
        <w:t>19. Делегирана директива 2014/16/ЕС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като активатор в луминесциращия прах на газоразрядни лампи, използвани като лампи за екстракорпорална фотофореза и съдържащи луминофори от BSP (BaSi</w:t>
      </w:r>
      <w:r w:rsidRPr="00C465CF">
        <w:rPr>
          <w:vertAlign w:val="subscript"/>
        </w:rPr>
        <w:t>2</w:t>
      </w:r>
      <w:r w:rsidRPr="00C465CF">
        <w:t>O</w:t>
      </w:r>
      <w:r w:rsidRPr="00C465CF">
        <w:rPr>
          <w:vertAlign w:val="subscript"/>
        </w:rPr>
        <w:t>5</w:t>
      </w:r>
      <w:r w:rsidRPr="00C465CF">
        <w:t>:Pb) (ОВ, L 4/75, 9.1.2014 г.).</w:t>
      </w:r>
    </w:p>
    <w:p w:rsidR="00F82307" w:rsidRPr="00F602B1" w:rsidRDefault="008A25FE" w:rsidP="00F82307">
      <w:pPr>
        <w:jc w:val="both"/>
        <w:rPr>
          <w:lang w:val="en-US"/>
        </w:rPr>
      </w:pPr>
      <w:r>
        <w:rPr>
          <w:lang w:val="en-US"/>
        </w:rPr>
        <w:t xml:space="preserve">20. </w:t>
      </w:r>
      <w:r w:rsidR="00F82307" w:rsidRPr="00F82307">
        <w:rPr>
          <w:lang w:val="en-US"/>
        </w:rPr>
        <w:t>Делегирана ди</w:t>
      </w:r>
      <w:r w:rsidR="0053391B">
        <w:rPr>
          <w:lang w:val="en-US"/>
        </w:rPr>
        <w:t>ректива 2014</w:t>
      </w:r>
      <w:r w:rsidR="00F82307">
        <w:rPr>
          <w:lang w:val="en-US"/>
        </w:rPr>
        <w:t>/</w:t>
      </w:r>
      <w:r w:rsidR="0053391B">
        <w:rPr>
          <w:lang w:val="en-US"/>
        </w:rPr>
        <w:t>76</w:t>
      </w:r>
      <w:r w:rsidR="00F82307">
        <w:rPr>
          <w:lang w:val="en-US"/>
        </w:rPr>
        <w:t xml:space="preserve">/ЕС на Комисията от 13.3.2014 година </w:t>
      </w:r>
      <w:r w:rsidR="00F82307" w:rsidRPr="00F82307">
        <w:rPr>
          <w:lang w:val="en-US"/>
        </w:rPr>
        <w:t>за изменение, с цел адаптиране към техническия прогрес, на приложение III към Директива 2011/65/ЕС на Европейския парламент и на Съвета по отношение на освобождаването за живак в ръчно изработени светещи газоразрядни тръби (РСГТ), използвани за светлинни надписи, декоративно или архитектурно и специализирано осветление, и творби на изкуството от светлина</w:t>
      </w:r>
      <w:r w:rsidR="005E0676">
        <w:t>.</w:t>
      </w:r>
      <w:r w:rsidR="00F602B1">
        <w:rPr>
          <w:lang w:val="en-US"/>
        </w:rPr>
        <w:t xml:space="preserve"> (ОВ, L </w:t>
      </w:r>
      <w:r w:rsidR="000079C5">
        <w:rPr>
          <w:lang w:val="en-US"/>
        </w:rPr>
        <w:t>148</w:t>
      </w:r>
      <w:r w:rsidR="00F602B1">
        <w:rPr>
          <w:lang w:val="en-US"/>
        </w:rPr>
        <w:t>/</w:t>
      </w:r>
      <w:r w:rsidR="000079C5">
        <w:rPr>
          <w:lang w:val="en-US"/>
        </w:rPr>
        <w:t>86</w:t>
      </w:r>
      <w:r w:rsidR="00F602B1">
        <w:rPr>
          <w:lang w:val="en-US"/>
        </w:rPr>
        <w:t xml:space="preserve">, </w:t>
      </w:r>
      <w:r w:rsidR="000079C5">
        <w:rPr>
          <w:lang w:val="en-US"/>
        </w:rPr>
        <w:t>20</w:t>
      </w:r>
      <w:r w:rsidR="00F602B1">
        <w:rPr>
          <w:lang w:val="en-US"/>
        </w:rPr>
        <w:t>.</w:t>
      </w:r>
      <w:r w:rsidR="000079C5">
        <w:rPr>
          <w:lang w:val="en-US"/>
        </w:rPr>
        <w:t>5</w:t>
      </w:r>
      <w:r w:rsidR="00F602B1">
        <w:rPr>
          <w:lang w:val="en-US"/>
        </w:rPr>
        <w:t>.2014 г.)</w:t>
      </w:r>
    </w:p>
    <w:p w:rsidR="005E0676" w:rsidRPr="00F602B1" w:rsidRDefault="00F82307" w:rsidP="005E0676">
      <w:pPr>
        <w:jc w:val="both"/>
        <w:rPr>
          <w:lang w:val="en-US"/>
        </w:rPr>
      </w:pPr>
      <w:r>
        <w:rPr>
          <w:lang w:val="en-US"/>
        </w:rPr>
        <w:t>21</w:t>
      </w:r>
      <w:r>
        <w:t>.</w:t>
      </w:r>
      <w:r w:rsidR="005E0676" w:rsidRPr="005E0676">
        <w:t xml:space="preserve"> </w:t>
      </w:r>
      <w:r w:rsidR="000079C5">
        <w:t xml:space="preserve">Делегирана директива </w:t>
      </w:r>
      <w:r w:rsidR="000079C5">
        <w:rPr>
          <w:lang w:val="en-US"/>
        </w:rPr>
        <w:t>2014</w:t>
      </w:r>
      <w:r w:rsidR="005E0676">
        <w:t>/</w:t>
      </w:r>
      <w:r w:rsidR="000079C5">
        <w:rPr>
          <w:lang w:val="en-US"/>
        </w:rPr>
        <w:t>71</w:t>
      </w:r>
      <w:r w:rsidR="005E0676">
        <w:t>/ЕС на Комисията от 13.3.2014 годиназа изменение, с цел привеждане в съответствие с техническия прогрес, на приложение IV към Директива 2011/65/ЕС на Европейския парламент и на Съвета по отношение на освобождаването за олово в припой в интерфейс от разположени един върху друг елементи с голяма повърхност.</w:t>
      </w:r>
      <w:r w:rsidR="00F602B1" w:rsidRPr="00F602B1">
        <w:t xml:space="preserve"> </w:t>
      </w:r>
      <w:r w:rsidR="000079C5">
        <w:t xml:space="preserve">(ОВ, L </w:t>
      </w:r>
      <w:r w:rsidR="000079C5">
        <w:rPr>
          <w:lang w:val="en-US"/>
        </w:rPr>
        <w:t>148</w:t>
      </w:r>
      <w:r w:rsidR="00F602B1">
        <w:t>/7</w:t>
      </w:r>
      <w:r w:rsidR="000079C5">
        <w:rPr>
          <w:lang w:val="en-US"/>
        </w:rPr>
        <w:t>6</w:t>
      </w:r>
      <w:r w:rsidR="00F602B1">
        <w:t xml:space="preserve">, </w:t>
      </w:r>
      <w:r w:rsidR="000079C5">
        <w:rPr>
          <w:lang w:val="en-US"/>
        </w:rPr>
        <w:t>20</w:t>
      </w:r>
      <w:r w:rsidR="00F602B1">
        <w:t>.</w:t>
      </w:r>
      <w:r w:rsidR="000079C5">
        <w:rPr>
          <w:lang w:val="en-US"/>
        </w:rPr>
        <w:t>5</w:t>
      </w:r>
      <w:r w:rsidR="00F602B1">
        <w:t>.2014 г.)</w:t>
      </w:r>
    </w:p>
    <w:p w:rsidR="00C11441" w:rsidRPr="00F602B1" w:rsidRDefault="005E0676" w:rsidP="00C11441">
      <w:pPr>
        <w:jc w:val="both"/>
        <w:rPr>
          <w:lang w:val="en-US"/>
        </w:rPr>
      </w:pPr>
      <w:r>
        <w:t xml:space="preserve">22. </w:t>
      </w:r>
      <w:r w:rsidR="00F82307">
        <w:t xml:space="preserve"> </w:t>
      </w:r>
      <w:r w:rsidR="000079C5">
        <w:t xml:space="preserve">Делегирана директива </w:t>
      </w:r>
      <w:r w:rsidR="000079C5">
        <w:rPr>
          <w:lang w:val="en-US"/>
        </w:rPr>
        <w:t>2014</w:t>
      </w:r>
      <w:r w:rsidR="00C11441">
        <w:t>/</w:t>
      </w:r>
      <w:r w:rsidR="000079C5">
        <w:rPr>
          <w:lang w:val="en-US"/>
        </w:rPr>
        <w:t>70</w:t>
      </w:r>
      <w:r w:rsidR="00C11441">
        <w:t xml:space="preserve">/ЕС на Комисията от 13.3.2014 година за изменение, с цел привеждане в съответствие с техническия прогрес, на приложение IV към </w:t>
      </w:r>
      <w:r w:rsidR="00C11441">
        <w:lastRenderedPageBreak/>
        <w:t>Директива 2011/65/ЕС на Европейския парламент и на Съвета по отношение на освобождаването за олово в микроканални плочи (МКП).</w:t>
      </w:r>
      <w:r w:rsidR="00F602B1" w:rsidRPr="00F602B1">
        <w:t xml:space="preserve"> </w:t>
      </w:r>
      <w:r w:rsidR="000079C5">
        <w:t xml:space="preserve">(ОВ, L </w:t>
      </w:r>
      <w:r w:rsidR="000079C5">
        <w:rPr>
          <w:lang w:val="en-US"/>
        </w:rPr>
        <w:t>148</w:t>
      </w:r>
      <w:r w:rsidR="00F602B1">
        <w:t>/7</w:t>
      </w:r>
      <w:r w:rsidR="000079C5">
        <w:rPr>
          <w:lang w:val="en-US"/>
        </w:rPr>
        <w:t>4</w:t>
      </w:r>
      <w:r w:rsidR="00F602B1">
        <w:t>, 9.1.2014 г.)</w:t>
      </w:r>
    </w:p>
    <w:p w:rsidR="007F3858" w:rsidRPr="00F602B1" w:rsidRDefault="00C11441" w:rsidP="007F3858">
      <w:pPr>
        <w:jc w:val="both"/>
        <w:rPr>
          <w:lang w:val="en-US"/>
        </w:rPr>
      </w:pPr>
      <w:r>
        <w:t xml:space="preserve">23. </w:t>
      </w:r>
      <w:r w:rsidR="00851AE4">
        <w:t xml:space="preserve">Делегирана директива </w:t>
      </w:r>
      <w:r w:rsidR="00851AE4">
        <w:rPr>
          <w:lang w:val="en-US"/>
        </w:rPr>
        <w:t>2014</w:t>
      </w:r>
      <w:r w:rsidR="007F3858">
        <w:t>/</w:t>
      </w:r>
      <w:r w:rsidR="00851AE4">
        <w:rPr>
          <w:lang w:val="en-US"/>
        </w:rPr>
        <w:t>69</w:t>
      </w:r>
      <w:r w:rsidR="007F3858">
        <w:t>/ЕС на Комисията от 13.3.2014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в керамиката на диелектрика на кондензатори с номинално напрежение до 125 ~V  или до 250 –V, използвани в промишлени контролни и регулиращи прибори.</w:t>
      </w:r>
      <w:r w:rsidR="00F602B1" w:rsidRPr="00F602B1">
        <w:t xml:space="preserve"> </w:t>
      </w:r>
      <w:r w:rsidR="00F602B1">
        <w:t xml:space="preserve">(ОВ, L </w:t>
      </w:r>
      <w:r w:rsidR="00851AE4">
        <w:rPr>
          <w:lang w:val="en-US"/>
        </w:rPr>
        <w:t>1</w:t>
      </w:r>
      <w:r w:rsidR="00F602B1">
        <w:t>4</w:t>
      </w:r>
      <w:r w:rsidR="00851AE4">
        <w:rPr>
          <w:lang w:val="en-US"/>
        </w:rPr>
        <w:t>8</w:t>
      </w:r>
      <w:r w:rsidR="00F602B1">
        <w:t>/7</w:t>
      </w:r>
      <w:r w:rsidR="00851AE4">
        <w:rPr>
          <w:lang w:val="en-US"/>
        </w:rPr>
        <w:t>2</w:t>
      </w:r>
      <w:r w:rsidR="00F602B1">
        <w:t>, 9.1.2014 г.)</w:t>
      </w:r>
    </w:p>
    <w:p w:rsidR="00B66FA1" w:rsidRPr="00F602B1" w:rsidRDefault="007F3858" w:rsidP="00B66FA1">
      <w:pPr>
        <w:jc w:val="both"/>
        <w:rPr>
          <w:lang w:val="en-US"/>
        </w:rPr>
      </w:pPr>
      <w:r>
        <w:t xml:space="preserve">24. </w:t>
      </w:r>
      <w:r w:rsidR="00DF0ED2">
        <w:t xml:space="preserve">Делегирана директива </w:t>
      </w:r>
      <w:r w:rsidR="00DF0ED2">
        <w:rPr>
          <w:lang w:val="en-US"/>
        </w:rPr>
        <w:t>2014</w:t>
      </w:r>
      <w:r w:rsidR="00B66FA1">
        <w:t>/</w:t>
      </w:r>
      <w:r w:rsidR="00DF0ED2">
        <w:rPr>
          <w:lang w:val="en-US"/>
        </w:rPr>
        <w:t>75</w:t>
      </w:r>
      <w:r w:rsidR="00B66FA1">
        <w:t>/ЕС на Комисията от 13.3.2014 година за изменение, с цел адаптиране към техническия прогрес, на Приложение IV към Директива 2011/65/ЕС на Европейския парламент и на Съвета по отношение на освобождаването за живак във флуоресцентни лампи със студен катод (ФЛСК) за течнокристални екрани с подсветка, който не превишава 5 mg на лампа, използвани в промишлените прибори за контрол и управление, пуснати на пазара преди 22 юли 2017 година.</w:t>
      </w:r>
      <w:r w:rsidR="00F602B1" w:rsidRPr="00F602B1">
        <w:t xml:space="preserve"> </w:t>
      </w:r>
      <w:r w:rsidR="00F602B1">
        <w:t xml:space="preserve">(ОВ, L </w:t>
      </w:r>
      <w:r w:rsidR="00DF0ED2">
        <w:rPr>
          <w:lang w:val="en-US"/>
        </w:rPr>
        <w:t>1</w:t>
      </w:r>
      <w:r w:rsidR="00F602B1">
        <w:t>4</w:t>
      </w:r>
      <w:r w:rsidR="00DF0ED2">
        <w:rPr>
          <w:lang w:val="en-US"/>
        </w:rPr>
        <w:t>8</w:t>
      </w:r>
      <w:r w:rsidR="00F602B1">
        <w:t>/</w:t>
      </w:r>
      <w:r w:rsidR="00DF0ED2">
        <w:rPr>
          <w:lang w:val="en-US"/>
        </w:rPr>
        <w:t>84</w:t>
      </w:r>
      <w:r w:rsidR="00F602B1">
        <w:t xml:space="preserve">, </w:t>
      </w:r>
      <w:r w:rsidR="00DF0ED2">
        <w:rPr>
          <w:lang w:val="en-US"/>
        </w:rPr>
        <w:t>20</w:t>
      </w:r>
      <w:r w:rsidR="00F602B1">
        <w:t>.</w:t>
      </w:r>
      <w:r w:rsidR="00DF0ED2">
        <w:rPr>
          <w:lang w:val="en-US"/>
        </w:rPr>
        <w:t>5</w:t>
      </w:r>
      <w:r w:rsidR="00F602B1">
        <w:t>.2014 г.)</w:t>
      </w:r>
    </w:p>
    <w:p w:rsidR="00B66FA1" w:rsidRPr="00F602B1" w:rsidRDefault="00DF0ED2" w:rsidP="00B66FA1">
      <w:pPr>
        <w:jc w:val="both"/>
        <w:rPr>
          <w:lang w:val="en-US"/>
        </w:rPr>
      </w:pPr>
      <w:r>
        <w:t xml:space="preserve">25. Делегирана директива </w:t>
      </w:r>
      <w:r>
        <w:rPr>
          <w:lang w:val="en-US"/>
        </w:rPr>
        <w:t>2014</w:t>
      </w:r>
      <w:r w:rsidR="00B66FA1">
        <w:t>/</w:t>
      </w:r>
      <w:r>
        <w:rPr>
          <w:lang w:val="en-US"/>
        </w:rPr>
        <w:t>72</w:t>
      </w:r>
      <w:r w:rsidR="00B66FA1">
        <w:t>/ЕС на Комисията от 13.3.2014 година за изменение, с цел привеждане в съответствие с техническия прогрес, на приложение III към Директива 2011/65/ЕС на Европейския парламент и на Съвета по отношение на освобождаването за олово в припой и покрития за клеми за електрически и електронни компоненти и покрития за печатни платки, използвани в модулите на запалването и други електрически и електронни системи за управление на двигатели.</w:t>
      </w:r>
      <w:r w:rsidR="00F602B1" w:rsidRPr="00F602B1">
        <w:t xml:space="preserve"> </w:t>
      </w:r>
      <w:r w:rsidR="00F602B1">
        <w:t xml:space="preserve">(ОВ, L </w:t>
      </w:r>
      <w:r>
        <w:rPr>
          <w:lang w:val="en-US"/>
        </w:rPr>
        <w:t>1</w:t>
      </w:r>
      <w:r w:rsidR="00F602B1">
        <w:t>4</w:t>
      </w:r>
      <w:r>
        <w:rPr>
          <w:lang w:val="en-US"/>
        </w:rPr>
        <w:t>8</w:t>
      </w:r>
      <w:r w:rsidR="00F602B1">
        <w:t>/</w:t>
      </w:r>
      <w:r>
        <w:rPr>
          <w:lang w:val="en-US"/>
        </w:rPr>
        <w:t>78</w:t>
      </w:r>
      <w:r w:rsidR="00F602B1">
        <w:t xml:space="preserve">, </w:t>
      </w:r>
      <w:r>
        <w:rPr>
          <w:lang w:val="en-US"/>
        </w:rPr>
        <w:t>20</w:t>
      </w:r>
      <w:r w:rsidR="00F602B1">
        <w:t>.</w:t>
      </w:r>
      <w:r>
        <w:rPr>
          <w:lang w:val="en-US"/>
        </w:rPr>
        <w:t>5</w:t>
      </w:r>
      <w:r w:rsidR="00F602B1">
        <w:t>.2014 г.)</w:t>
      </w:r>
    </w:p>
    <w:p w:rsidR="002E1821" w:rsidRPr="00F602B1" w:rsidRDefault="00B66FA1" w:rsidP="002E1821">
      <w:pPr>
        <w:jc w:val="both"/>
        <w:rPr>
          <w:lang w:val="en-US"/>
        </w:rPr>
      </w:pPr>
      <w:r>
        <w:t xml:space="preserve">26. </w:t>
      </w:r>
      <w:r w:rsidR="00DF0ED2">
        <w:t xml:space="preserve">Делегирана директива </w:t>
      </w:r>
      <w:r w:rsidR="00DF0ED2">
        <w:rPr>
          <w:lang w:val="en-US"/>
        </w:rPr>
        <w:t>2014</w:t>
      </w:r>
      <w:r w:rsidR="002E1821">
        <w:t>/</w:t>
      </w:r>
      <w:r w:rsidR="00DF0ED2">
        <w:rPr>
          <w:lang w:val="en-US"/>
        </w:rPr>
        <w:t>73</w:t>
      </w:r>
      <w:r w:rsidR="002E1821">
        <w:t>/ЕС на Комисията от 13.3.2014 година за изменение, с цел привеждане в съответствие с техническия прогрес, на приложение IV към Директива 2011/65/ЕС на Европейския парламент и на Съвета по отношение на освобождаването за олово в платинирани платинени електроди, използвани за измервания на проводимостта.</w:t>
      </w:r>
      <w:r w:rsidR="00F602B1" w:rsidRPr="00F602B1">
        <w:t xml:space="preserve"> </w:t>
      </w:r>
      <w:r w:rsidR="00F602B1">
        <w:t xml:space="preserve">(ОВ, L </w:t>
      </w:r>
      <w:r w:rsidR="00DF0ED2">
        <w:rPr>
          <w:lang w:val="en-US"/>
        </w:rPr>
        <w:t>1</w:t>
      </w:r>
      <w:r w:rsidR="00F602B1">
        <w:t>4</w:t>
      </w:r>
      <w:r w:rsidR="00DF0ED2">
        <w:rPr>
          <w:lang w:val="en-US"/>
        </w:rPr>
        <w:t>8</w:t>
      </w:r>
      <w:r w:rsidR="00F602B1">
        <w:t>/</w:t>
      </w:r>
      <w:r w:rsidR="00DF0ED2">
        <w:rPr>
          <w:lang w:val="en-US"/>
        </w:rPr>
        <w:t>80</w:t>
      </w:r>
      <w:r w:rsidR="00F602B1">
        <w:t xml:space="preserve">, </w:t>
      </w:r>
      <w:r w:rsidR="00DF0ED2">
        <w:rPr>
          <w:lang w:val="en-US"/>
        </w:rPr>
        <w:t>20</w:t>
      </w:r>
      <w:r w:rsidR="00F602B1">
        <w:t>.</w:t>
      </w:r>
      <w:r w:rsidR="00DF0ED2">
        <w:rPr>
          <w:lang w:val="en-US"/>
        </w:rPr>
        <w:t>5</w:t>
      </w:r>
      <w:r w:rsidR="00F602B1">
        <w:t>.2014 г.)</w:t>
      </w:r>
    </w:p>
    <w:p w:rsidR="00C465CF" w:rsidRPr="005E0676" w:rsidRDefault="00DF0ED2" w:rsidP="002E1821">
      <w:pPr>
        <w:jc w:val="both"/>
      </w:pPr>
      <w:r>
        <w:t xml:space="preserve">27. Делегирана директива </w:t>
      </w:r>
      <w:r>
        <w:rPr>
          <w:lang w:val="en-US"/>
        </w:rPr>
        <w:t>2014</w:t>
      </w:r>
      <w:r w:rsidR="002E1821">
        <w:t>/</w:t>
      </w:r>
      <w:r>
        <w:rPr>
          <w:lang w:val="en-US"/>
        </w:rPr>
        <w:t>74</w:t>
      </w:r>
      <w:r w:rsidR="002E1821">
        <w:t>/ЕС на Комисията от 13.3.2014 година за изменение, с цел привеждане в съответствие с техническия прогрес, на приложение IV към Директива 2011/65/ЕС на Европейския парламент и на Съвета по отношение на освобождаването за олово в различни от C-press съвместимите щифтови конекторни системи за промищлени прибори за контрол и управление.</w:t>
      </w:r>
      <w:r w:rsidR="0053391B" w:rsidRPr="0053391B">
        <w:t xml:space="preserve"> </w:t>
      </w:r>
      <w:r w:rsidR="0053391B">
        <w:t xml:space="preserve">(ОВ, L </w:t>
      </w:r>
      <w:r>
        <w:rPr>
          <w:lang w:val="en-US"/>
        </w:rPr>
        <w:t>1</w:t>
      </w:r>
      <w:r w:rsidR="0053391B">
        <w:t>4</w:t>
      </w:r>
      <w:r>
        <w:rPr>
          <w:lang w:val="en-US"/>
        </w:rPr>
        <w:t>8</w:t>
      </w:r>
      <w:r w:rsidR="0053391B">
        <w:t>/</w:t>
      </w:r>
      <w:r>
        <w:rPr>
          <w:lang w:val="en-US"/>
        </w:rPr>
        <w:t>82</w:t>
      </w:r>
      <w:r w:rsidR="0053391B">
        <w:t xml:space="preserve">, </w:t>
      </w:r>
      <w:r>
        <w:rPr>
          <w:lang w:val="en-US"/>
        </w:rPr>
        <w:t>20</w:t>
      </w:r>
      <w:r w:rsidR="0053391B">
        <w:t>.</w:t>
      </w:r>
      <w:r>
        <w:rPr>
          <w:lang w:val="en-US"/>
        </w:rPr>
        <w:t>5</w:t>
      </w:r>
      <w:r w:rsidR="0053391B">
        <w:t>.2014 г.)</w:t>
      </w:r>
      <w:r w:rsidR="00C465CF" w:rsidRPr="00C465CF">
        <w:t>”</w:t>
      </w:r>
    </w:p>
    <w:p w:rsidR="00C465CF" w:rsidRPr="00C465CF" w:rsidRDefault="00C465CF" w:rsidP="00C465CF">
      <w:pPr>
        <w:jc w:val="both"/>
      </w:pPr>
    </w:p>
    <w:p w:rsidR="00C465CF" w:rsidRPr="00C465CF" w:rsidRDefault="00C465CF" w:rsidP="00C465CF">
      <w:pPr>
        <w:jc w:val="both"/>
      </w:pPr>
      <w:r w:rsidRPr="00C465CF">
        <w:t>2. В заключителните разпоредби се правят следните изменения и допълнения:</w:t>
      </w:r>
    </w:p>
    <w:p w:rsidR="00C465CF" w:rsidRPr="00C465CF" w:rsidRDefault="00C465CF" w:rsidP="00C465CF">
      <w:pPr>
        <w:jc w:val="both"/>
      </w:pPr>
      <w:r w:rsidRPr="00C465CF">
        <w:t>а) Пред думата "заключителни" се добавя "Преходни и".</w:t>
      </w:r>
    </w:p>
    <w:p w:rsidR="00C465CF" w:rsidRPr="00C465CF" w:rsidRDefault="00C465CF" w:rsidP="00C465CF">
      <w:pPr>
        <w:jc w:val="both"/>
        <w:rPr>
          <w:rFonts w:eastAsia="DejaVu Sans"/>
          <w:bCs/>
        </w:rPr>
      </w:pPr>
      <w:r w:rsidRPr="00C465CF">
        <w:t xml:space="preserve">б) </w:t>
      </w:r>
      <w:r w:rsidRPr="00C465CF">
        <w:rPr>
          <w:rFonts w:eastAsia="DejaVu Sans"/>
          <w:bCs/>
        </w:rPr>
        <w:t>Създава се §5:</w:t>
      </w:r>
    </w:p>
    <w:p w:rsidR="00C465CF" w:rsidRPr="00C465CF" w:rsidRDefault="00C465CF" w:rsidP="00C465CF">
      <w:pPr>
        <w:jc w:val="both"/>
        <w:rPr>
          <w:rFonts w:eastAsia="DejaVu Sans"/>
          <w:bCs/>
        </w:rPr>
      </w:pPr>
      <w:r w:rsidRPr="00C465CF">
        <w:rPr>
          <w:rFonts w:eastAsia="DejaVu Sans"/>
          <w:bCs/>
        </w:rPr>
        <w:t>"§5. (1) Точки 3.4, 3.14, 3.15, 3.17, 3.18, 3.21 от Приложение № 3 се прилагат до 30.06.2021 г.</w:t>
      </w:r>
    </w:p>
    <w:p w:rsidR="00C465CF" w:rsidRPr="00C465CF" w:rsidRDefault="00C465CF" w:rsidP="00C465CF">
      <w:pPr>
        <w:jc w:val="both"/>
        <w:rPr>
          <w:rFonts w:eastAsia="DejaVu Sans"/>
          <w:bCs/>
        </w:rPr>
      </w:pPr>
      <w:r w:rsidRPr="00C465CF">
        <w:rPr>
          <w:rFonts w:eastAsia="DejaVu Sans"/>
          <w:bCs/>
        </w:rPr>
        <w:t>(2) Точки 3.13, 3.16, 3.22 и 3.24 от Приложение № 3 се прилагат до 31.12.2019 г.</w:t>
      </w:r>
    </w:p>
    <w:p w:rsidR="00C465CF" w:rsidRPr="00C465CF" w:rsidRDefault="00C465CF" w:rsidP="00C465CF">
      <w:pPr>
        <w:jc w:val="both"/>
        <w:rPr>
          <w:rFonts w:eastAsia="DejaVu Sans"/>
          <w:bCs/>
        </w:rPr>
      </w:pPr>
      <w:r w:rsidRPr="00C465CF">
        <w:rPr>
          <w:rFonts w:eastAsia="DejaVu Sans"/>
          <w:bCs/>
        </w:rPr>
        <w:t>(3) Точка 3.19 от Приложение № 3 се прилага до 30.06.2020 г.</w:t>
      </w:r>
    </w:p>
    <w:p w:rsidR="00C465CF" w:rsidRPr="00C465CF" w:rsidRDefault="00C465CF" w:rsidP="00C465CF">
      <w:pPr>
        <w:jc w:val="both"/>
        <w:rPr>
          <w:rFonts w:eastAsia="DejaVu Sans"/>
          <w:bCs/>
        </w:rPr>
      </w:pPr>
      <w:r w:rsidRPr="00C465CF">
        <w:rPr>
          <w:rFonts w:eastAsia="DejaVu Sans"/>
          <w:bCs/>
        </w:rPr>
        <w:t>(4) Точка 3.20 от Приложение № 3 се прилага до 31.12.2017 г.</w:t>
      </w:r>
    </w:p>
    <w:p w:rsidR="00C465CF" w:rsidRPr="00C465CF" w:rsidRDefault="00C465CF" w:rsidP="00C465CF">
      <w:pPr>
        <w:jc w:val="both"/>
        <w:rPr>
          <w:rFonts w:eastAsia="DejaVu Sans"/>
          <w:bCs/>
        </w:rPr>
      </w:pPr>
      <w:r w:rsidRPr="00C465CF">
        <w:rPr>
          <w:rFonts w:eastAsia="DejaVu Sans"/>
          <w:bCs/>
        </w:rPr>
        <w:t>(5) Точка 3.23 от Приложение № 3 се прилага до 21.07.2021 г.</w:t>
      </w:r>
    </w:p>
    <w:p w:rsidR="00C465CF" w:rsidRPr="00C465CF" w:rsidRDefault="00C465CF" w:rsidP="00C465CF">
      <w:pPr>
        <w:jc w:val="both"/>
        <w:rPr>
          <w:rFonts w:eastAsia="DejaVu Sans"/>
          <w:bCs/>
        </w:rPr>
      </w:pPr>
      <w:r w:rsidRPr="00C465CF">
        <w:rPr>
          <w:rFonts w:eastAsia="DejaVu Sans"/>
          <w:bCs/>
        </w:rPr>
        <w:t>(6) Точка 3.25 от Приложение № 3 се прилага до 30.06.2016 г. по отношение на медицинските апарати от клас ІІа и до 31.12.2020 г. по отношение на медицинските апарати от клас ІІб.</w:t>
      </w:r>
    </w:p>
    <w:p w:rsidR="002B3FB6" w:rsidRDefault="00C465CF" w:rsidP="00C465CF">
      <w:pPr>
        <w:jc w:val="both"/>
        <w:rPr>
          <w:rFonts w:eastAsia="DejaVu Sans"/>
          <w:bCs/>
        </w:rPr>
      </w:pPr>
      <w:r w:rsidRPr="00C465CF">
        <w:rPr>
          <w:rFonts w:eastAsia="DejaVu Sans"/>
          <w:bCs/>
        </w:rPr>
        <w:t>(7) Точка 3.26 от Приложение № 3 се прилага до 22.07.2021 г.</w:t>
      </w:r>
    </w:p>
    <w:p w:rsidR="002B3FB6" w:rsidRDefault="002B3FB6" w:rsidP="00C465CF">
      <w:pPr>
        <w:jc w:val="both"/>
        <w:rPr>
          <w:rFonts w:eastAsia="DejaVu Sans"/>
          <w:bCs/>
        </w:rPr>
      </w:pPr>
      <w:r>
        <w:rPr>
          <w:rFonts w:eastAsia="DejaVu Sans"/>
          <w:bCs/>
        </w:rPr>
        <w:t>(8) Точка 3.27 от Приложение № 3 се прилага до 21.07.2024 г.</w:t>
      </w:r>
    </w:p>
    <w:p w:rsidR="002B3FB6" w:rsidRDefault="002B3FB6" w:rsidP="00C465CF">
      <w:pPr>
        <w:jc w:val="both"/>
        <w:rPr>
          <w:rFonts w:eastAsia="DejaVu Sans"/>
          <w:bCs/>
        </w:rPr>
      </w:pPr>
      <w:r>
        <w:rPr>
          <w:rFonts w:eastAsia="DejaVu Sans"/>
          <w:bCs/>
        </w:rPr>
        <w:t>(9) Точка 3.28</w:t>
      </w:r>
      <w:r w:rsidRPr="002B3FB6">
        <w:rPr>
          <w:rFonts w:eastAsia="DejaVu Sans"/>
          <w:bCs/>
        </w:rPr>
        <w:t xml:space="preserve"> от Приложение № 3 се прилага до 31</w:t>
      </w:r>
      <w:r>
        <w:rPr>
          <w:rFonts w:eastAsia="DejaVu Sans"/>
          <w:bCs/>
        </w:rPr>
        <w:t>.12.</w:t>
      </w:r>
      <w:r w:rsidRPr="002B3FB6">
        <w:rPr>
          <w:rFonts w:eastAsia="DejaVu Sans"/>
          <w:bCs/>
        </w:rPr>
        <w:t>2020 г.</w:t>
      </w:r>
      <w:r>
        <w:rPr>
          <w:rFonts w:eastAsia="DejaVu Sans"/>
          <w:bCs/>
        </w:rPr>
        <w:t xml:space="preserve"> </w:t>
      </w:r>
      <w:r w:rsidRPr="002B3FB6">
        <w:rPr>
          <w:rFonts w:eastAsia="DejaVu Sans"/>
          <w:bCs/>
        </w:rPr>
        <w:t>Може да се употребява и след тази дата в резервни части за промишлени прибори за контрол и управление, п</w:t>
      </w:r>
      <w:r>
        <w:rPr>
          <w:rFonts w:eastAsia="DejaVu Sans"/>
          <w:bCs/>
        </w:rPr>
        <w:t xml:space="preserve">уснати на пазара преди </w:t>
      </w:r>
      <w:r w:rsidR="00E45B22">
        <w:rPr>
          <w:rFonts w:eastAsia="DejaVu Sans"/>
          <w:bCs/>
        </w:rPr>
        <w:t>0</w:t>
      </w:r>
      <w:r>
        <w:rPr>
          <w:rFonts w:eastAsia="DejaVu Sans"/>
          <w:bCs/>
        </w:rPr>
        <w:t>1.01.</w:t>
      </w:r>
      <w:r w:rsidRPr="002B3FB6">
        <w:rPr>
          <w:rFonts w:eastAsia="DejaVu Sans"/>
          <w:bCs/>
        </w:rPr>
        <w:t>2021 г.</w:t>
      </w:r>
    </w:p>
    <w:p w:rsidR="002B3FB6" w:rsidRDefault="002B3FB6" w:rsidP="00C465CF">
      <w:pPr>
        <w:jc w:val="both"/>
        <w:rPr>
          <w:rFonts w:eastAsia="DejaVu Sans"/>
          <w:bCs/>
        </w:rPr>
      </w:pPr>
      <w:r>
        <w:rPr>
          <w:rFonts w:eastAsia="DejaVu Sans"/>
          <w:bCs/>
        </w:rPr>
        <w:t xml:space="preserve">(10) Точка 3.29 от Приложение № 3 се прилага до </w:t>
      </w:r>
      <w:r w:rsidRPr="002B3FB6">
        <w:rPr>
          <w:rFonts w:eastAsia="DejaVu Sans"/>
          <w:bCs/>
        </w:rPr>
        <w:t>31</w:t>
      </w:r>
      <w:r>
        <w:rPr>
          <w:rFonts w:eastAsia="DejaVu Sans"/>
          <w:bCs/>
        </w:rPr>
        <w:t>.12.</w:t>
      </w:r>
      <w:r w:rsidRPr="002B3FB6">
        <w:rPr>
          <w:rFonts w:eastAsia="DejaVu Sans"/>
          <w:bCs/>
        </w:rPr>
        <w:t>2018 г.</w:t>
      </w:r>
    </w:p>
    <w:p w:rsidR="002B3FB6" w:rsidRDefault="002B3FB6" w:rsidP="00C465CF">
      <w:pPr>
        <w:jc w:val="both"/>
        <w:rPr>
          <w:rFonts w:eastAsia="DejaVu Sans"/>
          <w:bCs/>
        </w:rPr>
      </w:pPr>
      <w:r>
        <w:rPr>
          <w:rFonts w:eastAsia="DejaVu Sans"/>
          <w:bCs/>
        </w:rPr>
        <w:t xml:space="preserve">(11) Точка 3.30 от Приложение № 3 се прилага до </w:t>
      </w:r>
      <w:r w:rsidRPr="002B3FB6">
        <w:rPr>
          <w:rFonts w:eastAsia="DejaVu Sans"/>
          <w:bCs/>
        </w:rPr>
        <w:t>31</w:t>
      </w:r>
      <w:r>
        <w:rPr>
          <w:rFonts w:eastAsia="DejaVu Sans"/>
          <w:bCs/>
        </w:rPr>
        <w:t>.12.</w:t>
      </w:r>
      <w:r w:rsidRPr="002B3FB6">
        <w:rPr>
          <w:rFonts w:eastAsia="DejaVu Sans"/>
          <w:bCs/>
        </w:rPr>
        <w:t>2019 г. Може да се употребява и след тази дата в резервни части за КТ и рентгенови системи, п</w:t>
      </w:r>
      <w:r w:rsidR="0069572F">
        <w:rPr>
          <w:rFonts w:eastAsia="DejaVu Sans"/>
          <w:bCs/>
        </w:rPr>
        <w:t xml:space="preserve">уснати на пазара преди </w:t>
      </w:r>
      <w:r w:rsidR="00E45B22">
        <w:rPr>
          <w:rFonts w:eastAsia="DejaVu Sans"/>
          <w:bCs/>
        </w:rPr>
        <w:t>0</w:t>
      </w:r>
      <w:r w:rsidR="0069572F">
        <w:rPr>
          <w:rFonts w:eastAsia="DejaVu Sans"/>
          <w:bCs/>
        </w:rPr>
        <w:t>1.01.</w:t>
      </w:r>
      <w:r w:rsidRPr="002B3FB6">
        <w:rPr>
          <w:rFonts w:eastAsia="DejaVu Sans"/>
          <w:bCs/>
        </w:rPr>
        <w:t>2020 г.</w:t>
      </w:r>
    </w:p>
    <w:p w:rsidR="00E45B22" w:rsidRDefault="002B3FB6" w:rsidP="00C465CF">
      <w:pPr>
        <w:jc w:val="both"/>
        <w:rPr>
          <w:rFonts w:eastAsia="DejaVu Sans"/>
          <w:bCs/>
        </w:rPr>
      </w:pPr>
      <w:r>
        <w:rPr>
          <w:rFonts w:eastAsia="DejaVu Sans"/>
          <w:bCs/>
        </w:rPr>
        <w:t xml:space="preserve">(12) Точка </w:t>
      </w:r>
      <w:r w:rsidR="0069572F">
        <w:rPr>
          <w:rFonts w:eastAsia="DejaVu Sans"/>
          <w:bCs/>
        </w:rPr>
        <w:t>3.31 от Приложение № 3 се прилага до</w:t>
      </w:r>
      <w:r w:rsidR="00E45B22">
        <w:rPr>
          <w:rFonts w:eastAsia="DejaVu Sans"/>
          <w:bCs/>
        </w:rPr>
        <w:t>:</w:t>
      </w:r>
    </w:p>
    <w:p w:rsidR="00E45B22" w:rsidRPr="00CA4A71" w:rsidRDefault="00694E2F" w:rsidP="00E45B22">
      <w:pPr>
        <w:ind w:firstLine="708"/>
        <w:jc w:val="both"/>
        <w:rPr>
          <w:lang w:val="en-US"/>
        </w:rPr>
      </w:pPr>
      <w:r>
        <w:t>1.</w:t>
      </w:r>
      <w:r w:rsidR="00E45B22">
        <w:t xml:space="preserve"> </w:t>
      </w:r>
      <w:r w:rsidR="00E45B22">
        <w:rPr>
          <w:lang w:val="en-US"/>
        </w:rPr>
        <w:t>21</w:t>
      </w:r>
      <w:r w:rsidR="00E45B22">
        <w:t>.07.</w:t>
      </w:r>
      <w:r w:rsidR="00E45B22" w:rsidRPr="00CA4A71">
        <w:rPr>
          <w:lang w:val="en-US"/>
        </w:rPr>
        <w:t>2021 г. за медицинските изделия и приборите за контрол и управление;</w:t>
      </w:r>
    </w:p>
    <w:p w:rsidR="00E45B22" w:rsidRPr="00CA4A71" w:rsidRDefault="00694E2F" w:rsidP="00E45B22">
      <w:pPr>
        <w:ind w:firstLine="708"/>
        <w:jc w:val="both"/>
        <w:rPr>
          <w:lang w:val="en-US"/>
        </w:rPr>
      </w:pPr>
      <w:r>
        <w:lastRenderedPageBreak/>
        <w:t>2.</w:t>
      </w:r>
      <w:r w:rsidR="00E45B22">
        <w:t xml:space="preserve"> </w:t>
      </w:r>
      <w:r w:rsidR="00E45B22">
        <w:rPr>
          <w:lang w:val="en-US"/>
        </w:rPr>
        <w:t>21</w:t>
      </w:r>
      <w:r w:rsidR="00E45B22">
        <w:t>.07.</w:t>
      </w:r>
      <w:r w:rsidR="00E45B22" w:rsidRPr="00CA4A71">
        <w:rPr>
          <w:lang w:val="en-US"/>
        </w:rPr>
        <w:t>2023 г. за медицински изделия за диагностика ин витро;</w:t>
      </w:r>
    </w:p>
    <w:p w:rsidR="00E45B22" w:rsidRPr="00CA4A71" w:rsidRDefault="00694E2F" w:rsidP="00E45B22">
      <w:pPr>
        <w:ind w:firstLine="708"/>
        <w:jc w:val="both"/>
        <w:rPr>
          <w:lang w:val="en-US"/>
        </w:rPr>
      </w:pPr>
      <w:r>
        <w:t>3.</w:t>
      </w:r>
      <w:r w:rsidR="00E45B22">
        <w:t xml:space="preserve"> </w:t>
      </w:r>
      <w:r w:rsidR="00E45B22">
        <w:rPr>
          <w:lang w:val="en-US"/>
        </w:rPr>
        <w:t>21</w:t>
      </w:r>
      <w:r w:rsidR="00E45B22">
        <w:t>.07.</w:t>
      </w:r>
      <w:r w:rsidR="00E45B22" w:rsidRPr="00CA4A71">
        <w:rPr>
          <w:lang w:val="en-US"/>
        </w:rPr>
        <w:t>2024 г. за промишлени прибори за контрол и управление.</w:t>
      </w:r>
    </w:p>
    <w:p w:rsidR="00C465CF" w:rsidRPr="00C465CF" w:rsidRDefault="0069572F" w:rsidP="00C465CF">
      <w:pPr>
        <w:jc w:val="both"/>
        <w:rPr>
          <w:b/>
        </w:rPr>
      </w:pPr>
      <w:r>
        <w:rPr>
          <w:rFonts w:eastAsia="DejaVu Sans"/>
          <w:bCs/>
        </w:rPr>
        <w:t xml:space="preserve"> </w:t>
      </w:r>
      <w:r w:rsidR="00E45B22">
        <w:rPr>
          <w:rFonts w:eastAsia="DejaVu Sans"/>
          <w:bCs/>
        </w:rPr>
        <w:t xml:space="preserve">(13) Точка 3.32 от Приложение № 3 се прилага до </w:t>
      </w:r>
      <w:r w:rsidR="00E45B22" w:rsidRPr="00E45B22">
        <w:rPr>
          <w:rFonts w:eastAsia="DejaVu Sans"/>
          <w:bCs/>
        </w:rPr>
        <w:t>31</w:t>
      </w:r>
      <w:r w:rsidR="00E45B22">
        <w:rPr>
          <w:rFonts w:eastAsia="DejaVu Sans"/>
          <w:bCs/>
        </w:rPr>
        <w:t>.12.</w:t>
      </w:r>
      <w:r w:rsidR="00E45B22" w:rsidRPr="00E45B22">
        <w:rPr>
          <w:rFonts w:eastAsia="DejaVu Sans"/>
          <w:bCs/>
        </w:rPr>
        <w:t xml:space="preserve">2020 г. Може да се използва след тази дата по отношение на резервни части за промишлени контролни и регулиращи прибори, пуснати на пазара преди </w:t>
      </w:r>
      <w:r w:rsidR="00E45B22">
        <w:rPr>
          <w:rFonts w:eastAsia="DejaVu Sans"/>
          <w:bCs/>
        </w:rPr>
        <w:t>0</w:t>
      </w:r>
      <w:r w:rsidR="00E45B22" w:rsidRPr="00E45B22">
        <w:rPr>
          <w:rFonts w:eastAsia="DejaVu Sans"/>
          <w:bCs/>
        </w:rPr>
        <w:t>1</w:t>
      </w:r>
      <w:r w:rsidR="00E45B22">
        <w:rPr>
          <w:rFonts w:eastAsia="DejaVu Sans"/>
          <w:bCs/>
        </w:rPr>
        <w:t>.01.</w:t>
      </w:r>
      <w:r w:rsidR="00E45B22" w:rsidRPr="00E45B22">
        <w:rPr>
          <w:rFonts w:eastAsia="DejaVu Sans"/>
          <w:bCs/>
        </w:rPr>
        <w:t>2021 г.</w:t>
      </w:r>
      <w:r w:rsidR="00C465CF" w:rsidRPr="00C465CF">
        <w:rPr>
          <w:rFonts w:eastAsia="DejaVu Sans"/>
          <w:bCs/>
        </w:rPr>
        <w:t>“</w:t>
      </w:r>
    </w:p>
    <w:p w:rsidR="00C465CF" w:rsidRPr="00C465CF" w:rsidRDefault="00C465CF" w:rsidP="00C465CF">
      <w:pPr>
        <w:jc w:val="both"/>
      </w:pPr>
    </w:p>
    <w:p w:rsidR="00C465CF" w:rsidRPr="00C465CF" w:rsidRDefault="00C465CF" w:rsidP="00C465CF">
      <w:pPr>
        <w:jc w:val="both"/>
      </w:pPr>
      <w:r w:rsidRPr="00C465CF">
        <w:t>3. В Приложение № 2 се създава</w:t>
      </w:r>
      <w:r w:rsidR="00A12E07">
        <w:t>т</w:t>
      </w:r>
      <w:r w:rsidRPr="00C465CF">
        <w:t xml:space="preserve"> т. 1.7</w:t>
      </w:r>
      <w:r w:rsidR="007D2CC2">
        <w:t>,</w:t>
      </w:r>
      <w:r w:rsidR="00F41C59">
        <w:t xml:space="preserve"> </w:t>
      </w:r>
      <w:r w:rsidR="00A12E07">
        <w:t>4.6</w:t>
      </w:r>
      <w:r w:rsidR="007D2CC2">
        <w:t xml:space="preserve"> и 37</w:t>
      </w:r>
      <w:r w:rsidRPr="00C465CF">
        <w:t xml:space="preserve">: </w:t>
      </w:r>
    </w:p>
    <w:p w:rsidR="00C465CF" w:rsidRPr="00C465CF" w:rsidRDefault="00C465CF" w:rsidP="00C465C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5813"/>
        <w:gridCol w:w="2239"/>
      </w:tblGrid>
      <w:tr w:rsidR="00C465CF" w:rsidRPr="00C465CF" w:rsidTr="007D2CC2">
        <w:tc>
          <w:tcPr>
            <w:tcW w:w="1241" w:type="dxa"/>
            <w:shd w:val="clear" w:color="auto" w:fill="auto"/>
          </w:tcPr>
          <w:p w:rsidR="00C465CF" w:rsidRPr="00C465CF" w:rsidRDefault="00C465CF" w:rsidP="001E74D5">
            <w:pPr>
              <w:jc w:val="both"/>
            </w:pPr>
            <w:r w:rsidRPr="00C465CF">
              <w:t>„1.7.</w:t>
            </w:r>
          </w:p>
        </w:tc>
        <w:tc>
          <w:tcPr>
            <w:tcW w:w="5813" w:type="dxa"/>
            <w:shd w:val="clear" w:color="auto" w:fill="auto"/>
          </w:tcPr>
          <w:p w:rsidR="00C465CF" w:rsidRPr="00C465CF" w:rsidRDefault="00C465CF" w:rsidP="000E685C">
            <w:r w:rsidRPr="00C465CF">
              <w:t>За целите на общото осветление &lt; 30 W и продължителност на експлоатация над 20</w:t>
            </w:r>
            <w:r w:rsidR="000E685C">
              <w:t xml:space="preserve"> </w:t>
            </w:r>
            <w:r w:rsidRPr="00C465CF">
              <w:t>000 часа: 3,5 mg</w:t>
            </w:r>
          </w:p>
        </w:tc>
        <w:tc>
          <w:tcPr>
            <w:tcW w:w="2239" w:type="dxa"/>
            <w:shd w:val="clear" w:color="auto" w:fill="auto"/>
          </w:tcPr>
          <w:p w:rsidR="00C465CF" w:rsidRPr="00C465CF" w:rsidRDefault="00C465CF" w:rsidP="00C465CF">
            <w:pPr>
              <w:jc w:val="both"/>
            </w:pPr>
            <w:r w:rsidRPr="00C465CF">
              <w:t xml:space="preserve">Изтича на 31 декември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465CF">
                <w:t>2017 г</w:t>
              </w:r>
            </w:smartTag>
            <w:r w:rsidRPr="00C465CF">
              <w:t>. “</w:t>
            </w:r>
          </w:p>
        </w:tc>
      </w:tr>
    </w:tbl>
    <w:p w:rsidR="00C465CF" w:rsidRDefault="00C465CF" w:rsidP="00C465C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046"/>
        <w:gridCol w:w="2234"/>
      </w:tblGrid>
      <w:tr w:rsidR="007D2CC2" w:rsidRPr="007D2CC2" w:rsidTr="007D2CC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C2" w:rsidRPr="007D2CC2" w:rsidRDefault="007D2CC2" w:rsidP="007D2CC2">
            <w:pPr>
              <w:jc w:val="both"/>
            </w:pPr>
            <w:r>
              <w:t>„</w:t>
            </w:r>
            <w:r w:rsidRPr="007D2CC2">
              <w:t>4</w:t>
            </w:r>
            <w:r>
              <w:t>.6.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C2" w:rsidRPr="007D2CC2" w:rsidRDefault="007D2CC2" w:rsidP="007D2CC2">
            <w:pPr>
              <w:jc w:val="both"/>
            </w:pPr>
            <w:r w:rsidRPr="007D2CC2">
              <w:t>Живак в ръчно изработени светещи газоразрядни тръби (РСГТ), използвани за светлинни надписи, декоративно или архитектурно и специализирано осветление, и светлинни творби на изкуството, в които съдържанието на живак се ограничава както следва:</w:t>
            </w:r>
          </w:p>
          <w:p w:rsidR="007D2CC2" w:rsidRPr="007D2CC2" w:rsidRDefault="007D2CC2" w:rsidP="007D2CC2">
            <w:pPr>
              <w:jc w:val="both"/>
            </w:pPr>
            <w:r w:rsidRPr="007D2CC2">
              <w:t>а) 20 mg на електродна двойка + 0,3 mg на cm за дължината на тръбата, но не повече от 80 mg, за приложения на открито и приложения на закрито, изложени на температури под 20 °C;</w:t>
            </w:r>
          </w:p>
          <w:p w:rsidR="007D2CC2" w:rsidRPr="007D2CC2" w:rsidRDefault="007D2CC2" w:rsidP="007D2CC2">
            <w:pPr>
              <w:jc w:val="both"/>
            </w:pPr>
            <w:r w:rsidRPr="007D2CC2">
              <w:t>б) 15 mg на електродна двойка + 0,24 mg на cm за дължината на тръбата, но не повече от 80 mg, за всички други приложения на закрито.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C2" w:rsidRPr="007D2CC2" w:rsidRDefault="007D2CC2" w:rsidP="007D2CC2">
            <w:pPr>
              <w:jc w:val="both"/>
            </w:pPr>
            <w:r w:rsidRPr="007D2CC2">
              <w:t>Изтича на 31 декември 2018 г.“</w:t>
            </w:r>
          </w:p>
        </w:tc>
      </w:tr>
    </w:tbl>
    <w:p w:rsidR="007D2CC2" w:rsidRDefault="007D2CC2" w:rsidP="00C465C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120"/>
        <w:gridCol w:w="2160"/>
      </w:tblGrid>
      <w:tr w:rsidR="00E0296C" w:rsidRPr="00E0296C" w:rsidTr="009A188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6C" w:rsidRPr="00E0296C" w:rsidRDefault="00E0296C" w:rsidP="00E0296C">
            <w:pPr>
              <w:jc w:val="both"/>
            </w:pPr>
            <w:r>
              <w:t>„37.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6C" w:rsidRPr="00625075" w:rsidRDefault="00E0296C" w:rsidP="00625075">
            <w:pPr>
              <w:jc w:val="both"/>
            </w:pPr>
            <w:r w:rsidRPr="00E0296C">
              <w:t xml:space="preserve">Оловото в припой и покрития за клеми на електрически и електронни компоненти и покрития за печатни платки, използвани в модулите на запалването и други електрически и електронни системи за управление на двигатели, които по технически причини трябва да бъдат монтирани направо върху коляновия вал или в картера или в цилиндъра на ръчно преносими двигатели с вътрешно горене (класове SH:1, SH:2, SH:3 от </w:t>
            </w:r>
            <w:r w:rsidR="00625075">
              <w:t>Наредба № 10/2004 г. за условията и реда за одобрение на типа на двигатели с вътрешно горене за извънпътна техника по отношение на емисиите на замърсители.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6C" w:rsidRPr="00E0296C" w:rsidRDefault="00E0296C" w:rsidP="00E0296C">
            <w:pPr>
              <w:jc w:val="both"/>
            </w:pPr>
            <w:r w:rsidRPr="00E0296C">
              <w:t>Изтича на 31 декември 2018 г.</w:t>
            </w:r>
            <w:r>
              <w:t>“</w:t>
            </w:r>
          </w:p>
        </w:tc>
      </w:tr>
    </w:tbl>
    <w:p w:rsidR="007D2CC2" w:rsidRPr="00C465CF" w:rsidRDefault="007D2CC2" w:rsidP="00C465CF">
      <w:pPr>
        <w:jc w:val="both"/>
      </w:pPr>
    </w:p>
    <w:p w:rsidR="00C465CF" w:rsidRPr="00C465CF" w:rsidRDefault="00C465CF" w:rsidP="00C465CF">
      <w:pPr>
        <w:jc w:val="both"/>
      </w:pPr>
      <w:r w:rsidRPr="00C465CF">
        <w:t>4. В приложение № 3 се правят следните изменения и допълнения:</w:t>
      </w:r>
    </w:p>
    <w:p w:rsidR="00C465CF" w:rsidRPr="00C465CF" w:rsidRDefault="00C465CF" w:rsidP="00C465CF">
      <w:pPr>
        <w:jc w:val="both"/>
      </w:pPr>
      <w:r w:rsidRPr="00C465CF">
        <w:t>а) Точка 3.4. се изменя така:</w:t>
      </w:r>
    </w:p>
    <w:p w:rsidR="00C465CF" w:rsidRPr="00C465CF" w:rsidRDefault="00C465CF" w:rsidP="00C465CF">
      <w:pPr>
        <w:jc w:val="both"/>
      </w:pPr>
      <w:r w:rsidRPr="00C465CF">
        <w:t xml:space="preserve">„3.4. Олово и кадмий, свързани с метални връзки, създаващи магнитни вериги в детектори за магнитно-резонансни томографи (MRI), за квантови интерферометри със свръхпроводимост (SQUID), за уреди за ядрено-магнитен резонанс (NMR), или за масспектрометри, използващи преобразувание на Фурие (FTMS)." </w:t>
      </w:r>
    </w:p>
    <w:p w:rsidR="00C465CF" w:rsidRPr="00C465CF" w:rsidRDefault="0020137C" w:rsidP="00C465CF">
      <w:pPr>
        <w:jc w:val="both"/>
      </w:pPr>
      <w:r>
        <w:t>б) Създават се т. 3.13 - 3.32</w:t>
      </w:r>
      <w:r w:rsidR="00C465CF" w:rsidRPr="00C465CF">
        <w:t>:</w:t>
      </w:r>
    </w:p>
    <w:p w:rsidR="00C465CF" w:rsidRPr="00C465CF" w:rsidRDefault="00C465CF" w:rsidP="00C465CF">
      <w:pPr>
        <w:jc w:val="both"/>
      </w:pPr>
      <w:r w:rsidRPr="00C465CF">
        <w:t xml:space="preserve">„3.13. Кадмий в състава на фосфорните покрития в усилвателите на рентгенови изображения и в резервните части за рентгенови системи, пуснати на пазара в ЕС преди 1 януари </w:t>
      </w:r>
      <w:smartTag w:uri="urn:schemas-microsoft-com:office:smarttags" w:element="metricconverter">
        <w:smartTagPr>
          <w:attr w:name="ProductID" w:val="2020 г"/>
        </w:smartTagPr>
        <w:r w:rsidRPr="00C465CF">
          <w:t>2020 г</w:t>
        </w:r>
      </w:smartTag>
      <w:r w:rsidRPr="00C465CF">
        <w:t>.</w:t>
      </w:r>
    </w:p>
    <w:p w:rsidR="00C465CF" w:rsidRPr="00C465CF" w:rsidRDefault="00C465CF" w:rsidP="00C465CF">
      <w:pPr>
        <w:jc w:val="both"/>
      </w:pPr>
      <w:r w:rsidRPr="00C465CF">
        <w:t xml:space="preserve">3.14. Оловно-ацетатен маркер за употреба в стереотаксически рамки за глава, използвани при компютърна томография (CT) и магнитно-резонансна томография (MRI), както и в системите за позициониране при гама-терапия и адронна терапия. </w:t>
      </w:r>
    </w:p>
    <w:p w:rsidR="00C465CF" w:rsidRPr="00C465CF" w:rsidRDefault="00C465CF" w:rsidP="00C465CF">
      <w:pPr>
        <w:jc w:val="both"/>
      </w:pPr>
      <w:r w:rsidRPr="00C465CF">
        <w:t xml:space="preserve">3.15. Олово в качеството на легиращ елемент в лагери и износващи се повърхности в медицинска апаратура, изложена на йонизиращо лъчение. </w:t>
      </w:r>
    </w:p>
    <w:p w:rsidR="00C465CF" w:rsidRPr="00C465CF" w:rsidRDefault="00C465CF" w:rsidP="00C465CF">
      <w:pPr>
        <w:jc w:val="both"/>
      </w:pPr>
      <w:r w:rsidRPr="00C465CF">
        <w:t xml:space="preserve">3.16. Олово за осигуряване на вакуумно плътни свързвания между алуминий и стомана в усилватели на рентгенови изображения. </w:t>
      </w:r>
    </w:p>
    <w:p w:rsidR="00C465CF" w:rsidRPr="00C465CF" w:rsidRDefault="00C465CF" w:rsidP="00C465CF">
      <w:pPr>
        <w:jc w:val="both"/>
        <w:rPr>
          <w:highlight w:val="yellow"/>
        </w:rPr>
      </w:pPr>
      <w:r w:rsidRPr="00C465CF">
        <w:lastRenderedPageBreak/>
        <w:t xml:space="preserve">3.17. Олово в повърхностните покрития на щифтови съединителни системи, за които са необходими немагнитни съединители и които се използват дълготрайно при температури под –20 °C при съответните нормални условия на работа и съхранение. </w:t>
      </w:r>
    </w:p>
    <w:p w:rsidR="00C465CF" w:rsidRPr="00C465CF" w:rsidRDefault="00C465CF" w:rsidP="00C465CF">
      <w:pPr>
        <w:jc w:val="both"/>
      </w:pPr>
      <w:r w:rsidRPr="00C465CF">
        <w:t>3.18. Олово в:</w:t>
      </w:r>
    </w:p>
    <w:p w:rsidR="00C465CF" w:rsidRPr="00C465CF" w:rsidRDefault="00C465CF" w:rsidP="00C465CF">
      <w:pPr>
        <w:jc w:val="both"/>
      </w:pPr>
      <w:r w:rsidRPr="00C465CF">
        <w:t>–</w:t>
      </w:r>
      <w:r w:rsidRPr="00C465CF">
        <w:tab/>
        <w:t>припои за печатни платки,</w:t>
      </w:r>
    </w:p>
    <w:p w:rsidR="00C465CF" w:rsidRPr="00C465CF" w:rsidRDefault="00C465CF" w:rsidP="00C465CF">
      <w:pPr>
        <w:jc w:val="both"/>
      </w:pPr>
      <w:r w:rsidRPr="00C465CF">
        <w:t>–</w:t>
      </w:r>
      <w:r w:rsidRPr="00C465CF">
        <w:tab/>
        <w:t xml:space="preserve">покрития на изводи на електрически и електронни елементи и покрития на печатни платки, </w:t>
      </w:r>
    </w:p>
    <w:p w:rsidR="00C465CF" w:rsidRPr="00C465CF" w:rsidRDefault="00C465CF" w:rsidP="00C465CF">
      <w:pPr>
        <w:jc w:val="both"/>
      </w:pPr>
      <w:r w:rsidRPr="00C465CF">
        <w:t>–</w:t>
      </w:r>
      <w:r w:rsidRPr="00C465CF">
        <w:tab/>
        <w:t>припои за свързване на проводници и кабели,</w:t>
      </w:r>
    </w:p>
    <w:p w:rsidR="00C465CF" w:rsidRPr="00C465CF" w:rsidRDefault="00C465CF" w:rsidP="00C465CF">
      <w:pPr>
        <w:jc w:val="both"/>
      </w:pPr>
      <w:r w:rsidRPr="00C465CF">
        <w:t>–</w:t>
      </w:r>
      <w:r w:rsidRPr="00C465CF">
        <w:tab/>
        <w:t>припои за свързване на измервателни преобразователи (transducers) и датчици,</w:t>
      </w:r>
    </w:p>
    <w:p w:rsidR="00C465CF" w:rsidRPr="00C465CF" w:rsidRDefault="00C465CF" w:rsidP="00C465CF">
      <w:pPr>
        <w:jc w:val="both"/>
      </w:pPr>
      <w:r w:rsidRPr="00C465CF">
        <w:t xml:space="preserve">които се използват трайно при температури под –20 °C при нормални условия на работа и съхранение. </w:t>
      </w:r>
    </w:p>
    <w:p w:rsidR="00C465CF" w:rsidRPr="00C465CF" w:rsidRDefault="00C465CF" w:rsidP="00C465CF">
      <w:pPr>
        <w:jc w:val="both"/>
      </w:pPr>
      <w:r w:rsidRPr="00C465CF">
        <w:t>3.19. Олово в</w:t>
      </w:r>
    </w:p>
    <w:p w:rsidR="00C465CF" w:rsidRPr="00C465CF" w:rsidRDefault="00C465CF" w:rsidP="00C465CF">
      <w:pPr>
        <w:jc w:val="both"/>
      </w:pPr>
      <w:r w:rsidRPr="00C465CF">
        <w:t>–</w:t>
      </w:r>
      <w:r w:rsidRPr="00C465CF">
        <w:tab/>
        <w:t>припои,</w:t>
      </w:r>
    </w:p>
    <w:p w:rsidR="00C465CF" w:rsidRPr="00C465CF" w:rsidRDefault="00C465CF" w:rsidP="00C465CF">
      <w:pPr>
        <w:jc w:val="both"/>
      </w:pPr>
      <w:r w:rsidRPr="00C465CF">
        <w:t>–</w:t>
      </w:r>
      <w:r w:rsidRPr="00C465CF">
        <w:tab/>
        <w:t>покрития на изводи на електрически и електронни елементи и печатни платки,</w:t>
      </w:r>
    </w:p>
    <w:p w:rsidR="00C465CF" w:rsidRPr="00C465CF" w:rsidRDefault="00C465CF" w:rsidP="00C465CF">
      <w:pPr>
        <w:jc w:val="both"/>
      </w:pPr>
      <w:r w:rsidRPr="00C465CF">
        <w:t>–</w:t>
      </w:r>
      <w:r w:rsidRPr="00C465CF">
        <w:tab/>
        <w:t xml:space="preserve">съединения на електрически проводници, екрани и затворени съединители, </w:t>
      </w:r>
    </w:p>
    <w:p w:rsidR="00C465CF" w:rsidRPr="00C465CF" w:rsidRDefault="00C465CF" w:rsidP="00C465CF">
      <w:pPr>
        <w:jc w:val="both"/>
      </w:pPr>
      <w:r w:rsidRPr="00C465CF">
        <w:t xml:space="preserve">които се използват в: </w:t>
      </w:r>
    </w:p>
    <w:p w:rsidR="00C465CF" w:rsidRPr="00C465CF" w:rsidRDefault="00C465CF" w:rsidP="00C465CF">
      <w:pPr>
        <w:jc w:val="both"/>
      </w:pPr>
      <w:r w:rsidRPr="00C465CF">
        <w:t>а)</w:t>
      </w:r>
      <w:r w:rsidRPr="00C465CF">
        <w:tab/>
        <w:t xml:space="preserve">магнитни полета, разположени в сферата с радиус </w:t>
      </w:r>
      <w:smartTag w:uri="urn:schemas-microsoft-com:office:smarttags" w:element="metricconverter">
        <w:smartTagPr>
          <w:attr w:name="ProductID" w:val="1 m"/>
        </w:smartTagPr>
        <w:r w:rsidRPr="00C465CF">
          <w:t>1 m</w:t>
        </w:r>
      </w:smartTag>
      <w:r w:rsidRPr="00C465CF">
        <w:t xml:space="preserve"> около изоцентъра на магнита в апаратура за магнитно-резонансна томография, включително измервателни уреди за състоянието на пациента, предназначени да бъдат използвани в тази сфера, или</w:t>
      </w:r>
    </w:p>
    <w:p w:rsidR="00C465CF" w:rsidRPr="00C465CF" w:rsidRDefault="00C465CF" w:rsidP="00C465CF">
      <w:pPr>
        <w:jc w:val="both"/>
      </w:pPr>
      <w:r w:rsidRPr="00C465CF">
        <w:t>б)</w:t>
      </w:r>
      <w:r w:rsidRPr="00C465CF">
        <w:tab/>
        <w:t xml:space="preserve">магнитни полета на разстояние под </w:t>
      </w:r>
      <w:smartTag w:uri="urn:schemas-microsoft-com:office:smarttags" w:element="metricconverter">
        <w:smartTagPr>
          <w:attr w:name="ProductID" w:val="1 m"/>
        </w:smartTagPr>
        <w:r w:rsidRPr="00C465CF">
          <w:t>1 m</w:t>
        </w:r>
      </w:smartTag>
      <w:r w:rsidRPr="00C465CF">
        <w:t xml:space="preserve"> от външните повърхности на циклотронни магнити, магнити за транспортиране на снопове частици и за управление на посоката на снопове частици, използвани при адронната терапия.</w:t>
      </w:r>
    </w:p>
    <w:p w:rsidR="00C465CF" w:rsidRPr="00C465CF" w:rsidRDefault="00C465CF" w:rsidP="00C465CF">
      <w:pPr>
        <w:jc w:val="both"/>
      </w:pPr>
      <w:r w:rsidRPr="00C465CF">
        <w:t xml:space="preserve">3.20. Олово в припои за монтиране на цифрови матрични детектори от кадмиев телурид и кадмиев цинков телурид към печатни платки. </w:t>
      </w:r>
    </w:p>
    <w:p w:rsidR="00C465CF" w:rsidRPr="00C465CF" w:rsidRDefault="00C465CF" w:rsidP="00C465CF">
      <w:pPr>
        <w:jc w:val="both"/>
      </w:pPr>
      <w:r w:rsidRPr="00C465CF">
        <w:t xml:space="preserve">3.21. Олово в сплави, представляващи свръхпроводящи или топлопроводящи материали, използвани в студените глави на криогенни охладители, и/или в криогенно охлаждани студени сонди, и/или в криогенно охлаждани системи за еквипотенциално свързване, съответно в медицински апарати (категория 8) и/или в промишлени контролни и регулиращи прибори. </w:t>
      </w:r>
    </w:p>
    <w:p w:rsidR="00C465CF" w:rsidRPr="00C465CF" w:rsidRDefault="00C465CF" w:rsidP="00C465CF">
      <w:pPr>
        <w:jc w:val="both"/>
      </w:pPr>
      <w:r w:rsidRPr="00C465CF">
        <w:t xml:space="preserve">3.22. Шествалентен хром в дозаторите на алкални метали, използвани за изработването на фотокатоди за усилватели на рентгенови изображения, както и в резервни части за рентгенови системи, пуснати на пазара в ЕС преди 1 януари </w:t>
      </w:r>
      <w:smartTag w:uri="urn:schemas-microsoft-com:office:smarttags" w:element="metricconverter">
        <w:smartTagPr>
          <w:attr w:name="ProductID" w:val="2020 г"/>
        </w:smartTagPr>
        <w:r w:rsidRPr="00C465CF">
          <w:t>2020 г</w:t>
        </w:r>
      </w:smartTag>
      <w:r w:rsidRPr="00C465CF">
        <w:t>.</w:t>
      </w:r>
    </w:p>
    <w:p w:rsidR="00C465CF" w:rsidRPr="00C465CF" w:rsidRDefault="00C465CF" w:rsidP="00C465CF">
      <w:pPr>
        <w:jc w:val="both"/>
      </w:pPr>
      <w:r w:rsidRPr="00C465CF">
        <w:t xml:space="preserve">3.23. Олово, кадмий и шествалентен хром в повторно използвани резервни части, произхождащи от медицински апарати, пуснати на пазара преди 22 юли </w:t>
      </w:r>
      <w:smartTag w:uri="urn:schemas-microsoft-com:office:smarttags" w:element="metricconverter">
        <w:smartTagPr>
          <w:attr w:name="ProductID" w:val="2014 г"/>
        </w:smartTagPr>
        <w:r w:rsidRPr="00C465CF">
          <w:t>2014 г</w:t>
        </w:r>
      </w:smartTag>
      <w:r w:rsidRPr="00C465CF">
        <w:t xml:space="preserve">. и вложени в изделия от категория 8, пуснати на пазара преди 22 юли </w:t>
      </w:r>
      <w:smartTag w:uri="urn:schemas-microsoft-com:office:smarttags" w:element="metricconverter">
        <w:smartTagPr>
          <w:attr w:name="ProductID" w:val="2021 г"/>
        </w:smartTagPr>
        <w:r w:rsidRPr="00C465CF">
          <w:t>2021 г</w:t>
        </w:r>
      </w:smartTag>
      <w:r w:rsidRPr="00C465CF">
        <w:t xml:space="preserve">., при условие че повторната употреба се извършва в рамките на одитируеми междуфирмени системи със затворен цикъл за връщане на резервните части, както и че наличието на повторно използвани резервни части се обявява на потребителя. </w:t>
      </w:r>
    </w:p>
    <w:p w:rsidR="00C465CF" w:rsidRPr="00C465CF" w:rsidRDefault="00C465CF" w:rsidP="00C465CF">
      <w:pPr>
        <w:jc w:val="both"/>
      </w:pPr>
      <w:r w:rsidRPr="00C465CF">
        <w:t xml:space="preserve">3.24. Олово в припои за печатни платки за детектори и блокове за събиране на данни на позитронно-емисионни томографи, интегрирани в апаратура за магнитно-резонансна томография. </w:t>
      </w:r>
    </w:p>
    <w:p w:rsidR="00625075" w:rsidRDefault="00625075" w:rsidP="00C465CF">
      <w:pPr>
        <w:jc w:val="both"/>
        <w:rPr>
          <w:lang w:val="en-US"/>
        </w:rPr>
      </w:pPr>
      <w:r w:rsidRPr="00625075">
        <w:t xml:space="preserve">3.25. Олово в припои за наситени печатни платки, използвани в мобилни медицински апарати от класове IIa и IIб съгласно Закона за медицинските изделия и Наредбата за съществените изисквания и процедурите за оценяване на съответствието със съществените изисквания на медицинските изделия по чл. 2, ал. 1, т. 3 от Закона за медицинските изделия, приета с Постановление № 186 от 2007 г. (обн., ДВ, бр. 65 от 2007 г., изм. ДВ, бр. 106 от 2008 г.), различни от преносимите дефибрилатори за спешна помощ. </w:t>
      </w:r>
    </w:p>
    <w:p w:rsidR="007D0CAA" w:rsidRDefault="00C465CF" w:rsidP="00C465CF">
      <w:pPr>
        <w:jc w:val="both"/>
        <w:rPr>
          <w:lang w:val="en-US"/>
        </w:rPr>
      </w:pPr>
      <w:r w:rsidRPr="00C465CF">
        <w:t>3.26. Олово като активатор в луминесциращия прах на газоразрядни лампи, използвани като лампи за екстракорпорална фотофореза и съдържащи луминофори от BSP (BaSi</w:t>
      </w:r>
      <w:r w:rsidRPr="00C465CF">
        <w:rPr>
          <w:vertAlign w:val="subscript"/>
        </w:rPr>
        <w:t>2</w:t>
      </w:r>
      <w:r w:rsidRPr="00C465CF">
        <w:t>O</w:t>
      </w:r>
      <w:r w:rsidRPr="00C465CF">
        <w:rPr>
          <w:vertAlign w:val="subscript"/>
        </w:rPr>
        <w:t>5</w:t>
      </w:r>
      <w:r w:rsidRPr="00C465CF">
        <w:t>:Pb).</w:t>
      </w:r>
    </w:p>
    <w:p w:rsidR="005547C7" w:rsidRDefault="007D0CAA" w:rsidP="005547C7">
      <w:pPr>
        <w:jc w:val="both"/>
      </w:pPr>
      <w:r>
        <w:rPr>
          <w:lang w:val="en-US"/>
        </w:rPr>
        <w:t>3</w:t>
      </w:r>
      <w:r w:rsidR="00083C4F">
        <w:t>.27.</w:t>
      </w:r>
      <w:r w:rsidR="005547C7">
        <w:t xml:space="preserve"> Живак във флуоресцентни лампи със студен катод за подсветка на течнокристални екрани, който не превишава 5 mg на лампа, използвани в промишлените прибори за контрол и управление, пуснати на пазара преди 22 юли 2017 г.</w:t>
      </w:r>
    </w:p>
    <w:p w:rsidR="00345DD7" w:rsidRDefault="00083C4F" w:rsidP="00345DD7">
      <w:pPr>
        <w:jc w:val="both"/>
      </w:pPr>
      <w:r>
        <w:lastRenderedPageBreak/>
        <w:t>3.28.</w:t>
      </w:r>
      <w:r w:rsidR="00345DD7">
        <w:t xml:space="preserve"> Олово, употребявано в различни от C-press съвместимите щифтови конекторни системи, за промишлени прибори за контрол и управление.</w:t>
      </w:r>
    </w:p>
    <w:p w:rsidR="00BE4619" w:rsidRDefault="00083C4F" w:rsidP="00BE4619">
      <w:pPr>
        <w:jc w:val="both"/>
      </w:pPr>
      <w:r>
        <w:t>3.29.</w:t>
      </w:r>
      <w:r w:rsidR="00BE4619">
        <w:t xml:space="preserve"> Олово в платинирани платинени електроди, използвани за измерване на проводимостта, когато се прилага най-малко едно от следните условия:</w:t>
      </w:r>
    </w:p>
    <w:p w:rsidR="00BE4619" w:rsidRDefault="00BE4619" w:rsidP="00BE4619">
      <w:pPr>
        <w:jc w:val="both"/>
      </w:pPr>
      <w:r>
        <w:t>а) широк спектър измервания, като обхватът на проводимостта покрива диапазон с разлика, по-голяма от 1 порядък (напр. обхват между 0,1 mS/m и 5 mS/m) в лабораторни приложения за неизвестни концентрации;</w:t>
      </w:r>
    </w:p>
    <w:p w:rsidR="00BE4619" w:rsidRDefault="00BE4619" w:rsidP="00BE4619">
      <w:pPr>
        <w:jc w:val="both"/>
      </w:pPr>
      <w:r>
        <w:t>б) измервания на разтвори, при които се изисква точност от ± 1 % от диапазона на пробата и висока устойчивост на корозия на електрода за някой от следните случаи:</w:t>
      </w:r>
    </w:p>
    <w:p w:rsidR="00BE4619" w:rsidRDefault="005834B1" w:rsidP="00BE4619">
      <w:pPr>
        <w:jc w:val="both"/>
      </w:pPr>
      <w:r>
        <w:t>а</w:t>
      </w:r>
      <w:r w:rsidR="00BE4619">
        <w:t>а)</w:t>
      </w:r>
      <w:r w:rsidR="00BE4619">
        <w:tab/>
        <w:t xml:space="preserve">разтвори с киселинност &lt; pH 1; </w:t>
      </w:r>
    </w:p>
    <w:p w:rsidR="00BE4619" w:rsidRDefault="00BE4619" w:rsidP="00BE4619">
      <w:pPr>
        <w:jc w:val="both"/>
      </w:pPr>
      <w:r>
        <w:t>бб)</w:t>
      </w:r>
      <w:r>
        <w:tab/>
        <w:t xml:space="preserve">разтвори с алкалност &gt; pH 13; </w:t>
      </w:r>
    </w:p>
    <w:p w:rsidR="00BE4619" w:rsidRDefault="005834B1" w:rsidP="00BE4619">
      <w:pPr>
        <w:jc w:val="both"/>
      </w:pPr>
      <w:r>
        <w:t>в</w:t>
      </w:r>
      <w:r w:rsidR="00BE4619">
        <w:t>в)</w:t>
      </w:r>
      <w:r w:rsidR="00BE4619">
        <w:tab/>
        <w:t>корозионно действащи разтвори, съдържащи халогенен газ.</w:t>
      </w:r>
    </w:p>
    <w:p w:rsidR="00BE4619" w:rsidRDefault="00BE4619" w:rsidP="00BE4619">
      <w:pPr>
        <w:jc w:val="both"/>
      </w:pPr>
      <w:r>
        <w:t>в) измервания на проводимости над 100 mS/m, които трябва да бъдат извършени с преносими инструменти.</w:t>
      </w:r>
    </w:p>
    <w:p w:rsidR="00AF72C4" w:rsidRDefault="00083C4F" w:rsidP="00AF72C4">
      <w:pPr>
        <w:jc w:val="both"/>
      </w:pPr>
      <w:r>
        <w:t>3.30.</w:t>
      </w:r>
      <w:r w:rsidR="00AF72C4">
        <w:t xml:space="preserve"> Олово в припой в интерфейс от разположени един върху друг елементи с голяма повърхност, с над 500 връзки на интерфейс, използвани в рентгенови детектори за компютърна томография и рентгенови системи.</w:t>
      </w:r>
    </w:p>
    <w:p w:rsidR="00CA4A71" w:rsidRPr="00CA4A71" w:rsidRDefault="00083C4F" w:rsidP="00CA4A71">
      <w:pPr>
        <w:jc w:val="both"/>
        <w:rPr>
          <w:lang w:val="en-US"/>
        </w:rPr>
      </w:pPr>
      <w:r>
        <w:t>3.31.</w:t>
      </w:r>
      <w:r w:rsidR="00CA4A71">
        <w:rPr>
          <w:lang w:val="en-US"/>
        </w:rPr>
        <w:t xml:space="preserve"> </w:t>
      </w:r>
      <w:r w:rsidR="00CA4A71" w:rsidRPr="00CA4A71">
        <w:rPr>
          <w:lang w:val="en-US"/>
        </w:rPr>
        <w:t>Олово в микроканални плочи (МКП), използвани в оборудване, което има най-малко една от следните характеристики:</w:t>
      </w:r>
    </w:p>
    <w:p w:rsidR="00CA4A71" w:rsidRPr="00CA4A71" w:rsidRDefault="00CA4A71" w:rsidP="00CA4A71">
      <w:pPr>
        <w:jc w:val="both"/>
        <w:rPr>
          <w:lang w:val="en-US"/>
        </w:rPr>
      </w:pPr>
      <w:r w:rsidRPr="00CA4A71">
        <w:rPr>
          <w:lang w:val="en-US"/>
        </w:rPr>
        <w:t>а) компактен размер на детектора за електрони или йони, когато пространството за детектора е ограничено до максимум 3 mm/МКП (височина на детектора + място за монтаж на МКП), максимум 6 mm общо, и когато алтернативна концепция, осигуряваща повече място за детектора е научно и технически неприложима;</w:t>
      </w:r>
    </w:p>
    <w:p w:rsidR="00CA4A71" w:rsidRPr="00CA4A71" w:rsidRDefault="00CA4A71" w:rsidP="00CA4A71">
      <w:pPr>
        <w:jc w:val="both"/>
        <w:rPr>
          <w:lang w:val="en-US"/>
        </w:rPr>
      </w:pPr>
      <w:r w:rsidRPr="00CA4A71">
        <w:rPr>
          <w:lang w:val="en-US"/>
        </w:rPr>
        <w:t>б) двумерна пространствена разделителна способност за откриване на електрони или йони, когато се прилага най-малко едно от следните условия:</w:t>
      </w:r>
    </w:p>
    <w:p w:rsidR="00CA4A71" w:rsidRPr="00CA4A71" w:rsidRDefault="005834B1" w:rsidP="00CA4A71">
      <w:pPr>
        <w:jc w:val="both"/>
        <w:rPr>
          <w:lang w:val="en-US"/>
        </w:rPr>
      </w:pPr>
      <w:r>
        <w:t>а</w:t>
      </w:r>
      <w:r w:rsidR="00CA4A71">
        <w:t>а</w:t>
      </w:r>
      <w:r w:rsidR="00CA4A71" w:rsidRPr="00CA4A71">
        <w:rPr>
          <w:lang w:val="en-US"/>
        </w:rPr>
        <w:t>)</w:t>
      </w:r>
      <w:r w:rsidR="00CA4A71" w:rsidRPr="00CA4A71">
        <w:rPr>
          <w:lang w:val="en-US"/>
        </w:rPr>
        <w:tab/>
        <w:t xml:space="preserve"> време на реакция по-кратко от 25 ns;</w:t>
      </w:r>
    </w:p>
    <w:p w:rsidR="00CA4A71" w:rsidRPr="00CA4A71" w:rsidRDefault="00CA4A71" w:rsidP="00CA4A71">
      <w:pPr>
        <w:jc w:val="both"/>
        <w:rPr>
          <w:lang w:val="en-US"/>
        </w:rPr>
      </w:pPr>
      <w:r>
        <w:t>бб</w:t>
      </w:r>
      <w:r w:rsidRPr="00CA4A71">
        <w:rPr>
          <w:lang w:val="en-US"/>
        </w:rPr>
        <w:t>)</w:t>
      </w:r>
      <w:r w:rsidRPr="00CA4A71">
        <w:rPr>
          <w:lang w:val="en-US"/>
        </w:rPr>
        <w:tab/>
        <w:t>област на детекция от пробата, по-голяма от 149 mm2;</w:t>
      </w:r>
    </w:p>
    <w:p w:rsidR="00CA4A71" w:rsidRPr="00CA4A71" w:rsidRDefault="005834B1" w:rsidP="00CA4A71">
      <w:pPr>
        <w:jc w:val="both"/>
        <w:rPr>
          <w:lang w:val="en-US"/>
        </w:rPr>
      </w:pPr>
      <w:r>
        <w:t>в</w:t>
      </w:r>
      <w:r w:rsidR="00CA4A71">
        <w:t>в</w:t>
      </w:r>
      <w:r w:rsidR="00CA4A71" w:rsidRPr="00CA4A71">
        <w:rPr>
          <w:lang w:val="en-US"/>
        </w:rPr>
        <w:t>)</w:t>
      </w:r>
      <w:r w:rsidR="00CA4A71" w:rsidRPr="00CA4A71">
        <w:rPr>
          <w:lang w:val="en-US"/>
        </w:rPr>
        <w:tab/>
        <w:t>коефициент на размножение, по-голям от 1,3 x 103.</w:t>
      </w:r>
    </w:p>
    <w:p w:rsidR="00CA4A71" w:rsidRPr="00CA4A71" w:rsidRDefault="00CA4A71" w:rsidP="00CA4A71">
      <w:pPr>
        <w:jc w:val="both"/>
        <w:rPr>
          <w:lang w:val="en-US"/>
        </w:rPr>
      </w:pPr>
      <w:r w:rsidRPr="00CA4A71">
        <w:rPr>
          <w:lang w:val="en-US"/>
        </w:rPr>
        <w:t>в) време на реакция, по-малко от 5 ns, за откриването на електрони или йони;</w:t>
      </w:r>
    </w:p>
    <w:p w:rsidR="00CA4A71" w:rsidRPr="00CA4A71" w:rsidRDefault="00CA4A71" w:rsidP="00CA4A71">
      <w:pPr>
        <w:jc w:val="both"/>
        <w:rPr>
          <w:lang w:val="en-US"/>
        </w:rPr>
      </w:pPr>
      <w:r w:rsidRPr="00CA4A71">
        <w:rPr>
          <w:lang w:val="en-US"/>
        </w:rPr>
        <w:t>г) област на детекция от пробата, по-голяма от 314 mm² за откриване на електрони или йони;</w:t>
      </w:r>
    </w:p>
    <w:p w:rsidR="00CA4A71" w:rsidRPr="00CA4A71" w:rsidRDefault="00CA4A71" w:rsidP="00CA4A71">
      <w:pPr>
        <w:jc w:val="both"/>
        <w:rPr>
          <w:lang w:val="en-US"/>
        </w:rPr>
      </w:pPr>
      <w:r w:rsidRPr="00CA4A71">
        <w:rPr>
          <w:lang w:val="en-US"/>
        </w:rPr>
        <w:t>д) коефициент на размножение, по-голям от 4,0 x 107.</w:t>
      </w:r>
    </w:p>
    <w:p w:rsidR="00C465CF" w:rsidRPr="00C465CF" w:rsidRDefault="00083C4F" w:rsidP="007170B5">
      <w:pPr>
        <w:jc w:val="both"/>
      </w:pPr>
      <w:r>
        <w:t>3.32.</w:t>
      </w:r>
      <w:r w:rsidR="007170B5">
        <w:t xml:space="preserve"> Олово в керамиката на диелектрика на кондензатори с номинално напрежение до 125 ~V или до 250 –V, използвани в промишлени </w:t>
      </w:r>
      <w:r w:rsidR="00E45B22">
        <w:t>контролни и регулиращи прибори.</w:t>
      </w:r>
      <w:r w:rsidR="00C465CF" w:rsidRPr="00C465CF">
        <w:t>“</w:t>
      </w:r>
    </w:p>
    <w:p w:rsidR="00C465CF" w:rsidRPr="00C465CF" w:rsidRDefault="00C465CF" w:rsidP="00C465CF">
      <w:pPr>
        <w:jc w:val="both"/>
      </w:pPr>
    </w:p>
    <w:p w:rsidR="00A72235" w:rsidRPr="00C465CF" w:rsidRDefault="00A72235" w:rsidP="00A72235">
      <w:pPr>
        <w:pStyle w:val="NoSpacing"/>
        <w:jc w:val="both"/>
      </w:pPr>
      <w:bookmarkStart w:id="1" w:name="to_paragraph_id16507633"/>
      <w:bookmarkStart w:id="2" w:name="to_paragraph_id16507634"/>
      <w:bookmarkEnd w:id="1"/>
      <w:bookmarkEnd w:id="2"/>
      <w:r w:rsidRPr="00C465CF">
        <w:rPr>
          <w:b/>
          <w:bCs/>
        </w:rPr>
        <w:t xml:space="preserve">§ </w:t>
      </w:r>
      <w:r>
        <w:rPr>
          <w:b/>
          <w:bCs/>
        </w:rPr>
        <w:t>2</w:t>
      </w:r>
      <w:r w:rsidRPr="00C465CF">
        <w:rPr>
          <w:b/>
          <w:bCs/>
        </w:rPr>
        <w:t xml:space="preserve">. </w:t>
      </w:r>
      <w:r w:rsidRPr="00C465CF">
        <w:t>В Тарифата за таксите, които се събират в системата на министерството на околната среда и водите, приета с П</w:t>
      </w:r>
      <w:r>
        <w:t xml:space="preserve">остановление </w:t>
      </w:r>
      <w:r w:rsidRPr="00C465CF">
        <w:t>№ 136 от 2011 г.</w:t>
      </w:r>
      <w:r>
        <w:t xml:space="preserve"> (</w:t>
      </w:r>
      <w:r w:rsidRPr="00C465CF">
        <w:t xml:space="preserve">обн., ДВ, бр. 39 от 2011 г., изм. и доп., бр. 73 </w:t>
      </w:r>
      <w:r>
        <w:t>и</w:t>
      </w:r>
      <w:r w:rsidRPr="00C465CF">
        <w:t xml:space="preserve"> бр. 94 </w:t>
      </w:r>
      <w:r>
        <w:t xml:space="preserve">от </w:t>
      </w:r>
      <w:r w:rsidRPr="00C465CF">
        <w:t>2012 г.</w:t>
      </w:r>
      <w:r>
        <w:t xml:space="preserve"> и </w:t>
      </w:r>
      <w:r w:rsidRPr="00C465CF">
        <w:t>бр. 2 от 2013 г.</w:t>
      </w:r>
      <w:r>
        <w:t>)</w:t>
      </w:r>
      <w:r w:rsidRPr="00C465CF">
        <w:t xml:space="preserve"> се правят следните изменения и допълнения:</w:t>
      </w:r>
    </w:p>
    <w:p w:rsidR="00A72235" w:rsidRDefault="00A72235" w:rsidP="00A72235">
      <w:pPr>
        <w:pStyle w:val="NoSpacing"/>
        <w:jc w:val="both"/>
      </w:pPr>
    </w:p>
    <w:p w:rsidR="00A72235" w:rsidRPr="00C465CF" w:rsidRDefault="00A72235" w:rsidP="00A72235">
      <w:pPr>
        <w:pStyle w:val="NoSpacing"/>
        <w:jc w:val="both"/>
      </w:pPr>
      <w:r>
        <w:t xml:space="preserve">1. </w:t>
      </w:r>
      <w:r w:rsidRPr="00C465CF">
        <w:t>В чл. 2 се правят следните изменения:</w:t>
      </w:r>
    </w:p>
    <w:p w:rsidR="00A72235" w:rsidRPr="00C465CF" w:rsidRDefault="00A72235" w:rsidP="00A72235">
      <w:pPr>
        <w:pStyle w:val="NoSpacing"/>
        <w:jc w:val="both"/>
      </w:pPr>
      <w:r w:rsidRPr="00C465CF">
        <w:t xml:space="preserve">a) В </w:t>
      </w:r>
      <w:r>
        <w:t xml:space="preserve">ал. 1, т. 1, 2 и 5 </w:t>
      </w:r>
      <w:r w:rsidRPr="00C465CF">
        <w:t>текстът: „за комплексно разрешително, издадено от органа по чл.120, ал.1 от ЗООС“</w:t>
      </w:r>
      <w:r>
        <w:t xml:space="preserve"> се заличава</w:t>
      </w:r>
      <w:r w:rsidRPr="00C465CF">
        <w:t>;</w:t>
      </w:r>
    </w:p>
    <w:p w:rsidR="00A72235" w:rsidRPr="00C465CF" w:rsidRDefault="00A72235" w:rsidP="00A72235">
      <w:pPr>
        <w:pStyle w:val="NoSpacing"/>
        <w:jc w:val="both"/>
      </w:pPr>
      <w:r w:rsidRPr="00C465CF">
        <w:t>б) В ал. 1</w:t>
      </w:r>
      <w:r>
        <w:t>,</w:t>
      </w:r>
      <w:r w:rsidRPr="00C465CF">
        <w:t xml:space="preserve"> т</w:t>
      </w:r>
      <w:r>
        <w:t>.</w:t>
      </w:r>
      <w:r w:rsidRPr="00C465CF">
        <w:t xml:space="preserve"> 3 и 4 се отменят;</w:t>
      </w:r>
    </w:p>
    <w:p w:rsidR="00A72235" w:rsidRPr="00C465CF" w:rsidRDefault="00A72235" w:rsidP="00A72235">
      <w:pPr>
        <w:pStyle w:val="NoSpacing"/>
        <w:jc w:val="both"/>
      </w:pPr>
      <w:r w:rsidRPr="00C465CF">
        <w:t xml:space="preserve">в) Алинея 2 се изменя </w:t>
      </w:r>
      <w:r>
        <w:t>така</w:t>
      </w:r>
      <w:r w:rsidRPr="00C465CF">
        <w:t>:</w:t>
      </w:r>
    </w:p>
    <w:p w:rsidR="00A72235" w:rsidRPr="00C465CF" w:rsidRDefault="00A72235" w:rsidP="00A72235">
      <w:pPr>
        <w:pStyle w:val="NoSpacing"/>
        <w:jc w:val="both"/>
      </w:pPr>
      <w:r w:rsidRPr="00C465CF">
        <w:t>„(2) За преразглеждане на комплексно разрешително в случаите по чл. 124, ал. 2, т. 1 и т. 2 ЗООС се събира такса от 2000 лв.“;</w:t>
      </w:r>
    </w:p>
    <w:p w:rsidR="00A72235" w:rsidRPr="00C465CF" w:rsidRDefault="00A72235" w:rsidP="00A72235">
      <w:pPr>
        <w:pStyle w:val="NoSpacing"/>
        <w:jc w:val="both"/>
      </w:pPr>
      <w:r w:rsidRPr="00C465CF">
        <w:t xml:space="preserve">г) Алинея 3 се изменя </w:t>
      </w:r>
      <w:r>
        <w:t>така</w:t>
      </w:r>
      <w:r w:rsidRPr="00C465CF">
        <w:t>:</w:t>
      </w:r>
    </w:p>
    <w:p w:rsidR="00A72235" w:rsidRPr="00C465CF" w:rsidRDefault="00A72235" w:rsidP="00A72235">
      <w:pPr>
        <w:pStyle w:val="NoSpacing"/>
        <w:jc w:val="both"/>
      </w:pPr>
      <w:r w:rsidRPr="00C465CF">
        <w:t>„(3) За актуализиране на комплексно разрешително в случаите по чл. 124, ал. 2, т. 2 ЗООС се събира такса от 2000 лв.“;</w:t>
      </w:r>
    </w:p>
    <w:p w:rsidR="00A72235" w:rsidRPr="00C465CF" w:rsidRDefault="00A72235" w:rsidP="00A72235">
      <w:pPr>
        <w:pStyle w:val="NoSpacing"/>
        <w:jc w:val="both"/>
      </w:pPr>
      <w:r w:rsidRPr="00C465CF">
        <w:t xml:space="preserve">д) Алинея 4 се изменя </w:t>
      </w:r>
      <w:r>
        <w:t>така</w:t>
      </w:r>
      <w:r w:rsidRPr="00C465CF">
        <w:t>:</w:t>
      </w:r>
    </w:p>
    <w:p w:rsidR="00A72235" w:rsidRDefault="00A72235" w:rsidP="00A72235">
      <w:pPr>
        <w:pStyle w:val="NoSpacing"/>
        <w:jc w:val="both"/>
      </w:pPr>
      <w:r w:rsidRPr="00C465CF">
        <w:t>„(4) За изменение на комплексно разрешително в случаите по чл. 124, ал. 2, т. 1 ЗООС се събира такса от 2000 лв.“.</w:t>
      </w:r>
    </w:p>
    <w:p w:rsidR="00D45444" w:rsidRDefault="00D45444" w:rsidP="00A72235">
      <w:pPr>
        <w:pStyle w:val="NoSpacing"/>
        <w:jc w:val="both"/>
      </w:pPr>
    </w:p>
    <w:p w:rsidR="00D45444" w:rsidRPr="00AC178C" w:rsidRDefault="00D45444" w:rsidP="00D45444">
      <w:pPr>
        <w:pStyle w:val="NoSpacing"/>
        <w:jc w:val="both"/>
      </w:pPr>
      <w:r w:rsidRPr="00AC178C">
        <w:t>2. В чл. 4 се правят следните изменения :</w:t>
      </w:r>
    </w:p>
    <w:p w:rsidR="00D45444" w:rsidRPr="00AC178C" w:rsidRDefault="00D45444" w:rsidP="00D45444">
      <w:pPr>
        <w:pStyle w:val="NoSpacing"/>
        <w:jc w:val="both"/>
      </w:pPr>
    </w:p>
    <w:p w:rsidR="00D45444" w:rsidRPr="00AC178C" w:rsidRDefault="00817E9A" w:rsidP="00D45444">
      <w:pPr>
        <w:pStyle w:val="NoSpacing"/>
        <w:jc w:val="both"/>
      </w:pPr>
      <w:r w:rsidRPr="00AC178C">
        <w:t>а)</w:t>
      </w:r>
      <w:r w:rsidR="00D45444" w:rsidRPr="00AC178C">
        <w:t xml:space="preserve"> В ал. 1 думите „ чл. 131в ЗООС“ се заменят с „чл.31 от ЗОИК“</w:t>
      </w:r>
    </w:p>
    <w:p w:rsidR="00D45444" w:rsidRPr="00AC178C" w:rsidRDefault="00D45444" w:rsidP="00D45444">
      <w:pPr>
        <w:pStyle w:val="NoSpacing"/>
        <w:jc w:val="both"/>
      </w:pPr>
    </w:p>
    <w:p w:rsidR="00D45444" w:rsidRPr="00AC178C" w:rsidRDefault="00817E9A" w:rsidP="00D45444">
      <w:pPr>
        <w:pStyle w:val="NoSpacing"/>
        <w:jc w:val="both"/>
      </w:pPr>
      <w:r w:rsidRPr="00AC178C">
        <w:t>б)</w:t>
      </w:r>
      <w:r w:rsidR="00D45444" w:rsidRPr="00AC178C">
        <w:t xml:space="preserve"> Ал. 2  се изменя така:</w:t>
      </w:r>
    </w:p>
    <w:p w:rsidR="00D45444" w:rsidRPr="00AC178C" w:rsidRDefault="00D45444" w:rsidP="00D45444">
      <w:pPr>
        <w:pStyle w:val="NoSpacing"/>
        <w:jc w:val="both"/>
      </w:pPr>
      <w:r w:rsidRPr="00AC178C">
        <w:t>„(2) За преразглеждане на издаденото разрешително при промяна на работата на инсталацията и/или промяна в плана за мониторинг, в резултат от което се издава ново разрешително, се събира такса в размер 500 лв.“</w:t>
      </w:r>
    </w:p>
    <w:p w:rsidR="00D45444" w:rsidRPr="00AC178C" w:rsidRDefault="00D45444" w:rsidP="00D45444">
      <w:pPr>
        <w:pStyle w:val="NoSpacing"/>
        <w:jc w:val="both"/>
      </w:pPr>
    </w:p>
    <w:p w:rsidR="00D45444" w:rsidRPr="00AC178C" w:rsidRDefault="00817E9A" w:rsidP="00D45444">
      <w:pPr>
        <w:pStyle w:val="NoSpacing"/>
        <w:jc w:val="both"/>
      </w:pPr>
      <w:r w:rsidRPr="00AC178C">
        <w:t>в)</w:t>
      </w:r>
      <w:r w:rsidR="00D45444" w:rsidRPr="00AC178C">
        <w:t xml:space="preserve"> В ал. 3 думата „потвърждение“ се заменя с думата „актуализиране“</w:t>
      </w:r>
    </w:p>
    <w:p w:rsidR="00D45444" w:rsidRPr="00AC178C" w:rsidRDefault="00D45444" w:rsidP="00D45444">
      <w:pPr>
        <w:pStyle w:val="NoSpacing"/>
        <w:jc w:val="both"/>
      </w:pPr>
    </w:p>
    <w:p w:rsidR="00D45444" w:rsidRPr="00AC178C" w:rsidRDefault="00817E9A" w:rsidP="00D45444">
      <w:pPr>
        <w:pStyle w:val="NoSpacing"/>
        <w:jc w:val="both"/>
      </w:pPr>
      <w:r w:rsidRPr="00AC178C">
        <w:t>г)</w:t>
      </w:r>
      <w:r w:rsidR="00D45444" w:rsidRPr="00AC178C">
        <w:t xml:space="preserve"> В ал. 4 т. 1 и т. 2 думите „оператори на въздухоплавателни средства“ се заменят с думите „авиационни оператори“</w:t>
      </w:r>
    </w:p>
    <w:p w:rsidR="00D45444" w:rsidRPr="00AC178C" w:rsidRDefault="00D45444" w:rsidP="00D45444">
      <w:pPr>
        <w:pStyle w:val="NoSpacing"/>
        <w:jc w:val="both"/>
      </w:pPr>
    </w:p>
    <w:p w:rsidR="00D45444" w:rsidRPr="00AC178C" w:rsidRDefault="00817E9A" w:rsidP="00D45444">
      <w:pPr>
        <w:pStyle w:val="NoSpacing"/>
        <w:jc w:val="both"/>
      </w:pPr>
      <w:r w:rsidRPr="00AC178C">
        <w:t>д)</w:t>
      </w:r>
      <w:r w:rsidR="00D45444" w:rsidRPr="00AC178C">
        <w:t xml:space="preserve"> В ал. 5 думите „оператори на въздухоплавателни средства“ се заменят с думите „авиационни оператори“</w:t>
      </w:r>
    </w:p>
    <w:p w:rsidR="00D45444" w:rsidRPr="00AC178C" w:rsidRDefault="00D45444" w:rsidP="00D45444">
      <w:pPr>
        <w:pStyle w:val="NoSpacing"/>
        <w:jc w:val="both"/>
      </w:pPr>
    </w:p>
    <w:p w:rsidR="00D45444" w:rsidRPr="00AC178C" w:rsidRDefault="00D45444" w:rsidP="00D45444">
      <w:pPr>
        <w:pStyle w:val="NoSpacing"/>
        <w:jc w:val="both"/>
      </w:pPr>
      <w:r w:rsidRPr="00AC178C">
        <w:t>3. В чл. 5 се правят следните изменения:</w:t>
      </w:r>
    </w:p>
    <w:p w:rsidR="00D45444" w:rsidRPr="00AC178C" w:rsidRDefault="00D45444" w:rsidP="00D45444">
      <w:pPr>
        <w:pStyle w:val="NoSpacing"/>
        <w:jc w:val="both"/>
      </w:pPr>
    </w:p>
    <w:p w:rsidR="00D45444" w:rsidRPr="00AC178C" w:rsidRDefault="00817E9A" w:rsidP="00D45444">
      <w:pPr>
        <w:pStyle w:val="NoSpacing"/>
        <w:jc w:val="both"/>
      </w:pPr>
      <w:r w:rsidRPr="00AC178C">
        <w:t>а)</w:t>
      </w:r>
      <w:r w:rsidR="00D45444" w:rsidRPr="00AC178C">
        <w:t xml:space="preserve"> Ал. 1 се изменя така:</w:t>
      </w:r>
    </w:p>
    <w:p w:rsidR="00D45444" w:rsidRPr="00AC178C" w:rsidRDefault="00D45444" w:rsidP="00D45444">
      <w:pPr>
        <w:pStyle w:val="NoSpacing"/>
        <w:jc w:val="both"/>
      </w:pPr>
      <w:r w:rsidRPr="00AC178C">
        <w:t>„(1) За откриване на партида в Националния регистър за търговия с квоти за емисии на парникови газове се събират следните такси:“</w:t>
      </w:r>
    </w:p>
    <w:p w:rsidR="00D45444" w:rsidRPr="00AC178C" w:rsidRDefault="00D45444" w:rsidP="00D45444">
      <w:pPr>
        <w:pStyle w:val="NoSpacing"/>
        <w:jc w:val="both"/>
      </w:pPr>
    </w:p>
    <w:p w:rsidR="00D45444" w:rsidRPr="00AC178C" w:rsidRDefault="00817E9A" w:rsidP="00D45444">
      <w:pPr>
        <w:pStyle w:val="NoSpacing"/>
        <w:jc w:val="both"/>
      </w:pPr>
      <w:r w:rsidRPr="00AC178C">
        <w:t>б)</w:t>
      </w:r>
      <w:r w:rsidR="00D45444" w:rsidRPr="00AC178C">
        <w:t xml:space="preserve"> т. 1 се изменя така :</w:t>
      </w:r>
    </w:p>
    <w:p w:rsidR="00D45444" w:rsidRPr="00AC178C" w:rsidRDefault="00D45444" w:rsidP="00D45444">
      <w:pPr>
        <w:pStyle w:val="NoSpacing"/>
        <w:jc w:val="both"/>
      </w:pPr>
      <w:r w:rsidRPr="00AC178C">
        <w:t>„т. 1 на оператори на инсталации по чл. 31 от ЗОИК и на авиационни оператори по чл. 35, ал. 1 от ЗОИК – 200лв.“</w:t>
      </w:r>
    </w:p>
    <w:p w:rsidR="00D45444" w:rsidRPr="00AC178C" w:rsidRDefault="00D45444" w:rsidP="00D45444">
      <w:pPr>
        <w:pStyle w:val="NoSpacing"/>
        <w:jc w:val="both"/>
      </w:pPr>
    </w:p>
    <w:p w:rsidR="00D45444" w:rsidRPr="00AC178C" w:rsidRDefault="00817E9A" w:rsidP="00D45444">
      <w:pPr>
        <w:pStyle w:val="NoSpacing"/>
        <w:jc w:val="both"/>
      </w:pPr>
      <w:r w:rsidRPr="00AC178C">
        <w:t>в)</w:t>
      </w:r>
      <w:r w:rsidR="00D45444" w:rsidRPr="00AC178C">
        <w:t xml:space="preserve"> т. 2 се изменя така :</w:t>
      </w:r>
    </w:p>
    <w:p w:rsidR="00D45444" w:rsidRPr="00AC178C" w:rsidRDefault="00D45444" w:rsidP="00D45444">
      <w:pPr>
        <w:pStyle w:val="NoSpacing"/>
        <w:jc w:val="both"/>
      </w:pPr>
      <w:r w:rsidRPr="00AC178C">
        <w:t>„т. 2 на юридически и физически лица, представляващи верификационни органи по смисъла на § 1, т. 9 от ДР на ЗОИК – 100 лв.“</w:t>
      </w:r>
    </w:p>
    <w:p w:rsidR="00D45444" w:rsidRPr="00AC178C" w:rsidRDefault="00D45444" w:rsidP="00D45444">
      <w:pPr>
        <w:pStyle w:val="NoSpacing"/>
        <w:jc w:val="both"/>
      </w:pPr>
    </w:p>
    <w:p w:rsidR="00D45444" w:rsidRPr="00AC178C" w:rsidRDefault="00817E9A" w:rsidP="00D45444">
      <w:pPr>
        <w:pStyle w:val="NoSpacing"/>
        <w:jc w:val="both"/>
      </w:pPr>
      <w:r w:rsidRPr="00AC178C">
        <w:t>г)</w:t>
      </w:r>
      <w:r w:rsidR="00D45444" w:rsidRPr="00AC178C">
        <w:t xml:space="preserve"> т. 3 се изменя така:</w:t>
      </w:r>
    </w:p>
    <w:p w:rsidR="00D45444" w:rsidRPr="00AC178C" w:rsidRDefault="00D45444" w:rsidP="00D45444">
      <w:pPr>
        <w:pStyle w:val="NoSpacing"/>
        <w:jc w:val="both"/>
      </w:pPr>
      <w:r w:rsidRPr="00AC178C">
        <w:t>„т. 3 на юридически и физически лица, които не отговарят на условията по т.1 и т. 2 – 350 лв.“</w:t>
      </w:r>
    </w:p>
    <w:p w:rsidR="00D45444" w:rsidRPr="00AC178C" w:rsidRDefault="00D45444" w:rsidP="00D45444">
      <w:pPr>
        <w:pStyle w:val="NoSpacing"/>
        <w:jc w:val="both"/>
      </w:pPr>
    </w:p>
    <w:p w:rsidR="00D45444" w:rsidRPr="00AC178C" w:rsidRDefault="00817E9A" w:rsidP="00D45444">
      <w:pPr>
        <w:pStyle w:val="NoSpacing"/>
        <w:jc w:val="both"/>
      </w:pPr>
      <w:r w:rsidRPr="00AC178C">
        <w:t>д)</w:t>
      </w:r>
      <w:r w:rsidR="00D45444" w:rsidRPr="00AC178C">
        <w:t xml:space="preserve"> Създава се нова ал. 2</w:t>
      </w:r>
    </w:p>
    <w:p w:rsidR="00D45444" w:rsidRPr="00AC178C" w:rsidRDefault="00D45444" w:rsidP="00D45444">
      <w:pPr>
        <w:pStyle w:val="NoSpacing"/>
        <w:jc w:val="both"/>
      </w:pPr>
      <w:r w:rsidRPr="00AC178C">
        <w:t>„(2) За администриране на Националния регистър за търговия с квоти на емисии на парникови газове ежегодно се събират следните такси:</w:t>
      </w:r>
    </w:p>
    <w:p w:rsidR="00D45444" w:rsidRPr="00AC178C" w:rsidRDefault="00D45444" w:rsidP="00D45444">
      <w:pPr>
        <w:pStyle w:val="NoSpacing"/>
        <w:jc w:val="both"/>
      </w:pPr>
    </w:p>
    <w:p w:rsidR="00D45444" w:rsidRPr="00AC178C" w:rsidRDefault="00D45444" w:rsidP="00D45444">
      <w:pPr>
        <w:pStyle w:val="NoSpacing"/>
        <w:jc w:val="both"/>
      </w:pPr>
      <w:r w:rsidRPr="00AC178C">
        <w:tab/>
        <w:t>т. 1. 200 лв. – за лицата по ал. 1, т. 1;</w:t>
      </w:r>
    </w:p>
    <w:p w:rsidR="00D45444" w:rsidRPr="00AC178C" w:rsidRDefault="00D45444" w:rsidP="00D45444">
      <w:pPr>
        <w:pStyle w:val="NoSpacing"/>
        <w:jc w:val="both"/>
      </w:pPr>
      <w:r w:rsidRPr="00AC178C">
        <w:tab/>
        <w:t>т. 2. 100 лв. – за лицата по ал. 1, т. 2;</w:t>
      </w:r>
    </w:p>
    <w:p w:rsidR="00D45444" w:rsidRPr="00AC178C" w:rsidRDefault="00D45444" w:rsidP="00D45444">
      <w:pPr>
        <w:pStyle w:val="NoSpacing"/>
        <w:jc w:val="both"/>
      </w:pPr>
      <w:r w:rsidRPr="00AC178C">
        <w:tab/>
        <w:t>т. 3. 350 лв. – за лицата по ал. 1, т. 3.“</w:t>
      </w:r>
    </w:p>
    <w:p w:rsidR="00D45444" w:rsidRPr="00AC178C" w:rsidRDefault="00D45444" w:rsidP="00D45444">
      <w:pPr>
        <w:pStyle w:val="NoSpacing"/>
        <w:jc w:val="both"/>
      </w:pPr>
    </w:p>
    <w:p w:rsidR="00A72235" w:rsidRPr="00C465CF" w:rsidRDefault="00D45444" w:rsidP="00A72235">
      <w:pPr>
        <w:pStyle w:val="NoSpacing"/>
        <w:jc w:val="both"/>
      </w:pPr>
      <w:r>
        <w:t>4</w:t>
      </w:r>
      <w:r w:rsidR="00A72235" w:rsidRPr="00C465CF">
        <w:t>.</w:t>
      </w:r>
      <w:r w:rsidR="00A72235">
        <w:t xml:space="preserve"> </w:t>
      </w:r>
      <w:r w:rsidR="00A72235" w:rsidRPr="00C465CF">
        <w:t>В чл. 7 се правят следните изменения и допълнения:</w:t>
      </w:r>
    </w:p>
    <w:p w:rsidR="00A72235" w:rsidRPr="00C465CF" w:rsidRDefault="00A72235" w:rsidP="00A72235">
      <w:pPr>
        <w:pStyle w:val="NoSpacing"/>
        <w:jc w:val="both"/>
      </w:pPr>
      <w:r w:rsidRPr="00C465CF">
        <w:t>а) В ал.</w:t>
      </w:r>
      <w:r>
        <w:t xml:space="preserve"> </w:t>
      </w:r>
      <w:r w:rsidRPr="00C465CF">
        <w:t>1 след думит</w:t>
      </w:r>
      <w:r>
        <w:t xml:space="preserve">е „(ОВ, L 27/1, 30/01/2010)“ </w:t>
      </w:r>
      <w:r w:rsidRPr="00C465CF">
        <w:t>се добав</w:t>
      </w:r>
      <w:r>
        <w:t>я</w:t>
      </w:r>
      <w:r w:rsidRPr="00C465CF">
        <w:t xml:space="preserve"> „и Регламент (ЕС)/782/2013 на Комисията от 14 август 2013 година за изменение на приложение ІІІ към Регламент (ЕС) № 66/2010 на Европейския парламент и на Съвета относно екомаркировката на ЕС (ОВ, L 219/26,15/08/2013)“</w:t>
      </w:r>
    </w:p>
    <w:p w:rsidR="00A72235" w:rsidRPr="00C465CF" w:rsidRDefault="00A72235" w:rsidP="00A72235">
      <w:pPr>
        <w:pStyle w:val="NoSpacing"/>
        <w:jc w:val="both"/>
      </w:pPr>
      <w:r w:rsidRPr="00C465CF">
        <w:t>б) В ал. 2:</w:t>
      </w:r>
    </w:p>
    <w:p w:rsidR="00A72235" w:rsidRPr="00C465CF" w:rsidRDefault="00A72235" w:rsidP="00A72235">
      <w:pPr>
        <w:pStyle w:val="NoSpacing"/>
        <w:jc w:val="both"/>
      </w:pPr>
      <w:r w:rsidRPr="007C23BE">
        <w:t>аа)</w:t>
      </w:r>
      <w:r w:rsidRPr="00C465CF">
        <w:t xml:space="preserve"> в т. 1 след думите „с 20 на сто за“ се добавя </w:t>
      </w:r>
      <w:r>
        <w:t>„</w:t>
      </w:r>
      <w:r w:rsidRPr="00C465CF">
        <w:t>микро“ и се поставя запетая</w:t>
      </w:r>
      <w:r>
        <w:t>,</w:t>
      </w:r>
      <w:r w:rsidRPr="00C465CF">
        <w:t xml:space="preserve"> </w:t>
      </w:r>
      <w:r>
        <w:t>а</w:t>
      </w:r>
      <w:r w:rsidRPr="00C465CF">
        <w:t xml:space="preserve"> след думите</w:t>
      </w:r>
      <w:r>
        <w:t xml:space="preserve"> „средни предприятия“ се добавя </w:t>
      </w:r>
      <w:r w:rsidRPr="00C465CF">
        <w:t>„и заявители от развиващи се страни“;</w:t>
      </w:r>
    </w:p>
    <w:p w:rsidR="00A72235" w:rsidRPr="00C465CF" w:rsidRDefault="00A72235" w:rsidP="00A72235">
      <w:pPr>
        <w:pStyle w:val="NoSpacing"/>
        <w:jc w:val="both"/>
      </w:pPr>
      <w:r w:rsidRPr="007C23BE">
        <w:t>бб)</w:t>
      </w:r>
      <w:r w:rsidRPr="00C465CF">
        <w:t xml:space="preserve"> точка 2 се изменя така:</w:t>
      </w:r>
    </w:p>
    <w:p w:rsidR="00A72235" w:rsidRPr="00C465CF" w:rsidRDefault="00A72235" w:rsidP="00A72235">
      <w:pPr>
        <w:pStyle w:val="NoSpacing"/>
        <w:jc w:val="both"/>
      </w:pPr>
      <w:r w:rsidRPr="00C465CF">
        <w:t xml:space="preserve">„2. с 15 на сто за организации, които имат система за управление по околна среда, сертифицирана по ISO 14001, или 30 на сто за организации, регистрирани по EMAS. За организации, отговарящи и на двете условия, се прилага по-голямото намаление.“ </w:t>
      </w:r>
    </w:p>
    <w:p w:rsidR="00A72235" w:rsidRPr="00C465CF" w:rsidRDefault="00A72235" w:rsidP="00A72235">
      <w:pPr>
        <w:pStyle w:val="NoSpacing"/>
        <w:jc w:val="both"/>
      </w:pPr>
      <w:r w:rsidRPr="007C23BE">
        <w:t>вв)</w:t>
      </w:r>
      <w:r w:rsidRPr="00C465CF">
        <w:t xml:space="preserve"> създава се т. 3:</w:t>
      </w:r>
    </w:p>
    <w:p w:rsidR="00A72235" w:rsidRPr="00C465CF" w:rsidRDefault="00A72235" w:rsidP="00A72235">
      <w:pPr>
        <w:pStyle w:val="NoSpacing"/>
        <w:jc w:val="both"/>
      </w:pPr>
      <w:r w:rsidRPr="00C465CF">
        <w:lastRenderedPageBreak/>
        <w:t>„3. с 20 на сто при изменение или продължение на правото за ползване на екомаркировката на ЕС или за продукт/продукти, на които е присъдена друга екологична маркировка тип I съгласно EN ISO 14024.“</w:t>
      </w:r>
    </w:p>
    <w:p w:rsidR="00A72235" w:rsidRPr="00C465CF" w:rsidRDefault="00A72235" w:rsidP="00A72235">
      <w:pPr>
        <w:pStyle w:val="NoSpacing"/>
        <w:jc w:val="both"/>
      </w:pPr>
      <w:r w:rsidRPr="00C465CF">
        <w:t xml:space="preserve">в) В ал.5 се правят следните изменения и допълнения: </w:t>
      </w:r>
    </w:p>
    <w:p w:rsidR="00A72235" w:rsidRPr="00C465CF" w:rsidRDefault="00A72235" w:rsidP="00A72235">
      <w:pPr>
        <w:pStyle w:val="NoSpacing"/>
        <w:jc w:val="both"/>
      </w:pPr>
      <w:r w:rsidRPr="003B744E">
        <w:t>аа)</w:t>
      </w:r>
      <w:r w:rsidRPr="00C465CF">
        <w:t xml:space="preserve"> в т. 1 след думите „средни предприятия“ се добавя „и заявители от развиващи се страни.“</w:t>
      </w:r>
    </w:p>
    <w:p w:rsidR="00A72235" w:rsidRPr="00C465CF" w:rsidRDefault="00A72235" w:rsidP="00A72235">
      <w:pPr>
        <w:pStyle w:val="NoSpacing"/>
        <w:jc w:val="both"/>
      </w:pPr>
      <w:r w:rsidRPr="003B744E">
        <w:t>бб)</w:t>
      </w:r>
      <w:r w:rsidRPr="00C465CF">
        <w:t xml:space="preserve"> точки 3 и 5 се отменят.</w:t>
      </w:r>
    </w:p>
    <w:p w:rsidR="00C465CF" w:rsidRDefault="00C465CF" w:rsidP="000712D4">
      <w:pPr>
        <w:pStyle w:val="NoSpacing"/>
        <w:jc w:val="both"/>
        <w:rPr>
          <w:b/>
          <w:bCs/>
        </w:rPr>
      </w:pPr>
    </w:p>
    <w:p w:rsidR="00212725" w:rsidRPr="00C465CF" w:rsidRDefault="00212725" w:rsidP="00E31353">
      <w:pPr>
        <w:pStyle w:val="NoSpacing"/>
        <w:jc w:val="center"/>
        <w:rPr>
          <w:b/>
          <w:bCs/>
        </w:rPr>
      </w:pPr>
      <w:r>
        <w:rPr>
          <w:b/>
          <w:bCs/>
        </w:rPr>
        <w:t>Заключителна разпоредба</w:t>
      </w:r>
    </w:p>
    <w:p w:rsidR="006A44DB" w:rsidRDefault="00C24788" w:rsidP="00C24788">
      <w:pPr>
        <w:pStyle w:val="NoSpacing"/>
        <w:jc w:val="both"/>
      </w:pPr>
      <w:r w:rsidRPr="00B36C55">
        <w:rPr>
          <w:b/>
          <w:bCs/>
        </w:rPr>
        <w:t>§ 3</w:t>
      </w:r>
      <w:r w:rsidRPr="00B36C55">
        <w:t>. Постановлението влиза в сила от деня на обнародването му в „Държавен вестник“</w:t>
      </w:r>
      <w:r w:rsidR="006A44DB">
        <w:t>.</w:t>
      </w:r>
    </w:p>
    <w:p w:rsidR="00C465CF" w:rsidRPr="00C465CF" w:rsidRDefault="00C465CF" w:rsidP="000712D4">
      <w:pPr>
        <w:pStyle w:val="NoSpacing"/>
        <w:jc w:val="both"/>
        <w:rPr>
          <w:rFonts w:eastAsia="DejaVu Sans"/>
          <w:bCs/>
        </w:rPr>
      </w:pPr>
    </w:p>
    <w:p w:rsidR="00C465CF" w:rsidRPr="00C465CF" w:rsidRDefault="00C465CF" w:rsidP="000712D4">
      <w:pPr>
        <w:pStyle w:val="NoSpacing"/>
        <w:jc w:val="both"/>
        <w:rPr>
          <w:rFonts w:eastAsia="DejaVu Sans"/>
          <w:b/>
          <w:bCs/>
        </w:rPr>
      </w:pPr>
    </w:p>
    <w:p w:rsidR="00C465CF" w:rsidRPr="00C465CF" w:rsidRDefault="00C465CF" w:rsidP="000712D4">
      <w:pPr>
        <w:pStyle w:val="NoSpacing"/>
        <w:jc w:val="both"/>
        <w:rPr>
          <w:rFonts w:eastAsia="DejaVu Sans"/>
          <w:b/>
          <w:bCs/>
        </w:rPr>
      </w:pPr>
    </w:p>
    <w:p w:rsidR="00C465CF" w:rsidRPr="00C465CF" w:rsidRDefault="00C465CF" w:rsidP="00C465CF">
      <w:pPr>
        <w:jc w:val="both"/>
        <w:rPr>
          <w:rFonts w:eastAsia="DejaVu Sans"/>
          <w:b/>
          <w:bCs/>
        </w:rPr>
      </w:pPr>
    </w:p>
    <w:p w:rsidR="00C465CF" w:rsidRPr="00C465CF" w:rsidRDefault="00C465CF" w:rsidP="00C465CF">
      <w:pPr>
        <w:ind w:left="708" w:firstLine="708"/>
        <w:jc w:val="both"/>
        <w:rPr>
          <w:rFonts w:eastAsia="DejaVu Sans"/>
          <w:b/>
          <w:bCs/>
        </w:rPr>
      </w:pPr>
      <w:r w:rsidRPr="00C465CF">
        <w:rPr>
          <w:rFonts w:eastAsia="DejaVu Sans"/>
          <w:b/>
          <w:bCs/>
        </w:rPr>
        <w:t>МИНИСТЪР-ПРЕДСЕДАТЕЛ:</w:t>
      </w:r>
    </w:p>
    <w:p w:rsidR="00C465CF" w:rsidRPr="00C465CF" w:rsidRDefault="00311097" w:rsidP="00C465CF">
      <w:pPr>
        <w:ind w:left="4308" w:firstLine="648"/>
        <w:jc w:val="both"/>
        <w:rPr>
          <w:rFonts w:eastAsia="DejaVu Sans"/>
          <w:b/>
          <w:bCs/>
        </w:rPr>
      </w:pPr>
      <w:r>
        <w:rPr>
          <w:rFonts w:eastAsia="DejaVu Sans"/>
          <w:b/>
          <w:bCs/>
        </w:rPr>
        <w:t>/ГЕОРГИ БЛИЗНАШКИ</w:t>
      </w:r>
      <w:r w:rsidR="00C465CF" w:rsidRPr="00C465CF">
        <w:rPr>
          <w:rFonts w:eastAsia="DejaVu Sans"/>
          <w:b/>
          <w:bCs/>
        </w:rPr>
        <w:t>/</w:t>
      </w:r>
    </w:p>
    <w:p w:rsidR="00C465CF" w:rsidRPr="00C465CF" w:rsidRDefault="00C465CF" w:rsidP="00C465CF">
      <w:pPr>
        <w:jc w:val="both"/>
        <w:rPr>
          <w:rFonts w:eastAsia="DejaVu Sans"/>
          <w:b/>
          <w:bCs/>
        </w:rPr>
      </w:pPr>
    </w:p>
    <w:p w:rsidR="00C465CF" w:rsidRPr="00C465CF" w:rsidRDefault="00C465CF" w:rsidP="00C465CF">
      <w:pPr>
        <w:jc w:val="both"/>
        <w:rPr>
          <w:rFonts w:eastAsia="DejaVu Sans"/>
          <w:b/>
          <w:bCs/>
        </w:rPr>
      </w:pPr>
    </w:p>
    <w:p w:rsidR="00C465CF" w:rsidRPr="00C465CF" w:rsidRDefault="00C465CF" w:rsidP="00C465CF">
      <w:pPr>
        <w:ind w:left="708" w:firstLine="708"/>
        <w:jc w:val="both"/>
        <w:rPr>
          <w:rFonts w:eastAsia="DejaVu Sans"/>
          <w:b/>
          <w:bCs/>
        </w:rPr>
      </w:pPr>
      <w:r w:rsidRPr="00C465CF">
        <w:rPr>
          <w:rFonts w:eastAsia="DejaVu Sans"/>
          <w:b/>
          <w:bCs/>
        </w:rPr>
        <w:t xml:space="preserve">ГЛАВЕН СЕКРЕТАР </w:t>
      </w:r>
    </w:p>
    <w:p w:rsidR="00C465CF" w:rsidRPr="00C465CF" w:rsidRDefault="00C465CF" w:rsidP="00C465CF">
      <w:pPr>
        <w:ind w:left="708" w:firstLine="708"/>
        <w:jc w:val="both"/>
        <w:rPr>
          <w:rFonts w:eastAsia="DejaVu Sans"/>
          <w:b/>
          <w:bCs/>
        </w:rPr>
      </w:pPr>
      <w:r w:rsidRPr="00C465CF">
        <w:rPr>
          <w:rFonts w:eastAsia="DejaVu Sans"/>
          <w:b/>
          <w:bCs/>
        </w:rPr>
        <w:t>НА МИНИСТЕРСКИЯ СЪВЕТ:</w:t>
      </w:r>
    </w:p>
    <w:p w:rsidR="00C465CF" w:rsidRPr="00C465CF" w:rsidRDefault="00C465CF" w:rsidP="00C465CF">
      <w:pPr>
        <w:jc w:val="both"/>
        <w:rPr>
          <w:rFonts w:eastAsia="DejaVu Sans"/>
          <w:b/>
          <w:bCs/>
        </w:rPr>
      </w:pP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  <w:t>/НИНА СТАВРЕВА/</w:t>
      </w:r>
    </w:p>
    <w:p w:rsidR="00C465CF" w:rsidRPr="00C465CF" w:rsidRDefault="00C465CF" w:rsidP="00C465CF">
      <w:pPr>
        <w:rPr>
          <w:rFonts w:eastAsia="DejaVu Sans"/>
          <w:b/>
        </w:rPr>
      </w:pPr>
      <w:r w:rsidRPr="00C465CF">
        <w:rPr>
          <w:rFonts w:eastAsia="DejaVu Sans"/>
          <w:b/>
          <w:bCs/>
        </w:rPr>
        <w:t>_________________________________________________________________________</w:t>
      </w:r>
      <w:r w:rsidRPr="00C465CF">
        <w:rPr>
          <w:rFonts w:eastAsia="DejaVu Sans"/>
          <w:b/>
          <w:bCs/>
        </w:rPr>
        <w:br/>
      </w:r>
      <w:r w:rsidRPr="00C465CF">
        <w:rPr>
          <w:rFonts w:eastAsia="DejaVu Sans"/>
          <w:b/>
        </w:rPr>
        <w:tab/>
      </w:r>
      <w:r w:rsidRPr="00C465CF">
        <w:rPr>
          <w:rFonts w:eastAsia="DejaVu Sans"/>
          <w:b/>
        </w:rPr>
        <w:tab/>
      </w:r>
      <w:r w:rsidRPr="00C465CF">
        <w:rPr>
          <w:rFonts w:eastAsia="DejaVu Sans"/>
          <w:b/>
        </w:rPr>
        <w:tab/>
      </w:r>
      <w:r w:rsidRPr="00C465CF">
        <w:rPr>
          <w:rFonts w:eastAsia="DejaVu Sans"/>
          <w:b/>
        </w:rPr>
        <w:tab/>
      </w:r>
      <w:r w:rsidRPr="00C465CF">
        <w:rPr>
          <w:rFonts w:eastAsia="DejaVu Sans"/>
          <w:b/>
        </w:rPr>
        <w:tab/>
      </w:r>
      <w:r w:rsidRPr="00C465CF">
        <w:rPr>
          <w:rFonts w:eastAsia="DejaVu Sans"/>
          <w:b/>
        </w:rPr>
        <w:tab/>
      </w:r>
    </w:p>
    <w:p w:rsidR="00C465CF" w:rsidRPr="00C465CF" w:rsidRDefault="00C465CF" w:rsidP="00C465CF">
      <w:pPr>
        <w:rPr>
          <w:b/>
        </w:rPr>
      </w:pPr>
    </w:p>
    <w:p w:rsidR="00C465CF" w:rsidRPr="00C465CF" w:rsidRDefault="00C465CF" w:rsidP="00C465CF">
      <w:pPr>
        <w:ind w:left="708" w:firstLine="708"/>
        <w:rPr>
          <w:b/>
        </w:rPr>
      </w:pPr>
      <w:r w:rsidRPr="00C465CF">
        <w:rPr>
          <w:b/>
        </w:rPr>
        <w:t xml:space="preserve">ГЛАВЕН СЕКРЕТАР НА </w:t>
      </w:r>
    </w:p>
    <w:p w:rsidR="00C465CF" w:rsidRPr="00C465CF" w:rsidRDefault="00C465CF" w:rsidP="00C465CF">
      <w:pPr>
        <w:ind w:left="708" w:firstLine="708"/>
        <w:rPr>
          <w:b/>
        </w:rPr>
      </w:pPr>
      <w:r w:rsidRPr="00C465CF">
        <w:rPr>
          <w:b/>
        </w:rPr>
        <w:t xml:space="preserve">МИНИСТЕРСТВОТО </w:t>
      </w:r>
    </w:p>
    <w:p w:rsidR="00C465CF" w:rsidRPr="00C465CF" w:rsidRDefault="00C465CF" w:rsidP="00C465CF">
      <w:pPr>
        <w:ind w:left="708" w:firstLine="708"/>
        <w:rPr>
          <w:b/>
        </w:rPr>
      </w:pPr>
      <w:r w:rsidRPr="00C465CF">
        <w:rPr>
          <w:b/>
        </w:rPr>
        <w:t>НА ОКОЛНАТА СРЕДА И ВОДИТЕ:</w:t>
      </w:r>
      <w:r w:rsidRPr="00C465CF">
        <w:rPr>
          <w:b/>
        </w:rPr>
        <w:tab/>
      </w:r>
    </w:p>
    <w:p w:rsidR="00C465CF" w:rsidRPr="00C465CF" w:rsidRDefault="00C465CF" w:rsidP="00C465CF">
      <w:pPr>
        <w:rPr>
          <w:b/>
        </w:rPr>
      </w:pPr>
      <w:r w:rsidRPr="00C465CF">
        <w:rPr>
          <w:b/>
        </w:rPr>
        <w:tab/>
      </w:r>
      <w:r w:rsidRPr="00C465CF">
        <w:rPr>
          <w:b/>
        </w:rPr>
        <w:tab/>
      </w:r>
      <w:r w:rsidRPr="00C465CF">
        <w:rPr>
          <w:b/>
        </w:rPr>
        <w:tab/>
        <w:t xml:space="preserve">   </w:t>
      </w:r>
      <w:r w:rsidRPr="00C465CF">
        <w:rPr>
          <w:b/>
        </w:rPr>
        <w:tab/>
      </w:r>
      <w:r w:rsidRPr="00C465CF">
        <w:rPr>
          <w:b/>
        </w:rPr>
        <w:tab/>
      </w:r>
      <w:r w:rsidRPr="00C465CF">
        <w:rPr>
          <w:b/>
        </w:rPr>
        <w:tab/>
      </w:r>
      <w:r w:rsidRPr="00C465CF">
        <w:rPr>
          <w:b/>
        </w:rPr>
        <w:tab/>
      </w:r>
      <w:r w:rsidRPr="00C465CF">
        <w:rPr>
          <w:b/>
        </w:rPr>
        <w:tab/>
        <w:t>/РОСЕН АСЕНОВ/</w:t>
      </w:r>
    </w:p>
    <w:p w:rsidR="00C465CF" w:rsidRPr="00C465CF" w:rsidRDefault="00C465CF" w:rsidP="00C465CF">
      <w:pPr>
        <w:rPr>
          <w:b/>
        </w:rPr>
      </w:pPr>
    </w:p>
    <w:p w:rsidR="00C465CF" w:rsidRPr="00C465CF" w:rsidRDefault="00C465CF" w:rsidP="00C465CF">
      <w:pPr>
        <w:rPr>
          <w:b/>
        </w:rPr>
      </w:pPr>
    </w:p>
    <w:p w:rsidR="00C465CF" w:rsidRPr="00C465CF" w:rsidRDefault="00C465CF" w:rsidP="00C465CF">
      <w:pPr>
        <w:ind w:left="708" w:firstLine="708"/>
      </w:pPr>
      <w:r w:rsidRPr="00C465CF">
        <w:rPr>
          <w:b/>
        </w:rPr>
        <w:t xml:space="preserve">ДИРЕКТОР НА ДИРЕКЦИЯ </w:t>
      </w:r>
      <w:r w:rsidR="008033AD">
        <w:rPr>
          <w:b/>
          <w:lang w:val="en-US"/>
        </w:rPr>
        <w:t>“</w:t>
      </w:r>
      <w:r w:rsidRPr="00C465CF">
        <w:rPr>
          <w:b/>
        </w:rPr>
        <w:t>ПНООП</w:t>
      </w:r>
      <w:r w:rsidR="008033AD">
        <w:rPr>
          <w:b/>
          <w:lang w:val="en-US"/>
        </w:rPr>
        <w:t>”</w:t>
      </w:r>
      <w:r w:rsidRPr="00C465CF">
        <w:rPr>
          <w:b/>
        </w:rPr>
        <w:t>:</w:t>
      </w:r>
      <w:r w:rsidRPr="00C465CF">
        <w:rPr>
          <w:b/>
        </w:rPr>
        <w:tab/>
      </w:r>
      <w:r w:rsidRPr="00C465CF">
        <w:rPr>
          <w:b/>
        </w:rPr>
        <w:tab/>
      </w:r>
      <w:r w:rsidRPr="00C465CF">
        <w:rPr>
          <w:b/>
        </w:rPr>
        <w:tab/>
      </w:r>
      <w:r w:rsidRPr="00C465CF">
        <w:rPr>
          <w:b/>
        </w:rPr>
        <w:tab/>
      </w:r>
      <w:r w:rsidRPr="00C465CF">
        <w:rPr>
          <w:b/>
        </w:rPr>
        <w:tab/>
      </w:r>
      <w:r w:rsidRPr="00C465CF">
        <w:rPr>
          <w:b/>
        </w:rPr>
        <w:tab/>
        <w:t xml:space="preserve">           </w:t>
      </w:r>
      <w:r w:rsidRPr="00C465CF">
        <w:rPr>
          <w:b/>
        </w:rPr>
        <w:tab/>
      </w:r>
      <w:r w:rsidRPr="00C465CF">
        <w:rPr>
          <w:b/>
        </w:rPr>
        <w:tab/>
      </w:r>
      <w:r w:rsidRPr="00C465CF">
        <w:rPr>
          <w:b/>
        </w:rPr>
        <w:tab/>
      </w:r>
      <w:r w:rsidRPr="00C465CF">
        <w:rPr>
          <w:b/>
        </w:rPr>
        <w:tab/>
      </w:r>
      <w:r w:rsidRPr="00C465CF">
        <w:rPr>
          <w:b/>
        </w:rPr>
        <w:tab/>
        <w:t>/ВАЛЕРИЯ ГЕРОВА/</w:t>
      </w:r>
    </w:p>
    <w:p w:rsidR="00C465CF" w:rsidRPr="00C465CF" w:rsidRDefault="00C465CF" w:rsidP="00C465CF">
      <w:pPr>
        <w:jc w:val="both"/>
        <w:rPr>
          <w:rFonts w:eastAsia="DejaVu Sans"/>
          <w:b/>
          <w:bCs/>
        </w:rPr>
      </w:pPr>
    </w:p>
    <w:p w:rsidR="006814C7" w:rsidRPr="00C465CF" w:rsidRDefault="006814C7"/>
    <w:sectPr w:rsidR="006814C7" w:rsidRPr="00C465CF" w:rsidSect="000712D4">
      <w:footerReference w:type="default" r:id="rId9"/>
      <w:pgSz w:w="11906" w:h="16838"/>
      <w:pgMar w:top="360" w:right="1411" w:bottom="72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9B4" w:rsidRDefault="008029B4" w:rsidP="00392680">
      <w:r>
        <w:separator/>
      </w:r>
    </w:p>
  </w:endnote>
  <w:endnote w:type="continuationSeparator" w:id="0">
    <w:p w:rsidR="008029B4" w:rsidRDefault="008029B4" w:rsidP="0039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932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2680" w:rsidRDefault="003926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5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2680" w:rsidRDefault="003926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9B4" w:rsidRDefault="008029B4" w:rsidP="00392680">
      <w:r>
        <w:separator/>
      </w:r>
    </w:p>
  </w:footnote>
  <w:footnote w:type="continuationSeparator" w:id="0">
    <w:p w:rsidR="008029B4" w:rsidRDefault="008029B4" w:rsidP="00392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12D5"/>
    <w:multiLevelType w:val="hybridMultilevel"/>
    <w:tmpl w:val="D596756E"/>
    <w:lvl w:ilvl="0" w:tplc="25686EDE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CF"/>
    <w:rsid w:val="000079C5"/>
    <w:rsid w:val="000712D4"/>
    <w:rsid w:val="00083C4F"/>
    <w:rsid w:val="000A5CA2"/>
    <w:rsid w:val="000D2560"/>
    <w:rsid w:val="000E4507"/>
    <w:rsid w:val="000E685C"/>
    <w:rsid w:val="001231F7"/>
    <w:rsid w:val="00171253"/>
    <w:rsid w:val="0020137C"/>
    <w:rsid w:val="00212725"/>
    <w:rsid w:val="00241428"/>
    <w:rsid w:val="0025230F"/>
    <w:rsid w:val="00296B1F"/>
    <w:rsid w:val="002B3FB6"/>
    <w:rsid w:val="002E1821"/>
    <w:rsid w:val="00305AB0"/>
    <w:rsid w:val="00311097"/>
    <w:rsid w:val="00337116"/>
    <w:rsid w:val="00345DD7"/>
    <w:rsid w:val="00392680"/>
    <w:rsid w:val="003C14F7"/>
    <w:rsid w:val="003C4FE7"/>
    <w:rsid w:val="0049595A"/>
    <w:rsid w:val="004E02C7"/>
    <w:rsid w:val="00504EA0"/>
    <w:rsid w:val="0053391B"/>
    <w:rsid w:val="005547C7"/>
    <w:rsid w:val="005834B1"/>
    <w:rsid w:val="005C2FB1"/>
    <w:rsid w:val="005D1CB4"/>
    <w:rsid w:val="005E0676"/>
    <w:rsid w:val="00625075"/>
    <w:rsid w:val="006814C7"/>
    <w:rsid w:val="00694E2F"/>
    <w:rsid w:val="0069572F"/>
    <w:rsid w:val="006A44DB"/>
    <w:rsid w:val="007170B5"/>
    <w:rsid w:val="00742BD4"/>
    <w:rsid w:val="0078138A"/>
    <w:rsid w:val="007D0CAA"/>
    <w:rsid w:val="007D2CC2"/>
    <w:rsid w:val="007F3858"/>
    <w:rsid w:val="008029B4"/>
    <w:rsid w:val="008033AD"/>
    <w:rsid w:val="00817E9A"/>
    <w:rsid w:val="00851AE4"/>
    <w:rsid w:val="00894F2B"/>
    <w:rsid w:val="008A25FE"/>
    <w:rsid w:val="008B0BFF"/>
    <w:rsid w:val="00937554"/>
    <w:rsid w:val="00960D65"/>
    <w:rsid w:val="00A12E07"/>
    <w:rsid w:val="00A64968"/>
    <w:rsid w:val="00A72235"/>
    <w:rsid w:val="00AC178C"/>
    <w:rsid w:val="00AF72C4"/>
    <w:rsid w:val="00B23019"/>
    <w:rsid w:val="00B36C55"/>
    <w:rsid w:val="00B66FA1"/>
    <w:rsid w:val="00BE4619"/>
    <w:rsid w:val="00C11441"/>
    <w:rsid w:val="00C24788"/>
    <w:rsid w:val="00C465CF"/>
    <w:rsid w:val="00C90B34"/>
    <w:rsid w:val="00CA4A71"/>
    <w:rsid w:val="00D45444"/>
    <w:rsid w:val="00DD122D"/>
    <w:rsid w:val="00DF0ED2"/>
    <w:rsid w:val="00E0296C"/>
    <w:rsid w:val="00E25E99"/>
    <w:rsid w:val="00E31353"/>
    <w:rsid w:val="00E4094E"/>
    <w:rsid w:val="00E45B22"/>
    <w:rsid w:val="00EA27F8"/>
    <w:rsid w:val="00ED4424"/>
    <w:rsid w:val="00F1564E"/>
    <w:rsid w:val="00F359D1"/>
    <w:rsid w:val="00F41C59"/>
    <w:rsid w:val="00F602B1"/>
    <w:rsid w:val="00F82307"/>
    <w:rsid w:val="00F87826"/>
    <w:rsid w:val="00FB18CC"/>
    <w:rsid w:val="00FE4DCB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65CF"/>
    <w:pPr>
      <w:ind w:right="-760"/>
      <w:jc w:val="center"/>
    </w:pPr>
    <w:rPr>
      <w:rFonts w:ascii="TmsCyr" w:hAnsi="TmsCyr"/>
      <w:szCs w:val="20"/>
    </w:rPr>
  </w:style>
  <w:style w:type="character" w:customStyle="1" w:styleId="TitleChar">
    <w:name w:val="Title Char"/>
    <w:basedOn w:val="DefaultParagraphFont"/>
    <w:link w:val="Title"/>
    <w:rsid w:val="00C465CF"/>
    <w:rPr>
      <w:rFonts w:ascii="TmsCyr" w:eastAsia="Times New Roman" w:hAnsi="TmsCyr" w:cs="Times New Roman"/>
      <w:sz w:val="24"/>
      <w:szCs w:val="20"/>
      <w:lang w:eastAsia="bg-BG"/>
    </w:rPr>
  </w:style>
  <w:style w:type="paragraph" w:customStyle="1" w:styleId="m">
    <w:name w:val="m"/>
    <w:basedOn w:val="Normal"/>
    <w:rsid w:val="00C465C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465CF"/>
    <w:pPr>
      <w:ind w:left="720"/>
      <w:contextualSpacing/>
    </w:pPr>
  </w:style>
  <w:style w:type="paragraph" w:styleId="NoSpacing">
    <w:name w:val="No Spacing"/>
    <w:uiPriority w:val="1"/>
    <w:qFormat/>
    <w:rsid w:val="0007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1F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39268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68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9268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68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65CF"/>
    <w:pPr>
      <w:ind w:right="-760"/>
      <w:jc w:val="center"/>
    </w:pPr>
    <w:rPr>
      <w:rFonts w:ascii="TmsCyr" w:hAnsi="TmsCyr"/>
      <w:szCs w:val="20"/>
    </w:rPr>
  </w:style>
  <w:style w:type="character" w:customStyle="1" w:styleId="TitleChar">
    <w:name w:val="Title Char"/>
    <w:basedOn w:val="DefaultParagraphFont"/>
    <w:link w:val="Title"/>
    <w:rsid w:val="00C465CF"/>
    <w:rPr>
      <w:rFonts w:ascii="TmsCyr" w:eastAsia="Times New Roman" w:hAnsi="TmsCyr" w:cs="Times New Roman"/>
      <w:sz w:val="24"/>
      <w:szCs w:val="20"/>
      <w:lang w:eastAsia="bg-BG"/>
    </w:rPr>
  </w:style>
  <w:style w:type="paragraph" w:customStyle="1" w:styleId="m">
    <w:name w:val="m"/>
    <w:basedOn w:val="Normal"/>
    <w:rsid w:val="00C465C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465CF"/>
    <w:pPr>
      <w:ind w:left="720"/>
      <w:contextualSpacing/>
    </w:pPr>
  </w:style>
  <w:style w:type="paragraph" w:styleId="NoSpacing">
    <w:name w:val="No Spacing"/>
    <w:uiPriority w:val="1"/>
    <w:qFormat/>
    <w:rsid w:val="0007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1F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39268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68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9268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68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151B-1F24-42A8-AE83-8139746F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4022</Words>
  <Characters>22930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2014-07-24T06:10:00Z</cp:lastPrinted>
  <dcterms:created xsi:type="dcterms:W3CDTF">2014-08-07T13:47:00Z</dcterms:created>
  <dcterms:modified xsi:type="dcterms:W3CDTF">2014-08-07T13:47:00Z</dcterms:modified>
</cp:coreProperties>
</file>