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48" w:rsidRDefault="00FF1A48" w:rsidP="00AF2A3B">
      <w:pPr>
        <w:pStyle w:val="style0"/>
        <w:ind w:left="5172"/>
        <w:jc w:val="center"/>
        <w:rPr>
          <w:b/>
          <w:caps/>
          <w:u w:val="single"/>
          <w:lang w:val="en-US"/>
        </w:rPr>
      </w:pPr>
    </w:p>
    <w:p w:rsidR="00AF2A3B" w:rsidRPr="00542FD8" w:rsidRDefault="00AF2A3B" w:rsidP="00AF2A3B">
      <w:pPr>
        <w:pStyle w:val="style0"/>
        <w:ind w:left="5172"/>
        <w:jc w:val="center"/>
        <w:rPr>
          <w:b/>
          <w:caps/>
          <w:u w:val="single"/>
        </w:rPr>
      </w:pPr>
      <w:r w:rsidRPr="00542FD8">
        <w:rPr>
          <w:b/>
          <w:caps/>
          <w:u w:val="single"/>
        </w:rPr>
        <w:t>Проект!</w:t>
      </w:r>
    </w:p>
    <w:p w:rsidR="00AF2A3B" w:rsidRPr="00FF1A48" w:rsidRDefault="00AF2A3B" w:rsidP="00FF1A48">
      <w:pPr>
        <w:pStyle w:val="style0"/>
        <w:ind w:firstLine="0"/>
        <w:rPr>
          <w:b/>
          <w:lang w:val="en-US"/>
        </w:rPr>
      </w:pPr>
    </w:p>
    <w:p w:rsidR="00AF2A3B" w:rsidRPr="00542FD8" w:rsidRDefault="00AF2A3B" w:rsidP="00AF2A3B">
      <w:pPr>
        <w:pStyle w:val="style0"/>
        <w:ind w:firstLine="0"/>
        <w:jc w:val="center"/>
        <w:rPr>
          <w:b/>
        </w:rPr>
      </w:pPr>
      <w:r w:rsidRPr="00542FD8">
        <w:rPr>
          <w:b/>
        </w:rPr>
        <w:t xml:space="preserve">МОТИВИ </w:t>
      </w:r>
    </w:p>
    <w:p w:rsidR="00AF2A3B" w:rsidRPr="00542FD8" w:rsidRDefault="00AF2A3B" w:rsidP="00AF2A3B">
      <w:pPr>
        <w:pStyle w:val="style0"/>
        <w:spacing w:line="360" w:lineRule="auto"/>
        <w:ind w:firstLine="0"/>
        <w:jc w:val="center"/>
        <w:rPr>
          <w:b/>
        </w:rPr>
      </w:pPr>
    </w:p>
    <w:p w:rsidR="00AF2A3B" w:rsidRPr="00542FD8" w:rsidRDefault="00AF2A3B" w:rsidP="00AF2A3B">
      <w:pPr>
        <w:tabs>
          <w:tab w:val="left" w:pos="8460"/>
          <w:tab w:val="left" w:pos="8640"/>
        </w:tabs>
        <w:spacing w:line="360" w:lineRule="auto"/>
        <w:ind w:left="540" w:right="612"/>
        <w:jc w:val="center"/>
        <w:rPr>
          <w:lang w:val="ru-RU"/>
        </w:rPr>
      </w:pPr>
      <w:r w:rsidRPr="00542FD8">
        <w:rPr>
          <w:lang w:val="ru-RU"/>
        </w:rPr>
        <w:t>Към проекта на Закон за изменение и допълнение на Закона за водите</w:t>
      </w:r>
    </w:p>
    <w:p w:rsidR="00AF2A3B" w:rsidRPr="00542FD8" w:rsidRDefault="00AF2A3B" w:rsidP="00AF2A3B">
      <w:pPr>
        <w:tabs>
          <w:tab w:val="num" w:pos="0"/>
        </w:tabs>
        <w:spacing w:before="120" w:line="360" w:lineRule="auto"/>
        <w:ind w:right="-288" w:firstLine="708"/>
        <w:jc w:val="both"/>
      </w:pPr>
      <w:r w:rsidRPr="00542FD8">
        <w:t>Настоящият проект на Закон за изменение и допълнение на Закона за водите предлага необходимите изменения:</w:t>
      </w:r>
    </w:p>
    <w:p w:rsidR="00AF2A3B" w:rsidRPr="00542FD8" w:rsidRDefault="00AF2A3B" w:rsidP="00AF2A3B">
      <w:pPr>
        <w:tabs>
          <w:tab w:val="num" w:pos="0"/>
        </w:tabs>
        <w:spacing w:before="120" w:line="360" w:lineRule="auto"/>
        <w:ind w:right="-288" w:firstLine="708"/>
        <w:jc w:val="both"/>
      </w:pPr>
      <w:r w:rsidRPr="00542FD8">
        <w:t xml:space="preserve">- Във финансовата организация и икономическото регулиране в областта на водите, в т.ч. ефективно въвеждане на принципа „замърсителя плаща“ и въвеждане на такси за всички дейности които могат да въздействат значимо върху водите, определени съгласно Рамковата директива по водите като „водни услуги” и идентифицирани в първите ПУРБ, както и въвеждане на механизъм за определяне на ресурсните разходи и разходите за околна среда, които следва да се вземат предвид при оценката на възстановяването на разходите, които са една от предварителните условия, от които ще зависи предоставянето на европейски средства по всички оперативни програми, финансиращи проекти имащи отношение към водите. </w:t>
      </w:r>
    </w:p>
    <w:p w:rsidR="00AF2A3B" w:rsidRPr="00542FD8" w:rsidRDefault="00AF2A3B" w:rsidP="00AF2A3B">
      <w:pPr>
        <w:tabs>
          <w:tab w:val="num" w:pos="0"/>
        </w:tabs>
        <w:spacing w:before="120" w:line="360" w:lineRule="auto"/>
        <w:ind w:right="-288" w:firstLine="708"/>
        <w:jc w:val="both"/>
      </w:pPr>
      <w:r w:rsidRPr="00542FD8">
        <w:t>- За осигуряване на интегрирането на политиката по водите и политиките в отраслите във водния сектор, определянето на националните приоритети в развитието на отраслите във водния сектор и обезпечаване на изпълнението на програмите от мерки в плановете за управление на речните басейни;</w:t>
      </w:r>
    </w:p>
    <w:p w:rsidR="00AF2A3B" w:rsidRPr="00542FD8" w:rsidRDefault="00AF2A3B" w:rsidP="00AF2A3B">
      <w:pPr>
        <w:tabs>
          <w:tab w:val="num" w:pos="0"/>
        </w:tabs>
        <w:spacing w:before="120" w:line="360" w:lineRule="auto"/>
        <w:ind w:right="-288" w:firstLine="708"/>
        <w:jc w:val="both"/>
      </w:pPr>
      <w:r w:rsidRPr="00542FD8">
        <w:t>- За отстраняване на бележки на ЕК за неправилно или непълно транспониране на директиви в областта на водите – включително:</w:t>
      </w:r>
    </w:p>
    <w:p w:rsidR="00AF2A3B" w:rsidRPr="00542FD8" w:rsidRDefault="00AF2A3B" w:rsidP="00AF2A3B">
      <w:pPr>
        <w:numPr>
          <w:ilvl w:val="0"/>
          <w:numId w:val="1"/>
        </w:numPr>
        <w:spacing w:before="120" w:line="360" w:lineRule="auto"/>
        <w:ind w:right="-288"/>
        <w:jc w:val="both"/>
      </w:pPr>
      <w:r w:rsidRPr="00542FD8">
        <w:t xml:space="preserve">отстраняване на пропуски в транспонирането на Директива 2000/60/ЕО на Европейския парламент и на Съвета за установяване на рамка за действията на Общността в областта на политиката за водите, във връзка с постъпило допълнително официално уведомително писмо от Европейската комисия по открита процедура по нарушение №2009/2256. </w:t>
      </w:r>
    </w:p>
    <w:p w:rsidR="00AF2A3B" w:rsidRPr="00542FD8" w:rsidRDefault="00AF2A3B" w:rsidP="00AF2A3B">
      <w:pPr>
        <w:numPr>
          <w:ilvl w:val="0"/>
          <w:numId w:val="1"/>
        </w:numPr>
        <w:spacing w:before="120" w:line="360" w:lineRule="auto"/>
        <w:ind w:right="-288"/>
        <w:jc w:val="both"/>
      </w:pPr>
      <w:r w:rsidRPr="00542FD8">
        <w:t>Отстраняване на пропуски в транспонирането на Директива 2007/60/ЕО относно оценката и управлението на риска от наводнения в българското законодателство и избягване на процедура за нарушение</w:t>
      </w:r>
    </w:p>
    <w:p w:rsidR="00AF2A3B" w:rsidRPr="00542FD8" w:rsidRDefault="00AF2A3B" w:rsidP="00AF2A3B">
      <w:pPr>
        <w:numPr>
          <w:ilvl w:val="0"/>
          <w:numId w:val="1"/>
        </w:numPr>
        <w:spacing w:before="120" w:line="360" w:lineRule="auto"/>
        <w:ind w:right="-288"/>
        <w:jc w:val="both"/>
      </w:pPr>
      <w:r w:rsidRPr="00542FD8">
        <w:t xml:space="preserve">Отстраняване на пропуски в транспонирането на Директивата за опазване на подземните води от замърсяване и влошаване, по която поради </w:t>
      </w:r>
      <w:r w:rsidRPr="00542FD8">
        <w:lastRenderedPageBreak/>
        <w:t>закъснението в приеменето на измененията ще бъде стартирана процедура по нарушение</w:t>
      </w:r>
    </w:p>
    <w:p w:rsidR="00AF2A3B" w:rsidRPr="00542FD8" w:rsidRDefault="00AF2A3B" w:rsidP="00AF2A3B">
      <w:pPr>
        <w:tabs>
          <w:tab w:val="num" w:pos="0"/>
        </w:tabs>
        <w:spacing w:before="120" w:line="360" w:lineRule="auto"/>
        <w:ind w:right="-288" w:firstLine="708"/>
        <w:jc w:val="both"/>
      </w:pPr>
      <w:r w:rsidRPr="00542FD8">
        <w:t xml:space="preserve">За изпълнение на пропуски и препоръки на Европейската Комисия в оценката на първите ПУРБ и проведената двустранна среща връзка с преодоляване на пропуските в процеса на втория цикъл на планиране (2015-2021), в т.ч. </w:t>
      </w:r>
    </w:p>
    <w:p w:rsidR="00AF2A3B" w:rsidRPr="00542FD8" w:rsidRDefault="00AF2A3B" w:rsidP="00AF2A3B">
      <w:pPr>
        <w:numPr>
          <w:ilvl w:val="0"/>
          <w:numId w:val="2"/>
        </w:numPr>
        <w:spacing w:before="120" w:line="360" w:lineRule="auto"/>
        <w:ind w:right="-288"/>
        <w:jc w:val="both"/>
      </w:pPr>
      <w:r w:rsidRPr="00542FD8">
        <w:t>изискванията за преразглеждане на разрешителните в периода на всеки цикъл на планиране и изменението, ограничаването или прекратяването им, където това е необходимо за постигане на целите за добро състояние на водите и изпълнение на изключенията;</w:t>
      </w:r>
    </w:p>
    <w:p w:rsidR="00AF2A3B" w:rsidRPr="00542FD8" w:rsidRDefault="00AF2A3B" w:rsidP="00AF2A3B">
      <w:pPr>
        <w:numPr>
          <w:ilvl w:val="0"/>
          <w:numId w:val="2"/>
        </w:numPr>
        <w:spacing w:before="120" w:line="360" w:lineRule="auto"/>
        <w:ind w:right="-288"/>
        <w:jc w:val="both"/>
      </w:pPr>
      <w:r w:rsidRPr="00542FD8">
        <w:t>регламентиране на изискванията и процедурата за прилагане на изключения по чл.4(7) от Рамковата директива за водите;</w:t>
      </w:r>
    </w:p>
    <w:p w:rsidR="00AF2A3B" w:rsidRPr="00542FD8" w:rsidRDefault="00AF2A3B" w:rsidP="00AF2A3B">
      <w:pPr>
        <w:numPr>
          <w:ilvl w:val="0"/>
          <w:numId w:val="2"/>
        </w:numPr>
        <w:spacing w:before="120" w:line="360" w:lineRule="auto"/>
        <w:ind w:right="-288"/>
        <w:jc w:val="both"/>
      </w:pPr>
      <w:r w:rsidRPr="00542FD8">
        <w:t>въвеждане на служебна процедура за определяне на санитарно – охранителни зони около водовземните съоръжения за питейно-битово водоснабдяване и осигуряване на списък на зоните за защита във вторите ПУРБ;</w:t>
      </w:r>
    </w:p>
    <w:p w:rsidR="00AF2A3B" w:rsidRPr="00542FD8" w:rsidRDefault="00AF2A3B" w:rsidP="00AF2A3B">
      <w:pPr>
        <w:tabs>
          <w:tab w:val="num" w:pos="0"/>
        </w:tabs>
        <w:spacing w:before="120" w:line="360" w:lineRule="auto"/>
        <w:ind w:right="-288" w:firstLine="708"/>
        <w:jc w:val="both"/>
      </w:pPr>
      <w:r w:rsidRPr="00542FD8">
        <w:t>-За въвеждане на разпоредби, свързани с планиране, разработване и изпълнение на Морската стратегия и на програмите от мерки към нея с цел опазване и подобряване на състоянието на околната среда в морските води.</w:t>
      </w:r>
    </w:p>
    <w:p w:rsidR="00AF2A3B" w:rsidRPr="00542FD8" w:rsidRDefault="00AF2A3B" w:rsidP="00AF2A3B">
      <w:pPr>
        <w:tabs>
          <w:tab w:val="num" w:pos="0"/>
        </w:tabs>
        <w:spacing w:before="120" w:line="360" w:lineRule="auto"/>
        <w:ind w:right="-288" w:firstLine="708"/>
        <w:jc w:val="both"/>
      </w:pPr>
      <w:r w:rsidRPr="00542FD8">
        <w:t>-За намаляване на хидроморфологичните изменения на речните легла чрез ограничаване изземването на наносни отложения, което изземване  е разрешено само при необходимост от поддържане проводимостта на реките и защита от вредното въздействие на водите.</w:t>
      </w:r>
    </w:p>
    <w:p w:rsidR="00AF2A3B" w:rsidRPr="00542FD8" w:rsidRDefault="00AF2A3B" w:rsidP="00AF2A3B">
      <w:pPr>
        <w:tabs>
          <w:tab w:val="num" w:pos="0"/>
        </w:tabs>
        <w:spacing w:before="120" w:line="360" w:lineRule="auto"/>
        <w:ind w:right="-288" w:firstLine="708"/>
        <w:jc w:val="both"/>
      </w:pPr>
      <w:r w:rsidRPr="00542FD8">
        <w:t xml:space="preserve"> -За отмяна на наредбите по чл. 135, ал. 1, т. 10, 12, 18, 20 и 21 към закона поради осъвременяване на нормативната база с европейското законодателство и по-доброто му прилагане. Необходимостта от отмяна на наредба по чл. 135, ал. 1 т. 10 произтича от Наредбата по чл. 135, ал.1, т.</w:t>
      </w:r>
      <w:r w:rsidRPr="00542FD8">
        <w:rPr>
          <w:lang w:val="en-US"/>
        </w:rPr>
        <w:t xml:space="preserve">9 </w:t>
      </w:r>
      <w:r w:rsidRPr="00542FD8">
        <w:t xml:space="preserve">от Закона за водите </w:t>
      </w:r>
      <w:r w:rsidRPr="00542FD8">
        <w:rPr>
          <w:lang w:val="en-US"/>
        </w:rPr>
        <w:t>(</w:t>
      </w:r>
      <w:r w:rsidRPr="00542FD8">
        <w:t>Наредба № Н-4/14.09.2012 г. за характеризиране на повърхностните води (обн., ДВ, бр. 22 от 5.03.2013 г., в сила от 5.03.2013 г.)</w:t>
      </w:r>
      <w:r w:rsidRPr="00542FD8">
        <w:rPr>
          <w:lang w:val="en-US"/>
        </w:rPr>
        <w:t>)</w:t>
      </w:r>
      <w:r w:rsidRPr="00542FD8">
        <w:t xml:space="preserve">, с която се въвеждат класификационната система за екологично състояние и стандартите за качество за повърхностните води (вкл. морските води), поради което от наредбата за качеството на крайбрежните морски води следва да отпаднат съответните текстове и приложения определящи качеството на крайбрежните морски води, което е нейният основен предмет. След извършен преглед на текстовете на действащата Наредба е </w:t>
      </w:r>
      <w:r w:rsidRPr="00542FD8">
        <w:lastRenderedPageBreak/>
        <w:t>констатирано наличието на разпоредби, които имат отношение към мерките за опазване на крайбрежните морски води, предвид което последните ще бъдат взети предвид при изменението на Наредбата по чл. 135. ал. 1, т. 13. Наредбата по чл. 135, ал. 1, т. 12 е издадена във връзка със синхронизиране на българското законодателство по води с Директива 76/464/ЕИО относно замърсяване причинено от определени опасни вещества, изпуснати във водната околна среда както и с Директива</w:t>
      </w:r>
      <w:r w:rsidRPr="00542FD8">
        <w:rPr>
          <w:lang w:val="ru-RU"/>
        </w:rPr>
        <w:t xml:space="preserve"> </w:t>
      </w:r>
      <w:r w:rsidRPr="00542FD8">
        <w:t xml:space="preserve">91/271/ЕИО относно пречистване на отпадъчните води от населените места. В наредбата и по-конкретно в Глава втора се съдържат някои от изискванията на директивата, свързани с определянето на емисионни норми за допустимото съдържание на някои опасни вещества в отпадъчните води от промишлени предприятия, зауствани във водни обекти. В приложение 2 към Глава втора от наредбата са определени </w:t>
      </w:r>
      <w:r w:rsidRPr="00542FD8">
        <w:rPr>
          <w:lang w:val="ru-RU"/>
        </w:rPr>
        <w:t>норми за допустими емисии на някои опасни вещества във водите</w:t>
      </w:r>
      <w:r w:rsidRPr="00542FD8">
        <w:t>, които са взети от директиви, дъщерни на Директива 76/464/ЕИО (</w:t>
      </w:r>
      <w:r w:rsidRPr="00542FD8">
        <w:rPr>
          <w:b/>
          <w:lang w:val="ru-RU"/>
        </w:rPr>
        <w:t>Директива 82/176/ЕИО</w:t>
      </w:r>
      <w:r w:rsidRPr="00542FD8">
        <w:rPr>
          <w:lang w:val="ru-RU"/>
        </w:rPr>
        <w:t xml:space="preserve"> относно ПДС /пределно допустимите стойности/ и целевите показатели за качество за зауствания на живак от отрасъла на хлор – алкална електролиза;</w:t>
      </w:r>
      <w:r w:rsidRPr="00542FD8">
        <w:t xml:space="preserve"> </w:t>
      </w:r>
      <w:r w:rsidRPr="00542FD8">
        <w:rPr>
          <w:b/>
          <w:lang w:val="ru-RU"/>
        </w:rPr>
        <w:t>Директива 83/513/ЕИО</w:t>
      </w:r>
      <w:r w:rsidRPr="00542FD8">
        <w:rPr>
          <w:lang w:val="ru-RU"/>
        </w:rPr>
        <w:t xml:space="preserve"> относно ПДС и целевите показатели за качество за заустванията на кадмий;</w:t>
      </w:r>
      <w:r w:rsidRPr="00542FD8">
        <w:t xml:space="preserve"> </w:t>
      </w:r>
      <w:r w:rsidRPr="00542FD8">
        <w:rPr>
          <w:b/>
          <w:lang w:val="ru-RU"/>
        </w:rPr>
        <w:t>Директива 84/156/ЕИО</w:t>
      </w:r>
      <w:r w:rsidRPr="00542FD8">
        <w:rPr>
          <w:lang w:val="ru-RU"/>
        </w:rPr>
        <w:t xml:space="preserve"> относно граничните стойности и целевите показатели за качество за зауствания на живак от други промишлени сектори;</w:t>
      </w:r>
      <w:r w:rsidRPr="00542FD8">
        <w:t xml:space="preserve"> </w:t>
      </w:r>
      <w:r w:rsidRPr="00542FD8">
        <w:rPr>
          <w:b/>
          <w:lang w:val="ru-RU"/>
        </w:rPr>
        <w:t>Директива 84/491/ЕИО</w:t>
      </w:r>
      <w:r w:rsidRPr="00542FD8">
        <w:rPr>
          <w:lang w:val="ru-RU"/>
        </w:rPr>
        <w:t xml:space="preserve"> относно ПДС и целевите показатели за качество за заустванията на хексахлорциклохексан; </w:t>
      </w:r>
      <w:r w:rsidRPr="00542FD8">
        <w:rPr>
          <w:b/>
          <w:lang w:val="ru-RU"/>
        </w:rPr>
        <w:t>Директива 86/280/ЕИО</w:t>
      </w:r>
      <w:r w:rsidRPr="00542FD8">
        <w:rPr>
          <w:lang w:val="ru-RU"/>
        </w:rPr>
        <w:t xml:space="preserve"> относно граничните стойности и целевите показатели за качество за заустванията на ДДТ , тетрахлорметан и пентахлорфенол;</w:t>
      </w:r>
      <w:r w:rsidRPr="00542FD8">
        <w:t xml:space="preserve"> Съгласно чл. 12, ал.1 от Директива 2008/105/ЕО за определяне на стандарти за качество на околната среда за приоритетни вещества, считано от 22.12.2012 г. посочените по-горе директиви се отменят. В тази връзка в запитване чрез EU Pilot 4213/12/ENVI Европейската комисия счита, че чл. 11 и чл. 12(1) от Директивата касаещи изменението и отмяната на Директиви 82/176/ЕИО, 83/513/ЕИО, 84/156/ЕИО и 84/491/ЕИО не са транспонирани в националното законодателство, тъй като нито в самата Наредба, нито в Закона за водите има разпоредба за отмяна на Наредба № 6/9.11.2000 за емисионни норми за допустимото съдържание на вредни и опасни вещества в отпадъчните води, зауствани във водни обекти, която е приета в изпълнение на тези вече отменени Директиви. Този пропуск ще бъде отстранен с отмяната на Наредба № 6/9.11.2000 в Закона за водите. Тъй като разпоредбите на Глава трета, Глава четвърта и чл. 19-20 от Глава пета и Приложения № 3, № 4 и № 5 от Наредбата по чл. 135, ал.1, т.</w:t>
      </w:r>
      <w:r w:rsidRPr="00542FD8">
        <w:rPr>
          <w:lang w:val="en-US"/>
        </w:rPr>
        <w:t>12</w:t>
      </w:r>
      <w:r w:rsidRPr="00542FD8">
        <w:t xml:space="preserve"> от Закона за водите </w:t>
      </w:r>
      <w:r w:rsidRPr="00542FD8">
        <w:rPr>
          <w:lang w:val="en-US"/>
        </w:rPr>
        <w:t>(</w:t>
      </w:r>
      <w:r w:rsidRPr="00542FD8">
        <w:t>Наредба № 6/9.11.2000г.</w:t>
      </w:r>
      <w:r w:rsidRPr="00542FD8">
        <w:rPr>
          <w:lang w:val="en-US"/>
        </w:rPr>
        <w:t>)</w:t>
      </w:r>
      <w:r w:rsidRPr="00542FD8">
        <w:t xml:space="preserve"> все още се прилагат от басейновите дирекции при издаване на разрешителни за заустване се предвижда същите да продължат да действат до привеждане в съответствие с </w:t>
      </w:r>
      <w:r w:rsidRPr="00542FD8">
        <w:lastRenderedPageBreak/>
        <w:t xml:space="preserve">изискванията на закона на Наредбата по чл. 135, ал1, т.12 </w:t>
      </w:r>
      <w:r w:rsidRPr="00542FD8">
        <w:rPr>
          <w:lang w:val="en-US"/>
        </w:rPr>
        <w:t>(</w:t>
      </w:r>
      <w:r w:rsidRPr="00542FD8">
        <w:t xml:space="preserve">Наредба № 2 от 8 юни </w:t>
      </w:r>
      <w:smartTag w:uri="urn:schemas-microsoft-com:office:smarttags" w:element="metricconverter">
        <w:smartTagPr>
          <w:attr w:name="ProductID" w:val="2011 г"/>
        </w:smartTagPr>
        <w:r w:rsidRPr="00542FD8">
          <w:t>2011 г</w:t>
        </w:r>
      </w:smartTag>
      <w:r w:rsidRPr="00542FD8">
        <w:t>. за издаване на разрешителни за заустване на отпадъчни води</w:t>
      </w:r>
      <w:r w:rsidRPr="00542FD8">
        <w:rPr>
          <w:lang w:val="en-US"/>
        </w:rPr>
        <w:t>)</w:t>
      </w:r>
      <w:r w:rsidRPr="00542FD8">
        <w:t>, където посочената материя ще бъде уредена.Изискванията на наредбите по чл.135, ал.1, т.18 и т.20 са включени в наредбата по чл.135, ал.1, т.9., а тези на наредбата по чл. 135. ал. 1, т. 21 са включени в обхвата на наредбата по чл. 135, ал. 1, т. 14.</w:t>
      </w:r>
    </w:p>
    <w:p w:rsidR="00AF2A3B" w:rsidRPr="00542FD8" w:rsidRDefault="00AF2A3B" w:rsidP="00AF2A3B">
      <w:pPr>
        <w:tabs>
          <w:tab w:val="num" w:pos="0"/>
        </w:tabs>
        <w:spacing w:before="120" w:line="360" w:lineRule="auto"/>
        <w:ind w:right="-288" w:firstLine="708"/>
        <w:jc w:val="both"/>
      </w:pPr>
      <w:r w:rsidRPr="00542FD8">
        <w:t>-</w:t>
      </w:r>
      <w:r w:rsidRPr="00542FD8">
        <w:rPr>
          <w:lang w:val="en-US"/>
        </w:rPr>
        <w:t xml:space="preserve"> </w:t>
      </w:r>
      <w:r w:rsidRPr="00542FD8">
        <w:t>За въвеждане на забрана за заустване на отпадъчни води в някои от зоните за защита на водите (водните тела и санитарно-охранителните зони около води предназначени за питейно-битово водоснабдяване и минерални води и зони с води за къпане), в комплексни и значими язовири, в напоителни и отводнителни канали и в сухи дерета като национална мярка за опазване и подобряване на състоянието на повърхностните и подземните води.</w:t>
      </w:r>
    </w:p>
    <w:p w:rsidR="00AF2A3B" w:rsidRPr="00542FD8" w:rsidRDefault="00AF2A3B" w:rsidP="00AF2A3B">
      <w:pPr>
        <w:spacing w:before="120" w:line="360" w:lineRule="auto"/>
        <w:ind w:right="-288"/>
        <w:jc w:val="both"/>
      </w:pPr>
      <w:r w:rsidRPr="00542FD8">
        <w:rPr>
          <w:lang w:val="en-US"/>
        </w:rPr>
        <w:t xml:space="preserve">         - </w:t>
      </w:r>
      <w:r w:rsidRPr="00542FD8">
        <w:t xml:space="preserve">Отстраняване на несъответствия, свързани със събиране на таксите, включително и принудително събиране и постъпленията в ПУДООС. </w:t>
      </w:r>
    </w:p>
    <w:p w:rsidR="00AF2A3B" w:rsidRPr="00542FD8" w:rsidRDefault="00AF2A3B" w:rsidP="00AF2A3B">
      <w:pPr>
        <w:tabs>
          <w:tab w:val="num" w:pos="0"/>
        </w:tabs>
        <w:spacing w:before="120" w:line="360" w:lineRule="auto"/>
        <w:ind w:right="-288" w:firstLine="708"/>
        <w:jc w:val="both"/>
      </w:pPr>
      <w:r w:rsidRPr="00542FD8">
        <w:t xml:space="preserve">         - създаване на единен национален орган за контрол по изпълнение на задълженията на собствениците за поддържане на язовирните стени и съоръженията към тях в изправно техническото състояние</w:t>
      </w:r>
    </w:p>
    <w:p w:rsidR="00AF2A3B" w:rsidRPr="00542FD8" w:rsidRDefault="00AF2A3B" w:rsidP="00AF2A3B">
      <w:pPr>
        <w:tabs>
          <w:tab w:val="num" w:pos="0"/>
        </w:tabs>
        <w:spacing w:before="120" w:line="360" w:lineRule="auto"/>
        <w:ind w:right="-288" w:firstLine="708"/>
        <w:jc w:val="both"/>
      </w:pPr>
      <w:r w:rsidRPr="00542FD8">
        <w:t xml:space="preserve">Обществената значимост на въпросите, свързани с контрола на техническото състояние на хидротехническите съоръжения на територията на страната налага определяне на единен подход за тяхното решаване и координация в действията на органите, имащи нормативно определени правомощия на регионално ниво. </w:t>
      </w:r>
    </w:p>
    <w:p w:rsidR="00AF2A3B" w:rsidRDefault="00AF2A3B" w:rsidP="00AF2A3B">
      <w:pPr>
        <w:tabs>
          <w:tab w:val="num" w:pos="0"/>
        </w:tabs>
        <w:spacing w:before="120" w:line="360" w:lineRule="auto"/>
        <w:ind w:right="-288" w:firstLine="708"/>
        <w:jc w:val="both"/>
        <w:rPr>
          <w:lang w:val="en-US"/>
        </w:rPr>
      </w:pPr>
      <w:r w:rsidRPr="00542FD8">
        <w:t>Контролът по изпълнение на мерките за поддържане на язовирните стени и съоръженията към тях в изправно техническото състояние, осигуряване на безопасната им експлоатация и изпълнение на дейности по извеждането им от експлоатация до възстановяване на технологичната и конструктивната сигурност или по премахването им да се осъществява от Дирекцията за национален строителен контрол (ДНСК).</w:t>
      </w:r>
    </w:p>
    <w:p w:rsidR="00FF1A48" w:rsidRDefault="00FF1A48" w:rsidP="00AF2A3B">
      <w:pPr>
        <w:tabs>
          <w:tab w:val="num" w:pos="0"/>
        </w:tabs>
        <w:spacing w:before="120" w:line="360" w:lineRule="auto"/>
        <w:ind w:right="-288" w:firstLine="708"/>
        <w:jc w:val="both"/>
        <w:rPr>
          <w:lang w:val="en-US"/>
        </w:rPr>
      </w:pPr>
      <w:r>
        <w:t>ДНСК упражнява контрол за законосъобразността на изпълнението и ползването на строежите от първа до трета категория, както и на действията на общинските администрации за спазване на разпоредбите по устройство на територията за всички категории строежи</w:t>
      </w:r>
      <w:r>
        <w:rPr>
          <w:rFonts w:ascii="Verdana" w:hAnsi="Verdana"/>
        </w:rPr>
        <w:t>.</w:t>
      </w:r>
      <w:r>
        <w:t xml:space="preserve"> Дирекцията за национален строителен контрол е структурирана в обща и специализирана администрация и има 6 регионални дирекции за </w:t>
      </w:r>
    </w:p>
    <w:p w:rsidR="00FF1A48" w:rsidRDefault="00FF1A48" w:rsidP="00AF2A3B">
      <w:pPr>
        <w:tabs>
          <w:tab w:val="num" w:pos="0"/>
        </w:tabs>
        <w:spacing w:before="120" w:line="360" w:lineRule="auto"/>
        <w:ind w:right="-288" w:firstLine="708"/>
        <w:jc w:val="both"/>
        <w:rPr>
          <w:lang w:val="en-US"/>
        </w:rPr>
      </w:pPr>
    </w:p>
    <w:p w:rsidR="00FF1A48" w:rsidRPr="00FF1A48" w:rsidRDefault="00FF1A48" w:rsidP="00AF2A3B">
      <w:pPr>
        <w:tabs>
          <w:tab w:val="num" w:pos="0"/>
        </w:tabs>
        <w:spacing w:before="120" w:line="360" w:lineRule="auto"/>
        <w:ind w:right="-288" w:firstLine="708"/>
        <w:jc w:val="both"/>
        <w:rPr>
          <w:lang w:val="en-US"/>
        </w:rPr>
      </w:pPr>
      <w:r>
        <w:lastRenderedPageBreak/>
        <w:t>национален строителен контрол с 28 регионални отдела "Национален строителен контрол" към тях.</w:t>
      </w:r>
    </w:p>
    <w:p w:rsidR="00AF2A3B" w:rsidRPr="00542FD8" w:rsidRDefault="00AF2A3B" w:rsidP="00AF2A3B">
      <w:pPr>
        <w:tabs>
          <w:tab w:val="num" w:pos="0"/>
        </w:tabs>
        <w:spacing w:before="120" w:line="360" w:lineRule="auto"/>
        <w:ind w:right="-288" w:firstLine="708"/>
        <w:jc w:val="both"/>
      </w:pPr>
      <w:r w:rsidRPr="00542FD8">
        <w:t>Условията и редът за осъществяване на техническата и безопасна експлоатация на язовирните стени и съоръженията към тях и за осъществяване на контрол за техническото им състояние да се определят с наредба на Министерския съвет по предложение на началника на Дирекция за национален строителен контрол.</w:t>
      </w:r>
    </w:p>
    <w:p w:rsidR="00AF2A3B" w:rsidRPr="00542FD8" w:rsidRDefault="00AF2A3B" w:rsidP="00AF2A3B">
      <w:pPr>
        <w:tabs>
          <w:tab w:val="num" w:pos="0"/>
        </w:tabs>
        <w:spacing w:before="120" w:line="360" w:lineRule="auto"/>
        <w:ind w:right="-288" w:firstLine="708"/>
        <w:jc w:val="both"/>
      </w:pPr>
      <w:r w:rsidRPr="00542FD8">
        <w:t>В законопроекта ясно са дефинирани задълженията на собствениците на язовири. Предвижда се дейностите по поддържане на язовирните стени и съоръженията към тях в изправно техническо състояние, в съответствие с нормативната уредба, да се извършва от оператор на язовирна стена – лице с необходимата квалификация, което да осъществява техническата експлоатация на язовирната стена и съоръженията към нея, възложена му от собственика.</w:t>
      </w:r>
    </w:p>
    <w:p w:rsidR="00AF2A3B" w:rsidRPr="00542FD8" w:rsidRDefault="00AF2A3B" w:rsidP="00AF2A3B">
      <w:pPr>
        <w:tabs>
          <w:tab w:val="num" w:pos="0"/>
        </w:tabs>
        <w:spacing w:before="120" w:line="360" w:lineRule="auto"/>
        <w:ind w:right="-288" w:firstLine="708"/>
        <w:jc w:val="both"/>
      </w:pPr>
      <w:r w:rsidRPr="00542FD8">
        <w:t>Ако собственикът на язовирната стена и с</w:t>
      </w:r>
      <w:r w:rsidR="00773F40">
        <w:t>ъоръженията към нея не отговаря</w:t>
      </w:r>
      <w:r w:rsidRPr="00542FD8">
        <w:t xml:space="preserve"> на изискванията за оператор по смисъла на закона, </w:t>
      </w:r>
      <w:r w:rsidR="00773F40">
        <w:t xml:space="preserve">той </w:t>
      </w:r>
      <w:r w:rsidRPr="00542FD8">
        <w:t>има задължение да възложи дейността по осъществяването на техническата експлоатация на язовирната стена и съоръженията към нея на лице, което отговаря на</w:t>
      </w:r>
      <w:r w:rsidR="00773F40">
        <w:t xml:space="preserve"> тези изисквания</w:t>
      </w:r>
      <w:r w:rsidRPr="00542FD8">
        <w:t>.</w:t>
      </w:r>
    </w:p>
    <w:p w:rsidR="00AF2A3B" w:rsidRPr="00542FD8" w:rsidRDefault="00AF2A3B" w:rsidP="00AF2A3B">
      <w:pPr>
        <w:tabs>
          <w:tab w:val="num" w:pos="0"/>
        </w:tabs>
        <w:spacing w:before="120" w:line="360" w:lineRule="auto"/>
        <w:ind w:right="-288" w:firstLine="708"/>
        <w:jc w:val="both"/>
      </w:pPr>
      <w:r w:rsidRPr="00542FD8">
        <w:t xml:space="preserve">В Законопроекта са разписани състава и задълженията на комисии, които се назначават със </w:t>
      </w:r>
      <w:r w:rsidR="00773F40">
        <w:t>з</w:t>
      </w:r>
      <w:r w:rsidRPr="00542FD8">
        <w:t>аповед на областните управители. Тези комисии имат задължение ежегодно да обследват техническото и експлоатационно състояние на язовирните стени и съоръженията към тях,  да предписват изпълнението на конкретни мерки в определен срок с цел осигуряване на техническата им изправност и безопасната им експлоатация, да съставят протокол за направените констатации и предписания и да предоставят информацията на ДНСК.</w:t>
      </w:r>
    </w:p>
    <w:p w:rsidR="00AF2A3B" w:rsidRPr="00542FD8" w:rsidRDefault="00AF2A3B" w:rsidP="00AF2A3B">
      <w:pPr>
        <w:tabs>
          <w:tab w:val="num" w:pos="0"/>
        </w:tabs>
        <w:spacing w:before="120" w:line="360" w:lineRule="auto"/>
        <w:ind w:right="-288" w:firstLine="708"/>
        <w:jc w:val="both"/>
        <w:rPr>
          <w:lang w:val="en-US"/>
        </w:rPr>
      </w:pPr>
      <w:r w:rsidRPr="00542FD8">
        <w:t>Националният орган за контрол контролира изпълнението на предписанията на областните комисии, мерките за осигуряване на изправно техническо състояние на язовирните стени и съоръженията към тях и на безопасната им експлоатация и изпълнението на дейности по извеждане от експлоатация на язовирни стени.</w:t>
      </w:r>
    </w:p>
    <w:p w:rsidR="00AF2A3B" w:rsidRPr="00542FD8" w:rsidRDefault="00AF2A3B" w:rsidP="00A474D9">
      <w:pPr>
        <w:spacing w:before="120" w:line="360" w:lineRule="auto"/>
        <w:ind w:left="2832" w:firstLine="708"/>
        <w:jc w:val="both"/>
      </w:pPr>
      <w:bookmarkStart w:id="0" w:name="_Toc257726063"/>
      <w:r w:rsidRPr="00542FD8">
        <w:t>МИНИСТЪР-ПРЕДСЕДАТЕЛ:</w:t>
      </w:r>
    </w:p>
    <w:p w:rsidR="00AF2A3B" w:rsidRPr="00542FD8" w:rsidRDefault="00AF2A3B" w:rsidP="00AF2A3B">
      <w:pPr>
        <w:spacing w:before="120" w:line="360" w:lineRule="auto"/>
        <w:ind w:firstLine="5245"/>
        <w:jc w:val="both"/>
        <w:rPr>
          <w:lang w:val="en-US"/>
        </w:rPr>
      </w:pPr>
      <w:r w:rsidRPr="00542FD8">
        <w:t>(Пламен Орешарски)</w:t>
      </w:r>
      <w:bookmarkEnd w:id="0"/>
    </w:p>
    <w:p w:rsidR="00AF2A3B" w:rsidRDefault="00AF2A3B" w:rsidP="00AF2A3B">
      <w:pPr>
        <w:spacing w:line="360" w:lineRule="auto"/>
      </w:pPr>
    </w:p>
    <w:p w:rsidR="00825B71" w:rsidRDefault="00825B71" w:rsidP="00AF2A3B">
      <w:pPr>
        <w:spacing w:line="360" w:lineRule="auto"/>
      </w:pPr>
    </w:p>
    <w:p w:rsidR="00825B71" w:rsidRPr="00542FD8" w:rsidRDefault="00825B71" w:rsidP="00AF2A3B">
      <w:pPr>
        <w:spacing w:line="360" w:lineRule="auto"/>
      </w:pPr>
    </w:p>
    <w:p w:rsidR="00C80D68" w:rsidRDefault="00C80D68">
      <w:bookmarkStart w:id="1" w:name="_GoBack"/>
      <w:bookmarkEnd w:id="1"/>
    </w:p>
    <w:sectPr w:rsidR="00C80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375F"/>
    <w:multiLevelType w:val="hybridMultilevel"/>
    <w:tmpl w:val="E5963A38"/>
    <w:lvl w:ilvl="0" w:tplc="04020001">
      <w:start w:val="1"/>
      <w:numFmt w:val="bullet"/>
      <w:lvlText w:val=""/>
      <w:lvlJc w:val="left"/>
      <w:pPr>
        <w:ind w:left="1428"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4596497A"/>
    <w:multiLevelType w:val="hybridMultilevel"/>
    <w:tmpl w:val="BBA2ADEE"/>
    <w:lvl w:ilvl="0" w:tplc="04020001">
      <w:start w:val="1"/>
      <w:numFmt w:val="bullet"/>
      <w:lvlText w:val=""/>
      <w:lvlJc w:val="left"/>
      <w:pPr>
        <w:ind w:left="1485"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AD"/>
    <w:rsid w:val="001E56F2"/>
    <w:rsid w:val="00542FD8"/>
    <w:rsid w:val="00773F40"/>
    <w:rsid w:val="00825B71"/>
    <w:rsid w:val="008260AD"/>
    <w:rsid w:val="00A474D9"/>
    <w:rsid w:val="00AF2A3B"/>
    <w:rsid w:val="00C80D68"/>
    <w:rsid w:val="00CC715F"/>
    <w:rsid w:val="00FF1A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3B"/>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F2A3B"/>
    <w:pPr>
      <w:ind w:firstLine="120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3B"/>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F2A3B"/>
    <w:pPr>
      <w:ind w:firstLine="12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2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CF88-EB52-41E2-9C17-0B8F6EFC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2014-07-14T14:04:00Z</cp:lastPrinted>
  <dcterms:created xsi:type="dcterms:W3CDTF">2014-07-10T09:27:00Z</dcterms:created>
  <dcterms:modified xsi:type="dcterms:W3CDTF">2014-07-15T07:45:00Z</dcterms:modified>
</cp:coreProperties>
</file>