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B9" w:rsidRPr="00233A67" w:rsidRDefault="00894E37" w:rsidP="00146436">
      <w:pPr>
        <w:pStyle w:val="Heading1"/>
        <w:shd w:val="clear" w:color="auto" w:fill="8DB3E2" w:themeFill="text2" w:themeFillTint="66"/>
        <w:spacing w:before="0" w:after="120"/>
        <w:rPr>
          <w:rFonts w:ascii="Times New Roman" w:hAnsi="Times New Roman" w:cs="Times New Roman"/>
          <w:lang w:val="bg-BG"/>
        </w:rPr>
      </w:pPr>
      <w:r w:rsidRPr="00233A67">
        <w:rPr>
          <w:rFonts w:ascii="Times New Roman" w:hAnsi="Times New Roman" w:cs="Times New Roman"/>
          <w:lang w:val="bg-BG"/>
        </w:rPr>
        <w:t>7.</w:t>
      </w:r>
      <w:r w:rsidR="00B260CA" w:rsidRPr="00233A67">
        <w:rPr>
          <w:rFonts w:ascii="Times New Roman" w:hAnsi="Times New Roman" w:cs="Times New Roman"/>
          <w:lang w:val="bg-BG"/>
        </w:rPr>
        <w:t xml:space="preserve"> </w:t>
      </w:r>
      <w:r w:rsidR="002F32B2" w:rsidRPr="00233A67">
        <w:rPr>
          <w:rFonts w:ascii="Times New Roman" w:hAnsi="Times New Roman" w:cs="Times New Roman"/>
          <w:lang w:val="bg-BG"/>
        </w:rPr>
        <w:t>Оценка на развитието спрямо ситуацията в предходния ПУРБ</w:t>
      </w:r>
    </w:p>
    <w:p w:rsidR="00E772AB" w:rsidRPr="008179A6" w:rsidRDefault="00E772AB" w:rsidP="0014643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E772AB" w:rsidRPr="008179A6" w:rsidRDefault="00E772AB" w:rsidP="0014643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Какво е развитието </w:t>
      </w:r>
      <w:r w:rsidRPr="008179A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спрямо ситуацията в предходния ПУРБ</w:t>
      </w:r>
      <w:r w:rsidRPr="0081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0D0" w:rsidRPr="008179A6" w:rsidRDefault="00E772AB" w:rsidP="0014643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Доколко  </w:t>
      </w:r>
      <w:r w:rsidR="00CC4E50">
        <w:rPr>
          <w:rFonts w:ascii="Times New Roman" w:hAnsi="Times New Roman" w:cs="Times New Roman"/>
          <w:sz w:val="24"/>
          <w:szCs w:val="24"/>
        </w:rPr>
        <w:t xml:space="preserve">са </w:t>
      </w:r>
      <w:r w:rsidRPr="008179A6">
        <w:rPr>
          <w:rFonts w:ascii="Times New Roman" w:hAnsi="Times New Roman" w:cs="Times New Roman"/>
          <w:sz w:val="24"/>
          <w:szCs w:val="24"/>
        </w:rPr>
        <w:t>се „сбъднали“ направените в предишните ПУРБ прогнози за периода 2008-2012 г. и какви са причините, довели до високо или ниско ниво на точност на прогнозата.</w:t>
      </w:r>
    </w:p>
    <w:p w:rsidR="00E772AB" w:rsidRPr="008179A6" w:rsidRDefault="00E772AB" w:rsidP="00146436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894E37" w:rsidRPr="008B41E8" w:rsidRDefault="002B2CA0" w:rsidP="0014643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Оценка на развитието по отношение на з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>начими</w:t>
      </w: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те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водоползватели </w:t>
      </w:r>
    </w:p>
    <w:p w:rsidR="005455AB" w:rsidRDefault="00256652" w:rsidP="006326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Значимите и особено значимите водоползватели в ИБРБУВ за двата периода </w:t>
      </w:r>
      <w:r w:rsidR="0063269C">
        <w:rPr>
          <w:rFonts w:ascii="Times New Roman" w:hAnsi="Times New Roman" w:cs="Times New Roman"/>
          <w:sz w:val="24"/>
          <w:szCs w:val="24"/>
        </w:rPr>
        <w:t xml:space="preserve">са представени в следващата таблица. </w:t>
      </w:r>
    </w:p>
    <w:tbl>
      <w:tblPr>
        <w:tblW w:w="9239" w:type="dxa"/>
        <w:jc w:val="center"/>
        <w:tblInd w:w="3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896"/>
        <w:gridCol w:w="896"/>
        <w:gridCol w:w="896"/>
        <w:gridCol w:w="897"/>
        <w:gridCol w:w="896"/>
        <w:gridCol w:w="896"/>
        <w:gridCol w:w="896"/>
        <w:gridCol w:w="897"/>
      </w:tblGrid>
      <w:tr w:rsidR="004C6C17" w:rsidRPr="00AD1A5D" w:rsidTr="004C6C17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000000" w:fill="FFFFFF"/>
            <w:vAlign w:val="center"/>
            <w:hideMark/>
          </w:tcPr>
          <w:p w:rsidR="004C6C17" w:rsidRPr="00AD1A5D" w:rsidRDefault="004C6C17" w:rsidP="0034335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Район, </w:t>
            </w:r>
            <w:r w:rsidR="00343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4C6C17" w:rsidRPr="00AD1A5D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4C6C17" w:rsidRPr="00AD1A5D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4C6C17" w:rsidRPr="00AD1A5D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bottom"/>
            <w:hideMark/>
          </w:tcPr>
          <w:p w:rsidR="004C6C17" w:rsidRPr="00AD1A5D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</w:tr>
      <w:tr w:rsidR="004C6C17" w:rsidRPr="00AD1A5D" w:rsidTr="0085062A">
        <w:trPr>
          <w:trHeight w:val="510"/>
          <w:jc w:val="center"/>
        </w:trPr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4C6C17" w:rsidRPr="00AD1A5D" w:rsidRDefault="004C6C17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C17" w:rsidRPr="002F1BDA" w:rsidRDefault="004C6C17" w:rsidP="002F1BDA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C17" w:rsidRPr="002F1BDA" w:rsidRDefault="004C6C17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</w:tr>
      <w:tr w:rsidR="002F1BDA" w:rsidRPr="00AD1A5D" w:rsidTr="00256652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2F1BDA" w:rsidRPr="00AD1A5D" w:rsidRDefault="002F1BDA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977755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A41442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DA" w:rsidRPr="002F1BDA" w:rsidRDefault="00977755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2F1BDA" w:rsidRPr="002F1BDA" w:rsidRDefault="00977755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  <w:r w:rsidR="002F1BDA"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F1BDA" w:rsidRPr="00AD1A5D" w:rsidTr="00256652">
        <w:trPr>
          <w:trHeight w:val="218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  <w:hideMark/>
          </w:tcPr>
          <w:p w:rsidR="002F1BDA" w:rsidRPr="00AD1A5D" w:rsidRDefault="002F1BDA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A41442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2292A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F1BDA" w:rsidRPr="00AD1A5D" w:rsidTr="00256652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  <w:hideMark/>
          </w:tcPr>
          <w:p w:rsidR="002F1BDA" w:rsidRPr="00AD1A5D" w:rsidRDefault="002F1BDA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2F1BDA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92D050"/>
            <w:vAlign w:val="bottom"/>
          </w:tcPr>
          <w:p w:rsidR="002F1BDA" w:rsidRPr="002F1BDA" w:rsidRDefault="002F1BDA" w:rsidP="00A41442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2292A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E80DA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256652" w:rsidRPr="00AD1A5D" w:rsidTr="00256652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  <w:hideMark/>
          </w:tcPr>
          <w:p w:rsidR="00256652" w:rsidRPr="00AD1A5D" w:rsidRDefault="00256652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р.Атери</w:t>
            </w:r>
            <w:r w:rsidRPr="00AD1A5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нска)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2292A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E80DA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256652" w:rsidRPr="00AD1A5D" w:rsidTr="00256652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  <w:hideMark/>
          </w:tcPr>
          <w:p w:rsidR="00256652" w:rsidRPr="00AD1A5D" w:rsidRDefault="00256652" w:rsidP="004A181D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4A181D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E80DA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F1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</w:tbl>
    <w:p w:rsidR="00256652" w:rsidRPr="00252D53" w:rsidRDefault="00303CF9" w:rsidP="00303CF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 две промени са регистрирани през 2008-2013 спрямо 2003-2007 г. Първо, в ИБРБУВ домакинствата губят своя статут на значим водоползвател и второ, с</w:t>
      </w:r>
      <w:r w:rsidR="00256652" w:rsidRPr="00252D53">
        <w:rPr>
          <w:rFonts w:ascii="Times New Roman" w:hAnsi="Times New Roman"/>
          <w:sz w:val="24"/>
          <w:szCs w:val="24"/>
        </w:rPr>
        <w:t xml:space="preserve">елското стопанство </w:t>
      </w:r>
      <w:r>
        <w:rPr>
          <w:rFonts w:ascii="Times New Roman" w:hAnsi="Times New Roman"/>
          <w:sz w:val="24"/>
          <w:szCs w:val="24"/>
        </w:rPr>
        <w:t xml:space="preserve">се превръща от значим в особено значим водоползвател в </w:t>
      </w:r>
      <w:r w:rsidR="001D052A">
        <w:rPr>
          <w:rFonts w:ascii="Times New Roman" w:hAnsi="Times New Roman"/>
          <w:sz w:val="24"/>
          <w:szCs w:val="24"/>
        </w:rPr>
        <w:t xml:space="preserve">РБ </w:t>
      </w:r>
      <w:r>
        <w:rPr>
          <w:rFonts w:ascii="Times New Roman" w:hAnsi="Times New Roman"/>
          <w:sz w:val="24"/>
          <w:szCs w:val="24"/>
        </w:rPr>
        <w:t>на р. Тунджа в резултат на увеличението на използваната вода в</w:t>
      </w:r>
      <w:r w:rsidR="00256652" w:rsidRPr="00252D53">
        <w:rPr>
          <w:rFonts w:ascii="Times New Roman" w:hAnsi="Times New Roman"/>
          <w:sz w:val="24"/>
          <w:szCs w:val="24"/>
        </w:rPr>
        <w:t xml:space="preserve"> животновъдството. </w:t>
      </w:r>
    </w:p>
    <w:p w:rsidR="00256652" w:rsidRDefault="00256652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BDA" w:rsidRPr="002F1BDA" w:rsidRDefault="002F1BDA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9F1" w:rsidRDefault="003519F1" w:rsidP="00146436">
      <w:pPr>
        <w:spacing w:after="120" w:line="240" w:lineRule="auto"/>
      </w:pPr>
    </w:p>
    <w:p w:rsidR="00975076" w:rsidRDefault="00975076" w:rsidP="00DC0C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75076" w:rsidSect="00FE333F">
          <w:footerReference w:type="default" r:id="rId9"/>
          <w:pgSz w:w="11906" w:h="16838"/>
          <w:pgMar w:top="1417" w:right="1417" w:bottom="1417" w:left="1417" w:header="708" w:footer="708" w:gutter="0"/>
          <w:pgNumType w:start="164"/>
          <w:cols w:space="708"/>
          <w:docGrid w:linePitch="360"/>
        </w:sectPr>
      </w:pPr>
    </w:p>
    <w:p w:rsidR="00996936" w:rsidRPr="00996936" w:rsidRDefault="00996936" w:rsidP="00996936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използваните води </w:t>
      </w:r>
    </w:p>
    <w:p w:rsidR="00996936" w:rsidRDefault="00996936" w:rsidP="009969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използваните води </w:t>
      </w:r>
      <w:r>
        <w:rPr>
          <w:rFonts w:ascii="Times New Roman" w:hAnsi="Times New Roman" w:cs="Times New Roman"/>
          <w:sz w:val="24"/>
          <w:szCs w:val="24"/>
        </w:rPr>
        <w:t xml:space="preserve">в периода 2008-2013 г. спрямо ситуацията в предишните ПУРБ е представена общо за </w:t>
      </w:r>
      <w:r w:rsidR="0085320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БРБУВ и </w:t>
      </w:r>
      <w:r w:rsidR="0034335D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>в табличен вид по-долу. За по-добра визуализация е използвано цветово обозначение на промените – в синьо за оцветени тенденциите, при които няма промяна</w:t>
      </w:r>
      <w:r w:rsidRPr="006B7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B904C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спрямо 2003-2007</w:t>
      </w:r>
      <w:r w:rsidR="00B904C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, а в зелено – тенденциите, при които е регистрирана промяна. </w:t>
      </w:r>
    </w:p>
    <w:tbl>
      <w:tblPr>
        <w:tblStyle w:val="TableGrid"/>
        <w:tblW w:w="15613" w:type="dxa"/>
        <w:jc w:val="center"/>
        <w:tblInd w:w="404" w:type="dxa"/>
        <w:tblLook w:val="04A0" w:firstRow="1" w:lastRow="0" w:firstColumn="1" w:lastColumn="0" w:noHBand="0" w:noVBand="1"/>
      </w:tblPr>
      <w:tblGrid>
        <w:gridCol w:w="2115"/>
        <w:gridCol w:w="2699"/>
        <w:gridCol w:w="2700"/>
        <w:gridCol w:w="2699"/>
        <w:gridCol w:w="2700"/>
        <w:gridCol w:w="2700"/>
      </w:tblGrid>
      <w:tr w:rsidR="005B6CDA" w:rsidRPr="00F57E2D" w:rsidTr="00C16B36">
        <w:trPr>
          <w:tblHeader/>
          <w:jc w:val="center"/>
        </w:trPr>
        <w:tc>
          <w:tcPr>
            <w:tcW w:w="2115" w:type="dxa"/>
            <w:shd w:val="clear" w:color="auto" w:fill="A6A6A6" w:themeFill="background1" w:themeFillShade="A6"/>
          </w:tcPr>
          <w:p w:rsidR="00853201" w:rsidRPr="00C16B36" w:rsidRDefault="00C16B36" w:rsidP="00F9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16B36">
              <w:rPr>
                <w:rFonts w:ascii="Times New Roman" w:hAnsi="Times New Roman" w:cs="Times New Roman"/>
                <w:b/>
                <w:color w:val="000000"/>
              </w:rPr>
              <w:t>Показатели</w:t>
            </w:r>
          </w:p>
        </w:tc>
        <w:tc>
          <w:tcPr>
            <w:tcW w:w="2699" w:type="dxa"/>
            <w:shd w:val="clear" w:color="auto" w:fill="A6A6A6" w:themeFill="background1" w:themeFillShade="A6"/>
          </w:tcPr>
          <w:p w:rsidR="00853201" w:rsidRPr="00F57E2D" w:rsidRDefault="00654183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853201" w:rsidRPr="00F57E2D">
              <w:rPr>
                <w:rFonts w:ascii="Times New Roman" w:hAnsi="Times New Roman" w:cs="Times New Roman"/>
                <w:b/>
              </w:rPr>
              <w:t>БР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="00853201" w:rsidRPr="00F57E2D">
              <w:rPr>
                <w:rFonts w:ascii="Times New Roman" w:hAnsi="Times New Roman" w:cs="Times New Roman"/>
                <w:b/>
              </w:rPr>
              <w:t>УВ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:rsidR="00853201" w:rsidRPr="00F57E2D" w:rsidRDefault="001D052A" w:rsidP="00853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РБ </w:t>
            </w:r>
            <w:r w:rsidR="00853201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853201">
              <w:rPr>
                <w:rFonts w:ascii="Times New Roman" w:hAnsi="Times New Roman" w:cs="Times New Roman"/>
                <w:b/>
              </w:rPr>
              <w:t>Марица</w:t>
            </w:r>
          </w:p>
        </w:tc>
        <w:tc>
          <w:tcPr>
            <w:tcW w:w="2699" w:type="dxa"/>
            <w:shd w:val="clear" w:color="auto" w:fill="A6A6A6" w:themeFill="background1" w:themeFillShade="A6"/>
          </w:tcPr>
          <w:p w:rsidR="00853201" w:rsidRPr="00F57E2D" w:rsidRDefault="001D052A" w:rsidP="00F305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853201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F305AF">
              <w:rPr>
                <w:rFonts w:ascii="Times New Roman" w:hAnsi="Times New Roman" w:cs="Times New Roman"/>
                <w:b/>
              </w:rPr>
              <w:t>Тунджа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:rsidR="00853201" w:rsidRPr="00F57E2D" w:rsidRDefault="001D052A" w:rsidP="00F305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853201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F305AF">
              <w:rPr>
                <w:rFonts w:ascii="Times New Roman" w:hAnsi="Times New Roman" w:cs="Times New Roman"/>
                <w:b/>
              </w:rPr>
              <w:t>Арда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:rsidR="00853201" w:rsidRPr="00F57E2D" w:rsidRDefault="001D052A" w:rsidP="00F906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РБ </w:t>
            </w:r>
            <w:r w:rsidR="00F305AF">
              <w:rPr>
                <w:rFonts w:ascii="Times New Roman" w:hAnsi="Times New Roman" w:cs="Times New Roman"/>
                <w:b/>
              </w:rPr>
              <w:t xml:space="preserve">на р. Бяла </w:t>
            </w:r>
          </w:p>
        </w:tc>
      </w:tr>
      <w:tr w:rsidR="0083783E" w:rsidRPr="00F57E2D" w:rsidTr="00C16B36">
        <w:trPr>
          <w:trHeight w:val="750"/>
          <w:jc w:val="center"/>
        </w:trPr>
        <w:tc>
          <w:tcPr>
            <w:tcW w:w="2115" w:type="dxa"/>
            <w:vMerge w:val="restart"/>
          </w:tcPr>
          <w:p w:rsidR="0083783E" w:rsidRPr="00F57E2D" w:rsidRDefault="0083783E" w:rsidP="00F9061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водопотреблението на района към общото потребление на страната 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83783E" w:rsidRPr="00F57E2D" w:rsidRDefault="0083783E" w:rsidP="00CA27EE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 xml:space="preserve">С охлаждане </w:t>
            </w:r>
            <w:r w:rsidRPr="00F57E2D">
              <w:rPr>
                <w:rFonts w:ascii="Times New Roman" w:hAnsi="Times New Roman" w:cs="Times New Roman"/>
              </w:rPr>
              <w:t xml:space="preserve">- увеличение от </w:t>
            </w:r>
            <w:r>
              <w:rPr>
                <w:rFonts w:ascii="Times New Roman" w:hAnsi="Times New Roman" w:cs="Times New Roman"/>
              </w:rPr>
              <w:t>22,1</w:t>
            </w:r>
            <w:r w:rsidRPr="00F57E2D">
              <w:rPr>
                <w:rFonts w:ascii="Times New Roman" w:hAnsi="Times New Roman" w:cs="Times New Roman"/>
              </w:rPr>
              <w:t xml:space="preserve">% на </w:t>
            </w:r>
            <w:r>
              <w:rPr>
                <w:rFonts w:ascii="Times New Roman" w:hAnsi="Times New Roman" w:cs="Times New Roman"/>
              </w:rPr>
              <w:t>31,3</w:t>
            </w:r>
            <w:r w:rsidRPr="00F57E2D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2700" w:type="dxa"/>
            <w:vMerge w:val="restart"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vMerge w:val="restart"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83783E" w:rsidRPr="00F57E2D" w:rsidTr="00C16B36">
        <w:trPr>
          <w:trHeight w:val="750"/>
          <w:jc w:val="center"/>
        </w:trPr>
        <w:tc>
          <w:tcPr>
            <w:tcW w:w="2115" w:type="dxa"/>
            <w:vMerge/>
          </w:tcPr>
          <w:p w:rsidR="0083783E" w:rsidRPr="00F57E2D" w:rsidRDefault="0083783E" w:rsidP="00F9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9" w:type="dxa"/>
            <w:shd w:val="clear" w:color="auto" w:fill="D6E3BC" w:themeFill="accent3" w:themeFillTint="66"/>
          </w:tcPr>
          <w:p w:rsidR="0083783E" w:rsidRPr="00F57E2D" w:rsidRDefault="0083783E" w:rsidP="00CA27EE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- увеличение от </w:t>
            </w:r>
            <w:r>
              <w:rPr>
                <w:rFonts w:ascii="Times New Roman" w:hAnsi="Times New Roman" w:cs="Times New Roman"/>
              </w:rPr>
              <w:t>57,1%</w:t>
            </w:r>
            <w:r w:rsidRPr="00F57E2D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>64</w:t>
            </w:r>
            <w:r w:rsidRPr="00F57E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F57E2D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2700" w:type="dxa"/>
            <w:vMerge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vMerge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</w:tcPr>
          <w:p w:rsidR="0083783E" w:rsidRPr="00F57E2D" w:rsidRDefault="0083783E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9854B6" w:rsidRPr="00F57E2D" w:rsidTr="00C16B36">
        <w:trPr>
          <w:trHeight w:val="697"/>
          <w:jc w:val="center"/>
        </w:trPr>
        <w:tc>
          <w:tcPr>
            <w:tcW w:w="2115" w:type="dxa"/>
            <w:vMerge w:val="restart"/>
          </w:tcPr>
          <w:p w:rsidR="001D4008" w:rsidRPr="00F57E2D" w:rsidRDefault="001D4008" w:rsidP="0034335D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 водопотреблението на </w:t>
            </w:r>
            <w:r w:rsidR="0034335D">
              <w:rPr>
                <w:rFonts w:ascii="Times New Roman" w:hAnsi="Times New Roman" w:cs="Times New Roman"/>
                <w:color w:val="000000"/>
              </w:rPr>
              <w:t>РБ</w:t>
            </w:r>
            <w:r w:rsidR="0034335D" w:rsidRPr="00F57E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към общото потребление на района </w:t>
            </w:r>
          </w:p>
        </w:tc>
        <w:tc>
          <w:tcPr>
            <w:tcW w:w="2699" w:type="dxa"/>
            <w:vMerge w:val="restart"/>
            <w:shd w:val="clear" w:color="auto" w:fill="auto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A65859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увеличение от 94,4</w:t>
            </w:r>
            <w:r w:rsidRPr="00F57E2D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на 96,1%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Pr="00F57E2D" w:rsidRDefault="001D4008" w:rsidP="00C4425E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слабо намаление от 3,0% до 2,5%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0722DF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намаление на дела от 2,6% на 1,4%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9854B6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намаление </w:t>
            </w:r>
          </w:p>
        </w:tc>
      </w:tr>
      <w:tr w:rsidR="009854B6" w:rsidRPr="00F57E2D" w:rsidTr="00C16B36">
        <w:trPr>
          <w:trHeight w:val="126"/>
          <w:jc w:val="center"/>
        </w:trPr>
        <w:tc>
          <w:tcPr>
            <w:tcW w:w="2115" w:type="dxa"/>
            <w:vMerge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A65859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- увеличение от </w:t>
            </w:r>
            <w:r>
              <w:rPr>
                <w:rFonts w:ascii="Times New Roman" w:hAnsi="Times New Roman" w:cs="Times New Roman"/>
              </w:rPr>
              <w:t>91</w:t>
            </w:r>
            <w:r w:rsidRPr="00F57E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F57E2D">
              <w:rPr>
                <w:rFonts w:ascii="Times New Roman" w:hAnsi="Times New Roman" w:cs="Times New Roman"/>
              </w:rPr>
              <w:t xml:space="preserve">% на </w:t>
            </w:r>
            <w:r>
              <w:rPr>
                <w:rFonts w:ascii="Times New Roman" w:hAnsi="Times New Roman" w:cs="Times New Roman"/>
              </w:rPr>
              <w:t>93,5</w:t>
            </w:r>
            <w:r w:rsidRPr="00F57E2D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Pr="00F57E2D" w:rsidRDefault="001D4008" w:rsidP="00C4425E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слабо намаление от 5,5% на 4,6%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0722DF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намаление на дела от 2,8% на 2,0%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9854B6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намаление </w:t>
            </w:r>
          </w:p>
        </w:tc>
      </w:tr>
      <w:tr w:rsidR="001D4008" w:rsidRPr="00F57E2D" w:rsidTr="00C16B36">
        <w:trPr>
          <w:trHeight w:val="801"/>
          <w:jc w:val="center"/>
        </w:trPr>
        <w:tc>
          <w:tcPr>
            <w:tcW w:w="2115" w:type="dxa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Общо водопотребление 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Pr="00F57E2D" w:rsidRDefault="001D4008" w:rsidP="00AE1C90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Увеличение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</w:t>
            </w:r>
            <w:r>
              <w:rPr>
                <w:rFonts w:ascii="Times New Roman" w:hAnsi="Times New Roman" w:cs="Times New Roman"/>
                <w:i/>
              </w:rPr>
              <w:t>от</w:t>
            </w:r>
            <w:r w:rsidRPr="00B92BEC">
              <w:rPr>
                <w:rFonts w:ascii="Times New Roman" w:hAnsi="Times New Roman" w:cs="Times New Roman"/>
                <w:i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92BEC">
              <w:rPr>
                <w:rFonts w:ascii="Times New Roman" w:hAnsi="Times New Roman" w:cs="Times New Roman"/>
                <w:i/>
                <w:lang w:val="en-US"/>
              </w:rPr>
              <w:t>178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92BEC">
              <w:rPr>
                <w:rFonts w:ascii="Times New Roman" w:hAnsi="Times New Roman" w:cs="Times New Roman"/>
                <w:i/>
                <w:lang w:val="en-US"/>
              </w:rPr>
              <w:t xml:space="preserve">009 </w:t>
            </w:r>
            <w:r w:rsidRPr="00F57E2D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F57E2D">
              <w:rPr>
                <w:rFonts w:ascii="Times New Roman" w:hAnsi="Times New Roman" w:cs="Times New Roman"/>
                <w:i/>
              </w:rPr>
              <w:t>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</w:rPr>
              <w:t>1 514 223 хил</w:t>
            </w:r>
            <w:r w:rsidRPr="00F57E2D">
              <w:rPr>
                <w:rFonts w:ascii="Times New Roman" w:hAnsi="Times New Roman" w:cs="Times New Roman"/>
                <w:i/>
              </w:rPr>
              <w:t>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i/>
              </w:rPr>
              <w:t>/год.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93163E" w:rsidRDefault="001D4008" w:rsidP="00F90615">
            <w:pPr>
              <w:rPr>
                <w:rFonts w:ascii="Times New Roman" w:hAnsi="Times New Roman" w:cs="Times New Roman"/>
                <w:i/>
              </w:rPr>
            </w:pPr>
            <w:r w:rsidRPr="00F57E2D">
              <w:rPr>
                <w:rFonts w:ascii="Times New Roman" w:hAnsi="Times New Roman" w:cs="Times New Roman"/>
              </w:rPr>
              <w:t xml:space="preserve">Увеличение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 w:rsidRPr="0093163E">
              <w:rPr>
                <w:rFonts w:ascii="Times New Roman" w:hAnsi="Times New Roman" w:cs="Times New Roman"/>
                <w:i/>
              </w:rPr>
              <w:t xml:space="preserve">1 112 893 </w:t>
            </w:r>
            <w:r w:rsidRPr="00F57E2D">
              <w:rPr>
                <w:rFonts w:ascii="Times New Roman" w:hAnsi="Times New Roman" w:cs="Times New Roman"/>
                <w:i/>
              </w:rPr>
              <w:t xml:space="preserve">хил.м3/год. на </w:t>
            </w:r>
            <w:r>
              <w:rPr>
                <w:rFonts w:ascii="Times New Roman" w:hAnsi="Times New Roman" w:cs="Times New Roman"/>
                <w:i/>
              </w:rPr>
              <w:t>1 455 421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Pr="00F57E2D" w:rsidRDefault="001D4008" w:rsidP="00C44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Слабо у</w:t>
            </w:r>
            <w:r w:rsidRPr="00F57E2D">
              <w:rPr>
                <w:rFonts w:ascii="Times New Roman" w:hAnsi="Times New Roman" w:cs="Times New Roman"/>
              </w:rPr>
              <w:t xml:space="preserve">величение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</w:rPr>
              <w:t>34868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833E77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</w:rPr>
              <w:t>8731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072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Намаление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</w:rPr>
              <w:t>30 171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833E77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</w:rPr>
              <w:t xml:space="preserve">21139 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017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Намаление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 w:rsidRPr="00F57E2D">
              <w:rPr>
                <w:rFonts w:ascii="Times New Roman" w:hAnsi="Times New Roman" w:cs="Times New Roman"/>
                <w:i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</w:rPr>
              <w:t>77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57E2D">
              <w:rPr>
                <w:rFonts w:ascii="Times New Roman" w:hAnsi="Times New Roman" w:cs="Times New Roman"/>
                <w:i/>
              </w:rPr>
              <w:t>м</w:t>
            </w:r>
            <w:r w:rsidRPr="00856541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</w:rPr>
              <w:t xml:space="preserve">63 </w:t>
            </w:r>
            <w:r w:rsidRPr="00F57E2D">
              <w:rPr>
                <w:rFonts w:ascii="Times New Roman" w:hAnsi="Times New Roman" w:cs="Times New Roman"/>
                <w:i/>
              </w:rPr>
              <w:t xml:space="preserve"> хил.м</w:t>
            </w:r>
            <w:r w:rsidRPr="00F57E2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F57E2D">
              <w:rPr>
                <w:rFonts w:ascii="Times New Roman" w:hAnsi="Times New Roman" w:cs="Times New Roman"/>
                <w:i/>
              </w:rPr>
              <w:t xml:space="preserve">/год. </w:t>
            </w:r>
          </w:p>
        </w:tc>
      </w:tr>
      <w:tr w:rsidR="001D4008" w:rsidRPr="00F57E2D" w:rsidTr="00C16B36">
        <w:trPr>
          <w:jc w:val="center"/>
        </w:trPr>
        <w:tc>
          <w:tcPr>
            <w:tcW w:w="2115" w:type="dxa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Води за охлаждане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D24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Висок и увеличаващ се </w:t>
            </w:r>
            <w:r w:rsidRPr="00F57E2D">
              <w:rPr>
                <w:rFonts w:ascii="Times New Roman" w:hAnsi="Times New Roman" w:cs="Times New Roman"/>
              </w:rPr>
              <w:t xml:space="preserve">дял 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1704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Висок и увеличаващ се </w:t>
            </w:r>
            <w:r w:rsidRPr="00F57E2D">
              <w:rPr>
                <w:rFonts w:ascii="Times New Roman" w:hAnsi="Times New Roman" w:cs="Times New Roman"/>
              </w:rPr>
              <w:t xml:space="preserve">дял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Нисък дял  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E20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Значително намаление 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Няма води за охлаждане </w:t>
            </w:r>
          </w:p>
        </w:tc>
      </w:tr>
      <w:tr w:rsidR="001D4008" w:rsidRPr="00F57E2D" w:rsidTr="00C16B36">
        <w:trPr>
          <w:jc w:val="center"/>
        </w:trPr>
        <w:tc>
          <w:tcPr>
            <w:tcW w:w="2115" w:type="dxa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Подреждане на секторите в структурата на водопотреблението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промяна</w:t>
            </w:r>
            <w:r w:rsidRPr="00F57E2D">
              <w:rPr>
                <w:rFonts w:ascii="Times New Roman" w:hAnsi="Times New Roman" w:cs="Times New Roman"/>
              </w:rPr>
              <w:t xml:space="preserve">: </w:t>
            </w:r>
          </w:p>
          <w:p w:rsidR="001D4008" w:rsidRDefault="001D4008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Индустрия </w:t>
            </w:r>
          </w:p>
          <w:p w:rsidR="001D4008" w:rsidRDefault="001D4008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1D4008" w:rsidRPr="00F57E2D" w:rsidRDefault="001D4008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Pr="00F57E2D" w:rsidRDefault="001D4008" w:rsidP="00F9061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1D4008" w:rsidRPr="00F57E2D" w:rsidRDefault="001D4008" w:rsidP="00DD5F3F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B05F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промяна</w:t>
            </w:r>
            <w:r w:rsidRPr="00F57E2D">
              <w:rPr>
                <w:rFonts w:ascii="Times New Roman" w:hAnsi="Times New Roman" w:cs="Times New Roman"/>
              </w:rPr>
              <w:t xml:space="preserve">: </w:t>
            </w:r>
          </w:p>
          <w:p w:rsidR="001D4008" w:rsidRDefault="001D4008" w:rsidP="00B05F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Индустрия </w:t>
            </w:r>
          </w:p>
          <w:p w:rsidR="001D4008" w:rsidRDefault="001D4008" w:rsidP="00B05F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1D4008" w:rsidRPr="00F57E2D" w:rsidRDefault="001D4008" w:rsidP="00B05F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Pr="00F57E2D" w:rsidRDefault="001D4008" w:rsidP="00B05F7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1D4008" w:rsidRPr="00F57E2D" w:rsidRDefault="001D4008" w:rsidP="00B05F7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Default="001D4008" w:rsidP="00F90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промяна: </w:t>
            </w:r>
          </w:p>
          <w:p w:rsidR="001D4008" w:rsidRDefault="001D4008" w:rsidP="00F90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2003-2007 г.: </w:t>
            </w:r>
          </w:p>
          <w:p w:rsidR="001D4008" w:rsidRPr="00F57E2D" w:rsidRDefault="001D4008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Pr="00F57E2D" w:rsidRDefault="001D4008" w:rsidP="00C618DF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1D4008" w:rsidRDefault="001D4008" w:rsidP="00C618DF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1D4008" w:rsidRPr="00F57E2D" w:rsidRDefault="001D4008" w:rsidP="00F906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Услуги</w:t>
            </w:r>
          </w:p>
          <w:p w:rsidR="001D4008" w:rsidRPr="00C618DF" w:rsidRDefault="001D4008" w:rsidP="00C61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2008-2013 г.: </w:t>
            </w:r>
          </w:p>
          <w:p w:rsidR="001D4008" w:rsidRDefault="001D4008" w:rsidP="00321D4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1D4008" w:rsidRPr="00F57E2D" w:rsidRDefault="001D4008" w:rsidP="00321D4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Pr="00F57E2D" w:rsidRDefault="001D4008" w:rsidP="00321D4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1D4008" w:rsidRPr="00321D42" w:rsidRDefault="001D4008" w:rsidP="00321D42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Default="001D4008" w:rsidP="00741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Има промяна: </w:t>
            </w:r>
          </w:p>
          <w:p w:rsidR="001D4008" w:rsidRDefault="001D4008" w:rsidP="00741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2003-2007 г.: </w:t>
            </w:r>
          </w:p>
          <w:p w:rsidR="001D4008" w:rsidRPr="00F57E2D" w:rsidRDefault="001D4008" w:rsidP="007500F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1D4008" w:rsidRPr="00F57E2D" w:rsidRDefault="001D4008" w:rsidP="007500F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Default="001D4008" w:rsidP="007500F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Услуги </w:t>
            </w:r>
          </w:p>
          <w:p w:rsidR="001D4008" w:rsidRPr="00A005E7" w:rsidRDefault="001D4008" w:rsidP="007500F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1D4008" w:rsidRPr="00C618DF" w:rsidRDefault="001D4008" w:rsidP="007410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2008-2013 г.: </w:t>
            </w:r>
          </w:p>
          <w:p w:rsidR="001D4008" w:rsidRPr="00F57E2D" w:rsidRDefault="001D4008" w:rsidP="007500F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Домакинства</w:t>
            </w:r>
          </w:p>
          <w:p w:rsidR="001D4008" w:rsidRPr="00F57E2D" w:rsidRDefault="001D4008" w:rsidP="007500F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Индустрия</w:t>
            </w:r>
          </w:p>
          <w:p w:rsidR="001D4008" w:rsidRDefault="001D4008" w:rsidP="007500F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Услуги </w:t>
            </w:r>
          </w:p>
          <w:p w:rsidR="001D4008" w:rsidRPr="00A005E7" w:rsidRDefault="001D4008" w:rsidP="007500F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Селско </w:t>
            </w:r>
            <w:r w:rsidRPr="00F57E2D">
              <w:rPr>
                <w:rFonts w:ascii="Times New Roman" w:hAnsi="Times New Roman" w:cs="Times New Roman"/>
              </w:rPr>
              <w:lastRenderedPageBreak/>
              <w:t xml:space="preserve">стопанство </w:t>
            </w:r>
          </w:p>
          <w:p w:rsidR="001D4008" w:rsidRPr="00321D42" w:rsidRDefault="001D4008" w:rsidP="007500F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B323C8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Структурата на водоползването е доминирана от домакинствата (около 95%)</w:t>
            </w:r>
          </w:p>
        </w:tc>
      </w:tr>
      <w:tr w:rsidR="001D4008" w:rsidRPr="00F57E2D" w:rsidTr="00C16B36">
        <w:trPr>
          <w:trHeight w:val="945"/>
          <w:jc w:val="center"/>
        </w:trPr>
        <w:tc>
          <w:tcPr>
            <w:tcW w:w="2115" w:type="dxa"/>
            <w:vMerge w:val="restart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lastRenderedPageBreak/>
              <w:t xml:space="preserve">Използвани количества вода от секторите </w:t>
            </w:r>
          </w:p>
        </w:tc>
        <w:tc>
          <w:tcPr>
            <w:tcW w:w="2699" w:type="dxa"/>
            <w:vMerge w:val="restart"/>
            <w:shd w:val="clear" w:color="auto" w:fill="D6E3BC" w:themeFill="accent3" w:themeFillTint="66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Увеличение при всички сектори</w:t>
            </w:r>
            <w:r>
              <w:rPr>
                <w:rFonts w:ascii="Times New Roman" w:hAnsi="Times New Roman" w:cs="Times New Roman"/>
              </w:rPr>
              <w:t>, с изключение на услугите</w:t>
            </w:r>
          </w:p>
        </w:tc>
        <w:tc>
          <w:tcPr>
            <w:tcW w:w="2700" w:type="dxa"/>
            <w:vMerge w:val="restart"/>
            <w:shd w:val="clear" w:color="auto" w:fill="D6E3BC" w:themeFill="accent3" w:themeFillTint="66"/>
          </w:tcPr>
          <w:p w:rsidR="001D4008" w:rsidRPr="00F57E2D" w:rsidRDefault="001D4008" w:rsidP="00B05F7B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Увеличение при всички сектори</w:t>
            </w:r>
            <w:r>
              <w:rPr>
                <w:rFonts w:ascii="Times New Roman" w:hAnsi="Times New Roman" w:cs="Times New Roman"/>
              </w:rPr>
              <w:t>, с изключение на услугите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Pr="00F57E2D" w:rsidRDefault="001D4008" w:rsidP="00CB0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при селското стопанство  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741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при домакинствата</w:t>
            </w:r>
          </w:p>
        </w:tc>
        <w:tc>
          <w:tcPr>
            <w:tcW w:w="2700" w:type="dxa"/>
            <w:vMerge w:val="restart"/>
            <w:shd w:val="clear" w:color="auto" w:fill="D6E3BC" w:themeFill="accent3" w:themeFillTint="66"/>
          </w:tcPr>
          <w:p w:rsidR="001D4008" w:rsidRDefault="001D4008" w:rsidP="00A91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Намаление на използвана вода от домакинствата</w:t>
            </w:r>
          </w:p>
        </w:tc>
      </w:tr>
      <w:tr w:rsidR="001D4008" w:rsidRPr="00F57E2D" w:rsidTr="00C16B36">
        <w:trPr>
          <w:trHeight w:val="945"/>
          <w:jc w:val="center"/>
        </w:trPr>
        <w:tc>
          <w:tcPr>
            <w:tcW w:w="2115" w:type="dxa"/>
            <w:vMerge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vMerge/>
            <w:shd w:val="clear" w:color="auto" w:fill="D6E3BC" w:themeFill="accent3" w:themeFillTint="66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shd w:val="clear" w:color="auto" w:fill="D6E3BC" w:themeFill="accent3" w:themeFillTint="66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shd w:val="clear" w:color="auto" w:fill="D6E3BC" w:themeFill="accent3" w:themeFillTint="66"/>
          </w:tcPr>
          <w:p w:rsidR="001D4008" w:rsidRDefault="001D4008" w:rsidP="00CB0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Намаление при домакинствата, индустрията и услугите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Намаление в индустрията, селското стопанство и услугите </w:t>
            </w:r>
          </w:p>
        </w:tc>
        <w:tc>
          <w:tcPr>
            <w:tcW w:w="2700" w:type="dxa"/>
            <w:vMerge/>
            <w:shd w:val="clear" w:color="auto" w:fill="D6E3BC" w:themeFill="accent3" w:themeFillTint="66"/>
          </w:tcPr>
          <w:p w:rsidR="001D4008" w:rsidRDefault="001D4008" w:rsidP="00F90615">
            <w:pPr>
              <w:rPr>
                <w:rFonts w:ascii="Times New Roman" w:hAnsi="Times New Roman" w:cs="Times New Roman"/>
              </w:rPr>
            </w:pPr>
          </w:p>
        </w:tc>
      </w:tr>
      <w:tr w:rsidR="001D4008" w:rsidRPr="00F57E2D" w:rsidTr="00C16B36">
        <w:trPr>
          <w:jc w:val="center"/>
        </w:trPr>
        <w:tc>
          <w:tcPr>
            <w:tcW w:w="2115" w:type="dxa"/>
          </w:tcPr>
          <w:p w:rsidR="001D4008" w:rsidRPr="00F57E2D" w:rsidRDefault="001D4008" w:rsidP="00FF2493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Водещ доставчик и тенденция </w:t>
            </w:r>
            <w:r>
              <w:rPr>
                <w:rFonts w:ascii="Times New Roman" w:hAnsi="Times New Roman" w:cs="Times New Roman"/>
              </w:rPr>
              <w:t>при</w:t>
            </w:r>
            <w:r w:rsidRPr="00F57E2D">
              <w:rPr>
                <w:rFonts w:ascii="Times New Roman" w:hAnsi="Times New Roman" w:cs="Times New Roman"/>
              </w:rPr>
              <w:t xml:space="preserve"> дела му в структурата на доставчиците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6613CD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собствено водоснабдяване.На второ място са Напоителни системи 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79249F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Без промяна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собствено водоснабдяване. На второ място са Напоителни системи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183907" w:rsidRDefault="001D4008" w:rsidP="00183907">
            <w:pPr>
              <w:spacing w:after="120"/>
              <w:rPr>
                <w:rFonts w:ascii="Times New Roman" w:hAnsi="Times New Roman" w:cs="Times New Roman"/>
              </w:rPr>
            </w:pPr>
            <w:r w:rsidRPr="00183907">
              <w:rPr>
                <w:rFonts w:ascii="Times New Roman" w:hAnsi="Times New Roman" w:cs="Times New Roman"/>
              </w:rPr>
              <w:t xml:space="preserve">Без промяна - общественото водоснабдяване  </w:t>
            </w:r>
          </w:p>
          <w:p w:rsidR="001D4008" w:rsidRPr="00183907" w:rsidRDefault="001D4008" w:rsidP="00183907">
            <w:pPr>
              <w:spacing w:after="120"/>
              <w:rPr>
                <w:rFonts w:ascii="Times New Roman" w:hAnsi="Times New Roman" w:cs="Times New Roman"/>
              </w:rPr>
            </w:pPr>
            <w:r w:rsidRPr="00183907">
              <w:rPr>
                <w:rFonts w:ascii="Times New Roman" w:hAnsi="Times New Roman" w:cs="Times New Roman"/>
              </w:rPr>
              <w:t xml:space="preserve">Неговата позиция отслабва за сметка на увеличение на използваната вода от собствено водоснабдяване. </w:t>
            </w:r>
          </w:p>
        </w:tc>
        <w:tc>
          <w:tcPr>
            <w:tcW w:w="2700" w:type="dxa"/>
            <w:shd w:val="clear" w:color="auto" w:fill="D6E3BC" w:themeFill="accent3" w:themeFillTint="66"/>
          </w:tcPr>
          <w:p w:rsidR="001D4008" w:rsidRDefault="001D4008" w:rsidP="00F90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2003-2007 г. – собствено водоснабдяване </w:t>
            </w:r>
          </w:p>
          <w:p w:rsidR="001D4008" w:rsidRDefault="001D4008" w:rsidP="00F90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08" w:rsidRPr="00F57E2D" w:rsidRDefault="001D4008" w:rsidP="005B6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2008-2013 г. – обществено водоснабдяване 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6F0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променя - обществено водоснабдяване </w:t>
            </w:r>
          </w:p>
        </w:tc>
      </w:tr>
      <w:tr w:rsidR="001D4008" w:rsidRPr="00F57E2D" w:rsidTr="00C16B36">
        <w:trPr>
          <w:jc w:val="center"/>
        </w:trPr>
        <w:tc>
          <w:tcPr>
            <w:tcW w:w="2115" w:type="dxa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Дял на използваната вода от друго водоснабдяване и повторно използваната вода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Незначителни в двата периода 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79249F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Незначителни в двата периода </w:t>
            </w:r>
          </w:p>
        </w:tc>
        <w:tc>
          <w:tcPr>
            <w:tcW w:w="2699" w:type="dxa"/>
            <w:shd w:val="clear" w:color="auto" w:fill="C6D9F1" w:themeFill="text2" w:themeFillTint="33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>Незначителни в двата периода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Pr="00F57E2D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се използват и в двата периода</w:t>
            </w:r>
          </w:p>
        </w:tc>
        <w:tc>
          <w:tcPr>
            <w:tcW w:w="2700" w:type="dxa"/>
            <w:shd w:val="clear" w:color="auto" w:fill="C6D9F1" w:themeFill="text2" w:themeFillTint="33"/>
          </w:tcPr>
          <w:p w:rsidR="001D4008" w:rsidRDefault="001D4008" w:rsidP="00F90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се използват и в двата периода</w:t>
            </w:r>
          </w:p>
        </w:tc>
      </w:tr>
    </w:tbl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12C7A" w:rsidRDefault="00F12C7A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936" w:rsidRDefault="0099693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F90615" w:rsidRPr="00996936" w:rsidRDefault="00F90615" w:rsidP="00F90615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иззетите води </w:t>
      </w:r>
    </w:p>
    <w:p w:rsidR="00F90615" w:rsidRDefault="00F90615" w:rsidP="00F9061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>
        <w:rPr>
          <w:rFonts w:ascii="Times New Roman" w:hAnsi="Times New Roman" w:cs="Times New Roman"/>
          <w:sz w:val="24"/>
          <w:szCs w:val="24"/>
        </w:rPr>
        <w:t>иззетите</w:t>
      </w:r>
      <w:r w:rsidRPr="000E2545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 xml:space="preserve">в периода 2008-2013 г. спрямо ситуацията е предишните ПУРБ е представена общо за </w:t>
      </w:r>
      <w:r w:rsidR="00AB554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БРБУВ и </w:t>
      </w:r>
      <w:r w:rsidR="0034335D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 xml:space="preserve">в табличен вид по-долу. </w:t>
      </w:r>
      <w:r w:rsidR="00996936">
        <w:rPr>
          <w:rFonts w:ascii="Times New Roman" w:hAnsi="Times New Roman" w:cs="Times New Roman"/>
          <w:sz w:val="24"/>
          <w:szCs w:val="24"/>
        </w:rPr>
        <w:t>За по-добра визуализация е използвано цветово обозначение на промените – в синьо за оцветени тенденциите, при които няма промяна</w:t>
      </w:r>
      <w:r w:rsidR="00996936" w:rsidRPr="006B793D">
        <w:rPr>
          <w:rFonts w:ascii="Times New Roman" w:hAnsi="Times New Roman" w:cs="Times New Roman"/>
          <w:sz w:val="24"/>
          <w:szCs w:val="24"/>
        </w:rPr>
        <w:t xml:space="preserve"> </w:t>
      </w:r>
      <w:r w:rsidR="00996936"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FB3D61">
        <w:rPr>
          <w:rFonts w:ascii="Times New Roman" w:hAnsi="Times New Roman" w:cs="Times New Roman"/>
          <w:sz w:val="24"/>
          <w:szCs w:val="24"/>
        </w:rPr>
        <w:t xml:space="preserve">г. </w:t>
      </w:r>
      <w:r w:rsidR="00996936">
        <w:rPr>
          <w:rFonts w:ascii="Times New Roman" w:hAnsi="Times New Roman" w:cs="Times New Roman"/>
          <w:sz w:val="24"/>
          <w:szCs w:val="24"/>
        </w:rPr>
        <w:t>спрямо 2003-2007</w:t>
      </w:r>
      <w:r w:rsidR="00FB3D61">
        <w:rPr>
          <w:rFonts w:ascii="Times New Roman" w:hAnsi="Times New Roman" w:cs="Times New Roman"/>
          <w:sz w:val="24"/>
          <w:szCs w:val="24"/>
        </w:rPr>
        <w:t xml:space="preserve"> г.</w:t>
      </w:r>
      <w:r w:rsidR="00996936">
        <w:rPr>
          <w:rFonts w:ascii="Times New Roman" w:hAnsi="Times New Roman" w:cs="Times New Roman"/>
          <w:sz w:val="24"/>
          <w:szCs w:val="24"/>
        </w:rPr>
        <w:t>, а в зелено – тенденциите, при които е регистрирана промяна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15653" w:type="dxa"/>
        <w:jc w:val="center"/>
        <w:tblInd w:w="920" w:type="dxa"/>
        <w:tblLook w:val="04A0" w:firstRow="1" w:lastRow="0" w:firstColumn="1" w:lastColumn="0" w:noHBand="0" w:noVBand="1"/>
      </w:tblPr>
      <w:tblGrid>
        <w:gridCol w:w="2127"/>
        <w:gridCol w:w="2705"/>
        <w:gridCol w:w="2705"/>
        <w:gridCol w:w="2705"/>
        <w:gridCol w:w="2705"/>
        <w:gridCol w:w="2706"/>
      </w:tblGrid>
      <w:tr w:rsidR="00654183" w:rsidRPr="00F57E2D" w:rsidTr="008A3E38">
        <w:trPr>
          <w:tblHeader/>
          <w:jc w:val="center"/>
        </w:trPr>
        <w:tc>
          <w:tcPr>
            <w:tcW w:w="2127" w:type="dxa"/>
            <w:shd w:val="clear" w:color="auto" w:fill="A6A6A6" w:themeFill="background1" w:themeFillShade="A6"/>
          </w:tcPr>
          <w:p w:rsidR="00654183" w:rsidRPr="00C16B36" w:rsidRDefault="00C16B36" w:rsidP="00693BF0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16B36">
              <w:rPr>
                <w:rFonts w:ascii="Times New Roman" w:hAnsi="Times New Roman" w:cs="Times New Roman"/>
                <w:b/>
                <w:color w:val="000000"/>
              </w:rPr>
              <w:t>Показатели</w:t>
            </w:r>
          </w:p>
        </w:tc>
        <w:tc>
          <w:tcPr>
            <w:tcW w:w="2705" w:type="dxa"/>
            <w:shd w:val="clear" w:color="auto" w:fill="A6A6A6" w:themeFill="background1" w:themeFillShade="A6"/>
          </w:tcPr>
          <w:p w:rsidR="00654183" w:rsidRPr="00F57E2D" w:rsidRDefault="00654183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Pr="00F57E2D">
              <w:rPr>
                <w:rFonts w:ascii="Times New Roman" w:hAnsi="Times New Roman" w:cs="Times New Roman"/>
                <w:b/>
              </w:rPr>
              <w:t>БР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57E2D">
              <w:rPr>
                <w:rFonts w:ascii="Times New Roman" w:hAnsi="Times New Roman" w:cs="Times New Roman"/>
                <w:b/>
              </w:rPr>
              <w:t>УВ</w:t>
            </w:r>
          </w:p>
        </w:tc>
        <w:tc>
          <w:tcPr>
            <w:tcW w:w="2705" w:type="dxa"/>
            <w:shd w:val="clear" w:color="auto" w:fill="A6A6A6" w:themeFill="background1" w:themeFillShade="A6"/>
          </w:tcPr>
          <w:p w:rsidR="00654183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654183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654183">
              <w:rPr>
                <w:rFonts w:ascii="Times New Roman" w:hAnsi="Times New Roman" w:cs="Times New Roman"/>
                <w:b/>
              </w:rPr>
              <w:t>Марица</w:t>
            </w:r>
          </w:p>
        </w:tc>
        <w:tc>
          <w:tcPr>
            <w:tcW w:w="2705" w:type="dxa"/>
            <w:shd w:val="clear" w:color="auto" w:fill="A6A6A6" w:themeFill="background1" w:themeFillShade="A6"/>
          </w:tcPr>
          <w:p w:rsidR="00654183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654183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654183">
              <w:rPr>
                <w:rFonts w:ascii="Times New Roman" w:hAnsi="Times New Roman" w:cs="Times New Roman"/>
                <w:b/>
              </w:rPr>
              <w:t>Тунджа</w:t>
            </w:r>
          </w:p>
        </w:tc>
        <w:tc>
          <w:tcPr>
            <w:tcW w:w="2705" w:type="dxa"/>
            <w:shd w:val="clear" w:color="auto" w:fill="A6A6A6" w:themeFill="background1" w:themeFillShade="A6"/>
          </w:tcPr>
          <w:p w:rsidR="00654183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654183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654183">
              <w:rPr>
                <w:rFonts w:ascii="Times New Roman" w:hAnsi="Times New Roman" w:cs="Times New Roman"/>
                <w:b/>
              </w:rPr>
              <w:t>Арда</w:t>
            </w:r>
          </w:p>
        </w:tc>
        <w:tc>
          <w:tcPr>
            <w:tcW w:w="2706" w:type="dxa"/>
            <w:shd w:val="clear" w:color="auto" w:fill="A6A6A6" w:themeFill="background1" w:themeFillShade="A6"/>
          </w:tcPr>
          <w:p w:rsidR="00654183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FE33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654183">
              <w:rPr>
                <w:rFonts w:ascii="Times New Roman" w:hAnsi="Times New Roman" w:cs="Times New Roman"/>
                <w:b/>
              </w:rPr>
              <w:t xml:space="preserve">на р. Бяла </w:t>
            </w:r>
          </w:p>
        </w:tc>
      </w:tr>
      <w:tr w:rsidR="00A97345" w:rsidRPr="00F57E2D" w:rsidTr="008A3E38">
        <w:trPr>
          <w:trHeight w:val="750"/>
          <w:jc w:val="center"/>
        </w:trPr>
        <w:tc>
          <w:tcPr>
            <w:tcW w:w="2127" w:type="dxa"/>
            <w:vMerge w:val="restart"/>
          </w:tcPr>
          <w:p w:rsidR="00A97345" w:rsidRPr="00F57E2D" w:rsidRDefault="00A97345" w:rsidP="00F55390">
            <w:pPr>
              <w:suppressAutoHyphens/>
              <w:spacing w:after="120"/>
              <w:jc w:val="both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</w:t>
            </w:r>
            <w:r>
              <w:rPr>
                <w:rFonts w:ascii="Times New Roman" w:hAnsi="Times New Roman" w:cs="Times New Roman"/>
                <w:color w:val="000000"/>
              </w:rPr>
              <w:t>иззетата вода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 на района към общо</w:t>
            </w:r>
            <w:r>
              <w:rPr>
                <w:rFonts w:ascii="Times New Roman" w:hAnsi="Times New Roman" w:cs="Times New Roman"/>
                <w:color w:val="000000"/>
              </w:rPr>
              <w:t xml:space="preserve"> иззетата вода в 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страната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304211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 xml:space="preserve">С охлаждане </w:t>
            </w:r>
            <w:r w:rsidRPr="0095025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025F">
              <w:rPr>
                <w:rFonts w:ascii="Times New Roman" w:hAnsi="Times New Roman" w:cs="Times New Roman"/>
              </w:rPr>
              <w:t>увеличение от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27,9% на 35,3</w:t>
            </w:r>
            <w:r w:rsidRPr="00244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5" w:type="dxa"/>
            <w:vMerge w:val="restart"/>
            <w:shd w:val="clear" w:color="auto" w:fill="auto"/>
          </w:tcPr>
          <w:p w:rsidR="00A97345" w:rsidRPr="00F57E2D" w:rsidRDefault="00A97345" w:rsidP="0095025F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 w:val="restart"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 w:val="restart"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vMerge w:val="restart"/>
          </w:tcPr>
          <w:p w:rsidR="00A97345" w:rsidRPr="004C659E" w:rsidRDefault="00A97345" w:rsidP="001D052A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4C659E">
              <w:rPr>
                <w:rFonts w:ascii="Times New Roman" w:hAnsi="Times New Roman" w:cs="Times New Roman"/>
                <w:i/>
              </w:rPr>
              <w:t xml:space="preserve">В </w:t>
            </w:r>
            <w:r w:rsidR="001D052A">
              <w:rPr>
                <w:rFonts w:ascii="Times New Roman" w:hAnsi="Times New Roman" w:cs="Times New Roman"/>
                <w:i/>
              </w:rPr>
              <w:t xml:space="preserve">РБ </w:t>
            </w:r>
            <w:r w:rsidRPr="004C659E">
              <w:rPr>
                <w:rFonts w:ascii="Times New Roman" w:hAnsi="Times New Roman" w:cs="Times New Roman"/>
                <w:i/>
              </w:rPr>
              <w:t xml:space="preserve">на р. Бяла има иззети води само в периода 2011-2013 г. </w:t>
            </w:r>
          </w:p>
        </w:tc>
      </w:tr>
      <w:tr w:rsidR="00A97345" w:rsidRPr="00F57E2D" w:rsidTr="008A3E38">
        <w:trPr>
          <w:trHeight w:val="750"/>
          <w:jc w:val="center"/>
        </w:trPr>
        <w:tc>
          <w:tcPr>
            <w:tcW w:w="2127" w:type="dxa"/>
            <w:vMerge/>
          </w:tcPr>
          <w:p w:rsidR="00A97345" w:rsidRPr="00F57E2D" w:rsidRDefault="00A97345" w:rsidP="00693BF0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304211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95025F">
              <w:rPr>
                <w:rFonts w:ascii="Times New Roman" w:hAnsi="Times New Roman" w:cs="Times New Roman"/>
              </w:rPr>
              <w:t xml:space="preserve">слабо увеличение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Pr="009502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57,4</w:t>
            </w:r>
            <w:r w:rsidRPr="00244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5" w:type="dxa"/>
            <w:vMerge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vMerge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8A3E38">
        <w:trPr>
          <w:trHeight w:val="697"/>
          <w:jc w:val="center"/>
        </w:trPr>
        <w:tc>
          <w:tcPr>
            <w:tcW w:w="2127" w:type="dxa"/>
            <w:vMerge w:val="restart"/>
          </w:tcPr>
          <w:p w:rsidR="00A97345" w:rsidRPr="00F57E2D" w:rsidRDefault="00A97345" w:rsidP="0034335D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color w:val="000000"/>
              </w:rPr>
              <w:t xml:space="preserve">Дял на  </w:t>
            </w:r>
            <w:r>
              <w:rPr>
                <w:rFonts w:ascii="Times New Roman" w:hAnsi="Times New Roman" w:cs="Times New Roman"/>
                <w:color w:val="000000"/>
              </w:rPr>
              <w:t xml:space="preserve">иззетата вода в </w:t>
            </w:r>
            <w:r w:rsidR="0034335D">
              <w:rPr>
                <w:rFonts w:ascii="Times New Roman" w:hAnsi="Times New Roman" w:cs="Times New Roman"/>
                <w:color w:val="000000"/>
              </w:rPr>
              <w:t>РБ</w:t>
            </w:r>
            <w:r w:rsidR="0034335D" w:rsidRPr="00F57E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7E2D">
              <w:rPr>
                <w:rFonts w:ascii="Times New Roman" w:hAnsi="Times New Roman" w:cs="Times New Roman"/>
                <w:color w:val="000000"/>
              </w:rPr>
              <w:t>към общо</w:t>
            </w:r>
            <w:r>
              <w:rPr>
                <w:rFonts w:ascii="Times New Roman" w:hAnsi="Times New Roman" w:cs="Times New Roman"/>
                <w:color w:val="000000"/>
              </w:rPr>
              <w:t xml:space="preserve"> иззетата вода в</w:t>
            </w:r>
            <w:r w:rsidRPr="00F57E2D">
              <w:rPr>
                <w:rFonts w:ascii="Times New Roman" w:hAnsi="Times New Roman" w:cs="Times New Roman"/>
                <w:color w:val="000000"/>
              </w:rPr>
              <w:t xml:space="preserve"> района </w:t>
            </w:r>
          </w:p>
        </w:tc>
        <w:tc>
          <w:tcPr>
            <w:tcW w:w="2705" w:type="dxa"/>
            <w:vMerge w:val="restart"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C2433B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С охлаждане</w:t>
            </w:r>
            <w:r w:rsidRPr="00F57E2D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намаление от 84,6% на 83,2%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D6294" w:rsidRDefault="00A97345" w:rsidP="00FD6294">
            <w:pPr>
              <w:spacing w:after="120"/>
              <w:rPr>
                <w:rFonts w:ascii="Times New Roman" w:hAnsi="Times New Roman" w:cs="Times New Roman"/>
              </w:rPr>
            </w:pPr>
            <w:r w:rsidRPr="00FD6294">
              <w:rPr>
                <w:rFonts w:ascii="Times New Roman" w:hAnsi="Times New Roman" w:cs="Times New Roman"/>
                <w:i/>
              </w:rPr>
              <w:t>С охлаждане</w:t>
            </w:r>
            <w:r w:rsidRPr="00FD6294">
              <w:rPr>
                <w:rFonts w:ascii="Times New Roman" w:hAnsi="Times New Roman" w:cs="Times New Roman"/>
              </w:rPr>
              <w:t xml:space="preserve"> – увеличение от 13% на 15,3%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AB5B7A" w:rsidRDefault="00A97345" w:rsidP="00781696">
            <w:pPr>
              <w:spacing w:after="120"/>
              <w:rPr>
                <w:rFonts w:ascii="Times New Roman" w:hAnsi="Times New Roman" w:cs="Times New Roman"/>
              </w:rPr>
            </w:pPr>
            <w:r w:rsidRPr="00AB5B7A">
              <w:rPr>
                <w:rFonts w:ascii="Times New Roman" w:hAnsi="Times New Roman" w:cs="Times New Roman"/>
                <w:i/>
              </w:rPr>
              <w:t>С охлаждане</w:t>
            </w:r>
            <w:r w:rsidRPr="00AB5B7A">
              <w:rPr>
                <w:rFonts w:ascii="Times New Roman" w:hAnsi="Times New Roman" w:cs="Times New Roman"/>
              </w:rPr>
              <w:t xml:space="preserve"> – намаление от 2,4% на 1,6%</w:t>
            </w:r>
          </w:p>
        </w:tc>
        <w:tc>
          <w:tcPr>
            <w:tcW w:w="2706" w:type="dxa"/>
            <w:vMerge/>
            <w:shd w:val="clear" w:color="auto" w:fill="D6E3BC" w:themeFill="accent3" w:themeFillTint="66"/>
          </w:tcPr>
          <w:p w:rsidR="00A97345" w:rsidRPr="00F57E2D" w:rsidRDefault="00A97345" w:rsidP="0022711E">
            <w:pPr>
              <w:spacing w:after="120"/>
              <w:rPr>
                <w:rFonts w:ascii="Times New Roman" w:hAnsi="Times New Roman" w:cs="Times New Roman"/>
                <w:i/>
              </w:rPr>
            </w:pPr>
          </w:p>
        </w:tc>
      </w:tr>
      <w:tr w:rsidR="00A97345" w:rsidRPr="00F57E2D" w:rsidTr="008A3E38">
        <w:trPr>
          <w:trHeight w:val="126"/>
          <w:jc w:val="center"/>
        </w:trPr>
        <w:tc>
          <w:tcPr>
            <w:tcW w:w="2127" w:type="dxa"/>
            <w:vMerge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5" w:type="dxa"/>
            <w:vMerge/>
            <w:shd w:val="clear" w:color="auto" w:fill="auto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C2433B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  <w:i/>
              </w:rPr>
              <w:t>Без охлаждане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намаление от 79% на 75%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D6294" w:rsidRDefault="00A97345" w:rsidP="00FD6294">
            <w:pPr>
              <w:spacing w:after="120"/>
              <w:rPr>
                <w:rFonts w:ascii="Times New Roman" w:hAnsi="Times New Roman" w:cs="Times New Roman"/>
              </w:rPr>
            </w:pPr>
            <w:r w:rsidRPr="00FD6294">
              <w:rPr>
                <w:rFonts w:ascii="Times New Roman" w:hAnsi="Times New Roman" w:cs="Times New Roman"/>
                <w:i/>
              </w:rPr>
              <w:t>Без охлаждане</w:t>
            </w:r>
            <w:r w:rsidRPr="00FD6294">
              <w:rPr>
                <w:rFonts w:ascii="Times New Roman" w:hAnsi="Times New Roman" w:cs="Times New Roman"/>
              </w:rPr>
              <w:t xml:space="preserve"> – увеличение от 18,5% и 23%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AB5B7A" w:rsidRDefault="00A97345" w:rsidP="00781696">
            <w:pPr>
              <w:spacing w:after="120"/>
              <w:rPr>
                <w:rFonts w:ascii="Times New Roman" w:hAnsi="Times New Roman" w:cs="Times New Roman"/>
              </w:rPr>
            </w:pPr>
            <w:r w:rsidRPr="00AB5B7A">
              <w:rPr>
                <w:rFonts w:ascii="Times New Roman" w:hAnsi="Times New Roman" w:cs="Times New Roman"/>
                <w:i/>
              </w:rPr>
              <w:t>Без охлаждане</w:t>
            </w:r>
            <w:r w:rsidRPr="00AB5B7A">
              <w:rPr>
                <w:rFonts w:ascii="Times New Roman" w:hAnsi="Times New Roman" w:cs="Times New Roman"/>
              </w:rPr>
              <w:t xml:space="preserve"> – намаление от 2,4% на 2%</w:t>
            </w:r>
          </w:p>
        </w:tc>
        <w:tc>
          <w:tcPr>
            <w:tcW w:w="2706" w:type="dxa"/>
            <w:vMerge/>
            <w:shd w:val="clear" w:color="auto" w:fill="D6E3BC" w:themeFill="accent3" w:themeFillTint="66"/>
          </w:tcPr>
          <w:p w:rsidR="00A97345" w:rsidRPr="00F57E2D" w:rsidRDefault="00A97345" w:rsidP="006512A1">
            <w:pPr>
              <w:spacing w:after="120"/>
              <w:rPr>
                <w:rFonts w:ascii="Times New Roman" w:hAnsi="Times New Roman" w:cs="Times New Roman"/>
                <w:i/>
              </w:rPr>
            </w:pPr>
          </w:p>
        </w:tc>
      </w:tr>
      <w:tr w:rsidR="00A97345" w:rsidRPr="00F57E2D" w:rsidTr="008A3E38">
        <w:trPr>
          <w:trHeight w:val="801"/>
          <w:jc w:val="center"/>
        </w:trPr>
        <w:tc>
          <w:tcPr>
            <w:tcW w:w="2127" w:type="dxa"/>
          </w:tcPr>
          <w:p w:rsidR="00A97345" w:rsidRPr="00F57E2D" w:rsidRDefault="00A97345" w:rsidP="006928B9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t xml:space="preserve">Общо </w:t>
            </w:r>
            <w:r>
              <w:rPr>
                <w:rFonts w:ascii="Times New Roman" w:hAnsi="Times New Roman" w:cs="Times New Roman"/>
              </w:rPr>
              <w:t>иззета вода</w:t>
            </w:r>
            <w:r w:rsidRPr="00F57E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C05CE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Увеличава се с 15,1% с охлаждане и с 9,2% без охлаждане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C2433B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 13,2% с охлаждане и с 3,9% без охлаждане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D6294" w:rsidRDefault="00A97345" w:rsidP="00FD6294">
            <w:pPr>
              <w:spacing w:after="120"/>
              <w:rPr>
                <w:rFonts w:ascii="Times New Roman" w:hAnsi="Times New Roman" w:cs="Times New Roman"/>
              </w:rPr>
            </w:pPr>
            <w:r w:rsidRPr="00FD6294">
              <w:rPr>
                <w:rFonts w:ascii="Times New Roman" w:hAnsi="Times New Roman" w:cs="Times New Roman"/>
              </w:rPr>
              <w:t>Увеличение с около 35% както с, така и без охлаждане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38338C" w:rsidRDefault="00A97345" w:rsidP="00AB5B7A">
            <w:pPr>
              <w:spacing w:after="120"/>
              <w:rPr>
                <w:rFonts w:ascii="Times New Roman" w:hAnsi="Times New Roman" w:cs="Times New Roman"/>
              </w:rPr>
            </w:pPr>
            <w:r w:rsidRPr="0038338C">
              <w:rPr>
                <w:rFonts w:ascii="Times New Roman" w:hAnsi="Times New Roman" w:cs="Times New Roman"/>
              </w:rPr>
              <w:t xml:space="preserve">Намаление с около 25% с включено охлаждане и с 12% без охлаждане </w:t>
            </w:r>
          </w:p>
        </w:tc>
        <w:tc>
          <w:tcPr>
            <w:tcW w:w="2706" w:type="dxa"/>
            <w:vMerge/>
            <w:shd w:val="clear" w:color="auto" w:fill="D6E3BC" w:themeFill="accent3" w:themeFillTint="66"/>
          </w:tcPr>
          <w:p w:rsidR="00A97345" w:rsidRDefault="00A97345" w:rsidP="002D6CA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8A3E38">
        <w:trPr>
          <w:jc w:val="center"/>
        </w:trPr>
        <w:tc>
          <w:tcPr>
            <w:tcW w:w="2127" w:type="dxa"/>
          </w:tcPr>
          <w:p w:rsidR="00A97345" w:rsidRDefault="00A97345" w:rsidP="0040768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Количества иззета вода за охлаждане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E95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Висок и увеличаващ се дял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F57E2D" w:rsidRDefault="00A97345" w:rsidP="00505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Висок и увеличаващ се дял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E3401F" w:rsidRDefault="00A97345" w:rsidP="00E3401F">
            <w:pPr>
              <w:rPr>
                <w:rFonts w:ascii="Times New Roman" w:hAnsi="Times New Roman" w:cs="Times New Roman"/>
              </w:rPr>
            </w:pPr>
            <w:r w:rsidRPr="00E3401F">
              <w:rPr>
                <w:rFonts w:ascii="Times New Roman" w:hAnsi="Times New Roman" w:cs="Times New Roman"/>
              </w:rPr>
              <w:t xml:space="preserve">Изключително нисък дял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38338C" w:rsidRDefault="00A97345" w:rsidP="00693BF0">
            <w:pPr>
              <w:rPr>
                <w:rFonts w:ascii="Times New Roman" w:hAnsi="Times New Roman" w:cs="Times New Roman"/>
              </w:rPr>
            </w:pPr>
            <w:r w:rsidRPr="0038338C">
              <w:rPr>
                <w:rFonts w:ascii="Times New Roman" w:hAnsi="Times New Roman" w:cs="Times New Roman"/>
              </w:rPr>
              <w:t xml:space="preserve">Силно намаление </w:t>
            </w:r>
          </w:p>
        </w:tc>
        <w:tc>
          <w:tcPr>
            <w:tcW w:w="2706" w:type="dxa"/>
            <w:vMerge/>
            <w:shd w:val="clear" w:color="auto" w:fill="C6D9F1" w:themeFill="text2" w:themeFillTint="33"/>
          </w:tcPr>
          <w:p w:rsidR="00A97345" w:rsidRDefault="00A97345" w:rsidP="00693BF0">
            <w:pPr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1F46A3">
        <w:trPr>
          <w:jc w:val="center"/>
        </w:trPr>
        <w:tc>
          <w:tcPr>
            <w:tcW w:w="2127" w:type="dxa"/>
          </w:tcPr>
          <w:p w:rsidR="00A97345" w:rsidRDefault="00A97345" w:rsidP="00E6580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Подреждане на секторите по дял в иззетата вода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Default="00A97345" w:rsidP="002A16F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Няма промяна: </w:t>
            </w:r>
          </w:p>
          <w:p w:rsidR="00A97345" w:rsidRDefault="00A97345" w:rsidP="003C350C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A97345" w:rsidRDefault="00A97345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Индустрия </w:t>
            </w:r>
          </w:p>
          <w:p w:rsidR="00A97345" w:rsidRDefault="00A97345" w:rsidP="00E65800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A97345" w:rsidRDefault="00A97345" w:rsidP="003C350C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A97345" w:rsidRPr="003C350C" w:rsidRDefault="00A97345" w:rsidP="003C350C">
            <w:pPr>
              <w:pStyle w:val="ListParagraph"/>
              <w:numPr>
                <w:ilvl w:val="0"/>
                <w:numId w:val="2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Default="00A97345" w:rsidP="004A181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Няма промяна: </w:t>
            </w:r>
          </w:p>
          <w:p w:rsidR="00A97345" w:rsidRDefault="00A97345" w:rsidP="00263A72">
            <w:pPr>
              <w:pStyle w:val="ListParagraph"/>
              <w:numPr>
                <w:ilvl w:val="0"/>
                <w:numId w:val="38"/>
              </w:numPr>
              <w:spacing w:after="120"/>
              <w:ind w:left="473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A97345" w:rsidRDefault="00A97345" w:rsidP="00263A72">
            <w:pPr>
              <w:pStyle w:val="ListParagraph"/>
              <w:numPr>
                <w:ilvl w:val="0"/>
                <w:numId w:val="3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Индустрия </w:t>
            </w:r>
          </w:p>
          <w:p w:rsidR="00A97345" w:rsidRDefault="00A97345" w:rsidP="00263A72">
            <w:pPr>
              <w:pStyle w:val="ListParagraph"/>
              <w:numPr>
                <w:ilvl w:val="0"/>
                <w:numId w:val="3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 </w:t>
            </w:r>
          </w:p>
          <w:p w:rsidR="00A97345" w:rsidRDefault="00A97345" w:rsidP="00263A72">
            <w:pPr>
              <w:pStyle w:val="ListParagraph"/>
              <w:numPr>
                <w:ilvl w:val="0"/>
                <w:numId w:val="3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Селско стопанство </w:t>
            </w:r>
          </w:p>
          <w:p w:rsidR="00A97345" w:rsidRPr="003C350C" w:rsidRDefault="00A97345" w:rsidP="00263A72">
            <w:pPr>
              <w:pStyle w:val="ListParagraph"/>
              <w:numPr>
                <w:ilvl w:val="0"/>
                <w:numId w:val="38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A97BF7" w:rsidRDefault="00A97345" w:rsidP="00BA3DB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BF7">
              <w:rPr>
                <w:rFonts w:ascii="Times New Roman" w:hAnsi="Times New Roman" w:cs="Times New Roman"/>
              </w:rPr>
              <w:t xml:space="preserve">Няма промяна: </w:t>
            </w:r>
            <w:r w:rsidRPr="00A97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345" w:rsidRPr="00A97BF7" w:rsidRDefault="00A97345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 w:rsidRPr="00A97BF7">
              <w:rPr>
                <w:rFonts w:ascii="Times New Roman" w:hAnsi="Times New Roman" w:cs="Times New Roman"/>
              </w:rPr>
              <w:t xml:space="preserve">Напоителни системи </w:t>
            </w:r>
          </w:p>
          <w:p w:rsidR="00A97345" w:rsidRPr="00A97BF7" w:rsidRDefault="00A97345" w:rsidP="00BA3DB0">
            <w:pPr>
              <w:pStyle w:val="ListParagraph"/>
              <w:numPr>
                <w:ilvl w:val="0"/>
                <w:numId w:val="31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 w:rsidRPr="00A97BF7">
              <w:rPr>
                <w:rFonts w:ascii="Times New Roman" w:hAnsi="Times New Roman" w:cs="Times New Roman"/>
              </w:rPr>
              <w:t xml:space="preserve">ВиК </w:t>
            </w:r>
          </w:p>
          <w:p w:rsidR="00A97345" w:rsidRPr="00A97BF7" w:rsidRDefault="00A97345" w:rsidP="00B6010B">
            <w:pPr>
              <w:spacing w:after="120"/>
              <w:ind w:left="45"/>
              <w:rPr>
                <w:rFonts w:ascii="Times New Roman" w:hAnsi="Times New Roman" w:cs="Times New Roman"/>
              </w:rPr>
            </w:pPr>
            <w:r w:rsidRPr="00A97BF7">
              <w:rPr>
                <w:rFonts w:ascii="Times New Roman" w:hAnsi="Times New Roman" w:cs="Times New Roman"/>
              </w:rPr>
              <w:t xml:space="preserve">Формират над 95% от иззетите води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A97BF7" w:rsidRDefault="00A97345" w:rsidP="0038338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BF7">
              <w:rPr>
                <w:rFonts w:ascii="Times New Roman" w:hAnsi="Times New Roman" w:cs="Times New Roman"/>
              </w:rPr>
              <w:t xml:space="preserve">Няма промяна: </w:t>
            </w:r>
            <w:r w:rsidRPr="00A97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345" w:rsidRPr="00A97BF7" w:rsidRDefault="00A97345" w:rsidP="0038338C">
            <w:pPr>
              <w:pStyle w:val="ListParagraph"/>
              <w:numPr>
                <w:ilvl w:val="0"/>
                <w:numId w:val="39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</w:t>
            </w:r>
            <w:r w:rsidRPr="00A97BF7">
              <w:rPr>
                <w:rFonts w:ascii="Times New Roman" w:hAnsi="Times New Roman" w:cs="Times New Roman"/>
              </w:rPr>
              <w:t xml:space="preserve"> </w:t>
            </w:r>
          </w:p>
          <w:p w:rsidR="00A97345" w:rsidRPr="00A97BF7" w:rsidRDefault="00A97345" w:rsidP="0038338C">
            <w:pPr>
              <w:pStyle w:val="ListParagraph"/>
              <w:numPr>
                <w:ilvl w:val="0"/>
                <w:numId w:val="39"/>
              </w:numPr>
              <w:spacing w:after="120"/>
              <w:ind w:left="458" w:hanging="4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Индустрия</w:t>
            </w:r>
          </w:p>
          <w:p w:rsidR="00A97345" w:rsidRPr="00C2433B" w:rsidRDefault="00A97345" w:rsidP="0038338C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A97BF7">
              <w:rPr>
                <w:rFonts w:ascii="Times New Roman" w:hAnsi="Times New Roman" w:cs="Times New Roman"/>
              </w:rPr>
              <w:t>Формират над 95% от иззетите води</w:t>
            </w:r>
          </w:p>
        </w:tc>
        <w:tc>
          <w:tcPr>
            <w:tcW w:w="2706" w:type="dxa"/>
            <w:vMerge/>
            <w:shd w:val="clear" w:color="auto" w:fill="D6E3BC" w:themeFill="accent3" w:themeFillTint="66"/>
          </w:tcPr>
          <w:p w:rsidR="00A97345" w:rsidRDefault="00A97345" w:rsidP="0040768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45" w:rsidRPr="00F57E2D" w:rsidTr="001F46A3">
        <w:trPr>
          <w:jc w:val="center"/>
        </w:trPr>
        <w:tc>
          <w:tcPr>
            <w:tcW w:w="2127" w:type="dxa"/>
          </w:tcPr>
          <w:p w:rsidR="00A97345" w:rsidRDefault="00A97345" w:rsidP="000948A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Иззета вода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секторите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Default="00A97345" w:rsidP="0069317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Увеличение на иззетите води във всички сектори, </w:t>
            </w:r>
            <w:r>
              <w:rPr>
                <w:rFonts w:ascii="Times New Roman" w:hAnsi="Times New Roman" w:cs="Times New Roman"/>
              </w:rPr>
              <w:lastRenderedPageBreak/>
              <w:t>с изключение на ВиК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Default="00A97345" w:rsidP="00C2433B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Увеличение на иззетите води от селското </w:t>
            </w:r>
            <w:r>
              <w:rPr>
                <w:rFonts w:ascii="Times New Roman" w:hAnsi="Times New Roman" w:cs="Times New Roman"/>
              </w:rPr>
              <w:lastRenderedPageBreak/>
              <w:t>стопанство, индустрията,  услугите,  намаление при ВиК и НС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E703A4" w:rsidRDefault="00A97345" w:rsidP="00A97BF7">
            <w:pPr>
              <w:spacing w:after="120"/>
              <w:rPr>
                <w:rFonts w:ascii="Times New Roman" w:hAnsi="Times New Roman" w:cs="Times New Roman"/>
              </w:rPr>
            </w:pPr>
            <w:r w:rsidRPr="00E703A4">
              <w:rPr>
                <w:rFonts w:ascii="Times New Roman" w:hAnsi="Times New Roman" w:cs="Times New Roman"/>
              </w:rPr>
              <w:lastRenderedPageBreak/>
              <w:t xml:space="preserve">Увеличение на иззетите води от всички сектори, с </w:t>
            </w:r>
            <w:r w:rsidRPr="00E703A4">
              <w:rPr>
                <w:rFonts w:ascii="Times New Roman" w:hAnsi="Times New Roman" w:cs="Times New Roman"/>
              </w:rPr>
              <w:lastRenderedPageBreak/>
              <w:t>изключение на индустрията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01118A" w:rsidRDefault="00A97345" w:rsidP="00992838">
            <w:pPr>
              <w:spacing w:after="120"/>
              <w:rPr>
                <w:rFonts w:ascii="Times New Roman" w:hAnsi="Times New Roman" w:cs="Times New Roman"/>
              </w:rPr>
            </w:pPr>
            <w:r w:rsidRPr="0001118A">
              <w:rPr>
                <w:rFonts w:ascii="Times New Roman" w:hAnsi="Times New Roman" w:cs="Times New Roman"/>
              </w:rPr>
              <w:lastRenderedPageBreak/>
              <w:t xml:space="preserve">Намаление на иззетите води във всички сектори, </w:t>
            </w:r>
            <w:r w:rsidRPr="0001118A">
              <w:rPr>
                <w:rFonts w:ascii="Times New Roman" w:hAnsi="Times New Roman" w:cs="Times New Roman"/>
              </w:rPr>
              <w:lastRenderedPageBreak/>
              <w:t>с изключение на услугите</w:t>
            </w:r>
          </w:p>
        </w:tc>
        <w:tc>
          <w:tcPr>
            <w:tcW w:w="2706" w:type="dxa"/>
            <w:vMerge/>
          </w:tcPr>
          <w:p w:rsidR="00A97345" w:rsidRDefault="00A97345" w:rsidP="00CD0AA7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8A3E38">
        <w:trPr>
          <w:trHeight w:val="1900"/>
          <w:jc w:val="center"/>
        </w:trPr>
        <w:tc>
          <w:tcPr>
            <w:tcW w:w="2127" w:type="dxa"/>
          </w:tcPr>
          <w:p w:rsidR="00A97345" w:rsidRPr="00F57E2D" w:rsidRDefault="00A97345" w:rsidP="00FF2493">
            <w:pPr>
              <w:spacing w:after="120"/>
              <w:rPr>
                <w:rFonts w:ascii="Times New Roman" w:hAnsi="Times New Roman" w:cs="Times New Roman"/>
              </w:rPr>
            </w:pPr>
            <w:r w:rsidRPr="00F57E2D">
              <w:rPr>
                <w:rFonts w:ascii="Times New Roman" w:hAnsi="Times New Roman" w:cs="Times New Roman"/>
              </w:rPr>
              <w:lastRenderedPageBreak/>
              <w:t>Водещ</w:t>
            </w:r>
            <w:r>
              <w:rPr>
                <w:rFonts w:ascii="Times New Roman" w:hAnsi="Times New Roman" w:cs="Times New Roman"/>
              </w:rPr>
              <w:t xml:space="preserve"> вид водовземане </w:t>
            </w:r>
            <w:r w:rsidRPr="00F57E2D">
              <w:rPr>
                <w:rFonts w:ascii="Times New Roman" w:hAnsi="Times New Roman" w:cs="Times New Roman"/>
              </w:rPr>
              <w:t xml:space="preserve"> и тенденция </w:t>
            </w:r>
            <w:r>
              <w:rPr>
                <w:rFonts w:ascii="Times New Roman" w:hAnsi="Times New Roman" w:cs="Times New Roman"/>
              </w:rPr>
              <w:t>при</w:t>
            </w:r>
            <w:r w:rsidRPr="00F57E2D">
              <w:rPr>
                <w:rFonts w:ascii="Times New Roman" w:hAnsi="Times New Roman" w:cs="Times New Roman"/>
              </w:rPr>
              <w:t xml:space="preserve"> дела му в структурата </w:t>
            </w:r>
            <w:r>
              <w:rPr>
                <w:rFonts w:ascii="Times New Roman" w:hAnsi="Times New Roman" w:cs="Times New Roman"/>
              </w:rPr>
              <w:t xml:space="preserve">водовземанията 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8A4F9C" w:rsidRDefault="00A97345" w:rsidP="008A4F9C">
            <w:pPr>
              <w:shd w:val="clear" w:color="auto" w:fill="C6D9F1" w:themeFill="text2" w:themeFillTint="33"/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Водоснабдяване</w:t>
            </w:r>
          </w:p>
          <w:p w:rsidR="00A97345" w:rsidRPr="00F57E2D" w:rsidRDefault="00A97345" w:rsidP="008A4F9C">
            <w:pPr>
              <w:spacing w:after="120"/>
              <w:rPr>
                <w:rFonts w:ascii="Times New Roman" w:hAnsi="Times New Roman" w:cs="Times New Roman"/>
              </w:rPr>
            </w:pPr>
            <w:r w:rsidRPr="008A4F9C">
              <w:rPr>
                <w:rFonts w:ascii="Times New Roman" w:hAnsi="Times New Roman" w:cs="Times New Roman"/>
              </w:rPr>
              <w:t>Слабо намаление на дела му за смет</w:t>
            </w:r>
            <w:r>
              <w:rPr>
                <w:rFonts w:ascii="Times New Roman" w:hAnsi="Times New Roman" w:cs="Times New Roman"/>
              </w:rPr>
              <w:t>к</w:t>
            </w:r>
            <w:r w:rsidRPr="008A4F9C">
              <w:rPr>
                <w:rFonts w:ascii="Times New Roman" w:hAnsi="Times New Roman" w:cs="Times New Roman"/>
              </w:rPr>
              <w:t>а на увеличение на дела на иззета прясна вода за собствено водоснабдяване</w:t>
            </w:r>
          </w:p>
        </w:tc>
        <w:tc>
          <w:tcPr>
            <w:tcW w:w="2705" w:type="dxa"/>
            <w:shd w:val="clear" w:color="auto" w:fill="D6E3BC" w:themeFill="accent3" w:themeFillTint="66"/>
          </w:tcPr>
          <w:p w:rsidR="00A97345" w:rsidRPr="008A4F9C" w:rsidRDefault="00A97345" w:rsidP="008A4F9C">
            <w:pPr>
              <w:shd w:val="clear" w:color="auto" w:fill="C6D9F1" w:themeFill="text2" w:themeFillTint="33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Собствено водоснабдяване</w:t>
            </w:r>
          </w:p>
          <w:p w:rsidR="00A97345" w:rsidRPr="00F57E2D" w:rsidRDefault="00A97345" w:rsidP="0030190B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на дела му </w:t>
            </w:r>
            <w:r w:rsidRPr="008A4F9C">
              <w:rPr>
                <w:rFonts w:ascii="Times New Roman" w:hAnsi="Times New Roman" w:cs="Times New Roman"/>
              </w:rPr>
              <w:t xml:space="preserve"> за смет</w:t>
            </w:r>
            <w:r>
              <w:rPr>
                <w:rFonts w:ascii="Times New Roman" w:hAnsi="Times New Roman" w:cs="Times New Roman"/>
              </w:rPr>
              <w:t>к</w:t>
            </w:r>
            <w:r w:rsidRPr="008A4F9C">
              <w:rPr>
                <w:rFonts w:ascii="Times New Roman" w:hAnsi="Times New Roman" w:cs="Times New Roman"/>
              </w:rPr>
              <w:t xml:space="preserve">а на увеличение на дела на иззета прясна вода за </w:t>
            </w:r>
            <w:r>
              <w:rPr>
                <w:rFonts w:ascii="Times New Roman" w:hAnsi="Times New Roman" w:cs="Times New Roman"/>
              </w:rPr>
              <w:t>водоснабдяване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E703A4" w:rsidRDefault="00A97345" w:rsidP="00E703A4">
            <w:pPr>
              <w:spacing w:after="120"/>
              <w:rPr>
                <w:rFonts w:ascii="Times New Roman" w:hAnsi="Times New Roman" w:cs="Times New Roman"/>
              </w:rPr>
            </w:pPr>
            <w:r w:rsidRPr="00E703A4">
              <w:rPr>
                <w:rFonts w:ascii="Times New Roman" w:hAnsi="Times New Roman" w:cs="Times New Roman"/>
              </w:rPr>
              <w:t>Водоснабдяване с постоянен дял от над 95%</w:t>
            </w:r>
          </w:p>
          <w:p w:rsidR="00A97345" w:rsidRPr="00E703A4" w:rsidRDefault="00A97345" w:rsidP="00E703A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CD0737" w:rsidRDefault="00A97345" w:rsidP="00F209BA">
            <w:pPr>
              <w:spacing w:after="120"/>
              <w:rPr>
                <w:rFonts w:ascii="Times New Roman" w:hAnsi="Times New Roman" w:cs="Times New Roman"/>
              </w:rPr>
            </w:pPr>
            <w:r w:rsidRPr="00CD0737">
              <w:rPr>
                <w:rFonts w:ascii="Times New Roman" w:hAnsi="Times New Roman" w:cs="Times New Roman"/>
              </w:rPr>
              <w:t xml:space="preserve">Водоснабдяване, като делът му нараства през 2008-2013 г. </w:t>
            </w:r>
          </w:p>
          <w:p w:rsidR="00A97345" w:rsidRPr="00CD0737" w:rsidRDefault="00A97345" w:rsidP="00F209BA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vMerge/>
            <w:shd w:val="clear" w:color="auto" w:fill="C6D9F1" w:themeFill="text2" w:themeFillTint="33"/>
          </w:tcPr>
          <w:p w:rsidR="00A97345" w:rsidRPr="00F209BA" w:rsidRDefault="00A97345" w:rsidP="00F209B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8A3E38">
        <w:trPr>
          <w:jc w:val="center"/>
        </w:trPr>
        <w:tc>
          <w:tcPr>
            <w:tcW w:w="2127" w:type="dxa"/>
          </w:tcPr>
          <w:p w:rsidR="00A97345" w:rsidRPr="00F57E2D" w:rsidRDefault="00A97345" w:rsidP="00FF249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Иззети количества непрясна вода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F57E2D" w:rsidRDefault="00A97345" w:rsidP="001319E1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E703A4" w:rsidRDefault="00A97345" w:rsidP="00AE490B">
            <w:pPr>
              <w:spacing w:after="120"/>
              <w:rPr>
                <w:rFonts w:ascii="Times New Roman" w:hAnsi="Times New Roman" w:cs="Times New Roman"/>
              </w:rPr>
            </w:pPr>
            <w:r w:rsidRPr="00E703A4"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944D05" w:rsidRDefault="00A97345" w:rsidP="006A536A">
            <w:pPr>
              <w:spacing w:after="120"/>
              <w:rPr>
                <w:rFonts w:ascii="Times New Roman" w:hAnsi="Times New Roman" w:cs="Times New Roman"/>
              </w:rPr>
            </w:pPr>
            <w:r w:rsidRPr="00944D05">
              <w:rPr>
                <w:rFonts w:ascii="Times New Roman" w:hAnsi="Times New Roman" w:cs="Times New Roman"/>
              </w:rPr>
              <w:t>Няма</w:t>
            </w:r>
          </w:p>
        </w:tc>
        <w:tc>
          <w:tcPr>
            <w:tcW w:w="2706" w:type="dxa"/>
            <w:vMerge/>
            <w:shd w:val="clear" w:color="auto" w:fill="C6D9F1" w:themeFill="text2" w:themeFillTint="33"/>
          </w:tcPr>
          <w:p w:rsidR="00A97345" w:rsidRDefault="00A97345" w:rsidP="006A536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97345" w:rsidRPr="00F57E2D" w:rsidTr="008A3E38">
        <w:trPr>
          <w:jc w:val="center"/>
        </w:trPr>
        <w:tc>
          <w:tcPr>
            <w:tcW w:w="2127" w:type="dxa"/>
          </w:tcPr>
          <w:p w:rsidR="00A97345" w:rsidRDefault="00A97345" w:rsidP="003025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Иззети възвърнати води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F57E2D" w:rsidRDefault="00A97345" w:rsidP="00693BF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F57E2D" w:rsidRDefault="00A97345" w:rsidP="001319E1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E703A4" w:rsidRDefault="00A97345" w:rsidP="00AE490B">
            <w:pPr>
              <w:spacing w:after="120"/>
              <w:rPr>
                <w:rFonts w:ascii="Times New Roman" w:hAnsi="Times New Roman" w:cs="Times New Roman"/>
              </w:rPr>
            </w:pPr>
            <w:r w:rsidRPr="00E703A4">
              <w:rPr>
                <w:rFonts w:ascii="Times New Roman" w:hAnsi="Times New Roman" w:cs="Times New Roman"/>
              </w:rPr>
              <w:t xml:space="preserve">Незначителни количества </w:t>
            </w:r>
          </w:p>
        </w:tc>
        <w:tc>
          <w:tcPr>
            <w:tcW w:w="2705" w:type="dxa"/>
            <w:shd w:val="clear" w:color="auto" w:fill="C6D9F1" w:themeFill="text2" w:themeFillTint="33"/>
          </w:tcPr>
          <w:p w:rsidR="00A97345" w:rsidRPr="00944D05" w:rsidRDefault="00A97345" w:rsidP="006A536A">
            <w:pPr>
              <w:spacing w:after="120"/>
              <w:rPr>
                <w:rFonts w:ascii="Times New Roman" w:hAnsi="Times New Roman" w:cs="Times New Roman"/>
              </w:rPr>
            </w:pPr>
            <w:r w:rsidRPr="00944D05">
              <w:rPr>
                <w:rFonts w:ascii="Times New Roman" w:hAnsi="Times New Roman" w:cs="Times New Roman"/>
              </w:rPr>
              <w:t xml:space="preserve">Незначително количества и то само в периода 2003-2007 г. </w:t>
            </w:r>
          </w:p>
        </w:tc>
        <w:tc>
          <w:tcPr>
            <w:tcW w:w="2706" w:type="dxa"/>
            <w:vMerge/>
            <w:shd w:val="clear" w:color="auto" w:fill="C6D9F1" w:themeFill="text2" w:themeFillTint="33"/>
          </w:tcPr>
          <w:p w:rsidR="00A97345" w:rsidRDefault="00A97345" w:rsidP="006A536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54EA5" w:rsidRDefault="00B54EA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C622B3" w:rsidRPr="00996936" w:rsidRDefault="00C622B3" w:rsidP="00C622B3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Оценка на развитието по о</w:t>
      </w: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t>сновни показатели за водоснабдяване, канализация и пречистване на питейни и отпадъчни води, загуби по водопреносните мрежи, режим на водоснабдяване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65"/>
        <w:gridCol w:w="453"/>
      </w:tblGrid>
      <w:tr w:rsidR="00C622B3" w:rsidTr="005D4D0D">
        <w:trPr>
          <w:trHeight w:val="20"/>
          <w:jc w:val="center"/>
        </w:trPr>
        <w:tc>
          <w:tcPr>
            <w:tcW w:w="14218" w:type="dxa"/>
            <w:gridSpan w:val="2"/>
          </w:tcPr>
          <w:p w:rsidR="00C622B3" w:rsidRPr="007543EC" w:rsidRDefault="008B7DF7" w:rsidP="001D052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Сравнителният анализ на средногодишните стойности на основните показатели за оценка на ВиК инфраструктурата в страната, ИБРБУВ и 4-те </w:t>
            </w:r>
            <w:r w:rsidR="0034335D">
              <w:rPr>
                <w:rFonts w:ascii="Times New Roman" w:hAnsi="Times New Roman" w:cs="Times New Roman"/>
                <w:sz w:val="24"/>
                <w:szCs w:val="24"/>
              </w:rPr>
              <w:t xml:space="preserve">речни басейна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двата периода 2003-2007 г. и 2008-2013 г. е направено графично. В </w:t>
            </w:r>
            <w:r w:rsidR="001D052A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р. Бяла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вкл. р. Луда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няма население, свързано с ПСПВ, както и със СПСОВ - 100% от населението е със собствено пречистване на отпадъчните води</w:t>
            </w:r>
            <w:r w:rsidR="00C62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22B3" w:rsidTr="005D4D0D">
        <w:trPr>
          <w:trHeight w:val="20"/>
          <w:jc w:val="center"/>
        </w:trPr>
        <w:tc>
          <w:tcPr>
            <w:tcW w:w="13765" w:type="dxa"/>
          </w:tcPr>
          <w:tbl>
            <w:tblPr>
              <w:tblStyle w:val="TableGrid"/>
              <w:tblW w:w="1346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90"/>
              <w:gridCol w:w="6555"/>
              <w:gridCol w:w="22"/>
            </w:tblGrid>
            <w:tr w:rsidR="008B7DF7" w:rsidTr="00A7358C">
              <w:trPr>
                <w:gridAfter w:val="1"/>
                <w:wAfter w:w="22" w:type="dxa"/>
                <w:trHeight w:val="20"/>
                <w:jc w:val="center"/>
              </w:trPr>
              <w:tc>
                <w:tcPr>
                  <w:tcW w:w="13445" w:type="dxa"/>
                  <w:gridSpan w:val="2"/>
                </w:tcPr>
                <w:p w:rsidR="008B7DF7" w:rsidRPr="007543EC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B7DF7" w:rsidTr="00A7358C">
              <w:trPr>
                <w:gridAfter w:val="1"/>
                <w:wAfter w:w="22" w:type="dxa"/>
                <w:trHeight w:val="20"/>
                <w:jc w:val="center"/>
              </w:trPr>
              <w:tc>
                <w:tcPr>
                  <w:tcW w:w="6890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Доставена вода от ВиК, л/ден./чов.</w:t>
                  </w:r>
                </w:p>
              </w:tc>
              <w:tc>
                <w:tcPr>
                  <w:tcW w:w="6555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Загуби при транспорт на вода, %</w:t>
                  </w:r>
                </w:p>
              </w:tc>
            </w:tr>
            <w:tr w:rsidR="008B7DF7" w:rsidTr="00A7358C">
              <w:tblPrEx>
                <w:tblCellMar>
                  <w:left w:w="70" w:type="dxa"/>
                  <w:right w:w="70" w:type="dxa"/>
                </w:tblCellMar>
              </w:tblPrEx>
              <w:trPr>
                <w:trHeight w:val="20"/>
                <w:jc w:val="center"/>
              </w:trPr>
              <w:tc>
                <w:tcPr>
                  <w:tcW w:w="6890" w:type="dxa"/>
                </w:tcPr>
                <w:p w:rsidR="008B7DF7" w:rsidRPr="005674FE" w:rsidRDefault="00A7358C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EBBB21A" wp14:editId="11AC64B8">
                        <wp:extent cx="3286125" cy="2000250"/>
                        <wp:effectExtent l="0" t="0" r="0" b="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77" w:type="dxa"/>
                  <w:gridSpan w:val="2"/>
                </w:tcPr>
                <w:p w:rsidR="008B7DF7" w:rsidRPr="005674FE" w:rsidRDefault="00A7358C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1DA08F15" wp14:editId="339DE0DC">
                        <wp:extent cx="3457575" cy="2000250"/>
                        <wp:effectExtent l="0" t="0" r="0" b="0"/>
                        <wp:docPr id="16" name="Chart 1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c>
            </w:tr>
            <w:tr w:rsidR="008B7DF7" w:rsidTr="00A7358C">
              <w:trPr>
                <w:gridAfter w:val="1"/>
                <w:wAfter w:w="22" w:type="dxa"/>
                <w:trHeight w:val="20"/>
                <w:jc w:val="center"/>
              </w:trPr>
              <w:tc>
                <w:tcPr>
                  <w:tcW w:w="6890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Население на режим, %</w:t>
                  </w:r>
                </w:p>
              </w:tc>
              <w:tc>
                <w:tcPr>
                  <w:tcW w:w="6555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Население, свързано с ПСПВ, %</w:t>
                  </w:r>
                </w:p>
              </w:tc>
            </w:tr>
            <w:tr w:rsidR="008B7DF7" w:rsidTr="00A7358C">
              <w:tblPrEx>
                <w:tblCellMar>
                  <w:left w:w="70" w:type="dxa"/>
                  <w:right w:w="70" w:type="dxa"/>
                </w:tblCellMar>
              </w:tblPrEx>
              <w:trPr>
                <w:trHeight w:val="20"/>
                <w:jc w:val="center"/>
              </w:trPr>
              <w:tc>
                <w:tcPr>
                  <w:tcW w:w="6890" w:type="dxa"/>
                </w:tcPr>
                <w:p w:rsidR="008B7DF7" w:rsidRDefault="00A7358C" w:rsidP="008B7DF7">
                  <w:pPr>
                    <w:jc w:val="center"/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AC835A8" wp14:editId="7DBF50C9">
                        <wp:extent cx="3009900" cy="2152650"/>
                        <wp:effectExtent l="0" t="0" r="0" b="0"/>
                        <wp:docPr id="17" name="Chart 1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77" w:type="dxa"/>
                  <w:gridSpan w:val="2"/>
                </w:tcPr>
                <w:p w:rsidR="008B7DF7" w:rsidRDefault="00A7358C" w:rsidP="008B7DF7">
                  <w:pPr>
                    <w:jc w:val="center"/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F8B184C" wp14:editId="062FD708">
                        <wp:extent cx="3314700" cy="2152650"/>
                        <wp:effectExtent l="0" t="0" r="0" b="0"/>
                        <wp:docPr id="18" name="Chart 1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7DF7" w:rsidRDefault="008B7DF7" w:rsidP="008B7DF7">
            <w:pPr>
              <w:rPr>
                <w:lang w:val="en-US"/>
              </w:rPr>
            </w:pPr>
          </w:p>
          <w:p w:rsidR="00733C75" w:rsidRDefault="00733C75" w:rsidP="008B7DF7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54"/>
              <w:gridCol w:w="6857"/>
              <w:gridCol w:w="38"/>
            </w:tblGrid>
            <w:tr w:rsidR="008B7DF7" w:rsidRPr="00EB6E6C" w:rsidTr="00605E01">
              <w:trPr>
                <w:gridAfter w:val="1"/>
                <w:wAfter w:w="38" w:type="dxa"/>
                <w:trHeight w:val="20"/>
                <w:jc w:val="center"/>
              </w:trPr>
              <w:tc>
                <w:tcPr>
                  <w:tcW w:w="6654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Население, свързано с канализация, %</w:t>
                  </w:r>
                </w:p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857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Население, свързано с ПСОВ, %</w:t>
                  </w:r>
                </w:p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B7DF7" w:rsidRPr="005674FE" w:rsidTr="00605E01">
              <w:tblPrEx>
                <w:tblCellMar>
                  <w:left w:w="70" w:type="dxa"/>
                  <w:right w:w="70" w:type="dxa"/>
                </w:tblCellMar>
              </w:tblPrEx>
              <w:trPr>
                <w:trHeight w:val="20"/>
                <w:jc w:val="center"/>
              </w:trPr>
              <w:tc>
                <w:tcPr>
                  <w:tcW w:w="6654" w:type="dxa"/>
                </w:tcPr>
                <w:p w:rsidR="008B7DF7" w:rsidRPr="004D3319" w:rsidRDefault="00605E01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745902F4" wp14:editId="15D33B8F">
                        <wp:extent cx="3533775" cy="2362200"/>
                        <wp:effectExtent l="0" t="0" r="0" b="0"/>
                        <wp:docPr id="19" name="Chart 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95" w:type="dxa"/>
                  <w:gridSpan w:val="2"/>
                </w:tcPr>
                <w:p w:rsidR="008B7DF7" w:rsidRPr="004D3319" w:rsidRDefault="00605E01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63A0AC99" wp14:editId="260A46A5">
                        <wp:extent cx="3533775" cy="2295525"/>
                        <wp:effectExtent l="0" t="0" r="0" b="0"/>
                        <wp:docPr id="20" name="Chart 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:inline>
                    </w:drawing>
                  </w:r>
                </w:p>
              </w:tc>
            </w:tr>
            <w:tr w:rsidR="008B7DF7" w:rsidRPr="007543EC" w:rsidTr="00605E01">
              <w:trPr>
                <w:gridAfter w:val="1"/>
                <w:wAfter w:w="38" w:type="dxa"/>
                <w:trHeight w:val="20"/>
                <w:jc w:val="center"/>
              </w:trPr>
              <w:tc>
                <w:tcPr>
                  <w:tcW w:w="6654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Проектно</w:t>
                  </w:r>
                  <w:proofErr w:type="spellEnd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натоварване</w:t>
                  </w:r>
                  <w:proofErr w:type="spellEnd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по</w:t>
                  </w:r>
                  <w:proofErr w:type="spellEnd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БПК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5</w:t>
                  </w:r>
                  <w:r w:rsidR="00C603A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="00C603A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 ПСОВ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, 1000 </w:t>
                  </w:r>
                  <w:proofErr w:type="spellStart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кг</w:t>
                  </w:r>
                  <w:proofErr w:type="spellEnd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О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ден</w:t>
                  </w:r>
                  <w:proofErr w:type="spellEnd"/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6857" w:type="dxa"/>
                </w:tcPr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Фактическо натоварване по БПК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="00C603A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на ПСОВ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, 1000 кг О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4D331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/ден.</w:t>
                  </w:r>
                </w:p>
                <w:p w:rsidR="008B7DF7" w:rsidRPr="004D3319" w:rsidRDefault="008B7DF7" w:rsidP="008B7D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B7DF7" w:rsidTr="00605E01">
              <w:tblPrEx>
                <w:tblCellMar>
                  <w:left w:w="70" w:type="dxa"/>
                  <w:right w:w="70" w:type="dxa"/>
                </w:tblCellMar>
              </w:tblPrEx>
              <w:trPr>
                <w:trHeight w:val="20"/>
                <w:jc w:val="center"/>
              </w:trPr>
              <w:tc>
                <w:tcPr>
                  <w:tcW w:w="6654" w:type="dxa"/>
                </w:tcPr>
                <w:p w:rsidR="008B7DF7" w:rsidRPr="004D3319" w:rsidRDefault="00605E01" w:rsidP="008B7DF7">
                  <w:pPr>
                    <w:jc w:val="center"/>
                    <w:rPr>
                      <w:b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7344F258" wp14:editId="371201F8">
                        <wp:extent cx="3562350" cy="2266950"/>
                        <wp:effectExtent l="0" t="0" r="0" b="0"/>
                        <wp:docPr id="21" name="Chart 2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95" w:type="dxa"/>
                  <w:gridSpan w:val="2"/>
                </w:tcPr>
                <w:p w:rsidR="008B7DF7" w:rsidRPr="004D3319" w:rsidRDefault="00605E01" w:rsidP="008B7DF7">
                  <w:pPr>
                    <w:jc w:val="center"/>
                    <w:rPr>
                      <w:b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8E2656E" wp14:editId="3059FABD">
                        <wp:extent cx="3848100" cy="2266950"/>
                        <wp:effectExtent l="0" t="0" r="0" b="0"/>
                        <wp:docPr id="24" name="Chart 2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22B3" w:rsidRPr="005674FE" w:rsidRDefault="00C622B3" w:rsidP="008B7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C622B3" w:rsidRPr="00813AAC" w:rsidRDefault="00C622B3" w:rsidP="008B7D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349E4" w:rsidRDefault="004349E4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sectPr w:rsidR="004349E4" w:rsidSect="008B7DF7">
          <w:pgSz w:w="16838" w:h="11906" w:orient="landscape"/>
          <w:pgMar w:top="1191" w:right="1418" w:bottom="1191" w:left="1418" w:header="709" w:footer="709" w:gutter="0"/>
          <w:cols w:space="708"/>
          <w:docGrid w:linePitch="360"/>
        </w:sectPr>
      </w:pPr>
    </w:p>
    <w:p w:rsidR="00594135" w:rsidRPr="00C70761" w:rsidRDefault="00594135" w:rsidP="00C70761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076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Оценка на развитието по отношение на отпадъчни води по сектори и степен на пречистване</w:t>
      </w:r>
    </w:p>
    <w:p w:rsidR="001961AD" w:rsidRPr="00C70761" w:rsidRDefault="004B68CC" w:rsidP="009E2A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</w:rPr>
        <w:t xml:space="preserve">Сравнението между средногодишните стойности на отведените отпадъчни води и образуваните от точкови източници в ИБРБУВ и 4те </w:t>
      </w:r>
      <w:r w:rsidR="001D052A">
        <w:rPr>
          <w:rFonts w:ascii="Times New Roman" w:hAnsi="Times New Roman" w:cs="Times New Roman"/>
        </w:rPr>
        <w:t>РБ</w:t>
      </w:r>
      <w:r>
        <w:rPr>
          <w:rFonts w:ascii="Times New Roman" w:hAnsi="Times New Roman" w:cs="Times New Roman"/>
        </w:rPr>
        <w:t xml:space="preserve"> за двата периода 2003-2007 г. и 2008-2013 г. е направено графично. Допълнително са показани и отведените води от охлаждащите процеси във водни обекти. </w:t>
      </w:r>
      <w:r w:rsidR="003C5573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тведените води във водни обекти са </w:t>
      </w:r>
      <w:r w:rsidR="003C5573">
        <w:rPr>
          <w:rFonts w:ascii="Times New Roman" w:hAnsi="Times New Roman" w:cs="Times New Roman"/>
        </w:rPr>
        <w:t>отчетени</w:t>
      </w:r>
      <w:r>
        <w:rPr>
          <w:rFonts w:ascii="Times New Roman" w:hAnsi="Times New Roman" w:cs="Times New Roman"/>
        </w:rPr>
        <w:t xml:space="preserve"> при изчисляване на недостига на вода чрез експлоатационния воден индекс </w:t>
      </w:r>
      <w:r>
        <w:rPr>
          <w:rFonts w:ascii="Times New Roman" w:hAnsi="Times New Roman" w:cs="Times New Roman"/>
          <w:lang w:val="en-US"/>
        </w:rPr>
        <w:t>WEI+</w:t>
      </w:r>
      <w:r w:rsidR="001961AD" w:rsidRPr="00C7076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0"/>
        <w:gridCol w:w="6830"/>
        <w:gridCol w:w="38"/>
      </w:tblGrid>
      <w:tr w:rsidR="009E2AE7" w:rsidTr="004A181D">
        <w:trPr>
          <w:gridAfter w:val="1"/>
          <w:wAfter w:w="38" w:type="dxa"/>
          <w:trHeight w:val="216"/>
        </w:trPr>
        <w:tc>
          <w:tcPr>
            <w:tcW w:w="6950" w:type="dxa"/>
          </w:tcPr>
          <w:p w:rsidR="009E2AE7" w:rsidRPr="00B04B8B" w:rsidRDefault="009E2AE7" w:rsidP="009E2A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Отведени отпадъчни води във водни обекти, хил.м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/г.</w:t>
            </w:r>
          </w:p>
        </w:tc>
        <w:tc>
          <w:tcPr>
            <w:tcW w:w="6830" w:type="dxa"/>
          </w:tcPr>
          <w:p w:rsidR="009E2AE7" w:rsidRPr="00B04B8B" w:rsidRDefault="009E2AE7" w:rsidP="00C60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отпадъчни води във водни обекти от ПСОВ, хил.м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9E2AE7" w:rsidTr="00F82409">
        <w:tblPrEx>
          <w:tblCellMar>
            <w:left w:w="70" w:type="dxa"/>
            <w:right w:w="70" w:type="dxa"/>
          </w:tblCellMar>
        </w:tblPrEx>
        <w:trPr>
          <w:trHeight w:val="2852"/>
        </w:trPr>
        <w:tc>
          <w:tcPr>
            <w:tcW w:w="6950" w:type="dxa"/>
          </w:tcPr>
          <w:p w:rsidR="009E2AE7" w:rsidRDefault="00F82409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5618022" wp14:editId="487D6826">
                  <wp:extent cx="3190875" cy="2238375"/>
                  <wp:effectExtent l="0" t="0" r="0" b="0"/>
                  <wp:docPr id="25" name="Chart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6868" w:type="dxa"/>
            <w:gridSpan w:val="2"/>
          </w:tcPr>
          <w:p w:rsidR="009E2AE7" w:rsidRDefault="00F82409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E1164CE" wp14:editId="4C54F4FF">
                  <wp:extent cx="3343275" cy="2238375"/>
                  <wp:effectExtent l="0" t="0" r="0" b="0"/>
                  <wp:docPr id="26" name="Chart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9E2AE7" w:rsidRPr="00B04B8B" w:rsidTr="004A181D">
        <w:trPr>
          <w:gridAfter w:val="1"/>
          <w:wAfter w:w="38" w:type="dxa"/>
          <w:trHeight w:val="432"/>
        </w:trPr>
        <w:tc>
          <w:tcPr>
            <w:tcW w:w="6950" w:type="dxa"/>
          </w:tcPr>
          <w:p w:rsidR="009E2AE7" w:rsidRPr="00B04B8B" w:rsidRDefault="009E2AE7" w:rsidP="004A1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Образувани отпадъчни води от точкови източници,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6830" w:type="dxa"/>
          </w:tcPr>
          <w:p w:rsidR="009E2AE7" w:rsidRPr="00B04B8B" w:rsidRDefault="009E2AE7" w:rsidP="009E2AE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води от охл.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процеси във водни обекти,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9E2AE7" w:rsidTr="00F82409">
        <w:tblPrEx>
          <w:tblCellMar>
            <w:left w:w="70" w:type="dxa"/>
            <w:right w:w="70" w:type="dxa"/>
          </w:tblCellMar>
        </w:tblPrEx>
        <w:trPr>
          <w:trHeight w:val="3464"/>
        </w:trPr>
        <w:tc>
          <w:tcPr>
            <w:tcW w:w="6950" w:type="dxa"/>
          </w:tcPr>
          <w:p w:rsidR="009E2AE7" w:rsidRDefault="00F82409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7247C362" wp14:editId="461F8442">
                  <wp:extent cx="3752850" cy="2171700"/>
                  <wp:effectExtent l="0" t="0" r="0" b="0"/>
                  <wp:docPr id="27" name="Chart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6868" w:type="dxa"/>
            <w:gridSpan w:val="2"/>
          </w:tcPr>
          <w:p w:rsidR="009E2AE7" w:rsidRDefault="00F82409" w:rsidP="004A1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221A2FB" wp14:editId="1F764A35">
                  <wp:extent cx="3676650" cy="2228850"/>
                  <wp:effectExtent l="0" t="0" r="0" b="0"/>
                  <wp:docPr id="28" name="Chart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9E2AE7" w:rsidRDefault="009E2AE7" w:rsidP="009E2AE7">
      <w:pPr>
        <w:sectPr w:rsidR="009E2AE7" w:rsidSect="009E2AE7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Style w:val="TableGrid"/>
        <w:tblpPr w:leftFromText="141" w:rightFromText="141" w:horzAnchor="page" w:tblpX="1521" w:tblpY="5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5"/>
        <w:gridCol w:w="7156"/>
        <w:gridCol w:w="37"/>
      </w:tblGrid>
      <w:tr w:rsidR="009E2AE7" w:rsidTr="003C5573">
        <w:trPr>
          <w:gridAfter w:val="1"/>
          <w:wAfter w:w="38" w:type="dxa"/>
          <w:trHeight w:val="216"/>
        </w:trPr>
        <w:tc>
          <w:tcPr>
            <w:tcW w:w="7025" w:type="dxa"/>
          </w:tcPr>
          <w:p w:rsidR="009E2AE7" w:rsidRPr="009C7584" w:rsidRDefault="009E2AE7" w:rsidP="003C557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Отведени отпадъчни води </w:t>
            </w:r>
            <w:r w:rsidR="002B37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във 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водни обекти по сектори, хил.м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7193" w:type="dxa"/>
          </w:tcPr>
          <w:p w:rsidR="009E2AE7" w:rsidRPr="009C7584" w:rsidRDefault="009E2AE7" w:rsidP="003C557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Образувани отпадъчни води от точкови източници по сектори, хил.м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9E2AE7" w:rsidTr="003C5573">
        <w:tblPrEx>
          <w:tblCellMar>
            <w:left w:w="70" w:type="dxa"/>
            <w:right w:w="70" w:type="dxa"/>
          </w:tblCellMar>
        </w:tblPrEx>
        <w:trPr>
          <w:trHeight w:val="2852"/>
        </w:trPr>
        <w:tc>
          <w:tcPr>
            <w:tcW w:w="7025" w:type="dxa"/>
          </w:tcPr>
          <w:p w:rsidR="009E2AE7" w:rsidRDefault="009E2AE7" w:rsidP="003C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809909F" wp14:editId="41FDF489">
                  <wp:extent cx="4371975" cy="2476500"/>
                  <wp:effectExtent l="0" t="0" r="0" b="0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7193" w:type="dxa"/>
            <w:gridSpan w:val="2"/>
          </w:tcPr>
          <w:p w:rsidR="009E2AE7" w:rsidRDefault="009E2AE7" w:rsidP="003C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69AFE44" wp14:editId="43195005">
                  <wp:extent cx="4133850" cy="2171700"/>
                  <wp:effectExtent l="0" t="0" r="0" b="0"/>
                  <wp:docPr id="13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9E2AE7" w:rsidRPr="00B04B8B" w:rsidTr="003C5573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14218" w:type="dxa"/>
            <w:gridSpan w:val="3"/>
          </w:tcPr>
          <w:p w:rsidR="009E2AE7" w:rsidRPr="009C7584" w:rsidRDefault="009E2AE7" w:rsidP="003C557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отпадъчни води след първично, вторично и третично пречистване, хил. м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</w:t>
            </w:r>
            <w:r w:rsidRPr="009C75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9E2AE7" w:rsidRPr="00B04B8B" w:rsidRDefault="009E2AE7" w:rsidP="003C557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D1F9713" wp14:editId="7FF383C6">
                  <wp:extent cx="4171950" cy="1933575"/>
                  <wp:effectExtent l="0" t="0" r="0" b="0"/>
                  <wp:docPr id="15" name="Chart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4B68CC" w:rsidRDefault="004B68CC" w:rsidP="001961AD"/>
    <w:tbl>
      <w:tblPr>
        <w:tblStyle w:val="TableGrid"/>
        <w:tblW w:w="0" w:type="auto"/>
        <w:tblInd w:w="-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0"/>
      </w:tblGrid>
      <w:tr w:rsidR="001961AD" w:rsidRPr="00B04B8B" w:rsidTr="00E55834">
        <w:trPr>
          <w:trHeight w:val="432"/>
        </w:trPr>
        <w:tc>
          <w:tcPr>
            <w:tcW w:w="13990" w:type="dxa"/>
          </w:tcPr>
          <w:p w:rsidR="001961AD" w:rsidRPr="00B04B8B" w:rsidRDefault="001961AD" w:rsidP="004A181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1961AD" w:rsidRPr="00100270" w:rsidRDefault="001961AD" w:rsidP="001961AD"/>
    <w:p w:rsidR="00594135" w:rsidRDefault="00594135" w:rsidP="00594135">
      <w:pPr>
        <w:sectPr w:rsidR="00594135" w:rsidSect="00E55834">
          <w:pgSz w:w="16838" w:h="11906" w:orient="landscape"/>
          <w:pgMar w:top="1134" w:right="1418" w:bottom="851" w:left="1418" w:header="709" w:footer="709" w:gutter="0"/>
          <w:cols w:space="708"/>
          <w:docGrid w:linePitch="360"/>
        </w:sectPr>
      </w:pPr>
    </w:p>
    <w:p w:rsidR="00460858" w:rsidRPr="00880F8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социалното и икономическото значение на водоползването </w:t>
      </w:r>
    </w:p>
    <w:p w:rsidR="0059413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 w:rsidRPr="00880F85">
        <w:rPr>
          <w:rFonts w:ascii="Times New Roman" w:hAnsi="Times New Roman" w:cs="Times New Roman"/>
          <w:sz w:val="24"/>
          <w:szCs w:val="24"/>
        </w:rPr>
        <w:t>социалното и икономическото значение на водоползването</w:t>
      </w:r>
      <w:r>
        <w:rPr>
          <w:rFonts w:ascii="Times New Roman" w:hAnsi="Times New Roman" w:cs="Times New Roman"/>
          <w:sz w:val="24"/>
          <w:szCs w:val="24"/>
        </w:rPr>
        <w:t xml:space="preserve"> в периода 2008-2013 г. спрямо ситуацията </w:t>
      </w:r>
      <w:r w:rsidR="00E33EC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предишните ПУРБ е представена общо за </w:t>
      </w:r>
      <w:r w:rsidR="00E33EC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БРБУВ и </w:t>
      </w:r>
      <w:r w:rsidR="0034335D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>
        <w:rPr>
          <w:rFonts w:ascii="Times New Roman" w:hAnsi="Times New Roman" w:cs="Times New Roman"/>
          <w:sz w:val="24"/>
          <w:szCs w:val="24"/>
        </w:rPr>
        <w:t>в табличен вид по-долу</w:t>
      </w:r>
      <w:r w:rsidR="00D4219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0977" w:type="dxa"/>
        <w:jc w:val="center"/>
        <w:tblInd w:w="1460" w:type="dxa"/>
        <w:tblLook w:val="04A0" w:firstRow="1" w:lastRow="0" w:firstColumn="1" w:lastColumn="0" w:noHBand="0" w:noVBand="1"/>
      </w:tblPr>
      <w:tblGrid>
        <w:gridCol w:w="1581"/>
        <w:gridCol w:w="1879"/>
        <w:gridCol w:w="1879"/>
        <w:gridCol w:w="1879"/>
        <w:gridCol w:w="1879"/>
        <w:gridCol w:w="1880"/>
      </w:tblGrid>
      <w:tr w:rsidR="00017686" w:rsidRPr="00C772C4" w:rsidTr="00017686">
        <w:trPr>
          <w:tblHeader/>
          <w:jc w:val="center"/>
        </w:trPr>
        <w:tc>
          <w:tcPr>
            <w:tcW w:w="1581" w:type="dxa"/>
            <w:shd w:val="clear" w:color="auto" w:fill="A6A6A6" w:themeFill="background1" w:themeFillShade="A6"/>
          </w:tcPr>
          <w:p w:rsidR="00017686" w:rsidRPr="00C16B36" w:rsidRDefault="00017686" w:rsidP="00FE1BED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772C4">
              <w:rPr>
                <w:rFonts w:ascii="Times New Roman" w:hAnsi="Times New Roman" w:cs="Times New Roman"/>
              </w:rPr>
              <w:t xml:space="preserve"> </w:t>
            </w:r>
            <w:r w:rsidR="00C16B36" w:rsidRPr="00C16B36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:rsidR="00017686" w:rsidRPr="00F57E2D" w:rsidRDefault="00017686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Pr="00F57E2D">
              <w:rPr>
                <w:rFonts w:ascii="Times New Roman" w:hAnsi="Times New Roman" w:cs="Times New Roman"/>
                <w:b/>
              </w:rPr>
              <w:t>БР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57E2D">
              <w:rPr>
                <w:rFonts w:ascii="Times New Roman" w:hAnsi="Times New Roman" w:cs="Times New Roman"/>
                <w:b/>
              </w:rPr>
              <w:t>УВ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:rsidR="00017686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017686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017686">
              <w:rPr>
                <w:rFonts w:ascii="Times New Roman" w:hAnsi="Times New Roman" w:cs="Times New Roman"/>
                <w:b/>
              </w:rPr>
              <w:t>Марица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:rsidR="00017686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Pr="00F57E2D">
              <w:rPr>
                <w:rFonts w:ascii="Times New Roman" w:hAnsi="Times New Roman" w:cs="Times New Roman"/>
                <w:b/>
              </w:rPr>
              <w:t xml:space="preserve"> </w:t>
            </w:r>
            <w:r w:rsidR="00017686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017686">
              <w:rPr>
                <w:rFonts w:ascii="Times New Roman" w:hAnsi="Times New Roman" w:cs="Times New Roman"/>
                <w:b/>
              </w:rPr>
              <w:t>Тунджа</w:t>
            </w:r>
          </w:p>
        </w:tc>
        <w:tc>
          <w:tcPr>
            <w:tcW w:w="1879" w:type="dxa"/>
            <w:shd w:val="clear" w:color="auto" w:fill="A6A6A6" w:themeFill="background1" w:themeFillShade="A6"/>
          </w:tcPr>
          <w:p w:rsidR="00017686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РБ</w:t>
            </w:r>
            <w:r w:rsidR="00FE33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017686" w:rsidRPr="00F57E2D">
              <w:rPr>
                <w:rFonts w:ascii="Times New Roman" w:hAnsi="Times New Roman" w:cs="Times New Roman"/>
                <w:b/>
              </w:rPr>
              <w:t xml:space="preserve">на р. </w:t>
            </w:r>
            <w:r w:rsidR="00017686">
              <w:rPr>
                <w:rFonts w:ascii="Times New Roman" w:hAnsi="Times New Roman" w:cs="Times New Roman"/>
                <w:b/>
              </w:rPr>
              <w:t>Арда</w:t>
            </w:r>
          </w:p>
        </w:tc>
        <w:tc>
          <w:tcPr>
            <w:tcW w:w="1880" w:type="dxa"/>
            <w:shd w:val="clear" w:color="auto" w:fill="A6A6A6" w:themeFill="background1" w:themeFillShade="A6"/>
          </w:tcPr>
          <w:p w:rsidR="00017686" w:rsidRPr="00F57E2D" w:rsidRDefault="001D052A" w:rsidP="004A1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РБ </w:t>
            </w:r>
            <w:r w:rsidR="00017686">
              <w:rPr>
                <w:rFonts w:ascii="Times New Roman" w:hAnsi="Times New Roman" w:cs="Times New Roman"/>
                <w:b/>
              </w:rPr>
              <w:t xml:space="preserve">на р. Бяла </w:t>
            </w:r>
          </w:p>
        </w:tc>
      </w:tr>
      <w:tr w:rsidR="00017686" w:rsidRPr="00C772C4" w:rsidTr="006D6627">
        <w:trPr>
          <w:trHeight w:val="422"/>
          <w:jc w:val="center"/>
        </w:trPr>
        <w:tc>
          <w:tcPr>
            <w:tcW w:w="10977" w:type="dxa"/>
            <w:gridSpan w:val="6"/>
            <w:shd w:val="clear" w:color="auto" w:fill="CCC0D9" w:themeFill="accent4" w:themeFillTint="66"/>
          </w:tcPr>
          <w:p w:rsidR="00017686" w:rsidRPr="00C772C4" w:rsidRDefault="00017686" w:rsidP="002260E9">
            <w:pPr>
              <w:spacing w:after="120"/>
              <w:rPr>
                <w:rFonts w:ascii="Times New Roman" w:hAnsi="Times New Roman"/>
                <w:b/>
              </w:rPr>
            </w:pPr>
            <w:r w:rsidRPr="00C772C4">
              <w:rPr>
                <w:rFonts w:ascii="Times New Roman" w:hAnsi="Times New Roman"/>
                <w:b/>
              </w:rPr>
              <w:t xml:space="preserve">Водоползване </w:t>
            </w:r>
            <w:r w:rsidRPr="00C772C4">
              <w:rPr>
                <w:rFonts w:ascii="Times New Roman" w:hAnsi="Times New Roman"/>
                <w:i/>
              </w:rPr>
              <w:t>(на база средногодишните стойности на показателите за двата периода)</w:t>
            </w:r>
          </w:p>
        </w:tc>
      </w:tr>
      <w:tr w:rsidR="003E76D3" w:rsidRPr="00C772C4" w:rsidTr="00017686">
        <w:trPr>
          <w:trHeight w:val="801"/>
          <w:jc w:val="center"/>
        </w:trPr>
        <w:tc>
          <w:tcPr>
            <w:tcW w:w="1581" w:type="dxa"/>
            <w:shd w:val="clear" w:color="auto" w:fill="E5DFEC" w:themeFill="accent4" w:themeFillTint="33"/>
          </w:tcPr>
          <w:p w:rsidR="003E76D3" w:rsidRPr="00C772C4" w:rsidRDefault="003E76D3" w:rsidP="00D42199">
            <w:pPr>
              <w:spacing w:after="120"/>
              <w:rPr>
                <w:rFonts w:ascii="Times New Roman" w:hAnsi="Times New Roman" w:cs="Times New Roman"/>
              </w:rPr>
            </w:pPr>
            <w:r w:rsidRPr="00C772C4">
              <w:rPr>
                <w:rFonts w:ascii="Times New Roman" w:hAnsi="Times New Roman"/>
              </w:rPr>
              <w:t xml:space="preserve">Използвана вода на 1000 лв. произведена БДС </w:t>
            </w:r>
          </w:p>
        </w:tc>
        <w:tc>
          <w:tcPr>
            <w:tcW w:w="1879" w:type="dxa"/>
            <w:shd w:val="clear" w:color="auto" w:fill="auto"/>
          </w:tcPr>
          <w:p w:rsidR="003E76D3" w:rsidRPr="001037F6" w:rsidRDefault="003E76D3" w:rsidP="00E33EC3">
            <w:pPr>
              <w:spacing w:after="120"/>
              <w:rPr>
                <w:rFonts w:ascii="Times New Roman" w:hAnsi="Times New Roman" w:cs="Times New Roman"/>
              </w:rPr>
            </w:pPr>
            <w:r w:rsidRPr="001037F6">
              <w:rPr>
                <w:rFonts w:ascii="Times New Roman" w:hAnsi="Times New Roman"/>
                <w:color w:val="000000" w:themeColor="text1"/>
              </w:rPr>
              <w:t>Подобряване на показателя при индустрията</w:t>
            </w:r>
            <w:r>
              <w:rPr>
                <w:rFonts w:ascii="Times New Roman" w:hAnsi="Times New Roman"/>
                <w:color w:val="000000" w:themeColor="text1"/>
              </w:rPr>
              <w:t xml:space="preserve"> и услугите и</w:t>
            </w:r>
            <w:r w:rsidRPr="001037F6">
              <w:rPr>
                <w:rFonts w:ascii="Times New Roman" w:hAnsi="Times New Roman"/>
                <w:color w:val="000000" w:themeColor="text1"/>
              </w:rPr>
              <w:t xml:space="preserve"> влошаване на стойностите му при селското стопанство</w:t>
            </w:r>
          </w:p>
        </w:tc>
        <w:tc>
          <w:tcPr>
            <w:tcW w:w="1879" w:type="dxa"/>
            <w:shd w:val="clear" w:color="auto" w:fill="auto"/>
          </w:tcPr>
          <w:p w:rsidR="003E76D3" w:rsidRPr="001037F6" w:rsidRDefault="003E76D3" w:rsidP="003E76D3">
            <w:pPr>
              <w:spacing w:after="120"/>
              <w:rPr>
                <w:rFonts w:ascii="Times New Roman" w:hAnsi="Times New Roman" w:cs="Times New Roman"/>
              </w:rPr>
            </w:pPr>
            <w:r w:rsidRPr="001037F6">
              <w:rPr>
                <w:rFonts w:ascii="Times New Roman" w:hAnsi="Times New Roman"/>
                <w:color w:val="000000" w:themeColor="text1"/>
              </w:rPr>
              <w:t>Подобряване на показателя при индустрията</w:t>
            </w:r>
            <w:r>
              <w:rPr>
                <w:rFonts w:ascii="Times New Roman" w:hAnsi="Times New Roman"/>
                <w:color w:val="000000" w:themeColor="text1"/>
              </w:rPr>
              <w:t xml:space="preserve"> и услугите и </w:t>
            </w:r>
            <w:r w:rsidRPr="001037F6">
              <w:rPr>
                <w:rFonts w:ascii="Times New Roman" w:hAnsi="Times New Roman"/>
                <w:color w:val="000000" w:themeColor="text1"/>
              </w:rPr>
              <w:t>влошаване на стойнос</w:t>
            </w:r>
            <w:r>
              <w:rPr>
                <w:rFonts w:ascii="Times New Roman" w:hAnsi="Times New Roman"/>
                <w:color w:val="000000" w:themeColor="text1"/>
              </w:rPr>
              <w:t>тите му при селското стопанство</w:t>
            </w:r>
          </w:p>
        </w:tc>
        <w:tc>
          <w:tcPr>
            <w:tcW w:w="1879" w:type="dxa"/>
            <w:shd w:val="clear" w:color="auto" w:fill="auto"/>
          </w:tcPr>
          <w:p w:rsidR="003E76D3" w:rsidRPr="00FD6C38" w:rsidRDefault="003E76D3" w:rsidP="00B07E38">
            <w:pPr>
              <w:spacing w:after="120"/>
              <w:rPr>
                <w:rFonts w:ascii="Times New Roman" w:hAnsi="Times New Roman" w:cs="Times New Roman"/>
                <w:color w:val="FF0000"/>
              </w:rPr>
            </w:pPr>
            <w:r w:rsidRPr="00B07E38">
              <w:rPr>
                <w:rFonts w:ascii="Times New Roman" w:hAnsi="Times New Roman" w:cs="Times New Roman"/>
                <w:color w:val="000000" w:themeColor="text1"/>
              </w:rPr>
              <w:t>Подобряване на стойностите на показателя през 2008-2013 г. спрямо 2003-2007</w:t>
            </w:r>
            <w:r w:rsidRPr="00B07E3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B07E38">
              <w:rPr>
                <w:rFonts w:ascii="Times New Roman" w:hAnsi="Times New Roman" w:cs="Times New Roman"/>
                <w:color w:val="000000" w:themeColor="text1"/>
              </w:rPr>
              <w:t xml:space="preserve">за индустрията и услугите, а при селското стопанство има намаляваща </w:t>
            </w:r>
            <w:r w:rsidRPr="00B07E38">
              <w:rPr>
                <w:rFonts w:ascii="Times New Roman" w:hAnsi="Times New Roman"/>
                <w:color w:val="000000" w:themeColor="text1"/>
              </w:rPr>
              <w:t>ефективност на използването на водните ресурси</w:t>
            </w:r>
            <w:r w:rsidRPr="00B07E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879" w:type="dxa"/>
            <w:shd w:val="clear" w:color="auto" w:fill="auto"/>
          </w:tcPr>
          <w:p w:rsidR="003E76D3" w:rsidRPr="00C772C4" w:rsidRDefault="003E76D3" w:rsidP="0041619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Подобряване</w:t>
            </w:r>
            <w:r w:rsidRPr="00C772C4">
              <w:rPr>
                <w:rFonts w:ascii="Times New Roman" w:hAnsi="Times New Roman"/>
              </w:rPr>
              <w:t xml:space="preserve"> на стойностите </w:t>
            </w:r>
            <w:r>
              <w:rPr>
                <w:rFonts w:ascii="Times New Roman" w:hAnsi="Times New Roman"/>
              </w:rPr>
              <w:t xml:space="preserve">на показателя </w:t>
            </w:r>
            <w:r w:rsidRPr="00C772C4">
              <w:rPr>
                <w:rFonts w:ascii="Times New Roman" w:hAnsi="Times New Roman"/>
              </w:rPr>
              <w:t xml:space="preserve">за </w:t>
            </w:r>
            <w:r>
              <w:rPr>
                <w:rFonts w:ascii="Times New Roman" w:hAnsi="Times New Roman"/>
              </w:rPr>
              <w:t>всички сектори</w:t>
            </w:r>
            <w:r w:rsidRPr="00C772C4">
              <w:rPr>
                <w:rFonts w:ascii="Times New Roman" w:hAnsi="Times New Roman"/>
              </w:rPr>
              <w:t xml:space="preserve"> през 2008-2013 г.</w:t>
            </w:r>
            <w:r>
              <w:rPr>
                <w:rFonts w:ascii="Times New Roman" w:hAnsi="Times New Roman"/>
              </w:rPr>
              <w:t xml:space="preserve"> спрямо предходния период</w:t>
            </w:r>
            <w:r w:rsidRPr="00C772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0" w:type="dxa"/>
          </w:tcPr>
          <w:p w:rsidR="003E76D3" w:rsidRDefault="003E76D3" w:rsidP="003E76D3">
            <w:pPr>
              <w:spacing w:after="120"/>
              <w:rPr>
                <w:rFonts w:ascii="Times New Roman" w:hAnsi="Times New Roman" w:cs="Times New Roman"/>
                <w:color w:val="000000" w:themeColor="text1"/>
              </w:rPr>
            </w:pPr>
            <w:r w:rsidRPr="00B07E38">
              <w:rPr>
                <w:rFonts w:ascii="Times New Roman" w:hAnsi="Times New Roman" w:cs="Times New Roman"/>
                <w:color w:val="000000" w:themeColor="text1"/>
              </w:rPr>
              <w:t>Подобряване на стойностите на показателя през 2008-2013 г. спрямо 2003-2007</w:t>
            </w:r>
            <w:r w:rsidRPr="00B07E3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B07E38">
              <w:rPr>
                <w:rFonts w:ascii="Times New Roman" w:hAnsi="Times New Roman" w:cs="Times New Roman"/>
                <w:color w:val="000000" w:themeColor="text1"/>
              </w:rPr>
              <w:t>за индустрията и услугите</w:t>
            </w:r>
          </w:p>
          <w:p w:rsidR="003E76D3" w:rsidRPr="00FD6C38" w:rsidRDefault="003E76D3" w:rsidP="003E76D3">
            <w:pPr>
              <w:spacing w:after="1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е използвана вода от сектор селско стопанство</w:t>
            </w:r>
            <w:r w:rsidRPr="00B07E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B07E38" w:rsidRPr="00C772C4" w:rsidTr="00017686">
        <w:trPr>
          <w:jc w:val="center"/>
        </w:trPr>
        <w:tc>
          <w:tcPr>
            <w:tcW w:w="1581" w:type="dxa"/>
            <w:shd w:val="clear" w:color="auto" w:fill="E5DFEC" w:themeFill="accent4" w:themeFillTint="33"/>
          </w:tcPr>
          <w:p w:rsidR="00B07E38" w:rsidRPr="00C772C4" w:rsidRDefault="00B07E38" w:rsidP="00D4219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Брой персонал на единица използвана вода  </w:t>
            </w:r>
          </w:p>
        </w:tc>
        <w:tc>
          <w:tcPr>
            <w:tcW w:w="1879" w:type="dxa"/>
            <w:shd w:val="clear" w:color="auto" w:fill="auto"/>
          </w:tcPr>
          <w:p w:rsidR="00B07E38" w:rsidRPr="00C772C4" w:rsidRDefault="00B07E38" w:rsidP="003E76D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Намаление</w:t>
            </w:r>
            <w:r w:rsidRPr="00C772C4">
              <w:rPr>
                <w:rFonts w:ascii="Times New Roman" w:hAnsi="Times New Roman"/>
              </w:rPr>
              <w:t xml:space="preserve"> на стойностите </w:t>
            </w:r>
            <w:r>
              <w:rPr>
                <w:rFonts w:ascii="Times New Roman" w:hAnsi="Times New Roman"/>
              </w:rPr>
              <w:t xml:space="preserve">на показателя </w:t>
            </w:r>
            <w:r w:rsidRPr="00C772C4">
              <w:rPr>
                <w:rFonts w:ascii="Times New Roman" w:hAnsi="Times New Roman"/>
              </w:rPr>
              <w:t xml:space="preserve">за </w:t>
            </w:r>
            <w:r w:rsidR="003E76D3">
              <w:rPr>
                <w:rFonts w:ascii="Times New Roman" w:hAnsi="Times New Roman"/>
              </w:rPr>
              <w:t xml:space="preserve">индустрията и селското стопанство </w:t>
            </w:r>
            <w:r w:rsidRPr="00C772C4">
              <w:rPr>
                <w:rFonts w:ascii="Times New Roman" w:hAnsi="Times New Roman"/>
              </w:rPr>
              <w:t>през 2008-2013 г.</w:t>
            </w:r>
            <w:r>
              <w:rPr>
                <w:rFonts w:ascii="Times New Roman" w:hAnsi="Times New Roman"/>
              </w:rPr>
              <w:t xml:space="preserve"> спрямо предходния период</w:t>
            </w:r>
            <w:r w:rsidR="003E76D3">
              <w:rPr>
                <w:rFonts w:ascii="Times New Roman" w:hAnsi="Times New Roman"/>
              </w:rPr>
              <w:t xml:space="preserve"> и увеличение за услугите</w:t>
            </w:r>
            <w:r w:rsidRPr="00C772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9" w:type="dxa"/>
            <w:shd w:val="clear" w:color="auto" w:fill="auto"/>
          </w:tcPr>
          <w:p w:rsidR="00B07E38" w:rsidRPr="00C772C4" w:rsidRDefault="00B07E38" w:rsidP="00EB350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Намаление</w:t>
            </w:r>
            <w:r w:rsidRPr="00C772C4">
              <w:rPr>
                <w:rFonts w:ascii="Times New Roman" w:hAnsi="Times New Roman"/>
              </w:rPr>
              <w:t xml:space="preserve"> на стойностите </w:t>
            </w:r>
            <w:r>
              <w:rPr>
                <w:rFonts w:ascii="Times New Roman" w:hAnsi="Times New Roman"/>
              </w:rPr>
              <w:t xml:space="preserve">на показателя </w:t>
            </w:r>
            <w:r w:rsidRPr="00C772C4">
              <w:rPr>
                <w:rFonts w:ascii="Times New Roman" w:hAnsi="Times New Roman"/>
              </w:rPr>
              <w:t xml:space="preserve">за </w:t>
            </w:r>
            <w:r>
              <w:rPr>
                <w:rFonts w:ascii="Times New Roman" w:hAnsi="Times New Roman"/>
              </w:rPr>
              <w:t>индустрията и селското стопанство и слабо увеличение за услугите</w:t>
            </w:r>
          </w:p>
        </w:tc>
        <w:tc>
          <w:tcPr>
            <w:tcW w:w="1879" w:type="dxa"/>
            <w:shd w:val="clear" w:color="auto" w:fill="auto"/>
          </w:tcPr>
          <w:p w:rsidR="00B07E38" w:rsidRPr="00B07E38" w:rsidRDefault="00B07E38" w:rsidP="003E76D3">
            <w:pPr>
              <w:spacing w:after="120"/>
              <w:ind w:left="45"/>
              <w:rPr>
                <w:rFonts w:ascii="Times New Roman" w:hAnsi="Times New Roman"/>
                <w:color w:val="000000" w:themeColor="text1"/>
              </w:rPr>
            </w:pPr>
            <w:r w:rsidRPr="00B07E38">
              <w:rPr>
                <w:rFonts w:ascii="Times New Roman" w:hAnsi="Times New Roman"/>
                <w:color w:val="000000" w:themeColor="text1"/>
              </w:rPr>
              <w:t xml:space="preserve">Увеличение на стойностите на показателя за индустрията и </w:t>
            </w:r>
            <w:r w:rsidR="003E76D3">
              <w:rPr>
                <w:rFonts w:ascii="Times New Roman" w:hAnsi="Times New Roman"/>
                <w:color w:val="000000" w:themeColor="text1"/>
              </w:rPr>
              <w:t>услугите</w:t>
            </w:r>
            <w:r w:rsidRPr="00B07E38">
              <w:rPr>
                <w:rFonts w:ascii="Times New Roman" w:hAnsi="Times New Roman"/>
                <w:color w:val="000000" w:themeColor="text1"/>
              </w:rPr>
              <w:t xml:space="preserve">, докато при </w:t>
            </w:r>
            <w:r w:rsidR="003E76D3">
              <w:rPr>
                <w:rFonts w:ascii="Times New Roman" w:hAnsi="Times New Roman"/>
                <w:color w:val="000000" w:themeColor="text1"/>
              </w:rPr>
              <w:t>селското стопанство</w:t>
            </w:r>
            <w:r w:rsidRPr="00B07E38">
              <w:rPr>
                <w:rFonts w:ascii="Times New Roman" w:hAnsi="Times New Roman"/>
                <w:color w:val="000000" w:themeColor="text1"/>
              </w:rPr>
              <w:t xml:space="preserve"> има намаление  </w:t>
            </w:r>
          </w:p>
        </w:tc>
        <w:tc>
          <w:tcPr>
            <w:tcW w:w="1879" w:type="dxa"/>
            <w:shd w:val="clear" w:color="auto" w:fill="auto"/>
          </w:tcPr>
          <w:p w:rsidR="00B07E38" w:rsidRPr="00C772C4" w:rsidRDefault="00B07E38" w:rsidP="0041619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C772C4">
              <w:rPr>
                <w:rFonts w:ascii="Times New Roman" w:hAnsi="Times New Roman"/>
              </w:rPr>
              <w:t xml:space="preserve"> на стойностите </w:t>
            </w:r>
            <w:r>
              <w:rPr>
                <w:rFonts w:ascii="Times New Roman" w:hAnsi="Times New Roman"/>
              </w:rPr>
              <w:t xml:space="preserve">на показателя </w:t>
            </w:r>
            <w:r w:rsidRPr="00C772C4">
              <w:rPr>
                <w:rFonts w:ascii="Times New Roman" w:hAnsi="Times New Roman"/>
              </w:rPr>
              <w:t xml:space="preserve">за </w:t>
            </w:r>
            <w:r>
              <w:rPr>
                <w:rFonts w:ascii="Times New Roman" w:hAnsi="Times New Roman"/>
              </w:rPr>
              <w:t>всички сектори</w:t>
            </w:r>
            <w:r w:rsidRPr="00C772C4">
              <w:rPr>
                <w:rFonts w:ascii="Times New Roman" w:hAnsi="Times New Roman"/>
              </w:rPr>
              <w:t xml:space="preserve"> през 2008-2013 г.</w:t>
            </w:r>
            <w:r>
              <w:rPr>
                <w:rFonts w:ascii="Times New Roman" w:hAnsi="Times New Roman"/>
              </w:rPr>
              <w:t xml:space="preserve"> спрямо предходния период</w:t>
            </w:r>
            <w:r w:rsidRPr="00C772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0" w:type="dxa"/>
          </w:tcPr>
          <w:p w:rsidR="00B07E38" w:rsidRDefault="003E76D3" w:rsidP="0041619F">
            <w:pPr>
              <w:spacing w:after="12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07E38">
              <w:rPr>
                <w:rFonts w:ascii="Times New Roman" w:hAnsi="Times New Roman"/>
                <w:color w:val="000000" w:themeColor="text1"/>
              </w:rPr>
              <w:t xml:space="preserve">Увеличение на стойностите на показателя за индустрията и </w:t>
            </w:r>
            <w:r>
              <w:rPr>
                <w:rFonts w:ascii="Times New Roman" w:hAnsi="Times New Roman"/>
                <w:color w:val="000000" w:themeColor="text1"/>
              </w:rPr>
              <w:t>услугите</w:t>
            </w:r>
          </w:p>
          <w:p w:rsidR="003E76D3" w:rsidRPr="00FD6C38" w:rsidRDefault="003E76D3" w:rsidP="003E76D3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е използвана вода от сектор селско стопанство</w:t>
            </w:r>
          </w:p>
        </w:tc>
      </w:tr>
      <w:tr w:rsidR="00B07E38" w:rsidRPr="00C772C4" w:rsidTr="00046642">
        <w:trPr>
          <w:jc w:val="center"/>
        </w:trPr>
        <w:tc>
          <w:tcPr>
            <w:tcW w:w="10977" w:type="dxa"/>
            <w:gridSpan w:val="6"/>
            <w:shd w:val="clear" w:color="auto" w:fill="CCC0D9" w:themeFill="accent4" w:themeFillTint="66"/>
          </w:tcPr>
          <w:p w:rsidR="00B07E38" w:rsidRPr="00C772C4" w:rsidRDefault="00B07E38" w:rsidP="00506296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C772C4">
              <w:rPr>
                <w:rFonts w:ascii="Times New Roman" w:hAnsi="Times New Roman"/>
                <w:b/>
              </w:rPr>
              <w:t xml:space="preserve">Заустване </w:t>
            </w:r>
            <w:r w:rsidRPr="00C772C4">
              <w:rPr>
                <w:rFonts w:ascii="Times New Roman" w:hAnsi="Times New Roman"/>
                <w:i/>
              </w:rPr>
              <w:t>(на база средногодишните стойности на показателите за двата периода)</w:t>
            </w:r>
          </w:p>
        </w:tc>
      </w:tr>
      <w:tr w:rsidR="003E76D3" w:rsidRPr="00C772C4" w:rsidTr="00017686">
        <w:trPr>
          <w:jc w:val="center"/>
        </w:trPr>
        <w:tc>
          <w:tcPr>
            <w:tcW w:w="1581" w:type="dxa"/>
          </w:tcPr>
          <w:p w:rsidR="003E76D3" w:rsidRPr="00C772C4" w:rsidRDefault="003E76D3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Заустена вода на 1000 лв. произведена БДС </w:t>
            </w:r>
          </w:p>
        </w:tc>
        <w:tc>
          <w:tcPr>
            <w:tcW w:w="1879" w:type="dxa"/>
            <w:shd w:val="clear" w:color="auto" w:fill="auto"/>
          </w:tcPr>
          <w:p w:rsidR="003E76D3" w:rsidRPr="00C772C4" w:rsidRDefault="003E76D3" w:rsidP="002260E9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Индустрия - </w:t>
            </w:r>
            <w:r>
              <w:rPr>
                <w:rFonts w:ascii="Times New Roman" w:hAnsi="Times New Roman"/>
              </w:rPr>
              <w:t>подобрение</w:t>
            </w:r>
            <w:r w:rsidRPr="00C772C4">
              <w:rPr>
                <w:rFonts w:ascii="Times New Roman" w:hAnsi="Times New Roman"/>
              </w:rPr>
              <w:t xml:space="preserve"> стойностите на показателя </w:t>
            </w:r>
          </w:p>
          <w:p w:rsidR="003E76D3" w:rsidRPr="00C772C4" w:rsidRDefault="003E76D3" w:rsidP="00FD6C38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Селско стопанство </w:t>
            </w:r>
            <w:r>
              <w:rPr>
                <w:rFonts w:ascii="Times New Roman" w:hAnsi="Times New Roman"/>
              </w:rPr>
              <w:t xml:space="preserve">и услуги </w:t>
            </w:r>
            <w:r w:rsidRPr="00C772C4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значително влошаване </w:t>
            </w:r>
            <w:r w:rsidRPr="00C772C4">
              <w:rPr>
                <w:rFonts w:ascii="Times New Roman" w:hAnsi="Times New Roman"/>
              </w:rPr>
              <w:t>на стойностите на показателя</w:t>
            </w:r>
          </w:p>
        </w:tc>
        <w:tc>
          <w:tcPr>
            <w:tcW w:w="1879" w:type="dxa"/>
            <w:shd w:val="clear" w:color="auto" w:fill="auto"/>
          </w:tcPr>
          <w:p w:rsidR="003E76D3" w:rsidRPr="00C772C4" w:rsidRDefault="003E76D3" w:rsidP="0041619F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Индустрия - </w:t>
            </w:r>
            <w:r>
              <w:rPr>
                <w:rFonts w:ascii="Times New Roman" w:hAnsi="Times New Roman"/>
              </w:rPr>
              <w:t>подобрение</w:t>
            </w:r>
            <w:r w:rsidRPr="00C772C4">
              <w:rPr>
                <w:rFonts w:ascii="Times New Roman" w:hAnsi="Times New Roman"/>
              </w:rPr>
              <w:t xml:space="preserve"> стойностите на показателя </w:t>
            </w:r>
          </w:p>
          <w:p w:rsidR="003E76D3" w:rsidRPr="00C772C4" w:rsidRDefault="003E76D3" w:rsidP="0041619F">
            <w:pPr>
              <w:spacing w:after="120"/>
              <w:rPr>
                <w:rFonts w:ascii="Times New Roman" w:hAnsi="Times New Roman"/>
              </w:rPr>
            </w:pPr>
            <w:r w:rsidRPr="00C772C4">
              <w:rPr>
                <w:rFonts w:ascii="Times New Roman" w:hAnsi="Times New Roman"/>
              </w:rPr>
              <w:t xml:space="preserve">Селско стопанство </w:t>
            </w:r>
            <w:r>
              <w:rPr>
                <w:rFonts w:ascii="Times New Roman" w:hAnsi="Times New Roman"/>
              </w:rPr>
              <w:t xml:space="preserve">и услуги </w:t>
            </w:r>
            <w:r w:rsidRPr="00C772C4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значително влошаване </w:t>
            </w:r>
            <w:r w:rsidRPr="00C772C4">
              <w:rPr>
                <w:rFonts w:ascii="Times New Roman" w:hAnsi="Times New Roman"/>
              </w:rPr>
              <w:t>на стойностите на показателя</w:t>
            </w:r>
          </w:p>
        </w:tc>
        <w:tc>
          <w:tcPr>
            <w:tcW w:w="1879" w:type="dxa"/>
            <w:shd w:val="clear" w:color="auto" w:fill="auto"/>
          </w:tcPr>
          <w:p w:rsidR="003E76D3" w:rsidRPr="00C772C4" w:rsidRDefault="003E76D3" w:rsidP="0041619F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Подобрение</w:t>
            </w:r>
            <w:r w:rsidRPr="00C772C4">
              <w:rPr>
                <w:rFonts w:ascii="Times New Roman" w:hAnsi="Times New Roman"/>
              </w:rPr>
              <w:t xml:space="preserve"> стойностите на показателя</w:t>
            </w:r>
            <w:r>
              <w:rPr>
                <w:rFonts w:ascii="Times New Roman" w:hAnsi="Times New Roman"/>
              </w:rPr>
              <w:t xml:space="preserve"> за индустрията и услугите</w:t>
            </w:r>
            <w:r w:rsidRPr="00C772C4">
              <w:rPr>
                <w:rFonts w:ascii="Times New Roman" w:hAnsi="Times New Roman"/>
              </w:rPr>
              <w:t xml:space="preserve"> </w:t>
            </w:r>
          </w:p>
          <w:p w:rsidR="003E76D3" w:rsidRPr="00C772C4" w:rsidRDefault="003E76D3" w:rsidP="003E76D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селското стопанство има сериозно влошаване </w:t>
            </w:r>
            <w:r w:rsidRPr="00C772C4">
              <w:rPr>
                <w:rFonts w:ascii="Times New Roman" w:hAnsi="Times New Roman"/>
              </w:rPr>
              <w:t>на стойностите на показателя</w:t>
            </w:r>
          </w:p>
        </w:tc>
        <w:tc>
          <w:tcPr>
            <w:tcW w:w="1879" w:type="dxa"/>
            <w:shd w:val="clear" w:color="auto" w:fill="auto"/>
          </w:tcPr>
          <w:p w:rsidR="003E76D3" w:rsidRPr="00C772C4" w:rsidRDefault="003E76D3" w:rsidP="0041619F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Подобрение</w:t>
            </w:r>
            <w:r w:rsidRPr="00C772C4">
              <w:rPr>
                <w:rFonts w:ascii="Times New Roman" w:hAnsi="Times New Roman"/>
              </w:rPr>
              <w:t xml:space="preserve"> стойностите на показателя</w:t>
            </w:r>
            <w:r>
              <w:rPr>
                <w:rFonts w:ascii="Times New Roman" w:hAnsi="Times New Roman"/>
              </w:rPr>
              <w:t xml:space="preserve"> за индустрията и селското стопанство</w:t>
            </w:r>
            <w:r w:rsidRPr="00C772C4">
              <w:rPr>
                <w:rFonts w:ascii="Times New Roman" w:hAnsi="Times New Roman"/>
              </w:rPr>
              <w:t xml:space="preserve"> </w:t>
            </w:r>
          </w:p>
          <w:p w:rsidR="003E76D3" w:rsidRPr="00C772C4" w:rsidRDefault="003E76D3" w:rsidP="003E76D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 сектора на услугите има сериозно влошаване </w:t>
            </w:r>
            <w:r w:rsidRPr="00C772C4">
              <w:rPr>
                <w:rFonts w:ascii="Times New Roman" w:hAnsi="Times New Roman"/>
              </w:rPr>
              <w:t>на стойностите на показателя</w:t>
            </w:r>
          </w:p>
        </w:tc>
        <w:tc>
          <w:tcPr>
            <w:tcW w:w="1880" w:type="dxa"/>
          </w:tcPr>
          <w:p w:rsidR="003E76D3" w:rsidRPr="00C772C4" w:rsidRDefault="003E76D3" w:rsidP="00BE2FA2">
            <w:pPr>
              <w:spacing w:after="120"/>
              <w:ind w:left="45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Няма заустена вода</w:t>
            </w:r>
          </w:p>
        </w:tc>
      </w:tr>
    </w:tbl>
    <w:p w:rsidR="00880F85" w:rsidRDefault="00880F85" w:rsidP="00D73878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sectPr w:rsidR="00880F85" w:rsidSect="00594135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B5E" w:rsidRDefault="00767B5E" w:rsidP="00621DE3">
      <w:pPr>
        <w:spacing w:after="0" w:line="240" w:lineRule="auto"/>
      </w:pPr>
      <w:r>
        <w:separator/>
      </w:r>
    </w:p>
  </w:endnote>
  <w:endnote w:type="continuationSeparator" w:id="0">
    <w:p w:rsidR="00767B5E" w:rsidRDefault="00767B5E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75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7E13" w:rsidRDefault="00087E13">
        <w:pPr>
          <w:pStyle w:val="Footer"/>
          <w:jc w:val="center"/>
        </w:pPr>
        <w:r w:rsidRPr="00087E13">
          <w:rPr>
            <w:rFonts w:ascii="Times New Roman" w:hAnsi="Times New Roman" w:cs="Times New Roman"/>
          </w:rPr>
          <w:fldChar w:fldCharType="begin"/>
        </w:r>
        <w:r w:rsidRPr="00087E13">
          <w:rPr>
            <w:rFonts w:ascii="Times New Roman" w:hAnsi="Times New Roman" w:cs="Times New Roman"/>
          </w:rPr>
          <w:instrText xml:space="preserve"> PAGE   \* MERGEFORMAT </w:instrText>
        </w:r>
        <w:r w:rsidRPr="00087E13">
          <w:rPr>
            <w:rFonts w:ascii="Times New Roman" w:hAnsi="Times New Roman" w:cs="Times New Roman"/>
          </w:rPr>
          <w:fldChar w:fldCharType="separate"/>
        </w:r>
        <w:r w:rsidR="00D73878">
          <w:rPr>
            <w:rFonts w:ascii="Times New Roman" w:hAnsi="Times New Roman" w:cs="Times New Roman"/>
            <w:noProof/>
          </w:rPr>
          <w:t>172</w:t>
        </w:r>
        <w:r w:rsidRPr="00087E13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11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053B" w:rsidRPr="00FE333F" w:rsidRDefault="00FE333F" w:rsidP="00FE333F">
        <w:pPr>
          <w:pStyle w:val="Footer"/>
          <w:jc w:val="center"/>
        </w:pPr>
        <w:r w:rsidRPr="00087E13">
          <w:rPr>
            <w:rFonts w:ascii="Times New Roman" w:hAnsi="Times New Roman" w:cs="Times New Roman"/>
          </w:rPr>
          <w:fldChar w:fldCharType="begin"/>
        </w:r>
        <w:r w:rsidRPr="00087E13">
          <w:rPr>
            <w:rFonts w:ascii="Times New Roman" w:hAnsi="Times New Roman" w:cs="Times New Roman"/>
          </w:rPr>
          <w:instrText xml:space="preserve"> PAGE   \* MERGEFORMAT </w:instrText>
        </w:r>
        <w:r w:rsidRPr="00087E13">
          <w:rPr>
            <w:rFonts w:ascii="Times New Roman" w:hAnsi="Times New Roman" w:cs="Times New Roman"/>
          </w:rPr>
          <w:fldChar w:fldCharType="separate"/>
        </w:r>
        <w:r w:rsidR="00D73878">
          <w:rPr>
            <w:rFonts w:ascii="Times New Roman" w:hAnsi="Times New Roman" w:cs="Times New Roman"/>
            <w:noProof/>
          </w:rPr>
          <w:t>173</w:t>
        </w:r>
        <w:r w:rsidRPr="00087E13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B5E" w:rsidRDefault="00767B5E" w:rsidP="00621DE3">
      <w:pPr>
        <w:spacing w:after="0" w:line="240" w:lineRule="auto"/>
      </w:pPr>
      <w:r>
        <w:separator/>
      </w:r>
    </w:p>
  </w:footnote>
  <w:footnote w:type="continuationSeparator" w:id="0">
    <w:p w:rsidR="00767B5E" w:rsidRDefault="00767B5E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F2F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00501"/>
    <w:multiLevelType w:val="hybridMultilevel"/>
    <w:tmpl w:val="C7EC51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E2905"/>
    <w:multiLevelType w:val="multilevel"/>
    <w:tmpl w:val="A648C1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2D24720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9094E"/>
    <w:multiLevelType w:val="hybridMultilevel"/>
    <w:tmpl w:val="837CC86A"/>
    <w:lvl w:ilvl="0" w:tplc="4F001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B704B"/>
    <w:multiLevelType w:val="hybridMultilevel"/>
    <w:tmpl w:val="7A1AD86E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63BAE"/>
    <w:multiLevelType w:val="hybridMultilevel"/>
    <w:tmpl w:val="A7947E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606B4"/>
    <w:multiLevelType w:val="hybridMultilevel"/>
    <w:tmpl w:val="5F5E1BD6"/>
    <w:lvl w:ilvl="0" w:tplc="E9B4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E57FCF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E6FC4"/>
    <w:multiLevelType w:val="hybridMultilevel"/>
    <w:tmpl w:val="EFF886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C47CF3"/>
    <w:multiLevelType w:val="hybridMultilevel"/>
    <w:tmpl w:val="A6523B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65A19"/>
    <w:multiLevelType w:val="hybridMultilevel"/>
    <w:tmpl w:val="FF26F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C27F9E"/>
    <w:multiLevelType w:val="hybridMultilevel"/>
    <w:tmpl w:val="2BDCDC4E"/>
    <w:lvl w:ilvl="0" w:tplc="2DF45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A44CB6"/>
    <w:multiLevelType w:val="hybridMultilevel"/>
    <w:tmpl w:val="377AB2B0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B57DF"/>
    <w:multiLevelType w:val="hybridMultilevel"/>
    <w:tmpl w:val="A3B28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90C76"/>
    <w:multiLevelType w:val="hybridMultilevel"/>
    <w:tmpl w:val="5F5E1BD6"/>
    <w:lvl w:ilvl="0" w:tplc="E9B4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9A0497"/>
    <w:multiLevelType w:val="hybridMultilevel"/>
    <w:tmpl w:val="6764D88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4C0B04"/>
    <w:multiLevelType w:val="hybridMultilevel"/>
    <w:tmpl w:val="767C0FBA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45424">
      <w:numFmt w:val="bullet"/>
      <w:lvlText w:val="-"/>
      <w:lvlJc w:val="left"/>
      <w:pPr>
        <w:ind w:left="2115" w:hanging="103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A2F6C"/>
    <w:multiLevelType w:val="hybridMultilevel"/>
    <w:tmpl w:val="767C0FBA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45424">
      <w:numFmt w:val="bullet"/>
      <w:lvlText w:val="-"/>
      <w:lvlJc w:val="left"/>
      <w:pPr>
        <w:ind w:left="2115" w:hanging="103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892E54"/>
    <w:multiLevelType w:val="hybridMultilevel"/>
    <w:tmpl w:val="616CEF44"/>
    <w:lvl w:ilvl="0" w:tplc="09148442">
      <w:start w:val="200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43041"/>
    <w:multiLevelType w:val="hybridMultilevel"/>
    <w:tmpl w:val="E702EF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EC73ED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775FB0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60934"/>
    <w:multiLevelType w:val="hybridMultilevel"/>
    <w:tmpl w:val="207EDB2E"/>
    <w:lvl w:ilvl="0" w:tplc="48F8A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8D0288"/>
    <w:multiLevelType w:val="hybridMultilevel"/>
    <w:tmpl w:val="837CC86A"/>
    <w:lvl w:ilvl="0" w:tplc="4F001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53DDC"/>
    <w:multiLevelType w:val="hybridMultilevel"/>
    <w:tmpl w:val="767C0FBA"/>
    <w:lvl w:ilvl="0" w:tplc="403C9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45424">
      <w:numFmt w:val="bullet"/>
      <w:lvlText w:val="-"/>
      <w:lvlJc w:val="left"/>
      <w:pPr>
        <w:ind w:left="2115" w:hanging="103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4"/>
  </w:num>
  <w:num w:numId="4">
    <w:abstractNumId w:val="33"/>
  </w:num>
  <w:num w:numId="5">
    <w:abstractNumId w:val="22"/>
  </w:num>
  <w:num w:numId="6">
    <w:abstractNumId w:val="12"/>
  </w:num>
  <w:num w:numId="7">
    <w:abstractNumId w:val="28"/>
  </w:num>
  <w:num w:numId="8">
    <w:abstractNumId w:val="25"/>
  </w:num>
  <w:num w:numId="9">
    <w:abstractNumId w:val="38"/>
  </w:num>
  <w:num w:numId="10">
    <w:abstractNumId w:val="32"/>
  </w:num>
  <w:num w:numId="11">
    <w:abstractNumId w:val="21"/>
  </w:num>
  <w:num w:numId="12">
    <w:abstractNumId w:val="8"/>
  </w:num>
  <w:num w:numId="13">
    <w:abstractNumId w:val="18"/>
  </w:num>
  <w:num w:numId="14">
    <w:abstractNumId w:val="2"/>
  </w:num>
  <w:num w:numId="15">
    <w:abstractNumId w:val="17"/>
  </w:num>
  <w:num w:numId="16">
    <w:abstractNumId w:val="13"/>
  </w:num>
  <w:num w:numId="17">
    <w:abstractNumId w:val="30"/>
  </w:num>
  <w:num w:numId="18">
    <w:abstractNumId w:val="19"/>
  </w:num>
  <w:num w:numId="19">
    <w:abstractNumId w:val="20"/>
  </w:num>
  <w:num w:numId="20">
    <w:abstractNumId w:val="14"/>
  </w:num>
  <w:num w:numId="21">
    <w:abstractNumId w:val="11"/>
  </w:num>
  <w:num w:numId="22">
    <w:abstractNumId w:val="15"/>
  </w:num>
  <w:num w:numId="23">
    <w:abstractNumId w:val="5"/>
  </w:num>
  <w:num w:numId="24">
    <w:abstractNumId w:val="39"/>
  </w:num>
  <w:num w:numId="25">
    <w:abstractNumId w:val="7"/>
  </w:num>
  <w:num w:numId="26">
    <w:abstractNumId w:val="24"/>
  </w:num>
  <w:num w:numId="27">
    <w:abstractNumId w:val="1"/>
  </w:num>
  <w:num w:numId="28">
    <w:abstractNumId w:val="23"/>
  </w:num>
  <w:num w:numId="29">
    <w:abstractNumId w:val="10"/>
  </w:num>
  <w:num w:numId="30">
    <w:abstractNumId w:val="31"/>
  </w:num>
  <w:num w:numId="31">
    <w:abstractNumId w:val="35"/>
  </w:num>
  <w:num w:numId="32">
    <w:abstractNumId w:val="0"/>
  </w:num>
  <w:num w:numId="33">
    <w:abstractNumId w:val="29"/>
  </w:num>
  <w:num w:numId="34">
    <w:abstractNumId w:val="27"/>
  </w:num>
  <w:num w:numId="35">
    <w:abstractNumId w:val="26"/>
  </w:num>
  <w:num w:numId="36">
    <w:abstractNumId w:val="37"/>
  </w:num>
  <w:num w:numId="37">
    <w:abstractNumId w:val="6"/>
  </w:num>
  <w:num w:numId="38">
    <w:abstractNumId w:val="16"/>
  </w:num>
  <w:num w:numId="39">
    <w:abstractNumId w:val="36"/>
  </w:num>
  <w:num w:numId="4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1118A"/>
    <w:rsid w:val="00011E30"/>
    <w:rsid w:val="00017686"/>
    <w:rsid w:val="00017D6F"/>
    <w:rsid w:val="0002144E"/>
    <w:rsid w:val="0002494F"/>
    <w:rsid w:val="000255ED"/>
    <w:rsid w:val="00035229"/>
    <w:rsid w:val="00041035"/>
    <w:rsid w:val="0005143C"/>
    <w:rsid w:val="00053350"/>
    <w:rsid w:val="00053E2C"/>
    <w:rsid w:val="00054E91"/>
    <w:rsid w:val="000567D4"/>
    <w:rsid w:val="00065C12"/>
    <w:rsid w:val="000668FE"/>
    <w:rsid w:val="000722DF"/>
    <w:rsid w:val="000724F4"/>
    <w:rsid w:val="00074B84"/>
    <w:rsid w:val="000771DC"/>
    <w:rsid w:val="000830E4"/>
    <w:rsid w:val="000867CC"/>
    <w:rsid w:val="00087E13"/>
    <w:rsid w:val="000948AD"/>
    <w:rsid w:val="00094B98"/>
    <w:rsid w:val="00096FEE"/>
    <w:rsid w:val="000A573B"/>
    <w:rsid w:val="000A7492"/>
    <w:rsid w:val="000B4A69"/>
    <w:rsid w:val="000C39A6"/>
    <w:rsid w:val="000C5604"/>
    <w:rsid w:val="000D40DB"/>
    <w:rsid w:val="000E2545"/>
    <w:rsid w:val="000F6F5E"/>
    <w:rsid w:val="001031D4"/>
    <w:rsid w:val="001037F6"/>
    <w:rsid w:val="0010585A"/>
    <w:rsid w:val="001065FD"/>
    <w:rsid w:val="00106A56"/>
    <w:rsid w:val="00114CCC"/>
    <w:rsid w:val="00114DAA"/>
    <w:rsid w:val="00120663"/>
    <w:rsid w:val="001215F9"/>
    <w:rsid w:val="00122209"/>
    <w:rsid w:val="0012401D"/>
    <w:rsid w:val="00132846"/>
    <w:rsid w:val="00135C4E"/>
    <w:rsid w:val="00146436"/>
    <w:rsid w:val="001520F7"/>
    <w:rsid w:val="00156002"/>
    <w:rsid w:val="001638EB"/>
    <w:rsid w:val="0016484A"/>
    <w:rsid w:val="001704FD"/>
    <w:rsid w:val="001717D9"/>
    <w:rsid w:val="00174490"/>
    <w:rsid w:val="00176E78"/>
    <w:rsid w:val="001834CD"/>
    <w:rsid w:val="00183907"/>
    <w:rsid w:val="00183F96"/>
    <w:rsid w:val="001961AD"/>
    <w:rsid w:val="001B2852"/>
    <w:rsid w:val="001B384B"/>
    <w:rsid w:val="001B446B"/>
    <w:rsid w:val="001B4844"/>
    <w:rsid w:val="001C3A44"/>
    <w:rsid w:val="001D052A"/>
    <w:rsid w:val="001D4008"/>
    <w:rsid w:val="001D43A5"/>
    <w:rsid w:val="001D5800"/>
    <w:rsid w:val="001E269F"/>
    <w:rsid w:val="001F46A3"/>
    <w:rsid w:val="002012EF"/>
    <w:rsid w:val="002042ED"/>
    <w:rsid w:val="002059D1"/>
    <w:rsid w:val="002117BF"/>
    <w:rsid w:val="00222247"/>
    <w:rsid w:val="002260E9"/>
    <w:rsid w:val="0022711E"/>
    <w:rsid w:val="00230892"/>
    <w:rsid w:val="002310F6"/>
    <w:rsid w:val="002315AE"/>
    <w:rsid w:val="00233A67"/>
    <w:rsid w:val="002344C5"/>
    <w:rsid w:val="00256652"/>
    <w:rsid w:val="00263A72"/>
    <w:rsid w:val="00277584"/>
    <w:rsid w:val="002A16F4"/>
    <w:rsid w:val="002B2CA0"/>
    <w:rsid w:val="002B371E"/>
    <w:rsid w:val="002B4348"/>
    <w:rsid w:val="002D1B94"/>
    <w:rsid w:val="002D38D8"/>
    <w:rsid w:val="002D6CA4"/>
    <w:rsid w:val="002E73EA"/>
    <w:rsid w:val="002F1BDA"/>
    <w:rsid w:val="002F32B2"/>
    <w:rsid w:val="00300A2B"/>
    <w:rsid w:val="0030190B"/>
    <w:rsid w:val="0030254D"/>
    <w:rsid w:val="003025EE"/>
    <w:rsid w:val="00303CF9"/>
    <w:rsid w:val="00304211"/>
    <w:rsid w:val="00304AAE"/>
    <w:rsid w:val="003110D0"/>
    <w:rsid w:val="003158D4"/>
    <w:rsid w:val="003169E3"/>
    <w:rsid w:val="00317BCF"/>
    <w:rsid w:val="00321D42"/>
    <w:rsid w:val="003223DF"/>
    <w:rsid w:val="00322B10"/>
    <w:rsid w:val="00327F1C"/>
    <w:rsid w:val="00330617"/>
    <w:rsid w:val="00335AFA"/>
    <w:rsid w:val="0034335D"/>
    <w:rsid w:val="003519F1"/>
    <w:rsid w:val="00356C14"/>
    <w:rsid w:val="00356F6A"/>
    <w:rsid w:val="003639C4"/>
    <w:rsid w:val="0037302E"/>
    <w:rsid w:val="0038016D"/>
    <w:rsid w:val="003824ED"/>
    <w:rsid w:val="0038338C"/>
    <w:rsid w:val="00386D16"/>
    <w:rsid w:val="003A3DE5"/>
    <w:rsid w:val="003B3089"/>
    <w:rsid w:val="003C350C"/>
    <w:rsid w:val="003C46A4"/>
    <w:rsid w:val="003C5573"/>
    <w:rsid w:val="003E0C34"/>
    <w:rsid w:val="003E76D3"/>
    <w:rsid w:val="003E7DE1"/>
    <w:rsid w:val="003F48D1"/>
    <w:rsid w:val="003F7703"/>
    <w:rsid w:val="00400D4F"/>
    <w:rsid w:val="00407684"/>
    <w:rsid w:val="00411469"/>
    <w:rsid w:val="00414D66"/>
    <w:rsid w:val="00416BEA"/>
    <w:rsid w:val="004200B8"/>
    <w:rsid w:val="00425FB9"/>
    <w:rsid w:val="00427F2E"/>
    <w:rsid w:val="004349E4"/>
    <w:rsid w:val="00436D96"/>
    <w:rsid w:val="0044542C"/>
    <w:rsid w:val="00455041"/>
    <w:rsid w:val="00455A97"/>
    <w:rsid w:val="00460858"/>
    <w:rsid w:val="00461416"/>
    <w:rsid w:val="00462433"/>
    <w:rsid w:val="00480E3A"/>
    <w:rsid w:val="004914A8"/>
    <w:rsid w:val="0049485B"/>
    <w:rsid w:val="004A4596"/>
    <w:rsid w:val="004B5F4A"/>
    <w:rsid w:val="004B68CC"/>
    <w:rsid w:val="004C659E"/>
    <w:rsid w:val="004C6C17"/>
    <w:rsid w:val="004C74A6"/>
    <w:rsid w:val="004D2124"/>
    <w:rsid w:val="004D2F1C"/>
    <w:rsid w:val="004E1035"/>
    <w:rsid w:val="004E42D2"/>
    <w:rsid w:val="004F2BCC"/>
    <w:rsid w:val="004F6B10"/>
    <w:rsid w:val="004F6E9D"/>
    <w:rsid w:val="00506296"/>
    <w:rsid w:val="0051066A"/>
    <w:rsid w:val="00527E9F"/>
    <w:rsid w:val="005455AB"/>
    <w:rsid w:val="00546252"/>
    <w:rsid w:val="00555403"/>
    <w:rsid w:val="00561C2F"/>
    <w:rsid w:val="00572095"/>
    <w:rsid w:val="00572743"/>
    <w:rsid w:val="00576C5C"/>
    <w:rsid w:val="00584622"/>
    <w:rsid w:val="00587F53"/>
    <w:rsid w:val="00592052"/>
    <w:rsid w:val="00592556"/>
    <w:rsid w:val="00594135"/>
    <w:rsid w:val="00594CC6"/>
    <w:rsid w:val="00595B70"/>
    <w:rsid w:val="0059658A"/>
    <w:rsid w:val="005A37DC"/>
    <w:rsid w:val="005A3D78"/>
    <w:rsid w:val="005B6CDA"/>
    <w:rsid w:val="005C0118"/>
    <w:rsid w:val="005C0D9D"/>
    <w:rsid w:val="005C5890"/>
    <w:rsid w:val="005D00E9"/>
    <w:rsid w:val="005D4D0D"/>
    <w:rsid w:val="005D6242"/>
    <w:rsid w:val="005F65EB"/>
    <w:rsid w:val="005F7BC9"/>
    <w:rsid w:val="00605E01"/>
    <w:rsid w:val="00621DE3"/>
    <w:rsid w:val="00623E7E"/>
    <w:rsid w:val="0063269C"/>
    <w:rsid w:val="00632951"/>
    <w:rsid w:val="00640718"/>
    <w:rsid w:val="00642DB7"/>
    <w:rsid w:val="006512A1"/>
    <w:rsid w:val="00652406"/>
    <w:rsid w:val="00654183"/>
    <w:rsid w:val="006613CD"/>
    <w:rsid w:val="00667EC8"/>
    <w:rsid w:val="006701F0"/>
    <w:rsid w:val="00691A12"/>
    <w:rsid w:val="006928B9"/>
    <w:rsid w:val="0069317C"/>
    <w:rsid w:val="0069728B"/>
    <w:rsid w:val="006A2E2C"/>
    <w:rsid w:val="006B0F8C"/>
    <w:rsid w:val="006B3471"/>
    <w:rsid w:val="006B42F2"/>
    <w:rsid w:val="006B793D"/>
    <w:rsid w:val="006C22EB"/>
    <w:rsid w:val="006D4158"/>
    <w:rsid w:val="006F0DFC"/>
    <w:rsid w:val="00704C3B"/>
    <w:rsid w:val="00710961"/>
    <w:rsid w:val="00721A75"/>
    <w:rsid w:val="00733C75"/>
    <w:rsid w:val="007410CA"/>
    <w:rsid w:val="0074191E"/>
    <w:rsid w:val="007500F9"/>
    <w:rsid w:val="00753D00"/>
    <w:rsid w:val="0076397D"/>
    <w:rsid w:val="00767B5E"/>
    <w:rsid w:val="0077170C"/>
    <w:rsid w:val="007742B5"/>
    <w:rsid w:val="00781696"/>
    <w:rsid w:val="00786B03"/>
    <w:rsid w:val="007A3734"/>
    <w:rsid w:val="007B0FBE"/>
    <w:rsid w:val="007B5DD8"/>
    <w:rsid w:val="007C0A14"/>
    <w:rsid w:val="007C0DFB"/>
    <w:rsid w:val="007D3ECD"/>
    <w:rsid w:val="007E1D4F"/>
    <w:rsid w:val="007E4860"/>
    <w:rsid w:val="008079F3"/>
    <w:rsid w:val="00813AAC"/>
    <w:rsid w:val="008179A6"/>
    <w:rsid w:val="00830D00"/>
    <w:rsid w:val="00831A29"/>
    <w:rsid w:val="008322A6"/>
    <w:rsid w:val="00832F6F"/>
    <w:rsid w:val="00833660"/>
    <w:rsid w:val="00833E77"/>
    <w:rsid w:val="0083737C"/>
    <w:rsid w:val="0083783E"/>
    <w:rsid w:val="00844923"/>
    <w:rsid w:val="00853201"/>
    <w:rsid w:val="00856541"/>
    <w:rsid w:val="008617E8"/>
    <w:rsid w:val="00871A3E"/>
    <w:rsid w:val="00873CA6"/>
    <w:rsid w:val="00880F85"/>
    <w:rsid w:val="008841B6"/>
    <w:rsid w:val="00894E37"/>
    <w:rsid w:val="008A2104"/>
    <w:rsid w:val="008A2303"/>
    <w:rsid w:val="008A3E38"/>
    <w:rsid w:val="008A4F9C"/>
    <w:rsid w:val="008A6313"/>
    <w:rsid w:val="008B41E8"/>
    <w:rsid w:val="008B6025"/>
    <w:rsid w:val="008B7DF7"/>
    <w:rsid w:val="008C28DB"/>
    <w:rsid w:val="008D1BCE"/>
    <w:rsid w:val="008F631A"/>
    <w:rsid w:val="00910D63"/>
    <w:rsid w:val="00921364"/>
    <w:rsid w:val="0093163E"/>
    <w:rsid w:val="009321D6"/>
    <w:rsid w:val="00935AC6"/>
    <w:rsid w:val="00944D05"/>
    <w:rsid w:val="0095025F"/>
    <w:rsid w:val="009552B9"/>
    <w:rsid w:val="00966F5F"/>
    <w:rsid w:val="00975076"/>
    <w:rsid w:val="00977755"/>
    <w:rsid w:val="009854B6"/>
    <w:rsid w:val="00992838"/>
    <w:rsid w:val="00992DDB"/>
    <w:rsid w:val="009939D8"/>
    <w:rsid w:val="00996839"/>
    <w:rsid w:val="00996936"/>
    <w:rsid w:val="00997521"/>
    <w:rsid w:val="009C6BD6"/>
    <w:rsid w:val="009D3C4B"/>
    <w:rsid w:val="009E2AE7"/>
    <w:rsid w:val="009E5C16"/>
    <w:rsid w:val="009F196F"/>
    <w:rsid w:val="009F5B26"/>
    <w:rsid w:val="00A005E7"/>
    <w:rsid w:val="00A008ED"/>
    <w:rsid w:val="00A33EDB"/>
    <w:rsid w:val="00A4210A"/>
    <w:rsid w:val="00A435EA"/>
    <w:rsid w:val="00A43C31"/>
    <w:rsid w:val="00A44F8E"/>
    <w:rsid w:val="00A45C85"/>
    <w:rsid w:val="00A46879"/>
    <w:rsid w:val="00A6131D"/>
    <w:rsid w:val="00A6241C"/>
    <w:rsid w:val="00A65859"/>
    <w:rsid w:val="00A72399"/>
    <w:rsid w:val="00A7358C"/>
    <w:rsid w:val="00A75B8D"/>
    <w:rsid w:val="00A83DC7"/>
    <w:rsid w:val="00A904AF"/>
    <w:rsid w:val="00A9160A"/>
    <w:rsid w:val="00A97345"/>
    <w:rsid w:val="00A97ABB"/>
    <w:rsid w:val="00A97BF7"/>
    <w:rsid w:val="00AA2C85"/>
    <w:rsid w:val="00AA6866"/>
    <w:rsid w:val="00AA7DF5"/>
    <w:rsid w:val="00AB5540"/>
    <w:rsid w:val="00AB5B7A"/>
    <w:rsid w:val="00AD3DD1"/>
    <w:rsid w:val="00AE1C90"/>
    <w:rsid w:val="00AF06ED"/>
    <w:rsid w:val="00AF2774"/>
    <w:rsid w:val="00AF3DF5"/>
    <w:rsid w:val="00AF662F"/>
    <w:rsid w:val="00B07E38"/>
    <w:rsid w:val="00B255B0"/>
    <w:rsid w:val="00B260CA"/>
    <w:rsid w:val="00B302DD"/>
    <w:rsid w:val="00B323C8"/>
    <w:rsid w:val="00B538A1"/>
    <w:rsid w:val="00B53E90"/>
    <w:rsid w:val="00B54EA5"/>
    <w:rsid w:val="00B6010B"/>
    <w:rsid w:val="00B6262D"/>
    <w:rsid w:val="00B647E0"/>
    <w:rsid w:val="00B728CA"/>
    <w:rsid w:val="00B76846"/>
    <w:rsid w:val="00B7763E"/>
    <w:rsid w:val="00B77C13"/>
    <w:rsid w:val="00B81771"/>
    <w:rsid w:val="00B904CA"/>
    <w:rsid w:val="00B92BEC"/>
    <w:rsid w:val="00BA3DB0"/>
    <w:rsid w:val="00BA3F39"/>
    <w:rsid w:val="00BA4833"/>
    <w:rsid w:val="00BA598C"/>
    <w:rsid w:val="00BB06D2"/>
    <w:rsid w:val="00BC2382"/>
    <w:rsid w:val="00BC5817"/>
    <w:rsid w:val="00BD0918"/>
    <w:rsid w:val="00BE012B"/>
    <w:rsid w:val="00BE2FA2"/>
    <w:rsid w:val="00BE4DF1"/>
    <w:rsid w:val="00BF4CD4"/>
    <w:rsid w:val="00BF4EA0"/>
    <w:rsid w:val="00BF7904"/>
    <w:rsid w:val="00C05CEE"/>
    <w:rsid w:val="00C16B36"/>
    <w:rsid w:val="00C2433B"/>
    <w:rsid w:val="00C24910"/>
    <w:rsid w:val="00C303B2"/>
    <w:rsid w:val="00C3321D"/>
    <w:rsid w:val="00C35E90"/>
    <w:rsid w:val="00C4425E"/>
    <w:rsid w:val="00C46B41"/>
    <w:rsid w:val="00C526CA"/>
    <w:rsid w:val="00C53DDD"/>
    <w:rsid w:val="00C55920"/>
    <w:rsid w:val="00C575F4"/>
    <w:rsid w:val="00C603AA"/>
    <w:rsid w:val="00C60D73"/>
    <w:rsid w:val="00C618DF"/>
    <w:rsid w:val="00C622B3"/>
    <w:rsid w:val="00C638A6"/>
    <w:rsid w:val="00C63AD3"/>
    <w:rsid w:val="00C70761"/>
    <w:rsid w:val="00C70C4F"/>
    <w:rsid w:val="00C772C4"/>
    <w:rsid w:val="00C8187B"/>
    <w:rsid w:val="00C82CF4"/>
    <w:rsid w:val="00C8397F"/>
    <w:rsid w:val="00C95EE1"/>
    <w:rsid w:val="00CA27EE"/>
    <w:rsid w:val="00CB022E"/>
    <w:rsid w:val="00CC0710"/>
    <w:rsid w:val="00CC2D67"/>
    <w:rsid w:val="00CC4E50"/>
    <w:rsid w:val="00CD035D"/>
    <w:rsid w:val="00CD0737"/>
    <w:rsid w:val="00CD0A14"/>
    <w:rsid w:val="00CD3397"/>
    <w:rsid w:val="00CE55A0"/>
    <w:rsid w:val="00CE6EED"/>
    <w:rsid w:val="00CF0FEE"/>
    <w:rsid w:val="00CF1549"/>
    <w:rsid w:val="00CF27F2"/>
    <w:rsid w:val="00CF72EA"/>
    <w:rsid w:val="00D24721"/>
    <w:rsid w:val="00D42199"/>
    <w:rsid w:val="00D42756"/>
    <w:rsid w:val="00D55AF8"/>
    <w:rsid w:val="00D575A7"/>
    <w:rsid w:val="00D57604"/>
    <w:rsid w:val="00D57AEA"/>
    <w:rsid w:val="00D60491"/>
    <w:rsid w:val="00D73878"/>
    <w:rsid w:val="00D85552"/>
    <w:rsid w:val="00DA1AFE"/>
    <w:rsid w:val="00DC0C05"/>
    <w:rsid w:val="00DC1A21"/>
    <w:rsid w:val="00DD0134"/>
    <w:rsid w:val="00DD14D5"/>
    <w:rsid w:val="00DD5F3F"/>
    <w:rsid w:val="00DE7B10"/>
    <w:rsid w:val="00E07341"/>
    <w:rsid w:val="00E20235"/>
    <w:rsid w:val="00E20E11"/>
    <w:rsid w:val="00E220D0"/>
    <w:rsid w:val="00E270A7"/>
    <w:rsid w:val="00E32188"/>
    <w:rsid w:val="00E33EC3"/>
    <w:rsid w:val="00E3401F"/>
    <w:rsid w:val="00E4038A"/>
    <w:rsid w:val="00E4320B"/>
    <w:rsid w:val="00E44123"/>
    <w:rsid w:val="00E451B3"/>
    <w:rsid w:val="00E47B72"/>
    <w:rsid w:val="00E525BC"/>
    <w:rsid w:val="00E55834"/>
    <w:rsid w:val="00E56086"/>
    <w:rsid w:val="00E602E6"/>
    <w:rsid w:val="00E65800"/>
    <w:rsid w:val="00E703A4"/>
    <w:rsid w:val="00E73385"/>
    <w:rsid w:val="00E772AB"/>
    <w:rsid w:val="00E9155A"/>
    <w:rsid w:val="00E9157E"/>
    <w:rsid w:val="00E928BE"/>
    <w:rsid w:val="00E95B13"/>
    <w:rsid w:val="00E962BE"/>
    <w:rsid w:val="00EA311C"/>
    <w:rsid w:val="00EB350C"/>
    <w:rsid w:val="00EC3785"/>
    <w:rsid w:val="00ED094D"/>
    <w:rsid w:val="00ED0B49"/>
    <w:rsid w:val="00EE1E2D"/>
    <w:rsid w:val="00EE4C4E"/>
    <w:rsid w:val="00EE61CA"/>
    <w:rsid w:val="00EF4572"/>
    <w:rsid w:val="00EF534F"/>
    <w:rsid w:val="00EF67B1"/>
    <w:rsid w:val="00F04A67"/>
    <w:rsid w:val="00F12C7A"/>
    <w:rsid w:val="00F161D8"/>
    <w:rsid w:val="00F209BA"/>
    <w:rsid w:val="00F2156F"/>
    <w:rsid w:val="00F21610"/>
    <w:rsid w:val="00F235D5"/>
    <w:rsid w:val="00F305AF"/>
    <w:rsid w:val="00F305B4"/>
    <w:rsid w:val="00F3132A"/>
    <w:rsid w:val="00F429E8"/>
    <w:rsid w:val="00F43041"/>
    <w:rsid w:val="00F43DC2"/>
    <w:rsid w:val="00F5333D"/>
    <w:rsid w:val="00F53C3A"/>
    <w:rsid w:val="00F55390"/>
    <w:rsid w:val="00F57E2D"/>
    <w:rsid w:val="00F62B14"/>
    <w:rsid w:val="00F76FC0"/>
    <w:rsid w:val="00F77DEA"/>
    <w:rsid w:val="00F82409"/>
    <w:rsid w:val="00F90615"/>
    <w:rsid w:val="00F9184F"/>
    <w:rsid w:val="00F97408"/>
    <w:rsid w:val="00FA209D"/>
    <w:rsid w:val="00FB1CF9"/>
    <w:rsid w:val="00FB3D61"/>
    <w:rsid w:val="00FB42E5"/>
    <w:rsid w:val="00FB4BA2"/>
    <w:rsid w:val="00FC2986"/>
    <w:rsid w:val="00FD2752"/>
    <w:rsid w:val="00FD27DA"/>
    <w:rsid w:val="00FD2CB4"/>
    <w:rsid w:val="00FD6294"/>
    <w:rsid w:val="00FD6C38"/>
    <w:rsid w:val="00FE333F"/>
    <w:rsid w:val="00FF20F2"/>
    <w:rsid w:val="00FF2493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Zausteni-IBR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Zausteni-IBR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Zausteni-IBR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Figures_Zausteni-ZBR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Figures_Zausteni-ZBR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Figures_Zausteni-ZB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IBR_ViK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3-IBR\PART%201_ANALIZI\Rabotni%20versii\Figures_Zausteni-IB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IBR_Vod.!$A$3:$A$8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IBR_Vod.!$B$3:$B$8</c:f>
              <c:numCache>
                <c:formatCode>0</c:formatCode>
                <c:ptCount val="6"/>
                <c:pt idx="0">
                  <c:v>95.578000000000003</c:v>
                </c:pt>
                <c:pt idx="1">
                  <c:v>82.156000000000006</c:v>
                </c:pt>
                <c:pt idx="2">
                  <c:v>85.09</c:v>
                </c:pt>
                <c:pt idx="3">
                  <c:v>77.109999999999985</c:v>
                </c:pt>
                <c:pt idx="4">
                  <c:v>70.977999999999994</c:v>
                </c:pt>
                <c:pt idx="5">
                  <c:v>84.4</c:v>
                </c:pt>
              </c:numCache>
            </c:numRef>
          </c:val>
        </c:ser>
        <c:ser>
          <c:idx val="1"/>
          <c:order val="1"/>
          <c:tx>
            <c:strRef>
              <c:f>IBR_Vod.!$C$2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IBR_Vod.!$A$3:$A$8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IBR_Vod.!$C$3:$C$8</c:f>
              <c:numCache>
                <c:formatCode>0</c:formatCode>
                <c:ptCount val="6"/>
                <c:pt idx="0">
                  <c:v>99.333333333333329</c:v>
                </c:pt>
                <c:pt idx="1">
                  <c:v>88.166666666666671</c:v>
                </c:pt>
                <c:pt idx="2">
                  <c:v>91</c:v>
                </c:pt>
                <c:pt idx="3">
                  <c:v>81.333333333333329</c:v>
                </c:pt>
                <c:pt idx="4">
                  <c:v>78.666666666666671</c:v>
                </c:pt>
                <c:pt idx="5">
                  <c:v>86.166666666666671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22400"/>
        <c:axId val="34824192"/>
        <c:axId val="0"/>
      </c:bar3DChart>
      <c:catAx>
        <c:axId val="34822400"/>
        <c:scaling>
          <c:orientation val="minMax"/>
        </c:scaling>
        <c:delete val="0"/>
        <c:axPos val="b"/>
        <c:majorTickMark val="out"/>
        <c:minorTickMark val="none"/>
        <c:tickLblPos val="nextTo"/>
        <c:crossAx val="34824192"/>
        <c:crosses val="autoZero"/>
        <c:auto val="1"/>
        <c:lblAlgn val="ctr"/>
        <c:lblOffset val="100"/>
        <c:noMultiLvlLbl val="0"/>
      </c:catAx>
      <c:valAx>
        <c:axId val="3482419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224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9740594925634298E-2"/>
          <c:y val="6.4814814814814811E-2"/>
          <c:w val="0.71404002624671914"/>
          <c:h val="0.5946551472732575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ZBR!$H$2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ZBR!$G$3:$G$7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ZBR!$H$3:$H$7</c:f>
              <c:numCache>
                <c:formatCode>0</c:formatCode>
                <c:ptCount val="5"/>
                <c:pt idx="0">
                  <c:v>281283.45699999999</c:v>
                </c:pt>
                <c:pt idx="1">
                  <c:v>250248.00433999998</c:v>
                </c:pt>
                <c:pt idx="2">
                  <c:v>23115.624099999997</c:v>
                </c:pt>
                <c:pt idx="3">
                  <c:v>7855.4893600000014</c:v>
                </c:pt>
                <c:pt idx="4">
                  <c:v>64.339199999999991</c:v>
                </c:pt>
              </c:numCache>
            </c:numRef>
          </c:val>
        </c:ser>
        <c:ser>
          <c:idx val="1"/>
          <c:order val="1"/>
          <c:tx>
            <c:strRef>
              <c:f>ZBR!$I$2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ZBR!$G$3:$G$7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ZBR!$I$3:$I$7</c:f>
              <c:numCache>
                <c:formatCode>0</c:formatCode>
                <c:ptCount val="5"/>
                <c:pt idx="0">
                  <c:v>166448.81471666667</c:v>
                </c:pt>
                <c:pt idx="1">
                  <c:v>136239.8376</c:v>
                </c:pt>
                <c:pt idx="2">
                  <c:v>20808.894233333333</c:v>
                </c:pt>
                <c:pt idx="3">
                  <c:v>9346.1721333333353</c:v>
                </c:pt>
                <c:pt idx="4">
                  <c:v>53.910750000000007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73728"/>
        <c:axId val="34875264"/>
        <c:axId val="0"/>
      </c:bar3DChart>
      <c:catAx>
        <c:axId val="34873728"/>
        <c:scaling>
          <c:orientation val="minMax"/>
        </c:scaling>
        <c:delete val="0"/>
        <c:axPos val="b"/>
        <c:majorTickMark val="out"/>
        <c:minorTickMark val="none"/>
        <c:tickLblPos val="nextTo"/>
        <c:crossAx val="34875264"/>
        <c:crosses val="autoZero"/>
        <c:auto val="1"/>
        <c:lblAlgn val="ctr"/>
        <c:lblOffset val="100"/>
        <c:noMultiLvlLbl val="0"/>
      </c:catAx>
      <c:valAx>
        <c:axId val="3487526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737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233759842519689"/>
          <c:y val="0.37879538523551576"/>
          <c:w val="0.20266240157480314"/>
          <c:h val="0.1506310452756316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ZBR!$R$2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ZBR!$Q$3:$Q$7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ZBR!$R$3:$R$7</c:f>
              <c:numCache>
                <c:formatCode>0</c:formatCode>
                <c:ptCount val="5"/>
                <c:pt idx="0">
                  <c:v>279857.99106000003</c:v>
                </c:pt>
                <c:pt idx="1">
                  <c:v>246914.54754</c:v>
                </c:pt>
                <c:pt idx="2">
                  <c:v>20069.960940000001</c:v>
                </c:pt>
                <c:pt idx="3">
                  <c:v>12809.143379999994</c:v>
                </c:pt>
                <c:pt idx="4">
                  <c:v>64.339199999999991</c:v>
                </c:pt>
              </c:numCache>
            </c:numRef>
          </c:val>
        </c:ser>
        <c:ser>
          <c:idx val="1"/>
          <c:order val="1"/>
          <c:tx>
            <c:strRef>
              <c:f>ZBR!$S$2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ZBR!$Q$3:$Q$7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ZBR!$S$3:$S$7</c:f>
              <c:numCache>
                <c:formatCode>0</c:formatCode>
                <c:ptCount val="5"/>
                <c:pt idx="0">
                  <c:v>145239.02101666667</c:v>
                </c:pt>
                <c:pt idx="1">
                  <c:v>107396.5928</c:v>
                </c:pt>
                <c:pt idx="2">
                  <c:v>24907.0903</c:v>
                </c:pt>
                <c:pt idx="3">
                  <c:v>12881.427166666666</c:v>
                </c:pt>
                <c:pt idx="4">
                  <c:v>53.910750000000007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905472"/>
        <c:axId val="34911360"/>
        <c:axId val="0"/>
      </c:bar3DChart>
      <c:catAx>
        <c:axId val="3490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34911360"/>
        <c:crosses val="autoZero"/>
        <c:auto val="1"/>
        <c:lblAlgn val="ctr"/>
        <c:lblOffset val="100"/>
        <c:noMultiLvlLbl val="0"/>
      </c:catAx>
      <c:valAx>
        <c:axId val="3491136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9054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ZBR!$J$48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ZBR!$I$49:$I$53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ZBR!$J$49:$J$53</c:f>
              <c:numCache>
                <c:formatCode>0</c:formatCode>
                <c:ptCount val="5"/>
                <c:pt idx="0">
                  <c:v>128445.37807999998</c:v>
                </c:pt>
                <c:pt idx="1">
                  <c:v>115630.68577999999</c:v>
                </c:pt>
                <c:pt idx="2">
                  <c:v>237.11250000000001</c:v>
                </c:pt>
                <c:pt idx="3">
                  <c:v>12625.002300000002</c:v>
                </c:pt>
              </c:numCache>
            </c:numRef>
          </c:val>
        </c:ser>
        <c:ser>
          <c:idx val="1"/>
          <c:order val="1"/>
          <c:tx>
            <c:strRef>
              <c:f>ZBR!$K$48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ZBR!$I$49:$I$53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ZBR!$K$49:$K$53</c:f>
              <c:numCache>
                <c:formatCode>General</c:formatCode>
                <c:ptCount val="5"/>
                <c:pt idx="0" formatCode="0">
                  <c:v>523146.41550000006</c:v>
                </c:pt>
                <c:pt idx="1">
                  <c:v>517540.51333333337</c:v>
                </c:pt>
                <c:pt idx="2" formatCode="0">
                  <c:v>123.61000000000001</c:v>
                </c:pt>
                <c:pt idx="3" formatCode="0">
                  <c:v>5482.2921666666662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940224"/>
        <c:axId val="35941760"/>
        <c:axId val="0"/>
      </c:bar3DChart>
      <c:catAx>
        <c:axId val="35940224"/>
        <c:scaling>
          <c:orientation val="minMax"/>
        </c:scaling>
        <c:delete val="0"/>
        <c:axPos val="b"/>
        <c:majorTickMark val="out"/>
        <c:minorTickMark val="none"/>
        <c:tickLblPos val="nextTo"/>
        <c:crossAx val="35941760"/>
        <c:crosses val="autoZero"/>
        <c:auto val="1"/>
        <c:lblAlgn val="ctr"/>
        <c:lblOffset val="100"/>
        <c:noMultiLvlLbl val="0"/>
      </c:catAx>
      <c:valAx>
        <c:axId val="3594176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59402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784008706228795"/>
          <c:y val="5.8902275769745646E-2"/>
          <c:w val="0.81165307773335438"/>
          <c:h val="0.6187884345782078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ZBR!$A$25</c:f>
              <c:strCache>
                <c:ptCount val="1"/>
                <c:pt idx="0">
                  <c:v>Сел. гор. и риб. стоп.</c:v>
                </c:pt>
              </c:strCache>
            </c:strRef>
          </c:tx>
          <c:invertIfNegative val="0"/>
          <c:cat>
            <c:strRef>
              <c:f>ZBR!$B$24:$K$24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ZBR!$B$25:$K$25</c:f>
              <c:numCache>
                <c:formatCode>0</c:formatCode>
                <c:ptCount val="10"/>
                <c:pt idx="0">
                  <c:v>341.89939999999996</c:v>
                </c:pt>
                <c:pt idx="1">
                  <c:v>8005.2948333333334</c:v>
                </c:pt>
                <c:pt idx="2">
                  <c:v>113.2574</c:v>
                </c:pt>
                <c:pt idx="3">
                  <c:v>1981.4546666666665</c:v>
                </c:pt>
                <c:pt idx="4">
                  <c:v>81.494</c:v>
                </c:pt>
                <c:pt idx="5">
                  <c:v>5827.3101666666662</c:v>
                </c:pt>
                <c:pt idx="6">
                  <c:v>245.24666666666667</c:v>
                </c:pt>
                <c:pt idx="7">
                  <c:v>196.52999999999997</c:v>
                </c:pt>
              </c:numCache>
            </c:numRef>
          </c:val>
        </c:ser>
        <c:ser>
          <c:idx val="1"/>
          <c:order val="1"/>
          <c:tx>
            <c:strRef>
              <c:f>ZBR!$A$26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ZBR!$B$24:$K$24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ZBR!$B$26:$K$26</c:f>
              <c:numCache>
                <c:formatCode>0</c:formatCode>
                <c:ptCount val="10"/>
                <c:pt idx="0">
                  <c:v>198409.47338000001</c:v>
                </c:pt>
                <c:pt idx="1">
                  <c:v>53623.02900000001</c:v>
                </c:pt>
                <c:pt idx="2">
                  <c:v>187343.61239999998</c:v>
                </c:pt>
                <c:pt idx="3">
                  <c:v>43229.177833333328</c:v>
                </c:pt>
                <c:pt idx="4">
                  <c:v>4796.6835000000001</c:v>
                </c:pt>
                <c:pt idx="5">
                  <c:v>4047.7530000000002</c:v>
                </c:pt>
                <c:pt idx="6">
                  <c:v>6269.1774800000003</c:v>
                </c:pt>
                <c:pt idx="7">
                  <c:v>6346.0981666666657</c:v>
                </c:pt>
              </c:numCache>
            </c:numRef>
          </c:val>
        </c:ser>
        <c:ser>
          <c:idx val="2"/>
          <c:order val="2"/>
          <c:tx>
            <c:strRef>
              <c:f>ZBR!$A$27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ZBR!$B$24:$K$24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ZBR!$B$27:$K$27</c:f>
              <c:numCache>
                <c:formatCode>0</c:formatCode>
                <c:ptCount val="10"/>
                <c:pt idx="0">
                  <c:v>1246.2085599999998</c:v>
                </c:pt>
                <c:pt idx="1">
                  <c:v>5434.6873333333342</c:v>
                </c:pt>
                <c:pt idx="2">
                  <c:v>1164.95516</c:v>
                </c:pt>
                <c:pt idx="3">
                  <c:v>5131.9001666666663</c:v>
                </c:pt>
                <c:pt idx="4">
                  <c:v>84.458333333333343</c:v>
                </c:pt>
                <c:pt idx="5">
                  <c:v>122.96459999999999</c:v>
                </c:pt>
                <c:pt idx="6">
                  <c:v>30.578399999999998</c:v>
                </c:pt>
                <c:pt idx="7">
                  <c:v>200.31666666666669</c:v>
                </c:pt>
              </c:numCache>
            </c:numRef>
          </c:val>
        </c:ser>
        <c:ser>
          <c:idx val="3"/>
          <c:order val="3"/>
          <c:tx>
            <c:strRef>
              <c:f>ZBR!$A$28</c:f>
              <c:strCache>
                <c:ptCount val="1"/>
                <c:pt idx="0">
                  <c:v>Домакинства</c:v>
                </c:pt>
              </c:strCache>
            </c:strRef>
          </c:tx>
          <c:invertIfNegative val="0"/>
          <c:cat>
            <c:strRef>
              <c:f>ZBR!$B$24:$K$24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ZBR!$B$28:$K$28</c:f>
              <c:numCache>
                <c:formatCode>0</c:formatCode>
                <c:ptCount val="10"/>
                <c:pt idx="0">
                  <c:v>19962.9378</c:v>
                </c:pt>
                <c:pt idx="1">
                  <c:v>19095.300050000002</c:v>
                </c:pt>
                <c:pt idx="2">
                  <c:v>13551.771600000002</c:v>
                </c:pt>
                <c:pt idx="3">
                  <c:v>12931.448600000002</c:v>
                </c:pt>
                <c:pt idx="4">
                  <c:v>4409.0208000000002</c:v>
                </c:pt>
                <c:pt idx="5">
                  <c:v>3918.2289000000001</c:v>
                </c:pt>
                <c:pt idx="6">
                  <c:v>1937.8061999999998</c:v>
                </c:pt>
                <c:pt idx="7">
                  <c:v>2191.7118000000005</c:v>
                </c:pt>
                <c:pt idx="8">
                  <c:v>64.339199999999991</c:v>
                </c:pt>
                <c:pt idx="9">
                  <c:v>53.910750000000007</c:v>
                </c:pt>
              </c:numCache>
            </c:numRef>
          </c:val>
        </c:ser>
        <c:ser>
          <c:idx val="4"/>
          <c:order val="4"/>
          <c:tx>
            <c:strRef>
              <c:f>ZBR!$A$29</c:f>
              <c:strCache>
                <c:ptCount val="1"/>
                <c:pt idx="0">
                  <c:v>Общ. кан. и СПСОВ</c:v>
                </c:pt>
              </c:strCache>
            </c:strRef>
          </c:tx>
          <c:invertIfNegative val="0"/>
          <c:cat>
            <c:strRef>
              <c:f>ZBR!$B$24:$K$24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ZBR!$B$29:$K$29</c:f>
              <c:numCache>
                <c:formatCode>0</c:formatCode>
                <c:ptCount val="10"/>
                <c:pt idx="0">
                  <c:v>133827.7366</c:v>
                </c:pt>
                <c:pt idx="1">
                  <c:v>152342.49225000001</c:v>
                </c:pt>
                <c:pt idx="2">
                  <c:v>106382.07620000001</c:v>
                </c:pt>
                <c:pt idx="3">
                  <c:v>127017.6105</c:v>
                </c:pt>
                <c:pt idx="4">
                  <c:v>22210.260399999999</c:v>
                </c:pt>
                <c:pt idx="5">
                  <c:v>20418.592416666666</c:v>
                </c:pt>
                <c:pt idx="6">
                  <c:v>5235.3999999999996</c:v>
                </c:pt>
                <c:pt idx="7">
                  <c:v>4906.2893333333332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565568"/>
        <c:axId val="39677952"/>
        <c:axId val="0"/>
      </c:bar3DChart>
      <c:catAx>
        <c:axId val="39565568"/>
        <c:scaling>
          <c:orientation val="minMax"/>
        </c:scaling>
        <c:delete val="0"/>
        <c:axPos val="b"/>
        <c:majorTickMark val="out"/>
        <c:minorTickMark val="none"/>
        <c:tickLblPos val="nextTo"/>
        <c:crossAx val="39677952"/>
        <c:crosses val="autoZero"/>
        <c:auto val="1"/>
        <c:lblAlgn val="ctr"/>
        <c:lblOffset val="100"/>
        <c:noMultiLvlLbl val="0"/>
      </c:catAx>
      <c:valAx>
        <c:axId val="3967795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95655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0458950945987624"/>
          <c:y val="0.12923715860818602"/>
          <c:w val="0.34555231593833474"/>
          <c:h val="0.3419273111694371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482480314960629"/>
          <c:y val="5.0925925925925923E-2"/>
          <c:w val="0.83628094875237358"/>
          <c:h val="0.596490767601418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ZBR!$Q$26</c:f>
              <c:strCache>
                <c:ptCount val="1"/>
                <c:pt idx="0">
                  <c:v>Сел. гор. и риб. стоп.</c:v>
                </c:pt>
              </c:strCache>
            </c:strRef>
          </c:tx>
          <c:invertIfNegative val="0"/>
          <c:cat>
            <c:strRef>
              <c:f>ZBR!$R$25:$AA$25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ZBR!$R$26:$AA$26</c:f>
              <c:numCache>
                <c:formatCode>0</c:formatCode>
                <c:ptCount val="10"/>
                <c:pt idx="0">
                  <c:v>441.06569999999999</c:v>
                </c:pt>
                <c:pt idx="1">
                  <c:v>8217.492666666667</c:v>
                </c:pt>
                <c:pt idx="2">
                  <c:v>131.51920000000001</c:v>
                </c:pt>
                <c:pt idx="3">
                  <c:v>2010.4733333333334</c:v>
                </c:pt>
                <c:pt idx="4">
                  <c:v>155.23020000000002</c:v>
                </c:pt>
                <c:pt idx="5">
                  <c:v>6000.6143333333339</c:v>
                </c:pt>
                <c:pt idx="6">
                  <c:v>154.31630000000001</c:v>
                </c:pt>
                <c:pt idx="7">
                  <c:v>206.405</c:v>
                </c:pt>
              </c:numCache>
            </c:numRef>
          </c:val>
        </c:ser>
        <c:ser>
          <c:idx val="1"/>
          <c:order val="1"/>
          <c:tx>
            <c:strRef>
              <c:f>ZBR!$Q$27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ZBR!$R$25:$AA$25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ZBR!$R$27:$AA$27</c:f>
              <c:numCache>
                <c:formatCode>0</c:formatCode>
                <c:ptCount val="10"/>
                <c:pt idx="0">
                  <c:v>210436.90244000001</c:v>
                </c:pt>
                <c:pt idx="1">
                  <c:v>60920.898166666659</c:v>
                </c:pt>
                <c:pt idx="2">
                  <c:v>195781.38021999996</c:v>
                </c:pt>
                <c:pt idx="3">
                  <c:v>47781.347833333333</c:v>
                </c:pt>
                <c:pt idx="4">
                  <c:v>7663.719039999999</c:v>
                </c:pt>
                <c:pt idx="5">
                  <c:v>6583.5614999999998</c:v>
                </c:pt>
                <c:pt idx="6">
                  <c:v>6991.8031799999999</c:v>
                </c:pt>
                <c:pt idx="7">
                  <c:v>6555.9888333333338</c:v>
                </c:pt>
              </c:numCache>
            </c:numRef>
          </c:val>
        </c:ser>
        <c:ser>
          <c:idx val="2"/>
          <c:order val="2"/>
          <c:tx>
            <c:strRef>
              <c:f>ZBR!$Q$28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ZBR!$R$25:$AA$25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ZBR!$R$28:$AA$28</c:f>
              <c:numCache>
                <c:formatCode>0</c:formatCode>
                <c:ptCount val="10"/>
                <c:pt idx="0">
                  <c:v>6847.8227199999992</c:v>
                </c:pt>
                <c:pt idx="1">
                  <c:v>11221.604833333333</c:v>
                </c:pt>
                <c:pt idx="2">
                  <c:v>5611.6403200000004</c:v>
                </c:pt>
                <c:pt idx="3">
                  <c:v>9821.1773333333331</c:v>
                </c:pt>
                <c:pt idx="4">
                  <c:v>746.19830000000002</c:v>
                </c:pt>
                <c:pt idx="5">
                  <c:v>924.1156666666667</c:v>
                </c:pt>
                <c:pt idx="6">
                  <c:v>489.98410000000001</c:v>
                </c:pt>
                <c:pt idx="7">
                  <c:v>476.31183333333325</c:v>
                </c:pt>
              </c:numCache>
            </c:numRef>
          </c:val>
        </c:ser>
        <c:ser>
          <c:idx val="3"/>
          <c:order val="3"/>
          <c:tx>
            <c:strRef>
              <c:f>ZBR!$Q$29</c:f>
              <c:strCache>
                <c:ptCount val="1"/>
                <c:pt idx="0">
                  <c:v>Домакинства</c:v>
                </c:pt>
              </c:strCache>
            </c:strRef>
          </c:tx>
          <c:invertIfNegative val="0"/>
          <c:cat>
            <c:strRef>
              <c:f>ZBR!$R$25:$AA$25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 2003-2007</c:v>
                </c:pt>
                <c:pt idx="5">
                  <c:v>Тунджа 2008-2013</c:v>
                </c:pt>
                <c:pt idx="6">
                  <c:v>Арда 2003-2007</c:v>
                </c:pt>
                <c:pt idx="7">
                  <c:v>Арда  2008-2013</c:v>
                </c:pt>
                <c:pt idx="8">
                  <c:v>Бяла 2003-2007</c:v>
                </c:pt>
                <c:pt idx="9">
                  <c:v>Бяла 2008-2013</c:v>
                </c:pt>
              </c:strCache>
            </c:strRef>
          </c:cat>
          <c:val>
            <c:numRef>
              <c:f>ZBR!$R$29:$AA$29</c:f>
              <c:numCache>
                <c:formatCode>0</c:formatCode>
                <c:ptCount val="10"/>
                <c:pt idx="0">
                  <c:v>62132.200199999985</c:v>
                </c:pt>
                <c:pt idx="1">
                  <c:v>64879.025350000004</c:v>
                </c:pt>
                <c:pt idx="2">
                  <c:v>45390.007800000007</c:v>
                </c:pt>
                <c:pt idx="3">
                  <c:v>47783.594299999997</c:v>
                </c:pt>
                <c:pt idx="4">
                  <c:v>11504.813399999999</c:v>
                </c:pt>
                <c:pt idx="5">
                  <c:v>11398.798800000002</c:v>
                </c:pt>
                <c:pt idx="6">
                  <c:v>5173.0397999999932</c:v>
                </c:pt>
                <c:pt idx="7">
                  <c:v>5642.7214999999987</c:v>
                </c:pt>
                <c:pt idx="8">
                  <c:v>64.339199999999991</c:v>
                </c:pt>
                <c:pt idx="9">
                  <c:v>53.910750000000007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92544"/>
        <c:axId val="39698432"/>
        <c:axId val="0"/>
      </c:bar3DChart>
      <c:catAx>
        <c:axId val="39692544"/>
        <c:scaling>
          <c:orientation val="minMax"/>
        </c:scaling>
        <c:delete val="0"/>
        <c:axPos val="b"/>
        <c:majorTickMark val="out"/>
        <c:minorTickMark val="none"/>
        <c:tickLblPos val="nextTo"/>
        <c:crossAx val="39698432"/>
        <c:crosses val="autoZero"/>
        <c:auto val="1"/>
        <c:lblAlgn val="ctr"/>
        <c:lblOffset val="100"/>
        <c:noMultiLvlLbl val="0"/>
      </c:catAx>
      <c:valAx>
        <c:axId val="3969843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96925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2754461942257221"/>
          <c:y val="9.934018664333627E-2"/>
          <c:w val="0.34664900758372946"/>
          <c:h val="0.27354184893554973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742825896762905"/>
          <c:y val="5.0925925925925923E-2"/>
          <c:w val="0.80638013998250213"/>
          <c:h val="0.491227763196267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ZBR!$Z$3</c:f>
              <c:strCache>
                <c:ptCount val="1"/>
                <c:pt idx="0">
                  <c:v>Първично пречистване</c:v>
                </c:pt>
              </c:strCache>
            </c:strRef>
          </c:tx>
          <c:invertIfNegative val="0"/>
          <c:cat>
            <c:strRef>
              <c:f>ZBR!$AA$2:$AJ$2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2003-2007</c:v>
                </c:pt>
                <c:pt idx="5">
                  <c:v>Тунджа  2008-2013</c:v>
                </c:pt>
                <c:pt idx="6">
                  <c:v>Арда  2003-2007</c:v>
                </c:pt>
                <c:pt idx="7">
                  <c:v>Арда  2008-2013</c:v>
                </c:pt>
                <c:pt idx="8">
                  <c:v>Бяла  2003-2007</c:v>
                </c:pt>
                <c:pt idx="9">
                  <c:v>Бяла  2008-2013</c:v>
                </c:pt>
              </c:strCache>
            </c:strRef>
          </c:cat>
          <c:val>
            <c:numRef>
              <c:f>ZBR!$AA$3:$AJ$3</c:f>
              <c:numCache>
                <c:formatCode>0</c:formatCode>
                <c:ptCount val="10"/>
                <c:pt idx="0">
                  <c:v>154115.75371999998</c:v>
                </c:pt>
                <c:pt idx="1">
                  <c:v>47715.878883333331</c:v>
                </c:pt>
                <c:pt idx="2">
                  <c:v>148186.81839999999</c:v>
                </c:pt>
                <c:pt idx="3">
                  <c:v>34404.481766666664</c:v>
                </c:pt>
                <c:pt idx="4">
                  <c:v>547.14390000000003</c:v>
                </c:pt>
                <c:pt idx="5">
                  <c:v>5105.155733333333</c:v>
                </c:pt>
                <c:pt idx="6">
                  <c:v>5381.7914199999996</c:v>
                </c:pt>
                <c:pt idx="7">
                  <c:v>8152.3306333333339</c:v>
                </c:pt>
              </c:numCache>
            </c:numRef>
          </c:val>
        </c:ser>
        <c:ser>
          <c:idx val="1"/>
          <c:order val="1"/>
          <c:tx>
            <c:strRef>
              <c:f>ZBR!$Z$4</c:f>
              <c:strCache>
                <c:ptCount val="1"/>
                <c:pt idx="0">
                  <c:v>Вторично пречистване</c:v>
                </c:pt>
              </c:strCache>
            </c:strRef>
          </c:tx>
          <c:invertIfNegative val="0"/>
          <c:cat>
            <c:strRef>
              <c:f>ZBR!$AA$2:$AJ$2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2003-2007</c:v>
                </c:pt>
                <c:pt idx="5">
                  <c:v>Тунджа  2008-2013</c:v>
                </c:pt>
                <c:pt idx="6">
                  <c:v>Арда  2003-2007</c:v>
                </c:pt>
                <c:pt idx="7">
                  <c:v>Арда  2008-2013</c:v>
                </c:pt>
                <c:pt idx="8">
                  <c:v>Бяла  2003-2007</c:v>
                </c:pt>
                <c:pt idx="9">
                  <c:v>Бяла  2008-2013</c:v>
                </c:pt>
              </c:strCache>
            </c:strRef>
          </c:cat>
          <c:val>
            <c:numRef>
              <c:f>ZBR!$AA$4:$AJ$4</c:f>
              <c:numCache>
                <c:formatCode>0</c:formatCode>
                <c:ptCount val="10"/>
                <c:pt idx="0">
                  <c:v>77880.878600000011</c:v>
                </c:pt>
                <c:pt idx="1">
                  <c:v>85440.349000000002</c:v>
                </c:pt>
                <c:pt idx="2">
                  <c:v>64564.440199999997</c:v>
                </c:pt>
                <c:pt idx="3">
                  <c:v>77716.873999999996</c:v>
                </c:pt>
                <c:pt idx="4">
                  <c:v>13316.438399999999</c:v>
                </c:pt>
                <c:pt idx="5">
                  <c:v>7224.3549999999996</c:v>
                </c:pt>
                <c:pt idx="7">
                  <c:v>499.12000000000006</c:v>
                </c:pt>
              </c:numCache>
            </c:numRef>
          </c:val>
        </c:ser>
        <c:ser>
          <c:idx val="2"/>
          <c:order val="2"/>
          <c:tx>
            <c:strRef>
              <c:f>ZBR!$Z$5</c:f>
              <c:strCache>
                <c:ptCount val="1"/>
                <c:pt idx="0">
                  <c:v>Третично пречистване </c:v>
                </c:pt>
              </c:strCache>
            </c:strRef>
          </c:tx>
          <c:invertIfNegative val="0"/>
          <c:cat>
            <c:strRef>
              <c:f>ZBR!$AA$2:$AJ$2</c:f>
              <c:strCache>
                <c:ptCount val="10"/>
                <c:pt idx="0">
                  <c:v>ИБРБУВ 2003-2007</c:v>
                </c:pt>
                <c:pt idx="1">
                  <c:v>ИБРБУВ 2008-2013</c:v>
                </c:pt>
                <c:pt idx="2">
                  <c:v>Марица 2003-2007</c:v>
                </c:pt>
                <c:pt idx="3">
                  <c:v>Марица 2008-2013</c:v>
                </c:pt>
                <c:pt idx="4">
                  <c:v>Тунджа 2003-2007</c:v>
                </c:pt>
                <c:pt idx="5">
                  <c:v>Тунджа  2008-2013</c:v>
                </c:pt>
                <c:pt idx="6">
                  <c:v>Арда  2003-2007</c:v>
                </c:pt>
                <c:pt idx="7">
                  <c:v>Арда  2008-2013</c:v>
                </c:pt>
                <c:pt idx="8">
                  <c:v>Бяла  2003-2007</c:v>
                </c:pt>
                <c:pt idx="9">
                  <c:v>Бяла  2008-2013</c:v>
                </c:pt>
              </c:strCache>
            </c:strRef>
          </c:cat>
          <c:val>
            <c:numRef>
              <c:f>ZBR!$AA$5:$AJ$5</c:f>
              <c:numCache>
                <c:formatCode>0</c:formatCode>
                <c:ptCount val="10"/>
                <c:pt idx="0">
                  <c:v>5085.2243600000002</c:v>
                </c:pt>
                <c:pt idx="1">
                  <c:v>26384.885999999999</c:v>
                </c:pt>
                <c:pt idx="2">
                  <c:v>4067.4892599999998</c:v>
                </c:pt>
                <c:pt idx="3">
                  <c:v>19168.601833333334</c:v>
                </c:pt>
                <c:pt idx="4">
                  <c:v>519.38599999999997</c:v>
                </c:pt>
                <c:pt idx="5">
                  <c:v>6546.7841666666673</c:v>
                </c:pt>
                <c:pt idx="6">
                  <c:v>830.58183333333329</c:v>
                </c:pt>
                <c:pt idx="7">
                  <c:v>1004.25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113664"/>
        <c:axId val="40115200"/>
        <c:axId val="0"/>
      </c:bar3DChart>
      <c:catAx>
        <c:axId val="40113664"/>
        <c:scaling>
          <c:orientation val="minMax"/>
        </c:scaling>
        <c:delete val="0"/>
        <c:axPos val="b"/>
        <c:majorTickMark val="out"/>
        <c:minorTickMark val="none"/>
        <c:tickLblPos val="nextTo"/>
        <c:crossAx val="40115200"/>
        <c:crosses val="autoZero"/>
        <c:auto val="1"/>
        <c:lblAlgn val="ctr"/>
        <c:lblOffset val="100"/>
        <c:noMultiLvlLbl val="0"/>
      </c:catAx>
      <c:valAx>
        <c:axId val="4011520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401136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1999568547082298"/>
          <c:y val="9.9939231733964295E-2"/>
          <c:w val="0.27916729586883832"/>
          <c:h val="0.2839739860103693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IBR_Vod.!$G$2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IBR_Vod.!$F$3:$F$8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IBR_Vod.!$G$3:$G$8</c:f>
              <c:numCache>
                <c:formatCode>0.00</c:formatCode>
                <c:ptCount val="6"/>
                <c:pt idx="0">
                  <c:v>61.794783502688631</c:v>
                </c:pt>
                <c:pt idx="1">
                  <c:v>61.90247817768185</c:v>
                </c:pt>
                <c:pt idx="2">
                  <c:v>61.071520427135546</c:v>
                </c:pt>
                <c:pt idx="3">
                  <c:v>68.27143837483014</c:v>
                </c:pt>
                <c:pt idx="4">
                  <c:v>48.177704668300159</c:v>
                </c:pt>
                <c:pt idx="5">
                  <c:v>53.985054695538679</c:v>
                </c:pt>
              </c:numCache>
            </c:numRef>
          </c:val>
        </c:ser>
        <c:ser>
          <c:idx val="1"/>
          <c:order val="1"/>
          <c:tx>
            <c:strRef>
              <c:f>IBR_Vod.!$H$2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IBR_Vod.!$F$3:$F$8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IBR_Vod.!$H$3:$H$8</c:f>
              <c:numCache>
                <c:formatCode>0.00</c:formatCode>
                <c:ptCount val="6"/>
                <c:pt idx="0">
                  <c:v>60.256666666666668</c:v>
                </c:pt>
                <c:pt idx="1">
                  <c:v>62.933333333333337</c:v>
                </c:pt>
                <c:pt idx="2">
                  <c:v>59.254999999999995</c:v>
                </c:pt>
                <c:pt idx="3">
                  <c:v>75.418333333333337</c:v>
                </c:pt>
                <c:pt idx="4">
                  <c:v>49.368333333333332</c:v>
                </c:pt>
                <c:pt idx="5">
                  <c:v>51.463333333333338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842112"/>
        <c:axId val="38191872"/>
        <c:axId val="0"/>
      </c:bar3DChart>
      <c:catAx>
        <c:axId val="36842112"/>
        <c:scaling>
          <c:orientation val="minMax"/>
        </c:scaling>
        <c:delete val="0"/>
        <c:axPos val="b"/>
        <c:majorTickMark val="out"/>
        <c:minorTickMark val="none"/>
        <c:tickLblPos val="nextTo"/>
        <c:crossAx val="38191872"/>
        <c:crosses val="autoZero"/>
        <c:auto val="1"/>
        <c:lblAlgn val="ctr"/>
        <c:lblOffset val="100"/>
        <c:noMultiLvlLbl val="0"/>
      </c:catAx>
      <c:valAx>
        <c:axId val="3819187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68421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IBR_Vod.!$L$2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IBR_Vod.!$K$3:$K$8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IBR_Vod.!$L$3:$L$8</c:f>
              <c:numCache>
                <c:formatCode>0.00</c:formatCode>
                <c:ptCount val="6"/>
                <c:pt idx="0">
                  <c:v>5.7299999999999995</c:v>
                </c:pt>
                <c:pt idx="1">
                  <c:v>8.9499999999999993</c:v>
                </c:pt>
                <c:pt idx="2">
                  <c:v>11.378</c:v>
                </c:pt>
                <c:pt idx="3">
                  <c:v>1.214</c:v>
                </c:pt>
                <c:pt idx="4">
                  <c:v>6.9879999999999995</c:v>
                </c:pt>
                <c:pt idx="5" formatCode="General">
                  <c:v>10.266</c:v>
                </c:pt>
              </c:numCache>
            </c:numRef>
          </c:val>
        </c:ser>
        <c:ser>
          <c:idx val="1"/>
          <c:order val="1"/>
          <c:tx>
            <c:strRef>
              <c:f>IBR_Vod.!$M$2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IBR_Vod.!$K$3:$K$8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IBR_Vod.!$M$3:$M$8</c:f>
              <c:numCache>
                <c:formatCode>0.00</c:formatCode>
                <c:ptCount val="6"/>
                <c:pt idx="0">
                  <c:v>3.2166666666666672</c:v>
                </c:pt>
                <c:pt idx="1">
                  <c:v>1.6033333333333335</c:v>
                </c:pt>
                <c:pt idx="2">
                  <c:v>1.4083333333333332</c:v>
                </c:pt>
                <c:pt idx="3">
                  <c:v>0.96833333333333338</c:v>
                </c:pt>
                <c:pt idx="4">
                  <c:v>4.213333333333332</c:v>
                </c:pt>
                <c:pt idx="5" formatCode="General">
                  <c:v>1.21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7736704"/>
        <c:axId val="67759488"/>
        <c:axId val="0"/>
      </c:bar3DChart>
      <c:catAx>
        <c:axId val="67736704"/>
        <c:scaling>
          <c:orientation val="minMax"/>
        </c:scaling>
        <c:delete val="0"/>
        <c:axPos val="b"/>
        <c:majorTickMark val="out"/>
        <c:minorTickMark val="none"/>
        <c:tickLblPos val="nextTo"/>
        <c:crossAx val="67759488"/>
        <c:crosses val="autoZero"/>
        <c:auto val="1"/>
        <c:lblAlgn val="ctr"/>
        <c:lblOffset val="100"/>
        <c:noMultiLvlLbl val="0"/>
      </c:catAx>
      <c:valAx>
        <c:axId val="67759488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67736704"/>
        <c:crosses val="autoZero"/>
        <c:crossBetween val="between"/>
      </c:valAx>
      <c:spPr>
        <a:ln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IBR_Vod.!$Q$2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IBR_Vod.!$P$3:$P$8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IBR_Vod.!$Q$3:$Q$8</c:f>
              <c:numCache>
                <c:formatCode>0.00</c:formatCode>
                <c:ptCount val="6"/>
                <c:pt idx="0">
                  <c:v>43.358000000000004</c:v>
                </c:pt>
                <c:pt idx="1">
                  <c:v>28.923999999999999</c:v>
                </c:pt>
                <c:pt idx="2">
                  <c:v>33.717999999999996</c:v>
                </c:pt>
                <c:pt idx="3">
                  <c:v>6.0520000000000005</c:v>
                </c:pt>
                <c:pt idx="4">
                  <c:v>39.512</c:v>
                </c:pt>
              </c:numCache>
            </c:numRef>
          </c:val>
        </c:ser>
        <c:ser>
          <c:idx val="1"/>
          <c:order val="1"/>
          <c:tx>
            <c:strRef>
              <c:f>IBR_Vod.!$R$2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IBR_Vod.!$P$3:$P$8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IBR_Vod.!$R$3:$R$8</c:f>
              <c:numCache>
                <c:formatCode>0.00</c:formatCode>
                <c:ptCount val="6"/>
                <c:pt idx="0">
                  <c:v>46.77</c:v>
                </c:pt>
                <c:pt idx="1">
                  <c:v>30.093333333333334</c:v>
                </c:pt>
                <c:pt idx="2">
                  <c:v>34.766666666666666</c:v>
                </c:pt>
                <c:pt idx="3">
                  <c:v>6.14</c:v>
                </c:pt>
                <c:pt idx="4">
                  <c:v>43.446666666666665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610944"/>
        <c:axId val="3018752"/>
        <c:axId val="0"/>
      </c:bar3DChart>
      <c:catAx>
        <c:axId val="136610944"/>
        <c:scaling>
          <c:orientation val="minMax"/>
        </c:scaling>
        <c:delete val="0"/>
        <c:axPos val="b"/>
        <c:majorTickMark val="out"/>
        <c:minorTickMark val="none"/>
        <c:tickLblPos val="nextTo"/>
        <c:crossAx val="3018752"/>
        <c:crosses val="autoZero"/>
        <c:auto val="1"/>
        <c:lblAlgn val="ctr"/>
        <c:lblOffset val="100"/>
        <c:noMultiLvlLbl val="0"/>
      </c:catAx>
      <c:valAx>
        <c:axId val="301875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1366109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IBR_Vod.!$B$23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IBR_Vod.!$A$24:$A$29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IBR_Vod.!$B$24:$B$29</c:f>
              <c:numCache>
                <c:formatCode>0.0</c:formatCode>
                <c:ptCount val="6"/>
                <c:pt idx="0">
                  <c:v>69.006</c:v>
                </c:pt>
                <c:pt idx="1">
                  <c:v>65.441999999999979</c:v>
                </c:pt>
                <c:pt idx="2">
                  <c:v>69.962000000000003</c:v>
                </c:pt>
                <c:pt idx="3">
                  <c:v>59.378000000000007</c:v>
                </c:pt>
                <c:pt idx="4">
                  <c:v>48.285999999999994</c:v>
                </c:pt>
              </c:numCache>
            </c:numRef>
          </c:val>
        </c:ser>
        <c:ser>
          <c:idx val="1"/>
          <c:order val="1"/>
          <c:tx>
            <c:strRef>
              <c:f>IBR_Vod.!$C$23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IBR_Vod.!$A$24:$A$29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IBR_Vod.!$C$24:$C$29</c:f>
              <c:numCache>
                <c:formatCode>0.0</c:formatCode>
                <c:ptCount val="6"/>
                <c:pt idx="0">
                  <c:v>72.350000000000009</c:v>
                </c:pt>
                <c:pt idx="1">
                  <c:v>69.324999999999989</c:v>
                </c:pt>
                <c:pt idx="2">
                  <c:v>73.671666666666667</c:v>
                </c:pt>
                <c:pt idx="3">
                  <c:v>63.975000000000001</c:v>
                </c:pt>
                <c:pt idx="4">
                  <c:v>51.676666666666669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52672"/>
        <c:axId val="3054208"/>
        <c:axId val="0"/>
      </c:bar3DChart>
      <c:catAx>
        <c:axId val="3052672"/>
        <c:scaling>
          <c:orientation val="minMax"/>
        </c:scaling>
        <c:delete val="0"/>
        <c:axPos val="b"/>
        <c:majorTickMark val="out"/>
        <c:minorTickMark val="none"/>
        <c:tickLblPos val="nextTo"/>
        <c:crossAx val="3054208"/>
        <c:crosses val="autoZero"/>
        <c:auto val="1"/>
        <c:lblAlgn val="ctr"/>
        <c:lblOffset val="100"/>
        <c:noMultiLvlLbl val="0"/>
      </c:catAx>
      <c:valAx>
        <c:axId val="3054208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052672"/>
        <c:crosses val="autoZero"/>
        <c:crossBetween val="between"/>
      </c:valAx>
      <c:spPr>
        <a:ln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IBR_Vod.!$H$23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IBR_Vod.!$G$24:$G$29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IBR_Vod.!$H$24:$H$29</c:f>
              <c:numCache>
                <c:formatCode>0.00</c:formatCode>
                <c:ptCount val="6"/>
                <c:pt idx="0">
                  <c:v>40.79</c:v>
                </c:pt>
                <c:pt idx="1">
                  <c:v>23.526</c:v>
                </c:pt>
                <c:pt idx="2">
                  <c:v>24.580000000000002</c:v>
                </c:pt>
                <c:pt idx="3">
                  <c:v>33.136000000000003</c:v>
                </c:pt>
              </c:numCache>
            </c:numRef>
          </c:val>
        </c:ser>
        <c:ser>
          <c:idx val="1"/>
          <c:order val="1"/>
          <c:tx>
            <c:strRef>
              <c:f>IBR_Vod.!$I$23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IBR_Vod.!$G$24:$G$29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IBR_Vod.!$I$24:$I$29</c:f>
              <c:numCache>
                <c:formatCode>0.00</c:formatCode>
                <c:ptCount val="6"/>
                <c:pt idx="0">
                  <c:v>50.881666666666661</c:v>
                </c:pt>
                <c:pt idx="1">
                  <c:v>36.085000000000001</c:v>
                </c:pt>
                <c:pt idx="2">
                  <c:v>39.481666666666662</c:v>
                </c:pt>
                <c:pt idx="3">
                  <c:v>34.798333333333339</c:v>
                </c:pt>
                <c:pt idx="4">
                  <c:v>16.951666666666664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75456"/>
        <c:axId val="3081344"/>
        <c:axId val="0"/>
      </c:bar3DChart>
      <c:catAx>
        <c:axId val="3075456"/>
        <c:scaling>
          <c:orientation val="minMax"/>
        </c:scaling>
        <c:delete val="0"/>
        <c:axPos val="b"/>
        <c:majorTickMark val="out"/>
        <c:minorTickMark val="none"/>
        <c:tickLblPos val="nextTo"/>
        <c:crossAx val="3081344"/>
        <c:crosses val="autoZero"/>
        <c:auto val="1"/>
        <c:lblAlgn val="ctr"/>
        <c:lblOffset val="100"/>
        <c:noMultiLvlLbl val="0"/>
      </c:catAx>
      <c:valAx>
        <c:axId val="3081344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07545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IBR_Vod.!$N$23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IBR_Vod.!$M$24:$M$29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IBR_Vod.!$N$24:$N$29</c:f>
              <c:numCache>
                <c:formatCode>0.00</c:formatCode>
                <c:ptCount val="6"/>
                <c:pt idx="0">
                  <c:v>417.3061586666667</c:v>
                </c:pt>
                <c:pt idx="1">
                  <c:v>67.407385333333337</c:v>
                </c:pt>
                <c:pt idx="2">
                  <c:v>45.44386500000001</c:v>
                </c:pt>
                <c:pt idx="3">
                  <c:v>21.963520333333332</c:v>
                </c:pt>
              </c:numCache>
            </c:numRef>
          </c:val>
        </c:ser>
        <c:ser>
          <c:idx val="1"/>
          <c:order val="1"/>
          <c:tx>
            <c:strRef>
              <c:f>IBR_Vod.!$O$23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IBR_Vod.!$M$24:$M$29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IBR_Vod.!$O$24:$O$29</c:f>
              <c:numCache>
                <c:formatCode>0.00</c:formatCode>
                <c:ptCount val="6"/>
                <c:pt idx="0">
                  <c:v>461.93126416666672</c:v>
                </c:pt>
                <c:pt idx="1">
                  <c:v>96.789297833333322</c:v>
                </c:pt>
                <c:pt idx="2">
                  <c:v>66.220948833333338</c:v>
                </c:pt>
                <c:pt idx="3">
                  <c:v>19.879792333333331</c:v>
                </c:pt>
                <c:pt idx="4">
                  <c:v>10.688556666666665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06688"/>
        <c:axId val="3108224"/>
        <c:axId val="0"/>
      </c:bar3DChart>
      <c:catAx>
        <c:axId val="3106688"/>
        <c:scaling>
          <c:orientation val="minMax"/>
        </c:scaling>
        <c:delete val="0"/>
        <c:axPos val="b"/>
        <c:majorTickMark val="out"/>
        <c:minorTickMark val="none"/>
        <c:tickLblPos val="nextTo"/>
        <c:crossAx val="3108224"/>
        <c:crosses val="autoZero"/>
        <c:auto val="1"/>
        <c:lblAlgn val="ctr"/>
        <c:lblOffset val="100"/>
        <c:noMultiLvlLbl val="0"/>
      </c:catAx>
      <c:valAx>
        <c:axId val="3108224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106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IBR_Vod.!$V$23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IBR_Vod.!$U$24:$U$29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IBR_Vod.!$V$24:$V$29</c:f>
              <c:numCache>
                <c:formatCode>0.00</c:formatCode>
                <c:ptCount val="6"/>
                <c:pt idx="0">
                  <c:v>50.881666666666661</c:v>
                </c:pt>
                <c:pt idx="1">
                  <c:v>29.093609333333333</c:v>
                </c:pt>
                <c:pt idx="2">
                  <c:v>20.703610999999999</c:v>
                </c:pt>
                <c:pt idx="3">
                  <c:v>8.3899983333333328</c:v>
                </c:pt>
              </c:numCache>
            </c:numRef>
          </c:val>
        </c:ser>
        <c:ser>
          <c:idx val="1"/>
          <c:order val="1"/>
          <c:tx>
            <c:strRef>
              <c:f>IBR_Vod.!$W$23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IBR_Vod.!$U$24:$U$29</c:f>
              <c:strCache>
                <c:ptCount val="6"/>
                <c:pt idx="0">
                  <c:v>България</c:v>
                </c:pt>
                <c:pt idx="1">
                  <c:v>ИБРБУВ</c:v>
                </c:pt>
                <c:pt idx="2">
                  <c:v>Марица</c:v>
                </c:pt>
                <c:pt idx="3">
                  <c:v>Тунджа (вкл. р.Фишера)</c:v>
                </c:pt>
                <c:pt idx="4">
                  <c:v>Арда (вкл. р.Атеринска)</c:v>
                </c:pt>
                <c:pt idx="5">
                  <c:v>Бяла (вкл.р.Луда)</c:v>
                </c:pt>
              </c:strCache>
            </c:strRef>
          </c:cat>
          <c:val>
            <c:numRef>
              <c:f>IBR_Vod.!$W$24:$W$29</c:f>
              <c:numCache>
                <c:formatCode>0.00</c:formatCode>
                <c:ptCount val="6"/>
                <c:pt idx="0">
                  <c:v>439.61871141666671</c:v>
                </c:pt>
                <c:pt idx="1">
                  <c:v>35.009882725799095</c:v>
                </c:pt>
                <c:pt idx="2">
                  <c:v>27.217900133105022</c:v>
                </c:pt>
                <c:pt idx="3">
                  <c:v>7.3143459123287675</c:v>
                </c:pt>
                <c:pt idx="4">
                  <c:v>0.47763668036529677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37920"/>
        <c:axId val="3139456"/>
        <c:axId val="0"/>
      </c:bar3DChart>
      <c:catAx>
        <c:axId val="3137920"/>
        <c:scaling>
          <c:orientation val="minMax"/>
        </c:scaling>
        <c:delete val="0"/>
        <c:axPos val="b"/>
        <c:majorTickMark val="out"/>
        <c:minorTickMark val="none"/>
        <c:tickLblPos val="nextTo"/>
        <c:crossAx val="3139456"/>
        <c:crosses val="autoZero"/>
        <c:auto val="1"/>
        <c:lblAlgn val="ctr"/>
        <c:lblOffset val="100"/>
        <c:noMultiLvlLbl val="0"/>
      </c:catAx>
      <c:valAx>
        <c:axId val="3139456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31379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ZBR!$B$2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ZBR!$A$3:$A$7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ZBR!$B$3:$B$7</c:f>
              <c:numCache>
                <c:formatCode>0</c:formatCode>
                <c:ptCount val="5"/>
                <c:pt idx="0">
                  <c:v>353788.25574000005</c:v>
                </c:pt>
                <c:pt idx="1">
                  <c:v>308555.67276000004</c:v>
                </c:pt>
                <c:pt idx="2">
                  <c:v>31548.133699999998</c:v>
                </c:pt>
                <c:pt idx="3">
                  <c:v>13620.110080000002</c:v>
                </c:pt>
                <c:pt idx="4">
                  <c:v>64.339199999999991</c:v>
                </c:pt>
              </c:numCache>
            </c:numRef>
          </c:val>
        </c:ser>
        <c:ser>
          <c:idx val="1"/>
          <c:order val="1"/>
          <c:tx>
            <c:strRef>
              <c:f>ZBR!$C$2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ZBR!$A$3:$A$7</c:f>
              <c:strCache>
                <c:ptCount val="5"/>
                <c:pt idx="0">
                  <c:v>ИБРБУВ</c:v>
                </c:pt>
                <c:pt idx="1">
                  <c:v>Марица</c:v>
                </c:pt>
                <c:pt idx="2">
                  <c:v>Тунджа (вкл. р.Фишера)</c:v>
                </c:pt>
                <c:pt idx="3">
                  <c:v>Арда (вкл. р.Атеринска)</c:v>
                </c:pt>
                <c:pt idx="4">
                  <c:v>Бяла (вкл.р.Луда)</c:v>
                </c:pt>
              </c:strCache>
            </c:strRef>
          </c:cat>
          <c:val>
            <c:numRef>
              <c:f>ZBR!$C$3:$C$7</c:f>
              <c:numCache>
                <c:formatCode>0</c:formatCode>
                <c:ptCount val="5"/>
                <c:pt idx="0">
                  <c:v>238500.80346666664</c:v>
                </c:pt>
                <c:pt idx="1">
                  <c:v>190291.59176666665</c:v>
                </c:pt>
                <c:pt idx="2">
                  <c:v>34314.354983333331</c:v>
                </c:pt>
                <c:pt idx="3">
                  <c:v>13840.945966666666</c:v>
                </c:pt>
                <c:pt idx="4">
                  <c:v>53.910750000000007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50688"/>
        <c:axId val="34852224"/>
        <c:axId val="0"/>
      </c:bar3DChart>
      <c:catAx>
        <c:axId val="34850688"/>
        <c:scaling>
          <c:orientation val="minMax"/>
        </c:scaling>
        <c:delete val="0"/>
        <c:axPos val="b"/>
        <c:majorTickMark val="out"/>
        <c:minorTickMark val="none"/>
        <c:tickLblPos val="nextTo"/>
        <c:crossAx val="34852224"/>
        <c:crosses val="autoZero"/>
        <c:auto val="1"/>
        <c:lblAlgn val="ctr"/>
        <c:lblOffset val="100"/>
        <c:noMultiLvlLbl val="0"/>
      </c:catAx>
      <c:valAx>
        <c:axId val="3485222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50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E3F-2D1E-4099-9F58-40437DA5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cp:lastPrinted>2015-02-14T14:29:00Z</cp:lastPrinted>
  <dcterms:created xsi:type="dcterms:W3CDTF">2015-04-01T11:53:00Z</dcterms:created>
  <dcterms:modified xsi:type="dcterms:W3CDTF">2015-11-19T11:13:00Z</dcterms:modified>
</cp:coreProperties>
</file>