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93"/>
        <w:gridCol w:w="6435"/>
      </w:tblGrid>
      <w:tr w:rsidR="004D04BC" w:rsidRPr="00EE1FA5" w:rsidTr="008F3919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  <w:p w:rsidR="004D04BC" w:rsidRPr="004D04BC" w:rsidRDefault="004D04BC" w:rsidP="004D04BC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  <w:r w:rsidRPr="00EE1FA5">
              <w:rPr>
                <w:rFonts w:ascii="Times New Roman" w:hAnsi="Times New Roman" w:cs="Times New Roman"/>
                <w:b/>
                <w:sz w:val="80"/>
                <w:szCs w:val="80"/>
              </w:rPr>
              <w:t xml:space="preserve">ЧАСТ </w:t>
            </w:r>
            <w:r>
              <w:rPr>
                <w:rFonts w:ascii="Times New Roman" w:hAnsi="Times New Roman" w:cs="Times New Roman"/>
                <w:b/>
                <w:sz w:val="80"/>
                <w:szCs w:val="80"/>
                <w:lang w:val="en-US"/>
              </w:rPr>
              <w:t>2</w:t>
            </w: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EAF1DD" w:themeFill="accent3" w:themeFillTint="33"/>
          </w:tcPr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  <w:tr w:rsidR="004D04BC" w:rsidRPr="00EE1FA5" w:rsidTr="008F3919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DBE5F1" w:themeFill="accent1" w:themeFillTint="33"/>
          </w:tcPr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Анализ на тенденциите и прогнозите на водоползването</w:t>
            </w: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</w:tbl>
    <w:p w:rsidR="004D04BC" w:rsidRDefault="004D04BC"/>
    <w:p w:rsidR="004D04BC" w:rsidRDefault="004D04BC">
      <w:r>
        <w:br w:type="page"/>
      </w:r>
    </w:p>
    <w:p w:rsidR="004D04BC" w:rsidRPr="00AC2B72" w:rsidRDefault="00AC2B72" w:rsidP="00AC2B72">
      <w:pPr>
        <w:pStyle w:val="Heading1"/>
        <w:ind w:left="284" w:hanging="284"/>
      </w:pPr>
      <w:r w:rsidRPr="00AC2B72">
        <w:lastRenderedPageBreak/>
        <w:t>8. Оценка на демографското и икономическото развитие за периода до 2021 и 2027 г.</w:t>
      </w:r>
    </w:p>
    <w:p w:rsidR="00D456A2" w:rsidRDefault="004D04BC" w:rsidP="00D456A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</w:pPr>
      <w:r w:rsidRPr="00EE1FA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 тази точка са представени</w:t>
      </w:r>
      <w:r w:rsidR="00D456A2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:</w:t>
      </w:r>
      <w:r w:rsidRPr="00EE1FA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</w:p>
    <w:p w:rsidR="004D04BC" w:rsidRPr="00D456A2" w:rsidRDefault="004D04BC" w:rsidP="00D456A2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r w:rsidRPr="00D456A2">
        <w:rPr>
          <w:rFonts w:ascii="Times New Roman" w:hAnsi="Times New Roman" w:cs="Times New Roman"/>
          <w:iCs/>
          <w:sz w:val="24"/>
          <w:szCs w:val="24"/>
        </w:rPr>
        <w:t>Демографска прогноза</w:t>
      </w:r>
    </w:p>
    <w:bookmarkEnd w:id="0"/>
    <w:p w:rsidR="004D04BC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Прогноза за динамиката в икономическото развитие</w:t>
      </w:r>
    </w:p>
    <w:p w:rsidR="00BD09EA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Прогноза за развитието на доходите на населението</w:t>
      </w:r>
    </w:p>
    <w:p w:rsidR="004D04BC" w:rsidRPr="00B077A5" w:rsidRDefault="00BD09EA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</w:t>
      </w:r>
      <w:r w:rsidR="004D04BC" w:rsidRPr="00B077A5">
        <w:rPr>
          <w:rFonts w:ascii="Times New Roman" w:hAnsi="Times New Roman" w:cs="Times New Roman"/>
          <w:iCs/>
          <w:sz w:val="24"/>
          <w:szCs w:val="24"/>
        </w:rPr>
        <w:t>рогноза за социалната поносимост на цените на ВиК услугите</w:t>
      </w:r>
    </w:p>
    <w:p w:rsidR="00BD09EA" w:rsidRPr="003051EF" w:rsidRDefault="00DE79FD" w:rsidP="003051EF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E79F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8.1. </w:t>
      </w:r>
      <w:proofErr w:type="spellStart"/>
      <w:r w:rsidRPr="003051EF">
        <w:rPr>
          <w:rFonts w:ascii="Times New Roman" w:hAnsi="Times New Roman" w:cs="Times New Roman"/>
          <w:color w:val="auto"/>
          <w:sz w:val="24"/>
          <w:szCs w:val="24"/>
          <w:lang w:val="en-US"/>
        </w:rPr>
        <w:t>Демографска</w:t>
      </w:r>
      <w:proofErr w:type="spellEnd"/>
      <w:r w:rsidRPr="003051EF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3051EF">
        <w:rPr>
          <w:rFonts w:ascii="Times New Roman" w:hAnsi="Times New Roman" w:cs="Times New Roman"/>
          <w:color w:val="auto"/>
          <w:sz w:val="24"/>
          <w:szCs w:val="24"/>
          <w:lang w:val="en-US"/>
        </w:rPr>
        <w:t>прогноза</w:t>
      </w:r>
      <w:proofErr w:type="spellEnd"/>
    </w:p>
    <w:p w:rsidR="00A11210" w:rsidRPr="003051EF" w:rsidRDefault="00A11210" w:rsidP="003051EF">
      <w:pPr>
        <w:pStyle w:val="Heading3"/>
        <w:rPr>
          <w:i/>
          <w:color w:val="auto"/>
          <w:sz w:val="24"/>
        </w:rPr>
      </w:pPr>
      <w:r w:rsidRPr="003051EF">
        <w:rPr>
          <w:i/>
          <w:color w:val="auto"/>
          <w:sz w:val="24"/>
        </w:rPr>
        <w:t>8.1.</w:t>
      </w:r>
      <w:proofErr w:type="spellStart"/>
      <w:r w:rsidRPr="003051EF">
        <w:rPr>
          <w:i/>
          <w:color w:val="auto"/>
          <w:sz w:val="24"/>
        </w:rPr>
        <w:t>1</w:t>
      </w:r>
      <w:proofErr w:type="spellEnd"/>
      <w:r w:rsidRPr="003051EF">
        <w:rPr>
          <w:i/>
          <w:color w:val="auto"/>
          <w:sz w:val="24"/>
        </w:rPr>
        <w:t>. Методологически бележки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съответствие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методологическия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подход, използван в Проект „Актуализация на икономическия анализ на използването на водите съгласно чл.5 на РДВ 2000/60 на ЕС“ за целите на предишните ПУРБ, и техническото ни предложение са разработени прогнози за: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 брой на селищата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градовете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селата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 брой на населението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градското население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селското население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населението на възраст 15-64 г. – на ниво район за басейново управление на водите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Прогнозата </w:t>
      </w:r>
      <w:r>
        <w:rPr>
          <w:rFonts w:ascii="Times New Roman" w:eastAsia="Calibri" w:hAnsi="Times New Roman" w:cs="Times New Roman"/>
          <w:sz w:val="24"/>
          <w:szCs w:val="24"/>
        </w:rPr>
        <w:t>за общия брой 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населението за периода 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E243AC">
        <w:rPr>
          <w:rFonts w:ascii="Times New Roman" w:eastAsia="Calibri" w:hAnsi="Times New Roman" w:cs="Times New Roman"/>
          <w:sz w:val="24"/>
          <w:szCs w:val="24"/>
        </w:rPr>
        <w:t>-2027 г. се базира изцяло на националната прогноза за броя на населението до 20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>0 г</w:t>
      </w:r>
      <w:r w:rsidRPr="0035181F">
        <w:rPr>
          <w:rFonts w:ascii="Times New Roman" w:eastAsia="Calibri" w:hAnsi="Times New Roman" w:cs="Times New Roman"/>
          <w:sz w:val="24"/>
          <w:szCs w:val="24"/>
        </w:rPr>
        <w:t>. на НСИ</w:t>
      </w:r>
      <w:r w:rsidRPr="0035181F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публикувана на интернет страницата на НСИ към 1.01.2015 г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Взети са предвид и трите варианта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националната прогноза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t xml:space="preserve">I вариант (при хипотеза за </w:t>
      </w:r>
      <w:proofErr w:type="spellStart"/>
      <w:r w:rsidRPr="000D5D7B">
        <w:rPr>
          <w:rFonts w:ascii="Times New Roman" w:eastAsia="Calibri" w:hAnsi="Times New Roman" w:cs="Times New Roman"/>
          <w:sz w:val="24"/>
          <w:szCs w:val="24"/>
        </w:rPr>
        <w:t>конвергентност</w:t>
      </w:r>
      <w:proofErr w:type="spellEnd"/>
      <w:r w:rsidRPr="000D5D7B">
        <w:rPr>
          <w:rFonts w:ascii="Times New Roman" w:eastAsia="Calibri" w:hAnsi="Times New Roman" w:cs="Times New Roman"/>
          <w:sz w:val="24"/>
          <w:szCs w:val="24"/>
        </w:rPr>
        <w:t>) - този вариант се определя като реалистичен и е съобразен с нормативните изисквания на Европейския съюз за демографското и социално-икономическото развитие на страните членки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(реалистичен сценарий)</w:t>
      </w:r>
      <w:r w:rsidRPr="000D5D7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lastRenderedPageBreak/>
        <w:t>II вариант (относително ускоряване) - при този вариант се предполага, че демографското развитие ще протича при благоприятни социално-икономически процеси в страната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(оптимистичен сценарий).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t>III вариант (относително забавяне)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п</w:t>
      </w:r>
      <w:r w:rsidRPr="000D5D7B">
        <w:rPr>
          <w:rFonts w:ascii="Times New Roman" w:eastAsia="Calibri" w:hAnsi="Times New Roman" w:cs="Times New Roman"/>
          <w:sz w:val="24"/>
          <w:szCs w:val="24"/>
        </w:rPr>
        <w:t>ри този вариант развитието на населението е прогнозирано при хипотези за неблагоприятни социално-икономически процеси в страната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(песимистичен сценарий).</w:t>
      </w:r>
    </w:p>
    <w:p w:rsidR="00DE79FD" w:rsidRPr="00925FC9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Прогнозата за населението, живеещо на територията на ЗБРБУВ и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речните  басейни</w:t>
      </w:r>
      <w:r w:rsidR="0002678D">
        <w:rPr>
          <w:rFonts w:ascii="Times New Roman" w:eastAsia="Calibri" w:hAnsi="Times New Roman" w:cs="Times New Roman"/>
          <w:sz w:val="24"/>
          <w:szCs w:val="24"/>
        </w:rPr>
        <w:t>,</w:t>
      </w: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 се базира на екстраполация на средния темп на прираст за периода 2003-2013 г. Различията с националното равнище, определено от НСИ, се премахват чрез пропорционално увеличение/намаление на темпа на прираст на населението на района и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речните басейни</w:t>
      </w:r>
      <w:r w:rsidRPr="00925FC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Прогнозата </w:t>
      </w:r>
      <w:r>
        <w:rPr>
          <w:rFonts w:ascii="Times New Roman" w:eastAsia="Calibri" w:hAnsi="Times New Roman" w:cs="Times New Roman"/>
          <w:sz w:val="24"/>
          <w:szCs w:val="24"/>
        </w:rPr>
        <w:t>за броя 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населението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възраст 15-64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>за периода 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E243AC">
        <w:rPr>
          <w:rFonts w:ascii="Times New Roman" w:eastAsia="Calibri" w:hAnsi="Times New Roman" w:cs="Times New Roman"/>
          <w:sz w:val="24"/>
          <w:szCs w:val="24"/>
        </w:rPr>
        <w:t>-2027 г. се базира изцяло на националната прогноза за броя на населението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този възрастов диапазон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до 20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>0 г. на НСИ</w:t>
      </w:r>
      <w:r w:rsidR="0002678D">
        <w:rPr>
          <w:rFonts w:ascii="Times New Roman" w:eastAsia="Calibri" w:hAnsi="Times New Roman" w:cs="Times New Roman"/>
          <w:sz w:val="24"/>
          <w:szCs w:val="24"/>
        </w:rPr>
        <w:t>, публикувана на интернет страницата на НСИ към 1.01.2015 г</w:t>
      </w:r>
      <w:r w:rsidR="0002678D" w:rsidRPr="00E243AC">
        <w:rPr>
          <w:rFonts w:ascii="Times New Roman" w:eastAsia="Calibri" w:hAnsi="Times New Roman" w:cs="Times New Roman"/>
          <w:sz w:val="24"/>
          <w:szCs w:val="24"/>
        </w:rPr>
        <w:t>.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Взети са предвид трите варианта на тази прогноза - </w:t>
      </w:r>
      <w:r w:rsidRPr="000D5D7B">
        <w:rPr>
          <w:rFonts w:ascii="Times New Roman" w:eastAsia="Calibri" w:hAnsi="Times New Roman" w:cs="Times New Roman"/>
          <w:sz w:val="24"/>
          <w:szCs w:val="24"/>
        </w:rPr>
        <w:t xml:space="preserve">I вариант (при хипотеза за </w:t>
      </w:r>
      <w:proofErr w:type="spellStart"/>
      <w:r w:rsidRPr="000D5D7B">
        <w:rPr>
          <w:rFonts w:ascii="Times New Roman" w:eastAsia="Calibri" w:hAnsi="Times New Roman" w:cs="Times New Roman"/>
          <w:sz w:val="24"/>
          <w:szCs w:val="24"/>
        </w:rPr>
        <w:t>конвергентност</w:t>
      </w:r>
      <w:proofErr w:type="spellEnd"/>
      <w:r w:rsidRPr="000D5D7B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D5D7B">
        <w:rPr>
          <w:rFonts w:ascii="Times New Roman" w:eastAsia="Calibri" w:hAnsi="Times New Roman" w:cs="Times New Roman"/>
          <w:sz w:val="24"/>
          <w:szCs w:val="24"/>
        </w:rPr>
        <w:t>II вариант (относително ускоряване)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D5D7B">
        <w:rPr>
          <w:rFonts w:ascii="Times New Roman" w:eastAsia="Calibri" w:hAnsi="Times New Roman" w:cs="Times New Roman"/>
          <w:sz w:val="24"/>
          <w:szCs w:val="24"/>
        </w:rPr>
        <w:t>III вариант (относително забавяне)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Аналогично на подхода за прогнозиране на общия брой на населението е екстраполиран средният темп на прираст за периода 2003-2013 г., като различията с националното равнище, определено от НСИ, се </w:t>
      </w:r>
      <w:r w:rsidRPr="00925FC9">
        <w:rPr>
          <w:rFonts w:ascii="Times New Roman" w:eastAsia="Calibri" w:hAnsi="Times New Roman" w:cs="Times New Roman"/>
          <w:sz w:val="24"/>
          <w:szCs w:val="24"/>
        </w:rPr>
        <w:t>премахват чрез пропорционално увеличение/намаление на темпа на прираст на населението на района и речните басейни.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(последната година, за която има данни) броят на селищата е намален с тези селища, в които не живее нито един жител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(по данни на НСИ)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Прогнозира се, че до 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ще </w:t>
      </w:r>
      <w:proofErr w:type="spellStart"/>
      <w:r w:rsidRPr="00E243AC">
        <w:rPr>
          <w:rFonts w:ascii="Times New Roman" w:eastAsia="Calibri" w:hAnsi="Times New Roman" w:cs="Times New Roman"/>
          <w:sz w:val="24"/>
          <w:szCs w:val="24"/>
        </w:rPr>
        <w:t>обезлюдеят</w:t>
      </w:r>
      <w:proofErr w:type="spellEnd"/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селищата, които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имат до 5 жители, през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– до 20 жителя, през 202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– до 30 жители. При оптимистичния и песимистичния варианти горните критерии се променят съответно </w:t>
      </w:r>
      <w:r w:rsidRPr="0035181F">
        <w:rPr>
          <w:rFonts w:ascii="Times New Roman" w:eastAsia="Calibri" w:hAnsi="Times New Roman" w:cs="Times New Roman"/>
          <w:sz w:val="24"/>
          <w:szCs w:val="24"/>
        </w:rPr>
        <w:t>с: ±1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35181F">
        <w:rPr>
          <w:rFonts w:ascii="Times New Roman" w:eastAsia="Calibri" w:hAnsi="Times New Roman" w:cs="Times New Roman"/>
          <w:sz w:val="24"/>
          <w:szCs w:val="24"/>
        </w:rPr>
        <w:t>±2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35181F">
        <w:rPr>
          <w:rFonts w:ascii="Times New Roman" w:eastAsia="Calibri" w:hAnsi="Times New Roman" w:cs="Times New Roman"/>
          <w:sz w:val="24"/>
          <w:szCs w:val="24"/>
        </w:rPr>
        <w:t xml:space="preserve"> ±3 през </w:t>
      </w:r>
      <w:r>
        <w:rPr>
          <w:rFonts w:ascii="Times New Roman" w:eastAsia="Calibri" w:hAnsi="Times New Roman" w:cs="Times New Roman"/>
          <w:sz w:val="24"/>
          <w:szCs w:val="24"/>
        </w:rPr>
        <w:t>определени интервали от време</w:t>
      </w:r>
      <w:r w:rsidRPr="003518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Броят на градовете се запазва на равнището от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г., а намалението на броя на селищата е изцяло за сметка на селата.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При прогнозиране на промяната на структурата на населението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гл.т. на градско/селско население се допуска, че за периода 2014-2027 г. делът на градското население в общото население ще нарасне със същия процент, наблюдаван през периода 2003-2013 г. </w:t>
      </w:r>
    </w:p>
    <w:p w:rsidR="00DE79FD" w:rsidRPr="003051EF" w:rsidRDefault="0002678D" w:rsidP="003051EF">
      <w:pPr>
        <w:pStyle w:val="Heading3"/>
        <w:rPr>
          <w:i/>
          <w:color w:val="auto"/>
          <w:sz w:val="24"/>
        </w:rPr>
      </w:pPr>
      <w:bookmarkStart w:id="1" w:name="_Toc238027719"/>
      <w:bookmarkStart w:id="2" w:name="_Toc240878285"/>
      <w:r w:rsidRPr="003051EF">
        <w:rPr>
          <w:i/>
          <w:color w:val="auto"/>
          <w:sz w:val="24"/>
        </w:rPr>
        <w:t>8.1.</w:t>
      </w:r>
      <w:r w:rsidR="00DE79FD" w:rsidRPr="003051EF">
        <w:rPr>
          <w:i/>
          <w:color w:val="auto"/>
          <w:sz w:val="24"/>
        </w:rPr>
        <w:t>2. Западнобеломорски район за басейново управление на водите</w:t>
      </w:r>
      <w:bookmarkEnd w:id="1"/>
      <w:bookmarkEnd w:id="2"/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ЗБРБУВ живее </w:t>
      </w:r>
      <w:r>
        <w:rPr>
          <w:rFonts w:ascii="Times New Roman" w:eastAsia="Calibri" w:hAnsi="Times New Roman" w:cs="Times New Roman"/>
          <w:sz w:val="24"/>
          <w:szCs w:val="24"/>
        </w:rPr>
        <w:t>малко над 8</w:t>
      </w:r>
      <w:r w:rsidRPr="00E243AC">
        <w:rPr>
          <w:rFonts w:ascii="Times New Roman" w:eastAsia="Calibri" w:hAnsi="Times New Roman" w:cs="Times New Roman"/>
          <w:sz w:val="24"/>
          <w:szCs w:val="24"/>
        </w:rPr>
        <w:t>% от населението на България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>Броят на населението на района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9,2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7,1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страната. </w:t>
      </w:r>
      <w:r>
        <w:rPr>
          <w:rFonts w:ascii="Times New Roman" w:eastAsia="Calibri" w:hAnsi="Times New Roman" w:cs="Times New Roman"/>
          <w:sz w:val="24"/>
          <w:szCs w:val="24"/>
        </w:rPr>
        <w:t>Темпът на спад на населението на ЗБРБУВ се засилва особено в периода 2008-2013 г. – 5,9% при 4,7% средно за страната.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416494">
        <w:rPr>
          <w:rFonts w:ascii="Times New Roman" w:eastAsia="Calibri" w:hAnsi="Times New Roman" w:cs="Times New Roman"/>
          <w:sz w:val="24"/>
          <w:szCs w:val="24"/>
        </w:rPr>
        <w:t xml:space="preserve">на населението в района </w:t>
      </w:r>
      <w:r w:rsidRPr="00E243AC">
        <w:rPr>
          <w:rFonts w:ascii="Times New Roman" w:eastAsia="Calibri" w:hAnsi="Times New Roman" w:cs="Times New Roman"/>
          <w:sz w:val="24"/>
          <w:szCs w:val="24"/>
        </w:rPr>
        <w:t>е близка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националната.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67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66,7% средно за страната, като този дял се запазва стабилен за целия период 2003-2013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Степента на урбанизация на ЗБРБУВ е по-ниска от средната за страната.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65,4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73% средно за страната. За десетгодишен период делът на градското население на района се е увеличил с 2,4% при 3% средно за страната. Независимо от нарастващия си дял, градското население на района намалява с 5,8% за периода 2003-2013 г. Селското население на района намалява с по-бързи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темпове в сравнение с градското население – 15% за периода 2003-2013 г., но с по-бавни темпове в сравнение със средното за страната за същия период – 17%.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Районът се характеризира с относително стабилна селищна структура. За десетгодишния период броят на селищата е намалял с 4, като промените се дължат изцяло на селата. Средният брой на население на 1 селище за района е значително по-нисък от средния за страната – 985 жители при 1382 жители средно за страната през 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района ще намалее с 11,6% съгласно реалистичния сценарий, 10,4% съгласно оптимистичния сценарий и 12,3%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>сценарий. Делът на градското население ще нарасне до 66,6% през 2027 г., а делът на населението на възраст 15-64 г. ще намалее до 63,4%.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Pr="003051EF" w:rsidRDefault="003370F3" w:rsidP="003051EF">
      <w:pPr>
        <w:pStyle w:val="Heading3"/>
        <w:rPr>
          <w:i/>
          <w:color w:val="auto"/>
          <w:sz w:val="24"/>
        </w:rPr>
      </w:pPr>
      <w:r w:rsidRPr="003051EF">
        <w:rPr>
          <w:i/>
          <w:color w:val="auto"/>
          <w:sz w:val="24"/>
        </w:rPr>
        <w:t>8.1.</w:t>
      </w:r>
      <w:r w:rsidR="00DE79FD" w:rsidRPr="003051EF">
        <w:rPr>
          <w:i/>
          <w:color w:val="auto"/>
          <w:sz w:val="24"/>
        </w:rPr>
        <w:t xml:space="preserve">3. </w:t>
      </w:r>
      <w:r w:rsidR="00650DA8">
        <w:rPr>
          <w:i/>
          <w:color w:val="auto"/>
          <w:sz w:val="24"/>
        </w:rPr>
        <w:t>РБ</w:t>
      </w:r>
      <w:r w:rsidR="00DE79FD" w:rsidRPr="003051EF">
        <w:rPr>
          <w:i/>
          <w:color w:val="auto"/>
          <w:sz w:val="24"/>
        </w:rPr>
        <w:t xml:space="preserve"> </w:t>
      </w:r>
      <w:r w:rsidRPr="003051EF">
        <w:rPr>
          <w:i/>
          <w:color w:val="auto"/>
          <w:sz w:val="24"/>
        </w:rPr>
        <w:t xml:space="preserve">на </w:t>
      </w:r>
      <w:r w:rsidR="00DE79FD" w:rsidRPr="003051EF">
        <w:rPr>
          <w:i/>
          <w:color w:val="auto"/>
          <w:sz w:val="24"/>
        </w:rPr>
        <w:t>р. Струма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650DA8">
        <w:rPr>
          <w:rFonts w:ascii="Times New Roman" w:eastAsia="Calibri" w:hAnsi="Times New Roman" w:cs="Times New Roman"/>
          <w:sz w:val="24"/>
          <w:szCs w:val="24"/>
        </w:rPr>
        <w:t>РБ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04A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>р. Струма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живее </w:t>
      </w:r>
      <w:r>
        <w:rPr>
          <w:rFonts w:ascii="Times New Roman" w:eastAsia="Calibri" w:hAnsi="Times New Roman" w:cs="Times New Roman"/>
          <w:sz w:val="24"/>
          <w:szCs w:val="24"/>
        </w:rPr>
        <w:t>77%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ЗБРБУВ,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9,2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засилва особено в периода 2008-2013 г. – 6,6% при 5,9% средно за района.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8E04A2">
        <w:rPr>
          <w:rFonts w:ascii="Times New Roman" w:eastAsia="Calibri" w:hAnsi="Times New Roman" w:cs="Times New Roman"/>
          <w:sz w:val="24"/>
          <w:szCs w:val="24"/>
        </w:rPr>
        <w:t xml:space="preserve">на населението, живеещо в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8E04A2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E243AC">
        <w:rPr>
          <w:rFonts w:ascii="Times New Roman" w:eastAsia="Calibri" w:hAnsi="Times New Roman" w:cs="Times New Roman"/>
          <w:sz w:val="24"/>
          <w:szCs w:val="24"/>
        </w:rPr>
        <w:t>е близка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66,4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67% средно за района, като този дял се запазва стабилен за целия период 2003-2013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650DA8" w:rsidRP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по-</w:t>
      </w:r>
      <w:r>
        <w:rPr>
          <w:rFonts w:ascii="Times New Roman" w:eastAsia="Calibri" w:hAnsi="Times New Roman" w:cs="Times New Roman"/>
          <w:sz w:val="24"/>
          <w:szCs w:val="24"/>
        </w:rPr>
        <w:t>висока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72,1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65,4% средно за района. За десетгодишен период делът на градското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е увеличил с 2,7% при 2,4% средно за района. Независимо от нарастващия си дял, градското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6,7% за периода 2003-2013 г. Селското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по-бързи темпове в сравнение с градското население – 18,2% за периода 2003-2013 г. т.е. с по-бързи темпове в сравнение със средното за района за същия период – 15%.</w:t>
      </w:r>
    </w:p>
    <w:p w:rsidR="00DE79FD" w:rsidRDefault="00650DA8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Речният басейн</w:t>
      </w:r>
      <w:r w:rsidR="00DE79FD">
        <w:rPr>
          <w:rFonts w:ascii="Times New Roman" w:eastAsia="Calibri" w:hAnsi="Times New Roman" w:cs="Times New Roman"/>
          <w:sz w:val="24"/>
          <w:szCs w:val="24"/>
        </w:rPr>
        <w:t xml:space="preserve"> се характеризира с относително стабилна селищна структура. За десетгодишния период броят на селищата е намалял с 2, като промените се дължат изцяло на селата.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DE79FD">
        <w:rPr>
          <w:rFonts w:ascii="Times New Roman" w:eastAsia="Calibri" w:hAnsi="Times New Roman" w:cs="Times New Roman"/>
          <w:sz w:val="24"/>
          <w:szCs w:val="24"/>
        </w:rPr>
        <w:t xml:space="preserve"> – 912 жители, е по-нисък от средния за страната и за района – съответно 1382 и 985 жители през 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ще намалее с 13,1% съгласно реалистичния сценарий, 11,8% съгласно оптимистичния сценарий и 13,7%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73,7</w:t>
      </w:r>
      <w:r w:rsidRPr="004D2EA7">
        <w:rPr>
          <w:rFonts w:ascii="Times New Roman" w:eastAsia="Calibri" w:hAnsi="Times New Roman" w:cs="Times New Roman"/>
          <w:sz w:val="24"/>
          <w:szCs w:val="24"/>
        </w:rPr>
        <w:t>% през 2027 г., а делът на населението на възраст 15-64 г. ще намалее до 6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D2EA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Pr="003051EF" w:rsidRDefault="003370F3" w:rsidP="003051EF">
      <w:pPr>
        <w:pStyle w:val="Heading3"/>
        <w:rPr>
          <w:i/>
          <w:color w:val="auto"/>
          <w:sz w:val="24"/>
        </w:rPr>
      </w:pPr>
      <w:r w:rsidRPr="003051EF">
        <w:rPr>
          <w:i/>
          <w:color w:val="auto"/>
          <w:sz w:val="24"/>
        </w:rPr>
        <w:t>8.1.</w:t>
      </w:r>
      <w:r w:rsidR="00DE79FD" w:rsidRPr="003051EF">
        <w:rPr>
          <w:i/>
          <w:color w:val="auto"/>
          <w:sz w:val="24"/>
        </w:rPr>
        <w:t xml:space="preserve">4. </w:t>
      </w:r>
      <w:r w:rsidR="00650DA8">
        <w:rPr>
          <w:i/>
          <w:color w:val="auto"/>
          <w:sz w:val="24"/>
        </w:rPr>
        <w:t>РБ</w:t>
      </w:r>
      <w:r w:rsidRPr="003051EF">
        <w:rPr>
          <w:i/>
          <w:color w:val="auto"/>
          <w:sz w:val="24"/>
        </w:rPr>
        <w:t xml:space="preserve"> на </w:t>
      </w:r>
      <w:r w:rsidR="00DE79FD" w:rsidRPr="003051EF">
        <w:rPr>
          <w:i/>
          <w:color w:val="auto"/>
          <w:sz w:val="24"/>
        </w:rPr>
        <w:t xml:space="preserve">р. Места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650DA8">
        <w:rPr>
          <w:rFonts w:ascii="Times New Roman" w:eastAsia="Calibri" w:hAnsi="Times New Roman" w:cs="Times New Roman"/>
          <w:sz w:val="24"/>
          <w:szCs w:val="24"/>
        </w:rPr>
        <w:t>РБ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04A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>р. Места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живее </w:t>
      </w:r>
      <w:r>
        <w:rPr>
          <w:rFonts w:ascii="Times New Roman" w:eastAsia="Calibri" w:hAnsi="Times New Roman" w:cs="Times New Roman"/>
          <w:sz w:val="24"/>
          <w:szCs w:val="24"/>
        </w:rPr>
        <w:t>21%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ЗБРБУВ,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5,1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9,2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по-нисък и през периода 2008-2013 г. – 3,26% при 5,9% средно за района.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Възрастовата структура е близка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68,4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67% средно за района, като този дял се запазва стабилен за целия период 2003-2013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Степента на урбанизация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по-</w:t>
      </w:r>
      <w:r>
        <w:rPr>
          <w:rFonts w:ascii="Times New Roman" w:eastAsia="Calibri" w:hAnsi="Times New Roman" w:cs="Times New Roman"/>
          <w:sz w:val="24"/>
          <w:szCs w:val="24"/>
        </w:rPr>
        <w:t>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43,5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65,4% средно за района. За десетгодишен период делът на градското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остава почти без промяна при увеличение от 2,4% средно за района. Това кореспондира с незначителното увеличение на градското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0,1% за периода 2003-2013 г. Селското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proofErr w:type="spellStart"/>
      <w:r w:rsidR="00650DA8">
        <w:rPr>
          <w:rFonts w:ascii="Times New Roman" w:eastAsia="Calibri" w:hAnsi="Times New Roman" w:cs="Times New Roman"/>
          <w:sz w:val="24"/>
          <w:szCs w:val="24"/>
        </w:rPr>
        <w:t>басейн</w:t>
      </w:r>
      <w:r>
        <w:rPr>
          <w:rFonts w:ascii="Times New Roman" w:eastAsia="Calibri" w:hAnsi="Times New Roman" w:cs="Times New Roman"/>
          <w:sz w:val="24"/>
          <w:szCs w:val="24"/>
        </w:rPr>
        <w:t>намалява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като намалението за периода 2003-2013 г. е около 9%, т.е. с по-бавни темпове в сравнение със средното за района за същия период – 15%.</w:t>
      </w:r>
    </w:p>
    <w:p w:rsidR="00DE79FD" w:rsidRDefault="00650DA8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Речният басейн</w:t>
      </w:r>
      <w:r w:rsidR="00DE79FD">
        <w:rPr>
          <w:rFonts w:ascii="Times New Roman" w:eastAsia="Calibri" w:hAnsi="Times New Roman" w:cs="Times New Roman"/>
          <w:sz w:val="24"/>
          <w:szCs w:val="24"/>
        </w:rPr>
        <w:t xml:space="preserve"> се характеризира с относително стабилна селищна структура. За десетгодишния период броят на селищата е намалял с 2, като промените са резултат от намаление на броя на селата с три и увеличение на градовете с един.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DE79FD">
        <w:rPr>
          <w:rFonts w:ascii="Times New Roman" w:eastAsia="Calibri" w:hAnsi="Times New Roman" w:cs="Times New Roman"/>
          <w:sz w:val="24"/>
          <w:szCs w:val="24"/>
        </w:rPr>
        <w:t xml:space="preserve"> – 1344 жители, е близък до средния за страната (1382 жители) и надвишава средния брой за района (985 жители) през 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ще намалее с 6,2% съгласно реалистичния сценарий, 4,8% съгласно оптимистичния сценарий и 6,8%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44,8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67,8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9FD" w:rsidRPr="003051EF" w:rsidRDefault="003370F3" w:rsidP="003051EF">
      <w:pPr>
        <w:pStyle w:val="Heading3"/>
        <w:rPr>
          <w:i/>
          <w:color w:val="auto"/>
          <w:sz w:val="24"/>
        </w:rPr>
      </w:pPr>
      <w:r w:rsidRPr="003051EF">
        <w:rPr>
          <w:i/>
          <w:color w:val="auto"/>
          <w:sz w:val="24"/>
        </w:rPr>
        <w:t>8.1.</w:t>
      </w:r>
      <w:r w:rsidR="00DE79FD" w:rsidRPr="003051EF">
        <w:rPr>
          <w:i/>
          <w:color w:val="auto"/>
          <w:sz w:val="24"/>
        </w:rPr>
        <w:t xml:space="preserve">5. </w:t>
      </w:r>
      <w:r w:rsidR="00650DA8">
        <w:rPr>
          <w:i/>
          <w:color w:val="auto"/>
          <w:sz w:val="24"/>
        </w:rPr>
        <w:t>РБ</w:t>
      </w:r>
      <w:r w:rsidR="00DE79FD" w:rsidRPr="003051EF">
        <w:rPr>
          <w:i/>
          <w:color w:val="auto"/>
          <w:sz w:val="24"/>
        </w:rPr>
        <w:t xml:space="preserve"> </w:t>
      </w:r>
      <w:r w:rsidRPr="003051EF">
        <w:rPr>
          <w:i/>
          <w:color w:val="auto"/>
          <w:sz w:val="24"/>
        </w:rPr>
        <w:t xml:space="preserve">на </w:t>
      </w:r>
      <w:r w:rsidR="00DE79FD" w:rsidRPr="003051EF">
        <w:rPr>
          <w:i/>
          <w:color w:val="auto"/>
          <w:sz w:val="24"/>
        </w:rPr>
        <w:t xml:space="preserve">р. Доспат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650DA8">
        <w:rPr>
          <w:rFonts w:ascii="Times New Roman" w:eastAsia="Calibri" w:hAnsi="Times New Roman" w:cs="Times New Roman"/>
          <w:sz w:val="24"/>
          <w:szCs w:val="24"/>
        </w:rPr>
        <w:t>РБ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04A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>р. Доспат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живее </w:t>
      </w:r>
      <w:r>
        <w:rPr>
          <w:rFonts w:ascii="Times New Roman" w:eastAsia="Calibri" w:hAnsi="Times New Roman" w:cs="Times New Roman"/>
          <w:sz w:val="24"/>
          <w:szCs w:val="24"/>
        </w:rPr>
        <w:t>2,3%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ЗБРБУВ,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10,1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9,2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по-висок и през периода 2008-2013 г. – 6,7% при 5,9% средно за района.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>
        <w:rPr>
          <w:rFonts w:ascii="Times New Roman" w:eastAsia="Calibri" w:hAnsi="Times New Roman" w:cs="Times New Roman"/>
          <w:sz w:val="24"/>
          <w:szCs w:val="24"/>
        </w:rPr>
        <w:t>бележи известни различия спрямо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72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67% средно за района, като този дял се запазва стабилен за целия период 2003-2013 г.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по-</w:t>
      </w:r>
      <w:r>
        <w:rPr>
          <w:rFonts w:ascii="Times New Roman" w:eastAsia="Calibri" w:hAnsi="Times New Roman" w:cs="Times New Roman"/>
          <w:sz w:val="24"/>
          <w:szCs w:val="24"/>
        </w:rPr>
        <w:t>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65,4% средно за района. За десетгодишен период делът на градското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намалял с 1,3 </w:t>
      </w:r>
      <w:r w:rsidR="003A62A6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увеличение от 2,4 </w:t>
      </w:r>
      <w:r w:rsidR="003A62A6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Този намаляващ дял е свързан с намаление на градското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със 7,2% за периода 2003-2013 г. Селското население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намалява, като намалението за периода 2003-2013 г. е 12%, т.е. с по-бавни темпове в сравнение със средното за района за същия период – 15%.</w:t>
      </w:r>
    </w:p>
    <w:p w:rsidR="00DE79FD" w:rsidRDefault="00650DA8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Речният басейн</w:t>
      </w:r>
      <w:r w:rsidR="00DE79FD">
        <w:rPr>
          <w:rFonts w:ascii="Times New Roman" w:eastAsia="Calibri" w:hAnsi="Times New Roman" w:cs="Times New Roman"/>
          <w:sz w:val="24"/>
          <w:szCs w:val="24"/>
        </w:rPr>
        <w:t xml:space="preserve"> се характеризира със стабилна селищна структура. Броят на селищата остава без промяна през целия десетгодишен период.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DE79FD">
        <w:rPr>
          <w:rFonts w:ascii="Times New Roman" w:eastAsia="Calibri" w:hAnsi="Times New Roman" w:cs="Times New Roman"/>
          <w:sz w:val="24"/>
          <w:szCs w:val="24"/>
        </w:rPr>
        <w:t xml:space="preserve"> – 1241 жители, е по-нисък от средния за страната (1382 жители), но надвишава средния брой за района (985 жители) през 2013 г.</w:t>
      </w:r>
    </w:p>
    <w:p w:rsidR="004B103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650DA8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ще намалее с 12,9% съгласно реалистичния сценарий, 11,6% съгласно оптимистичния сценарий и 13,5%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43,5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69,6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103D" w:rsidRDefault="004B103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Демографските прогнози по изброените показатели и сценарии са представени в Таблица 1.</w:t>
      </w:r>
    </w:p>
    <w:p w:rsidR="00075C96" w:rsidRDefault="00075C96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  <w:sectPr w:rsidR="00075C96" w:rsidSect="00B050A1">
          <w:footerReference w:type="default" r:id="rId9"/>
          <w:pgSz w:w="11906" w:h="16838"/>
          <w:pgMar w:top="1417" w:right="1417" w:bottom="1417" w:left="1417" w:header="708" w:footer="708" w:gutter="0"/>
          <w:pgNumType w:start="164"/>
          <w:cols w:space="708"/>
          <w:docGrid w:linePitch="360"/>
        </w:sectPr>
      </w:pPr>
    </w:p>
    <w:p w:rsidR="00075C96" w:rsidRDefault="004F05C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Таблица</w:t>
      </w:r>
      <w:proofErr w:type="spellEnd"/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8.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1</w:t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-</w:t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fldChar w:fldCharType="begin"/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instrText xml:space="preserve"> SEQ Таблица_8.2- \* ARABIC </w:instrText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fldChar w:fldCharType="separate"/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1</w:t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fldChar w:fldCharType="end"/>
      </w:r>
      <w:r w:rsidRPr="004F05C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Демографско</w:t>
      </w:r>
      <w:proofErr w:type="spellEnd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>състояние</w:t>
      </w:r>
      <w:proofErr w:type="spellEnd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демографски</w:t>
      </w:r>
      <w:proofErr w:type="spellEnd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прогнози</w:t>
      </w:r>
      <w:proofErr w:type="spellEnd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за</w:t>
      </w:r>
      <w:proofErr w:type="spellEnd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Западнобеломорски </w:t>
      </w:r>
      <w:proofErr w:type="spellStart"/>
      <w:r w:rsidR="00075C96" w:rsidRPr="00075C96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район</w:t>
      </w:r>
      <w:proofErr w:type="spellEnd"/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4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075C96" w:rsidRPr="002F7FBF" w:rsidTr="00771ABA">
        <w:trPr>
          <w:trHeight w:val="255"/>
          <w:tblHeader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БЪЛГАРИЯ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290CB4" w:rsidRPr="002F7FBF" w:rsidTr="00771ABA">
        <w:trPr>
          <w:trHeight w:val="510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4 472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4 310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4 134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4 215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4 053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7 168 009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7 127 729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7 087 448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7 047 168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7 006 887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6 966 607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6 925 295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6 883 982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6 842 670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6 801 357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6 760 045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6 718 993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6 677 941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7 178 343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7 143 930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7 109 517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7 075 104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7 040 691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7 006 278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6 972 857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6 939 437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6 906 016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6 872 596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6 839 175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6 806 870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6 774 566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7 163 065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7 119 928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7 076 791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7 033 655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6 990 518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6 947 381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6 902 153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6 856 925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6 811 696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6 766 468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6 721 240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6 675 786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6 630 332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5 265 266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5 250 726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5 236 009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5 221 116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5 206 050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5 190 811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5 174 631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5 158 278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5 125 064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5 108 205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5 091 376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5 074 383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5 272 857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5 262 661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5 252 313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5 241 814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5 231 166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5 220 370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5 210 170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5 199 831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5 189 355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5 178 744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5 167 999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5 157 966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5 147 806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5 261 634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5 244 980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5 228 136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5 193 888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5 176 486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5 157 339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5 138 003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5 118 481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5 098 773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5 078 882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5 058 636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5 038 207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1 902 743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1 877 003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1 851 439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1 826 051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1 800 837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1 775 796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1 750 664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1 725 704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1 700 915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1 676 294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1 651 840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1 627 617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1 603 557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1 905 486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1 881 269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1 857 204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1 833 290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1 809 525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1 785 908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1 762 688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1 739 606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1 716 661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1 693 852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1 671 176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1 648 905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1 626 760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1 901 431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1 874 949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1 848 655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1 822 550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1 796 630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1 770 895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1 744 814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1 718 921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1 693 215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1 667 695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1 642 358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1 617 151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1 592 125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4 706 937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4 656 154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4 605 370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4 554 587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4 503 803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4 453 020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4 417 207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4 381 394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4 345 582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4 309 769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4 273 956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4 243 532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4 213 107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4 709 108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4 659 303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4 609 497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4 559 692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4 509 886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4 460 081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4 425 239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4 390 396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4 355 554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4 320 711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4 285 869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4 256 370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4 226 870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4 705 927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4 654 650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4 603 374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4 552 097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4 500 821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4 449 544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4 413 215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4 376 886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4 340 558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4 304 229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4 267 900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4 236 955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4 206 010</w:t>
            </w:r>
          </w:p>
        </w:tc>
      </w:tr>
      <w:tr w:rsidR="00290CB4" w:rsidRPr="002F7FBF" w:rsidTr="00771ABA">
        <w:trPr>
          <w:trHeight w:val="510"/>
          <w:jc w:val="center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290CB4" w:rsidRPr="002F7FBF" w:rsidTr="00771ABA">
        <w:trPr>
          <w:trHeight w:val="510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464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455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lastRenderedPageBreak/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428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647 499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642 956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638 411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631 732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628 459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624 960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620 819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614 527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600 236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594 347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588 027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582 413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578 613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573 779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564 086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559 229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554 364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549 412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544 452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539 487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534 515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529 538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524 577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519 610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647 499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642 956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638 411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631 732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628 459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624 960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620 819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614 527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600 236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594 347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588 027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582 413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579 447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575 083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570 708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566 323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561 927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557 521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553 185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548 838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544 481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540 114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535 737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531 437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527 128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647 499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642 956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638 411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631 732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628 459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624 960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620 819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614 527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600 236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594 347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588 027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582 413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578 214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573 151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568 081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563 005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557 923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552 835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547 576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542 312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537 045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531 773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526 499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521 203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515 905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405 985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403 713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401 296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400 941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399 498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388 082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384 611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379 428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376 741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374 040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368 598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365 857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363 049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360 228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357 395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354 548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351 689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348 831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345 961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405 985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403 713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401 296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400 941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399 498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388 082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384 611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379 975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377 597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375 204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372 797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370 376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367 940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365 543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363 130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360 703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358 262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355 806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353 394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350 967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405 985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403 713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401 296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400 941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399 498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388 082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384 611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379 166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376 328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373 477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370 613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367 737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364 847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361 836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358 813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355 777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352 730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349 670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346 588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343 495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239 251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236 971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234 698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228 174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224 019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221 321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218 724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209 427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206 265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203 416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200 982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199 185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197 038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194 897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192 761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190 631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188 508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186 362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184 224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182 092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179 967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177 849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175 745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173 648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239 251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236 971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234 698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228 174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224 019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221 321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218 724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209 427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206 265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203 416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200 982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199 472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197 486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195 504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193 525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191 551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189 581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187 642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185 708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183 778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181 852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179 931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178 044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176 161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239 251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236 971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234 698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228 174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224 019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221 321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218 724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209 427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206 265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203 416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200 982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199 048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196 823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194 604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192 391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190 186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187 987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185 740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183 500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181 268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179 044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176 828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174 615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172 411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444 967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443 054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436 681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433 651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429 385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422 471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407 967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387 133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381 723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376 599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371 472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366 343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361 212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356 081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352 139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348 196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344 255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340 315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336 378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332 870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329 366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444 967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443 054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436 681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433 651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429 385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422 471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407 967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387 133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381 899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376 853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371 804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366 753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361 700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356 646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352 779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341 180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337 315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333 877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330 442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444 967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443 054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436 681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433 651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429 385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422 471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407 967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387 133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371 311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366 142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360 973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355 804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351 820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347 838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343 857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339 878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335 901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332 355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328 811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650DA8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075C96"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Струма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290CB4" w:rsidRPr="002F7FBF" w:rsidTr="00771ABA">
        <w:trPr>
          <w:trHeight w:val="510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360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345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342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501 997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497 913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488 626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485 622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482 519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478 854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473 729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460 912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456 024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450 711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445 888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442 449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438 234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434 022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425 605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421 401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417 137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412 877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408 621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404 367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400 117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391 659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501 997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497 913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488 626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485 622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482 519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478 854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473 729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460 912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456 024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450 711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445 888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443 086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439 230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435 373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431 516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427 658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423 800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420 002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416 203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412 403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408 603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404 801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401 064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397 326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501 997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497 913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494 127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488 626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485 622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482 519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478 854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473 729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460 912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456 024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450 711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445 888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442 143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437 754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433 369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428 988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424 610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415 743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411 255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406 771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402 293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397 820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393 341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388 867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lastRenderedPageBreak/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348 242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346 154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344 168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341 701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338 022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334 920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330 339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328 081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324 985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322 025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320 055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317 515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314 968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312 412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309 848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307 277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302 021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299 382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296 735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294 081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291 431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288 775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348 242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346 154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344 168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341 701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338 022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334 920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330 339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328 081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324 985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322 025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320 517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318 237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315 948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313 650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311 343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309 027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306 745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302 153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299 843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297 524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295 243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292 953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348 242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346 154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344 168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341 701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339 310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338 022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334 920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330 339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328 081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324 985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322 025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319 834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317 168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314 494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311 813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309 124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306 429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303 635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300 834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298 027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295 213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292 393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289 557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286 716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151 759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149 959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143 209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140 832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138 809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127 943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123 863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122 393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120 718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117 400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115 757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110 856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107 632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106 036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104 455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102 885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151 759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149 959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143 209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140 832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138 809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127 943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123 863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120 993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117 865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111 749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110 250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107 277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105 821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104 373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151 759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149 959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143 209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140 832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138 809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127 943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123 863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122 309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118 875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117 175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112 109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110 421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107 080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103 783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102 151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345 541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343 945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342 047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249 516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336 364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333 604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329 917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324 211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311 291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305 563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299 383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293 643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288 874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284 337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279 817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275 316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270 833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266 367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262 805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259 261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248 738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245 585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242 450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345 541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343 945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342 047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249 516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336 364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333 604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329 917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324 211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311 291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305 563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299 383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293 643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289 007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284 529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280 068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275 625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271 198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266 790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263 283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259 794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256 323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249 432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246 328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243 242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345 541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343 945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342 047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249 516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336 364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333 604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329 917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324 211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311 291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305 563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299 383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293 643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288 812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284 245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279 696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275 166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270 653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266 159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262 568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258 995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255 440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251 904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248 386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245 205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242 042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650DA8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075C96"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Места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290CB4" w:rsidRPr="002F7FBF" w:rsidTr="00771ABA">
        <w:trPr>
          <w:trHeight w:val="510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129 297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128 206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127 424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126 497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124 487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123 017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122 264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120 719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120 184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119 621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118 467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117 876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117 275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116 671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116 057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129 297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128 206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127 424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126 497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124 487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123 017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122 935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122 542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122 138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121 725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121 301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120 442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120 008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118 648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118 197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117 737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129 297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128 206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127 424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126 497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124 487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123 017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122 130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121 011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120 437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119 852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119 221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117 271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115 921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115 230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55 532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54 764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54 085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53 496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53 393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53 284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53 169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52 916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52 634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52 330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52 173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52 010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55 532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54 764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54 085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53 618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53 426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53 351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53 280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53 121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53 034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52 943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52 855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52 763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55 532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54 764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54 085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53 438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53 313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52 739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52 395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52 030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51 837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51 639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76 649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76 415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76 041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71 733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70 861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70 402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69 428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68 767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68 366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67 550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67 134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66 705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66 271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65 833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65 391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64 945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64 047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76 649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76 415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76 041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71 733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70 861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70 402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69 428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68 923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68 579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68 230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67 875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67 517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66 805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66 443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65 705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65 342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64 974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76 649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76 415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76 041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72 411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71 733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70 861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70 402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69 428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68 263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67 830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66 482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66 011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65 535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65 056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64 572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64 083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63 591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89 992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90 104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39 377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88 784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86 536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84 599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83 306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82 841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82 356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81 852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81 328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80 787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80 501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80 197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79 877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79 540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78 918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78 634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89 992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90 104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39 377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88 784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86 536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84 599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83 344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82 897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82 430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81 943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81 438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80 915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80 647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80 362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80 060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79 408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79 157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78 891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lastRenderedPageBreak/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89 992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90 104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39 377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88 784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86 536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84 599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83 288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82 320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81 807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81 275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80 724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80 428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80 115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79 784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79 438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79 075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78 796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78 501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650DA8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075C96"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Доспат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290CB4" w:rsidRPr="002F7FBF" w:rsidTr="00771ABA">
        <w:trPr>
          <w:trHeight w:val="510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15 178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15 107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14 301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13 954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13 407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13 281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13 156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13 031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12 906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12 780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12 526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12 399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12 146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11 893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15 178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15 107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14 301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13 954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13 426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13 311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13 197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12 968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12 853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12 740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12 627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12 514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12 401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12 288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12 177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12 065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15 178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15 107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14 301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13 954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13 267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13 136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13 006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12 875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12 745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12 343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12 210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11 942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11 808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6 119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5 961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5 916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5 817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5 580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5 531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6 119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5 961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5 916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5 817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5 786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5 562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5 518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5 251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6 211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6 119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5 961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5 916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5 817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5 722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5 567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5 140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8 847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8 797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8 698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8 492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7 993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7 401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6 717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8 847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8 797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8 698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8 492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7 993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7 430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6 814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8 847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8 797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8 698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8 492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7 993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7 465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6 669</w:t>
            </w:r>
          </w:p>
        </w:tc>
      </w:tr>
      <w:tr w:rsidR="00290CB4" w:rsidRPr="002F7FBF" w:rsidTr="00771ABA">
        <w:trPr>
          <w:trHeight w:val="255"/>
          <w:jc w:val="center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10 860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10 140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9 421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9 298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9 175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8 833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8 738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8 643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8 547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8 452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8 282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10 860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10 140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9 428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9 307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9 185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9 063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8 941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8 849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8 756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8 663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8 569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8 475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8 309</w:t>
            </w:r>
          </w:p>
        </w:tc>
      </w:tr>
      <w:tr w:rsidR="00075C96" w:rsidRPr="002F7FBF" w:rsidTr="00771ABA">
        <w:trPr>
          <w:trHeight w:val="255"/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10 860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10 140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9 542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9 418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9 294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8 920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8 825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8 633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8 536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8 440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8 354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75C96" w:rsidRPr="002F7FBF" w:rsidRDefault="00075C96" w:rsidP="002F7FBF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2F7FB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8 268</w:t>
            </w:r>
          </w:p>
        </w:tc>
      </w:tr>
    </w:tbl>
    <w:p w:rsidR="00075C96" w:rsidRPr="00075C96" w:rsidRDefault="00075C96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sectPr w:rsidR="00075C96" w:rsidRPr="00075C96" w:rsidSect="002F7FBF">
      <w:pgSz w:w="23814" w:h="16840" w:orient="landscape" w:code="8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5C5" w:rsidRDefault="001745C5" w:rsidP="001745C5">
      <w:pPr>
        <w:spacing w:after="0" w:line="240" w:lineRule="auto"/>
      </w:pPr>
      <w:r>
        <w:separator/>
      </w:r>
    </w:p>
  </w:endnote>
  <w:endnote w:type="continuationSeparator" w:id="0">
    <w:p w:rsidR="001745C5" w:rsidRDefault="001745C5" w:rsidP="0017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3272543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45C5" w:rsidRPr="001745C5" w:rsidRDefault="001745C5">
        <w:pPr>
          <w:pStyle w:val="Footer"/>
          <w:jc w:val="center"/>
          <w:rPr>
            <w:rFonts w:ascii="Times New Roman" w:hAnsi="Times New Roman"/>
          </w:rPr>
        </w:pPr>
        <w:r w:rsidRPr="001745C5">
          <w:rPr>
            <w:rFonts w:ascii="Times New Roman" w:hAnsi="Times New Roman"/>
          </w:rPr>
          <w:fldChar w:fldCharType="begin"/>
        </w:r>
        <w:r w:rsidRPr="001745C5">
          <w:rPr>
            <w:rFonts w:ascii="Times New Roman" w:hAnsi="Times New Roman"/>
          </w:rPr>
          <w:instrText xml:space="preserve"> PAGE   \* MERGEFORMAT </w:instrText>
        </w:r>
        <w:r w:rsidRPr="001745C5">
          <w:rPr>
            <w:rFonts w:ascii="Times New Roman" w:hAnsi="Times New Roman"/>
          </w:rPr>
          <w:fldChar w:fldCharType="separate"/>
        </w:r>
        <w:r w:rsidR="00D456A2">
          <w:rPr>
            <w:rFonts w:ascii="Times New Roman" w:hAnsi="Times New Roman"/>
            <w:noProof/>
          </w:rPr>
          <w:t>172</w:t>
        </w:r>
        <w:r w:rsidRPr="001745C5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5C5" w:rsidRDefault="001745C5" w:rsidP="001745C5">
      <w:pPr>
        <w:spacing w:after="0" w:line="240" w:lineRule="auto"/>
      </w:pPr>
      <w:r>
        <w:separator/>
      </w:r>
    </w:p>
  </w:footnote>
  <w:footnote w:type="continuationSeparator" w:id="0">
    <w:p w:rsidR="001745C5" w:rsidRDefault="001745C5" w:rsidP="00174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0A93"/>
    <w:multiLevelType w:val="hybridMultilevel"/>
    <w:tmpl w:val="A7B8B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161E9"/>
    <w:multiLevelType w:val="hybridMultilevel"/>
    <w:tmpl w:val="E78EF4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BC"/>
    <w:rsid w:val="0002678D"/>
    <w:rsid w:val="00075C96"/>
    <w:rsid w:val="00173B3F"/>
    <w:rsid w:val="001745C5"/>
    <w:rsid w:val="00190141"/>
    <w:rsid w:val="00290CB4"/>
    <w:rsid w:val="002F7FBF"/>
    <w:rsid w:val="003051EF"/>
    <w:rsid w:val="003248A9"/>
    <w:rsid w:val="003370F3"/>
    <w:rsid w:val="0033775D"/>
    <w:rsid w:val="003A62A6"/>
    <w:rsid w:val="00416494"/>
    <w:rsid w:val="00422956"/>
    <w:rsid w:val="0044542C"/>
    <w:rsid w:val="004B103D"/>
    <w:rsid w:val="004B5EE1"/>
    <w:rsid w:val="004D04BC"/>
    <w:rsid w:val="004F05CD"/>
    <w:rsid w:val="00550FCB"/>
    <w:rsid w:val="00572095"/>
    <w:rsid w:val="00572743"/>
    <w:rsid w:val="005A2CDC"/>
    <w:rsid w:val="005C5298"/>
    <w:rsid w:val="005F65EB"/>
    <w:rsid w:val="00650DA8"/>
    <w:rsid w:val="00771ABA"/>
    <w:rsid w:val="0078629C"/>
    <w:rsid w:val="008E04A2"/>
    <w:rsid w:val="009D64D6"/>
    <w:rsid w:val="00A11210"/>
    <w:rsid w:val="00A86DC9"/>
    <w:rsid w:val="00AC2B72"/>
    <w:rsid w:val="00B050A1"/>
    <w:rsid w:val="00B077A5"/>
    <w:rsid w:val="00B647E0"/>
    <w:rsid w:val="00BD09EA"/>
    <w:rsid w:val="00C4059E"/>
    <w:rsid w:val="00CF1549"/>
    <w:rsid w:val="00D456A2"/>
    <w:rsid w:val="00D60491"/>
    <w:rsid w:val="00DE79FD"/>
    <w:rsid w:val="00E4038A"/>
    <w:rsid w:val="00EE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</w:style>
  <w:style w:type="paragraph" w:styleId="Heading1">
    <w:name w:val="heading 1"/>
    <w:basedOn w:val="Normal"/>
    <w:next w:val="Normal"/>
    <w:link w:val="Heading1Char"/>
    <w:qFormat/>
    <w:rsid w:val="00AC2B72"/>
    <w:pPr>
      <w:keepNext/>
      <w:shd w:val="clear" w:color="auto" w:fill="8DB3E2" w:themeFill="text2" w:themeFillTint="66"/>
      <w:spacing w:before="240" w:after="240" w:line="24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E79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2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C2B72"/>
    <w:rPr>
      <w:rFonts w:ascii="Times New Roman" w:eastAsia="Calibri" w:hAnsi="Times New Roman" w:cs="Times New Roman"/>
      <w:b/>
      <w:bCs/>
      <w:kern w:val="32"/>
      <w:sz w:val="32"/>
      <w:szCs w:val="32"/>
      <w:shd w:val="clear" w:color="auto" w:fill="8DB3E2" w:themeFill="text2" w:themeFillTint="66"/>
    </w:rPr>
  </w:style>
  <w:style w:type="paragraph" w:styleId="ListParagraph">
    <w:name w:val="List Paragraph"/>
    <w:basedOn w:val="Normal"/>
    <w:uiPriority w:val="34"/>
    <w:qFormat/>
    <w:rsid w:val="00B077A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E79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11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305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75C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5C96"/>
    <w:rPr>
      <w:color w:val="800080"/>
      <w:u w:val="single"/>
    </w:rPr>
  </w:style>
  <w:style w:type="paragraph" w:customStyle="1" w:styleId="xl67">
    <w:name w:val="xl67"/>
    <w:basedOn w:val="Normal"/>
    <w:rsid w:val="0007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1">
    <w:name w:val="xl71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2">
    <w:name w:val="xl72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3">
    <w:name w:val="xl73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6">
    <w:name w:val="xl76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7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C5"/>
  </w:style>
  <w:style w:type="paragraph" w:styleId="Footer">
    <w:name w:val="footer"/>
    <w:basedOn w:val="Normal"/>
    <w:link w:val="FooterChar"/>
    <w:uiPriority w:val="99"/>
    <w:unhideWhenUsed/>
    <w:rsid w:val="0017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C5"/>
  </w:style>
  <w:style w:type="paragraph" w:styleId="BalloonText">
    <w:name w:val="Balloon Text"/>
    <w:basedOn w:val="Normal"/>
    <w:link w:val="BalloonTextChar"/>
    <w:uiPriority w:val="99"/>
    <w:semiHidden/>
    <w:unhideWhenUsed/>
    <w:rsid w:val="00B0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</w:style>
  <w:style w:type="paragraph" w:styleId="Heading1">
    <w:name w:val="heading 1"/>
    <w:basedOn w:val="Normal"/>
    <w:next w:val="Normal"/>
    <w:link w:val="Heading1Char"/>
    <w:qFormat/>
    <w:rsid w:val="00AC2B72"/>
    <w:pPr>
      <w:keepNext/>
      <w:shd w:val="clear" w:color="auto" w:fill="8DB3E2" w:themeFill="text2" w:themeFillTint="66"/>
      <w:spacing w:before="240" w:after="240" w:line="24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E79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2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C2B72"/>
    <w:rPr>
      <w:rFonts w:ascii="Times New Roman" w:eastAsia="Calibri" w:hAnsi="Times New Roman" w:cs="Times New Roman"/>
      <w:b/>
      <w:bCs/>
      <w:kern w:val="32"/>
      <w:sz w:val="32"/>
      <w:szCs w:val="32"/>
      <w:shd w:val="clear" w:color="auto" w:fill="8DB3E2" w:themeFill="text2" w:themeFillTint="66"/>
    </w:rPr>
  </w:style>
  <w:style w:type="paragraph" w:styleId="ListParagraph">
    <w:name w:val="List Paragraph"/>
    <w:basedOn w:val="Normal"/>
    <w:uiPriority w:val="34"/>
    <w:qFormat/>
    <w:rsid w:val="00B077A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E79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11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305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75C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5C96"/>
    <w:rPr>
      <w:color w:val="800080"/>
      <w:u w:val="single"/>
    </w:rPr>
  </w:style>
  <w:style w:type="paragraph" w:customStyle="1" w:styleId="xl67">
    <w:name w:val="xl67"/>
    <w:basedOn w:val="Normal"/>
    <w:rsid w:val="0007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1">
    <w:name w:val="xl71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2">
    <w:name w:val="xl72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3">
    <w:name w:val="xl73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6">
    <w:name w:val="xl76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075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7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C5"/>
  </w:style>
  <w:style w:type="paragraph" w:styleId="Footer">
    <w:name w:val="footer"/>
    <w:basedOn w:val="Normal"/>
    <w:link w:val="FooterChar"/>
    <w:uiPriority w:val="99"/>
    <w:unhideWhenUsed/>
    <w:rsid w:val="0017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C5"/>
  </w:style>
  <w:style w:type="paragraph" w:styleId="BalloonText">
    <w:name w:val="Balloon Text"/>
    <w:basedOn w:val="Normal"/>
    <w:link w:val="BalloonTextChar"/>
    <w:uiPriority w:val="99"/>
    <w:semiHidden/>
    <w:unhideWhenUsed/>
    <w:rsid w:val="00B0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8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48556-63DF-4497-AC1D-A333250C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4801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dcterms:created xsi:type="dcterms:W3CDTF">2015-04-01T13:00:00Z</dcterms:created>
  <dcterms:modified xsi:type="dcterms:W3CDTF">2015-11-19T11:28:00Z</dcterms:modified>
</cp:coreProperties>
</file>