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BC" w:rsidRDefault="006855BC" w:rsidP="009A76D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</w:pPr>
    </w:p>
    <w:p w:rsidR="00344A2F" w:rsidRPr="00871935" w:rsidRDefault="00344A2F" w:rsidP="009A76D5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Относно: </w:t>
      </w:r>
      <w:r w:rsidR="00871935" w:rsidRPr="008719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 xml:space="preserve">Прилагане на </w:t>
      </w:r>
      <w:r w:rsidR="008719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нормативни</w:t>
      </w:r>
      <w:bookmarkStart w:id="0" w:name="_GoBack"/>
      <w:bookmarkEnd w:id="0"/>
      <w:r w:rsidR="0087193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 xml:space="preserve"> изисквания при издаване на разрешителни за подземни води </w:t>
      </w:r>
    </w:p>
    <w:p w:rsidR="00344A2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44A2F" w:rsidRDefault="00344A2F" w:rsidP="00344A2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4B0501" w:rsidRDefault="00707FA6" w:rsidP="00707FA6">
      <w:pPr>
        <w:pStyle w:val="ListParagraph"/>
        <w:spacing w:before="120" w:after="120" w:line="270" w:lineRule="atLeast"/>
        <w:ind w:left="1069" w:hanging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1.</w:t>
      </w:r>
      <w:r w:rsidR="004B050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Относно технически възможния дебит на съоръжението:</w:t>
      </w:r>
    </w:p>
    <w:p w:rsidR="0098671E" w:rsidRDefault="00707FA6" w:rsidP="00707FA6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1.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1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  <w:r w:rsidR="00AC554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98671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Какво е определението на „технически възможен дебит на съоръжението“ и как следва да бъде определян (изчислен) този дебит.</w:t>
      </w:r>
    </w:p>
    <w:p w:rsidR="00707FA6" w:rsidRDefault="005F5351" w:rsidP="00707FA6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Няма нормативно установена дефиниция за технически възможен дебит на водовземните съоръжения за подземни води. </w:t>
      </w:r>
    </w:p>
    <w:p w:rsidR="00054357" w:rsidRDefault="005F5351" w:rsidP="00707FA6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Технически възможния дебит</w:t>
      </w:r>
      <w:r w:rsid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е максимално възможния дебит на водовземното съоръжение </w:t>
      </w:r>
      <w:r w:rsid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за подземни води </w:t>
      </w:r>
      <w:r w:rsidRP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при</w:t>
      </w:r>
      <w:r w:rsidR="008E1A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съответните технически характеристики на съоръженията</w:t>
      </w:r>
      <w:r w:rsidR="008455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концептуалния модел </w:t>
      </w:r>
      <w:r w:rsidR="000543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 подземното водно тяло</w:t>
      </w:r>
      <w:r w:rsidR="00CC3C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(чл.12 от Наредба № 1 за проучване, ползване и опазване на подземните води)</w:t>
      </w:r>
      <w:r w:rsidR="008455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707FA6" w:rsidRDefault="00054357" w:rsidP="00707FA6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Технически възможният дебит се изчислява по 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избрана изчислителна схема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известните формули описващи движението на подземните води към единично съоръжение или </w:t>
      </w:r>
      <w:r w:rsidR="00DA19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към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водовземна система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при съответния концептуален модел (хидрогеоложки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условия и съществуващи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я натиск </w:t>
      </w:r>
      <w:r w:rsidR="00DA19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и въздействието 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 човешка дейност в</w:t>
      </w:r>
      <w:r w:rsidR="00DA19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ърху 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подземното водно тяло или участък от него), като се вземат предвид</w:t>
      </w:r>
      <w:r w:rsidR="00707F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:</w:t>
      </w:r>
    </w:p>
    <w:p w:rsidR="00707FA6" w:rsidRDefault="00707FA6" w:rsidP="00A92043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Конструктивните характеристики на водовземното съоръжение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вкл.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A9204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възможностите за монтиране на помпено оборудване</w:t>
      </w:r>
      <w:r w:rsidR="0094181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, така че да се осигури 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ефективната му </w:t>
      </w:r>
      <w:r w:rsidR="0094181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работа и 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технически условия за безаварийна работа (охлаждане на двигателя на потопяем</w:t>
      </w:r>
      <w:r w:rsidR="004B150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ата помпа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);</w:t>
      </w:r>
    </w:p>
    <w:p w:rsidR="00A92D9F" w:rsidRDefault="00A92D9F" w:rsidP="00707FA6">
      <w:pPr>
        <w:pStyle w:val="ListParagraph"/>
        <w:numPr>
          <w:ilvl w:val="0"/>
          <w:numId w:val="2"/>
        </w:num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Характеристиките на подземното водно тяло в района на водовземането и</w:t>
      </w:r>
    </w:p>
    <w:p w:rsidR="00397A3B" w:rsidRDefault="00397A3B" w:rsidP="00397A3B">
      <w:pPr>
        <w:pStyle w:val="ListParagraph"/>
        <w:numPr>
          <w:ilvl w:val="0"/>
          <w:numId w:val="2"/>
        </w:num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Понижението, допустимото за подземното водно тяло и</w:t>
      </w:r>
    </w:p>
    <w:p w:rsidR="00FF0609" w:rsidRDefault="00FF0609" w:rsidP="00397A3B">
      <w:pPr>
        <w:pStyle w:val="ListParagraph"/>
        <w:numPr>
          <w:ilvl w:val="0"/>
          <w:numId w:val="2"/>
        </w:num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Техническите характеристики на помпеното оборудване и</w:t>
      </w:r>
    </w:p>
    <w:p w:rsidR="00A92D9F" w:rsidRDefault="00707FA6" w:rsidP="00ED08F0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Конструктивните характеристики</w:t>
      </w:r>
      <w:r w:rsidR="00A92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оборудването на съоръженията в района, от които вече е разрешено во</w:t>
      </w:r>
      <w:r w:rsidR="00ED08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д</w:t>
      </w:r>
      <w:r w:rsidR="00A92D9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овземане, които ще работят на взаимодействие с оценяваното съоръжение и могат да бъдат засегнати и</w:t>
      </w:r>
    </w:p>
    <w:p w:rsidR="00707FA6" w:rsidRPr="001E7FCC" w:rsidRDefault="00A92D9F" w:rsidP="00ED08F0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Изпълнение на нормативно установените забрани и ограничения за опазване на количественото състояние на подземните води (глава четвърта, раздел І от Наредба № 1 за проучване, ползване и опазване на подземните води). </w:t>
      </w:r>
    </w:p>
    <w:p w:rsidR="001E7FCC" w:rsidRPr="001E7FCC" w:rsidRDefault="001E7FCC" w:rsidP="001E7FC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Изпълнението на всички посочени по-горе изисквания е елемент от преценката </w:t>
      </w:r>
      <w:r w:rsidR="0013767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за издаване или отказ за издаване на разрешителни (чл.62 от Закона за водите, детайлизиран за подземните води в чл.163 от Наредба № 1 за проучване, ползване и опазване на подземните води). </w:t>
      </w:r>
    </w:p>
    <w:p w:rsidR="007842FD" w:rsidRPr="00A92D9F" w:rsidRDefault="00A92D9F" w:rsidP="00CF3BB2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1.2.</w:t>
      </w:r>
      <w:r w:rsidR="00CF3BB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Каква е връзката между технически възможния дебит и помпеното оборудване на съоръжението? Какво е следствието върху технически възможния дебит на съоръжението при промяна на помпеното оборудване?</w:t>
      </w:r>
    </w:p>
    <w:p w:rsidR="00344A2F" w:rsidRDefault="00E363F5" w:rsidP="004D7A17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Типа</w:t>
      </w:r>
      <w:r w:rsidR="001B76A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 помпата и мястото й са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определящ</w:t>
      </w:r>
      <w:r w:rsidR="001B76A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за конструктивните характеристики на водовземното съоръжение (виж</w:t>
      </w:r>
      <w:r w:rsidR="001B76A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чл.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.приложение № 2 към чл.93, ал.4 от Наредба № 1 за проучване, ползване и опазване на подземните води</w:t>
      </w:r>
      <w:r w:rsidR="004E500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)</w:t>
      </w:r>
      <w:r w:rsidR="00645A2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респ. за технически възможния дебит на съоръжението</w:t>
      </w:r>
      <w:r w:rsidR="004D7A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DD0DF9" w:rsidRDefault="00E363F5" w:rsidP="004D7A17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lastRenderedPageBreak/>
        <w:t>Пром</w:t>
      </w:r>
      <w:r w:rsidR="00D65FB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ените 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а помпеното оборудване мо</w:t>
      </w:r>
      <w:r w:rsidR="00D65FB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гат да се разгледат в различни аспекти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 в зависимост от това, отражението върху технически възможния дебит на съоръжението може да бъде различн</w:t>
      </w:r>
      <w:r w:rsidR="00B026A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. Във всички случаи, обаче промяната следва да бъде обоснована със съответните изчисления и </w:t>
      </w:r>
      <w:r w:rsidR="007C1BC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да бъде поискано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съответн</w:t>
      </w:r>
      <w:r w:rsidR="007C1BC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изменени</w:t>
      </w:r>
      <w:r w:rsidR="007C1BC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 разрешителн</w:t>
      </w:r>
      <w:r w:rsidR="007C1BC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за водовземане.</w:t>
      </w:r>
    </w:p>
    <w:p w:rsidR="00E363F5" w:rsidRDefault="00E363F5" w:rsidP="004D7A17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Възможни промени </w:t>
      </w:r>
      <w:r w:rsidR="00FF2D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въздействащи върху изчисления технически възможен дебит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са:</w:t>
      </w:r>
    </w:p>
    <w:p w:rsidR="00FF2D8C" w:rsidRDefault="00E363F5" w:rsidP="00F86277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Промяната на типа на помпата (хоризонтална или потопяема)</w:t>
      </w:r>
      <w:r w:rsidR="00FF2D8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;</w:t>
      </w:r>
    </w:p>
    <w:p w:rsidR="00FF2D8C" w:rsidRDefault="00FF2D8C" w:rsidP="00F86277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Промяната на дълбочината на монтиране на помпата;</w:t>
      </w:r>
    </w:p>
    <w:p w:rsidR="00FF2D8C" w:rsidRDefault="00FF2D8C" w:rsidP="00F86277">
      <w:pPr>
        <w:pStyle w:val="ListParagraph"/>
        <w:numPr>
          <w:ilvl w:val="0"/>
          <w:numId w:val="2"/>
        </w:numPr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Промяна на експлоатационните характеристики (дебита) на помпата.</w:t>
      </w:r>
    </w:p>
    <w:p w:rsidR="007367E8" w:rsidRDefault="00FF2D8C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И в трите случая промените се </w:t>
      </w:r>
      <w:r w:rsidR="00E363F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отразява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</w:t>
      </w:r>
      <w:r w:rsidR="00E363F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върху експлоатационно понижение на водното ниво,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а могат да се отразят и върху понижението на водното ниво и нормалната работа на помпеното оборудване в съоръжения</w:t>
      </w:r>
      <w:r w:rsidR="003F636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от които вече е разрешено водовземане.</w:t>
      </w:r>
    </w:p>
    <w:p w:rsidR="001B7127" w:rsidRDefault="001B7127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F627A1" w:rsidRDefault="00431C7A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2.</w:t>
      </w:r>
      <w:r w:rsidR="00F627A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Относно подземните води:</w:t>
      </w:r>
    </w:p>
    <w:p w:rsidR="00FF2D8C" w:rsidRDefault="00F627A1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2.1. Следва ли в обосновките, докладите и проектите, касаещи съоръжения за подземни води</w:t>
      </w:r>
      <w:r w:rsidR="00755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да бъдат изчислявани локалните и регионалните експлоатационни ресурси на подземните води в съответствие с Глава ІІІ от  Наредба № 1 за проучване, ползване и опазване на подземните води?</w:t>
      </w:r>
    </w:p>
    <w:p w:rsidR="00F627A1" w:rsidRDefault="00755AFC" w:rsidP="00E65151">
      <w:pPr>
        <w:pStyle w:val="ListParagraph"/>
        <w:spacing w:before="120" w:after="120" w:line="270" w:lineRule="atLeast"/>
        <w:ind w:left="0"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След въвеждане на изискванията на Рамковата директива за водите и </w:t>
      </w:r>
      <w:r w:rsidR="00167EA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Директивата за опазване на подземните води от за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мърсяване и влошаване и ръководствата към тях </w:t>
      </w:r>
      <w:r w:rsidR="00167EA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 българското законодателство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понятието „експлоатационни ресурси“ не се прилага по отношение на пресните подземни води, предмет на регламентация в двете посочени директиви.</w:t>
      </w:r>
      <w:r w:rsidR="00E75A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E75A47" w:rsidRDefault="00755AFC" w:rsidP="00E65151">
      <w:pPr>
        <w:widowControl w:val="0"/>
        <w:kinsoku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Управлението на подземните води се извършва на база очертани подземни водни тела 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(ПВТ)</w:t>
      </w:r>
      <w:r w:rsidR="00893C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оценка на натиска и въздействието от черпенето</w:t>
      </w:r>
      <w:r w:rsidR="0038246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цели</w:t>
      </w:r>
      <w:r w:rsidR="0038246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те и мерките за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постигане на доброто им количествено и химично състояние</w:t>
      </w:r>
      <w:r w:rsidR="0038246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или за предотвратяване влошаването им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. </w:t>
      </w:r>
      <w:r w:rsidR="00E75A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Основните критерии при управлението на подземните водни тела са разполагаемите ресурси на подземните водни тела</w:t>
      </w:r>
      <w:r w:rsidR="0021642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(чл.33, ал.1, чл.3 и чл.41, ал.3 от Наредба № 1 за проучване, ползване и опазване на подземните води)</w:t>
      </w:r>
      <w:r w:rsidR="00E75A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представляващи естествените ресурси минус необходимото за екосистемите водно количество и изменението на нивото на подземните води.</w:t>
      </w:r>
    </w:p>
    <w:p w:rsidR="006F48D0" w:rsidRDefault="00755AFC" w:rsidP="00E65151">
      <w:pPr>
        <w:widowControl w:val="0"/>
        <w:kinsoku w:val="0"/>
        <w:spacing w:before="120" w:after="0" w:line="240" w:lineRule="auto"/>
        <w:ind w:firstLine="708"/>
        <w:jc w:val="both"/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Доброто количествено състояние </w:t>
      </w:r>
      <w:r w:rsidR="00E75A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на подземните водни тела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се определя </w:t>
      </w:r>
      <w:r w:rsidR="00B103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по посочените критерии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на базата на няколко теста: </w:t>
      </w:r>
      <w:r w:rsidRPr="000D3B8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Воден баланс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– дали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общото черпене</w:t>
      </w:r>
      <w:r w:rsidR="00E75A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(по издадени разрешителни и от кладенците за задоволяване на собствените потребности на гражданите)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надвишава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разполагаемите ресурси на 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ПВТ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</w:t>
      </w:r>
      <w:r w:rsidR="00F21C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дали има тенденция към понижение на 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водното ниво в ПВТ</w:t>
      </w:r>
      <w:r w:rsidR="00F21C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или локални негови участъци</w:t>
      </w:r>
      <w:r w:rsidR="000D3B8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; </w:t>
      </w:r>
      <w:r w:rsidR="000D3B83" w:rsidRPr="00E25183">
        <w:rPr>
          <w:rFonts w:ascii="Times New Roman" w:eastAsia="SimSun" w:hAnsi="Times New Roman" w:cs="Times New Roman"/>
          <w:b/>
          <w:i/>
          <w:spacing w:val="-8"/>
          <w:w w:val="105"/>
          <w:sz w:val="24"/>
          <w:szCs w:val="24"/>
          <w:lang w:eastAsia="zh-CN"/>
        </w:rPr>
        <w:t>Поток на повърхностните води</w:t>
      </w:r>
      <w:r w:rsidR="000D3B83">
        <w:rPr>
          <w:rFonts w:ascii="Times New Roman" w:eastAsia="SimSun" w:hAnsi="Times New Roman" w:cs="Times New Roman"/>
          <w:b/>
          <w:i/>
          <w:spacing w:val="-8"/>
          <w:w w:val="105"/>
          <w:sz w:val="24"/>
          <w:szCs w:val="24"/>
          <w:lang w:eastAsia="zh-CN"/>
        </w:rPr>
        <w:t xml:space="preserve"> -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дали</w:t>
      </w:r>
      <w:r w:rsidR="000D3B83" w:rsidRPr="00E251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="000D3B83" w:rsidRPr="00E251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3B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определени участъци натискът от черпене на подземни води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има</w:t>
      </w:r>
      <w:r w:rsidR="000D3B83" w:rsidRPr="00E251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значител</w:t>
      </w:r>
      <w:r w:rsidR="000D3B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въздействие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върху</w:t>
      </w:r>
      <w:r w:rsidR="000D3B83" w:rsidRPr="00E251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>отделните</w:t>
      </w:r>
      <w:r w:rsidR="000D3B83" w:rsidRPr="00E251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3B83" w:rsidRPr="00A62E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повърхностни водни </w:t>
      </w:r>
      <w:r w:rsidR="000D3B83">
        <w:rPr>
          <w:rFonts w:ascii="Times New Roman" w:eastAsia="SimSun" w:hAnsi="Times New Roman" w:cs="Times New Roman"/>
          <w:sz w:val="24"/>
          <w:szCs w:val="24"/>
          <w:lang w:eastAsia="zh-CN"/>
        </w:rPr>
        <w:t>тела</w:t>
      </w:r>
      <w:r w:rsidR="005869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е причина за непостигане на добро състояние на повърхностните води или водните екосистеми</w:t>
      </w:r>
      <w:r w:rsidR="00F21C83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="00893C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3CE8">
        <w:rPr>
          <w:rFonts w:ascii="Times New Roman" w:eastAsia="SimSun" w:hAnsi="Times New Roman" w:cs="Times New Roman"/>
          <w:b/>
          <w:i/>
          <w:spacing w:val="-6"/>
          <w:w w:val="105"/>
          <w:sz w:val="24"/>
          <w:szCs w:val="24"/>
          <w:lang w:eastAsia="zh-CN"/>
        </w:rPr>
        <w:t>Сухоз</w:t>
      </w:r>
      <w:r w:rsidR="00893CE8" w:rsidRPr="00794FCD">
        <w:rPr>
          <w:rFonts w:ascii="Times New Roman" w:eastAsia="SimSun" w:hAnsi="Times New Roman" w:cs="Times New Roman"/>
          <w:b/>
          <w:i/>
          <w:spacing w:val="-6"/>
          <w:w w:val="105"/>
          <w:sz w:val="24"/>
          <w:szCs w:val="24"/>
          <w:lang w:eastAsia="zh-CN"/>
        </w:rPr>
        <w:t>емни екосистеми, зависими от подземни води</w:t>
      </w:r>
      <w:r w:rsidR="00893CE8">
        <w:rPr>
          <w:rFonts w:ascii="Times New Roman" w:eastAsia="SimSun" w:hAnsi="Times New Roman" w:cs="Times New Roman"/>
          <w:b/>
          <w:i/>
          <w:spacing w:val="-6"/>
          <w:w w:val="105"/>
          <w:sz w:val="24"/>
          <w:szCs w:val="24"/>
          <w:lang w:eastAsia="zh-CN"/>
        </w:rPr>
        <w:t xml:space="preserve"> -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 дали са осигурени количеството вода или </w:t>
      </w:r>
      <w:r w:rsidR="00893CE8" w:rsidRPr="00E25183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необходимо ниво за поддържане на 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сухоземните екосистеми зависещи от подземните води; и </w:t>
      </w:r>
      <w:r w:rsidR="00893CE8">
        <w:rPr>
          <w:rFonts w:ascii="Times New Roman" w:eastAsia="SimSun" w:hAnsi="Times New Roman" w:cs="Times New Roman"/>
          <w:b/>
          <w:i/>
          <w:spacing w:val="-7"/>
          <w:w w:val="105"/>
          <w:sz w:val="24"/>
          <w:szCs w:val="24"/>
          <w:lang w:eastAsia="zh-CN"/>
        </w:rPr>
        <w:t xml:space="preserve">Интрузия на солени или замърсени води – </w:t>
      </w:r>
      <w:r w:rsidR="00893CE8" w:rsidRPr="00893CE8">
        <w:rPr>
          <w:rFonts w:ascii="Times New Roman" w:eastAsia="SimSun" w:hAnsi="Times New Roman" w:cs="Times New Roman"/>
          <w:spacing w:val="-7"/>
          <w:w w:val="105"/>
          <w:sz w:val="24"/>
          <w:szCs w:val="24"/>
          <w:lang w:eastAsia="zh-CN"/>
        </w:rPr>
        <w:t>дали е налице и</w:t>
      </w:r>
      <w:r w:rsidR="00893CE8" w:rsidRP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>нтрузия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 </w:t>
      </w:r>
      <w:r w:rsidR="00893CE8" w:rsidRPr="00E25183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на 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солена или замърсена вода в ПВТ от </w:t>
      </w:r>
      <w:r w:rsidR="00893CE8" w:rsidRPr="00E25183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>друг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>о</w:t>
      </w:r>
      <w:r w:rsidR="00893CE8" w:rsidRPr="00E25183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 вод</w:t>
      </w:r>
      <w:r w:rsidR="00893CE8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>но тяло</w:t>
      </w:r>
      <w:r w:rsidR="006F48D0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>.</w:t>
      </w:r>
      <w:r w:rsidR="00B1032C">
        <w:rPr>
          <w:rFonts w:ascii="Times New Roman" w:eastAsia="SimSun" w:hAnsi="Times New Roman" w:cs="Times New Roman"/>
          <w:bCs/>
          <w:iCs/>
          <w:spacing w:val="-1"/>
          <w:w w:val="105"/>
          <w:sz w:val="24"/>
          <w:szCs w:val="24"/>
          <w:lang w:eastAsia="zh-CN"/>
        </w:rPr>
        <w:t xml:space="preserve"> На същата база се определят и целите и мерките (забрани, ограничения, изисквания) за постигане на добро състояние на подземните водни тела.</w:t>
      </w:r>
    </w:p>
    <w:p w:rsidR="00755AFC" w:rsidRDefault="00596902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  <w:t>2.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. Какво е определението на „експлоатационни ресурси на водоизточника“ от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lastRenderedPageBreak/>
        <w:t>раздел ІІ на Наредба № 3 от 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нужди?</w:t>
      </w:r>
    </w:p>
    <w:p w:rsidR="00596902" w:rsidRDefault="00596902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F53B8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Основанието на посочената </w:t>
      </w:r>
      <w:r w:rsidR="001A517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наредба е с отменено с изменението на Закона за водите от 2006 г., с което  в българското законодателство бяха въведени изискванията на Рамковата директива за водите. Наредба № 3 от 16.10.2000 г. следва да бъде заменена от наредба за зоните за защита на водите, предназначени за питейно-битово водоснабдяване и на минералните води, издадена от Министерския съвет, която да е съобразена с изискването като зона за защита да бъдат определени водните тела (повърхностни и подземни), от които се черпи вода за питейни цели и с факта, че определянето на санитарно-охранителни зони не е задължение, а решение на съответните държави. По тази причина Наредба № 3 от 16.10.2000 г. не е приведена в съответствие с променената терминология в Закона за водите, съответстваща на дефинициите в европейското законодателство.</w:t>
      </w:r>
    </w:p>
    <w:p w:rsidR="001A517A" w:rsidRDefault="001A517A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226A6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По различни причини издаването на предвидената в Закона за водите наредба за зоните за защита на водите, предназначени за питейно-битово водоснабдяване и на минералните води </w:t>
      </w:r>
      <w:r w:rsidR="004B150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няколкократно</w:t>
      </w:r>
      <w:r w:rsidR="00226A6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се отлага и по тази причина все още се прилага Наредба № 3 от 16.10.2000 г. </w:t>
      </w:r>
    </w:p>
    <w:p w:rsidR="00226A6C" w:rsidRDefault="00226A6C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  <w:t xml:space="preserve">В тази връзка следва да се приложи </w:t>
      </w:r>
      <w:r w:rsidR="007C57D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основният принцип в правото и чл.15 от Закона за нормативните актове, определящи че при несъответствие между нормативните актове се прилагат изискванията на акта с по-висок ранг (в случая Закона за водите) или по-новия акт (в случая Наредба № 1 за проучване, ползване и опазване на подземните води).</w:t>
      </w:r>
    </w:p>
    <w:p w:rsidR="007C57D8" w:rsidRDefault="007C57D8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  <w:t xml:space="preserve">В тази връзка </w:t>
      </w:r>
      <w:r w:rsidR="0084120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под „експлоатационни ресурси на водоизточника“ следва да се приема „технически възможния дебит на водовземното съоръжение“.</w:t>
      </w:r>
    </w:p>
    <w:p w:rsidR="0084120E" w:rsidRDefault="002127A8" w:rsidP="00893CE8">
      <w:pPr>
        <w:widowControl w:val="0"/>
        <w:kinsoku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  <w:t>2.3.Как да бъдат изчислени изискваните „експлоатационни ресурси на водоизточника“ за подземни води, съгласно раздел ІІ от раздел ІІ на Наредба № 3 от 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нужди?</w:t>
      </w:r>
    </w:p>
    <w:p w:rsidR="00FF2D8C" w:rsidRDefault="00C84476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Както беше посочено в отговора по подставения от Вас въпрос 2.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., под „експлоатационни ресурси на водоизточника“ следва да се приема „технически възможния дебит на водовземното съоръжение“, който се изчислява при вземане предвид на изискванията посочени в отговора по подставения от Вас въпрос 1.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1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FF2D8C" w:rsidRDefault="00FF2D8C" w:rsidP="00FF2D8C">
      <w:pPr>
        <w:pStyle w:val="ListParagraph"/>
        <w:spacing w:before="120" w:after="120" w:line="27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sectPr w:rsidR="00FF2D8C" w:rsidSect="0027727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7E" w:rsidRDefault="002B237E" w:rsidP="00344A2F">
      <w:pPr>
        <w:spacing w:after="0" w:line="240" w:lineRule="auto"/>
      </w:pPr>
      <w:r>
        <w:separator/>
      </w:r>
    </w:p>
  </w:endnote>
  <w:endnote w:type="continuationSeparator" w:id="0">
    <w:p w:rsidR="002B237E" w:rsidRDefault="002B237E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7E" w:rsidRDefault="002B237E" w:rsidP="00344A2F">
      <w:pPr>
        <w:spacing w:after="0" w:line="240" w:lineRule="auto"/>
      </w:pPr>
      <w:r>
        <w:separator/>
      </w:r>
    </w:p>
  </w:footnote>
  <w:footnote w:type="continuationSeparator" w:id="0">
    <w:p w:rsidR="002B237E" w:rsidRDefault="002B237E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20" w:rsidRDefault="00BD2C20" w:rsidP="00BD2C20">
    <w:pPr>
      <w:pStyle w:val="Header"/>
      <w:jc w:val="center"/>
    </w:pPr>
  </w:p>
  <w:p w:rsidR="00BD2C20" w:rsidRDefault="00BD2C20" w:rsidP="00BD2C2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73" w:rsidRDefault="00277273" w:rsidP="00277273">
    <w:pPr>
      <w:pStyle w:val="Header"/>
      <w:jc w:val="center"/>
      <w:rPr>
        <w:lang w:val="en-US"/>
      </w:rPr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59397C7E" wp14:editId="0D69D241">
          <wp:extent cx="895350" cy="781050"/>
          <wp:effectExtent l="0" t="0" r="0" b="0"/>
          <wp:docPr id="5" name="Picture 5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73" w:rsidRPr="00B2250A" w:rsidRDefault="00277273" w:rsidP="00277273">
    <w:pPr>
      <w:pStyle w:val="Caption"/>
      <w:spacing w:before="20"/>
      <w:rPr>
        <w:szCs w:val="24"/>
      </w:rPr>
    </w:pPr>
    <w:r w:rsidRPr="00B2250A">
      <w:rPr>
        <w:szCs w:val="24"/>
      </w:rPr>
      <w:t>Р е п у б л и к а   б ъ л г а р и я</w:t>
    </w:r>
  </w:p>
  <w:p w:rsidR="00277273" w:rsidRDefault="00277273" w:rsidP="00277273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277273" w:rsidRDefault="00277273" w:rsidP="00277273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277273" w:rsidRPr="00277273" w:rsidRDefault="0027727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64A"/>
    <w:multiLevelType w:val="hybridMultilevel"/>
    <w:tmpl w:val="6DCEF224"/>
    <w:lvl w:ilvl="0" w:tplc="BCB6438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F8076E"/>
    <w:multiLevelType w:val="multilevel"/>
    <w:tmpl w:val="DCF2B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25938"/>
    <w:rsid w:val="00030B2E"/>
    <w:rsid w:val="00054357"/>
    <w:rsid w:val="0008788E"/>
    <w:rsid w:val="000D3B83"/>
    <w:rsid w:val="000F65C2"/>
    <w:rsid w:val="000F7AF0"/>
    <w:rsid w:val="0013767E"/>
    <w:rsid w:val="0014712E"/>
    <w:rsid w:val="00167EA7"/>
    <w:rsid w:val="001A3998"/>
    <w:rsid w:val="001A517A"/>
    <w:rsid w:val="001B7127"/>
    <w:rsid w:val="001B76A8"/>
    <w:rsid w:val="001E7FCC"/>
    <w:rsid w:val="002127A8"/>
    <w:rsid w:val="00216423"/>
    <w:rsid w:val="00226A6C"/>
    <w:rsid w:val="002447DE"/>
    <w:rsid w:val="00245AFD"/>
    <w:rsid w:val="00277273"/>
    <w:rsid w:val="002828C7"/>
    <w:rsid w:val="002B237E"/>
    <w:rsid w:val="00320F94"/>
    <w:rsid w:val="00324F10"/>
    <w:rsid w:val="00344A2F"/>
    <w:rsid w:val="00352E03"/>
    <w:rsid w:val="0038246A"/>
    <w:rsid w:val="00397A3B"/>
    <w:rsid w:val="003C7266"/>
    <w:rsid w:val="003C7FED"/>
    <w:rsid w:val="003E56A8"/>
    <w:rsid w:val="003F636C"/>
    <w:rsid w:val="004174A8"/>
    <w:rsid w:val="00417A73"/>
    <w:rsid w:val="004310D6"/>
    <w:rsid w:val="00431C7A"/>
    <w:rsid w:val="004519EA"/>
    <w:rsid w:val="00460619"/>
    <w:rsid w:val="00492443"/>
    <w:rsid w:val="004B0501"/>
    <w:rsid w:val="004B1507"/>
    <w:rsid w:val="004C343E"/>
    <w:rsid w:val="004D7A17"/>
    <w:rsid w:val="004E5006"/>
    <w:rsid w:val="005259EF"/>
    <w:rsid w:val="005745E4"/>
    <w:rsid w:val="005869DE"/>
    <w:rsid w:val="00596902"/>
    <w:rsid w:val="005F5351"/>
    <w:rsid w:val="00612C9F"/>
    <w:rsid w:val="00645A2A"/>
    <w:rsid w:val="00673358"/>
    <w:rsid w:val="006855BC"/>
    <w:rsid w:val="006C52B5"/>
    <w:rsid w:val="006F48D0"/>
    <w:rsid w:val="00704414"/>
    <w:rsid w:val="00707FA6"/>
    <w:rsid w:val="00724B8A"/>
    <w:rsid w:val="007367E8"/>
    <w:rsid w:val="00755AFC"/>
    <w:rsid w:val="0077418A"/>
    <w:rsid w:val="007842FD"/>
    <w:rsid w:val="00794EB6"/>
    <w:rsid w:val="007C1BCB"/>
    <w:rsid w:val="007C57D8"/>
    <w:rsid w:val="007D0E29"/>
    <w:rsid w:val="007F68B6"/>
    <w:rsid w:val="0084120E"/>
    <w:rsid w:val="008455AC"/>
    <w:rsid w:val="00871935"/>
    <w:rsid w:val="00886536"/>
    <w:rsid w:val="00893CE8"/>
    <w:rsid w:val="008E1A8C"/>
    <w:rsid w:val="0093686E"/>
    <w:rsid w:val="00941810"/>
    <w:rsid w:val="0098671E"/>
    <w:rsid w:val="009A76D5"/>
    <w:rsid w:val="009E6638"/>
    <w:rsid w:val="00A1267C"/>
    <w:rsid w:val="00A33C3A"/>
    <w:rsid w:val="00A60AE4"/>
    <w:rsid w:val="00A92043"/>
    <w:rsid w:val="00A92D9F"/>
    <w:rsid w:val="00AB1C0D"/>
    <w:rsid w:val="00AB6333"/>
    <w:rsid w:val="00AC5540"/>
    <w:rsid w:val="00AD3929"/>
    <w:rsid w:val="00B026A0"/>
    <w:rsid w:val="00B03D87"/>
    <w:rsid w:val="00B1032C"/>
    <w:rsid w:val="00B34C59"/>
    <w:rsid w:val="00B422F2"/>
    <w:rsid w:val="00B544B2"/>
    <w:rsid w:val="00BA6618"/>
    <w:rsid w:val="00BD2C20"/>
    <w:rsid w:val="00C51B30"/>
    <w:rsid w:val="00C84476"/>
    <w:rsid w:val="00CC3C5A"/>
    <w:rsid w:val="00CD7F6D"/>
    <w:rsid w:val="00CF3BB2"/>
    <w:rsid w:val="00D11389"/>
    <w:rsid w:val="00D219AA"/>
    <w:rsid w:val="00D32393"/>
    <w:rsid w:val="00D37F3E"/>
    <w:rsid w:val="00D601F2"/>
    <w:rsid w:val="00D65FBE"/>
    <w:rsid w:val="00D94B69"/>
    <w:rsid w:val="00D97A62"/>
    <w:rsid w:val="00DA19FC"/>
    <w:rsid w:val="00DA1A91"/>
    <w:rsid w:val="00DA68FC"/>
    <w:rsid w:val="00DD0DF9"/>
    <w:rsid w:val="00DE140B"/>
    <w:rsid w:val="00DF35A3"/>
    <w:rsid w:val="00E363F5"/>
    <w:rsid w:val="00E42F37"/>
    <w:rsid w:val="00E60C1C"/>
    <w:rsid w:val="00E65151"/>
    <w:rsid w:val="00E75A47"/>
    <w:rsid w:val="00E94EED"/>
    <w:rsid w:val="00ED08F0"/>
    <w:rsid w:val="00F02815"/>
    <w:rsid w:val="00F21C83"/>
    <w:rsid w:val="00F53B82"/>
    <w:rsid w:val="00F627A1"/>
    <w:rsid w:val="00F86277"/>
    <w:rsid w:val="00FD34A2"/>
    <w:rsid w:val="00FE37C5"/>
    <w:rsid w:val="00FF0609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4B0501"/>
    <w:pPr>
      <w:ind w:left="720"/>
      <w:contextualSpacing/>
    </w:pPr>
  </w:style>
  <w:style w:type="character" w:customStyle="1" w:styleId="alt-edited">
    <w:name w:val="alt-edited"/>
    <w:basedOn w:val="DefaultParagraphFont"/>
    <w:rsid w:val="0089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4B0501"/>
    <w:pPr>
      <w:ind w:left="720"/>
      <w:contextualSpacing/>
    </w:pPr>
  </w:style>
  <w:style w:type="character" w:customStyle="1" w:styleId="alt-edited">
    <w:name w:val="alt-edited"/>
    <w:basedOn w:val="DefaultParagraphFont"/>
    <w:rsid w:val="0089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B09E-AC48-449F-B4A0-5DD5B808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user</cp:lastModifiedBy>
  <cp:revision>4</cp:revision>
  <cp:lastPrinted>2015-01-24T15:00:00Z</cp:lastPrinted>
  <dcterms:created xsi:type="dcterms:W3CDTF">2015-08-05T12:14:00Z</dcterms:created>
  <dcterms:modified xsi:type="dcterms:W3CDTF">2015-08-05T12:18:00Z</dcterms:modified>
</cp:coreProperties>
</file>